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SDMDocRef" w:displacedByCustomXml="next"/>
    <w:sdt>
      <w:sdtPr>
        <w:alias w:val="SDMDocRef"/>
        <w:tag w:val="SDMDocRef"/>
        <w:id w:val="1716379491"/>
        <w:lock w:val="sdtLocked"/>
        <w:placeholder>
          <w:docPart w:val="6EE863CABD444658AC33BB82EDEC0E37"/>
        </w:placeholder>
      </w:sdtPr>
      <w:sdtEndPr/>
      <w:sdtContent>
        <w:bookmarkStart w:id="1" w:name="_Ref227062413" w:displacedByCustomXml="prev"/>
        <w:bookmarkEnd w:id="1" w:displacedByCustomXml="prev"/>
        <w:p w14:paraId="32619ACF" w14:textId="7917CDD3" w:rsidR="00A12E1C" w:rsidRPr="005B1E09" w:rsidRDefault="001C695C" w:rsidP="001C695C">
          <w:pPr>
            <w:pStyle w:val="SDMDocRef"/>
          </w:pPr>
          <w:r w:rsidRPr="001C695C">
            <w:rPr>
              <w:lang w:val="en-US"/>
            </w:rPr>
            <w:t>A6.4-AMM-005</w:t>
          </w:r>
        </w:p>
      </w:sdtContent>
    </w:sdt>
    <w:bookmarkEnd w:id="0" w:displacedByCustomXml="prev"/>
    <w:bookmarkStart w:id="2" w:name="SDMConfidentialMark" w:displacedByCustomXml="next"/>
    <w:sdt>
      <w:sdtPr>
        <w:alias w:val="SDMConfidentialMark"/>
        <w:tag w:val="SDMConfidentialMark"/>
        <w:id w:val="174698408"/>
        <w:lock w:val="sdtLocked"/>
        <w:placeholder>
          <w:docPart w:val="07D5C4AE59574E2F9C19B504FD95346F"/>
        </w:placeholder>
        <w:dropDownList>
          <w:listItem w:displayText="Confidential" w:value="Confidential"/>
          <w:listItem w:displayText=" " w:value="  "/>
        </w:dropDownList>
      </w:sdtPr>
      <w:sdtEndPr/>
      <w:sdtContent>
        <w:p w14:paraId="657CC68C" w14:textId="10A07481" w:rsidR="00B527EA" w:rsidRPr="00312CAA" w:rsidRDefault="001D3F7B" w:rsidP="00802CB9">
          <w:pPr>
            <w:pStyle w:val="SDMConfidentialMark"/>
            <w:tabs>
              <w:tab w:val="left" w:pos="1843"/>
            </w:tabs>
          </w:pPr>
          <w:r>
            <w:t xml:space="preserve"> </w:t>
          </w:r>
        </w:p>
      </w:sdtContent>
    </w:sdt>
    <w:bookmarkEnd w:id="2" w:displacedByCustomXml="prev"/>
    <w:bookmarkStart w:id="3" w:name="SDMDocType" w:displacedByCustomXml="prev"/>
    <w:bookmarkStart w:id="4" w:name="SDMTitle1" w:displacedByCustomXml="next"/>
    <w:sdt>
      <w:sdtPr>
        <w:alias w:val="SDMTitle1"/>
        <w:tag w:val="SDMTitle1"/>
        <w:id w:val="-2079670800"/>
        <w:lock w:val="sdtLocked"/>
        <w:placeholder>
          <w:docPart w:val="36F367476926461EB5BCC261BF2874EA"/>
        </w:placeholder>
      </w:sdtPr>
      <w:sdtEndPr/>
      <w:sdtContent>
        <w:p w14:paraId="7ED9D068" w14:textId="5DC41D76" w:rsidR="001A1BDD" w:rsidRPr="002C4666" w:rsidRDefault="001549D8" w:rsidP="00705EF6">
          <w:pPr>
            <w:pStyle w:val="SDMTitle1"/>
          </w:pPr>
          <w:sdt>
            <w:sdtPr>
              <w:alias w:val="SDMDocType"/>
              <w:tag w:val="SDMDocType"/>
              <w:id w:val="-1347470451"/>
              <w:lock w:val="sdtContentLocked"/>
              <w:placeholder>
                <w:docPart w:val="8D953F969009486D95343FE2A12F5EB3"/>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sdtContent>
              <w:r w:rsidR="006336E1">
                <w:t>Mechanism m</w:t>
              </w:r>
              <w:r w:rsidR="00A136DD">
                <w:t>ethodology</w:t>
              </w:r>
            </w:sdtContent>
          </w:sdt>
        </w:p>
      </w:sdtContent>
    </w:sdt>
    <w:bookmarkEnd w:id="4" w:displacedByCustomXml="prev"/>
    <w:bookmarkEnd w:id="3" w:displacedByCustomXml="next"/>
    <w:bookmarkStart w:id="5" w:name="SDMTitle2" w:displacedByCustomXml="next"/>
    <w:sdt>
      <w:sdtPr>
        <w:rPr>
          <w:lang w:val="de-DE"/>
        </w:rPr>
        <w:alias w:val="SDMTitle2"/>
        <w:tag w:val="SDMTitle2"/>
        <w:id w:val="939257648"/>
        <w:lock w:val="sdtLocked"/>
        <w:placeholder>
          <w:docPart w:val="FFC71B37A9F04A70B5801CF85F3B6959"/>
        </w:placeholder>
      </w:sdtPr>
      <w:sdtEndPr/>
      <w:sdtContent>
        <w:p w14:paraId="051D2709" w14:textId="20264255" w:rsidR="001A1BDD" w:rsidRPr="00206FDC" w:rsidRDefault="00EA2A7A" w:rsidP="001A1BDD">
          <w:pPr>
            <w:pStyle w:val="SDMTitle2"/>
          </w:pPr>
          <w:r w:rsidRPr="00EA2A7A">
            <w:t xml:space="preserve">Energy </w:t>
          </w:r>
          <w:r w:rsidR="00EA5A00">
            <w:t>e</w:t>
          </w:r>
          <w:r w:rsidRPr="00EA2A7A">
            <w:t>fficiency measures in household cooking</w:t>
          </w:r>
        </w:p>
      </w:sdtContent>
    </w:sdt>
    <w:bookmarkEnd w:id="5" w:displacedByCustomXml="prev"/>
    <w:bookmarkStart w:id="6" w:name="SDMDocVerLab"/>
    <w:p w14:paraId="29A31613" w14:textId="77A19BED" w:rsidR="006F5B88" w:rsidRDefault="001549D8" w:rsidP="001D3F7B">
      <w:pPr>
        <w:pStyle w:val="SDMTiInfo"/>
      </w:pPr>
      <w:sdt>
        <w:sdtPr>
          <w:alias w:val="SDMDocVersionLabel"/>
          <w:tag w:val="SDMDocVersionLabel"/>
          <w:id w:val="-334845484"/>
          <w:lock w:val="sdtLocked"/>
          <w:placeholder>
            <w:docPart w:val="FFAE513B74794A20967578AE8B08B70B"/>
          </w:placeholder>
        </w:sdtPr>
        <w:sdtEndPr/>
        <w:sdtContent>
          <w:r w:rsidR="00787CC6" w:rsidRPr="00152FB5">
            <w:t>Version</w:t>
          </w:r>
          <w:r w:rsidR="007B03AF">
            <w:t xml:space="preserve"> </w:t>
          </w:r>
        </w:sdtContent>
      </w:sdt>
      <w:bookmarkStart w:id="7" w:name="SDMDocVer"/>
      <w:bookmarkEnd w:id="6"/>
      <w:sdt>
        <w:sdtPr>
          <w:alias w:val="SDMDocVer"/>
          <w:tag w:val="SDMDocVer"/>
          <w:id w:val="-2119430389"/>
          <w:lock w:val="sdtLocked"/>
          <w:placeholder>
            <w:docPart w:val="FA8C737B40FD4571B4F8AB780860118F"/>
          </w:placeholder>
        </w:sdtPr>
        <w:sdtEndPr/>
        <w:sdtContent>
          <w:r w:rsidR="00BB0C85">
            <w:t>01.0</w:t>
          </w:r>
        </w:sdtContent>
      </w:sdt>
      <w:bookmarkEnd w:id="7"/>
    </w:p>
    <w:bookmarkStart w:id="8" w:name="SDMSectoralScopeLab"/>
    <w:p w14:paraId="58669B90" w14:textId="77777777" w:rsidR="006F211A" w:rsidRPr="00260651" w:rsidRDefault="001549D8" w:rsidP="006F211A">
      <w:pPr>
        <w:pStyle w:val="SDMTiInfo"/>
        <w:rPr>
          <w:vanish/>
          <w:specVanish/>
        </w:rPr>
      </w:pPr>
      <w:sdt>
        <w:sdtPr>
          <w:alias w:val="SDMSectoralScopeLabel"/>
          <w:tag w:val="SDMSectoralScopeLabel"/>
          <w:id w:val="-1807311883"/>
          <w:placeholder>
            <w:docPart w:val="107D2C9486F04F44A1668F788F865AF4"/>
          </w:placeholder>
        </w:sdtPr>
        <w:sdtEndPr/>
        <w:sdtContent>
          <w:r w:rsidR="007D2451" w:rsidRPr="007D2451">
            <w:t xml:space="preserve">Sectoral scope(s): </w:t>
          </w:r>
        </w:sdtContent>
      </w:sdt>
      <w:bookmarkStart w:id="9" w:name="SDMSectoralScope"/>
      <w:bookmarkEnd w:id="8"/>
      <w:sdt>
        <w:sdtPr>
          <w:alias w:val="SDMSectoralScope"/>
          <w:tag w:val="SDMSectoralScope"/>
          <w:id w:val="1979492676"/>
          <w:placeholder>
            <w:docPart w:val="AEE3F1413089478BAD04CE61125BED26"/>
          </w:placeholder>
        </w:sdtPr>
        <w:sdtEndPr/>
        <w:sdtContent>
          <w:r w:rsidR="007D2451" w:rsidRPr="007D2451">
            <w:t>03</w:t>
          </w:r>
        </w:sdtContent>
      </w:sdt>
      <w:bookmarkEnd w:id="9"/>
    </w:p>
    <w:p w14:paraId="4A2B9A85" w14:textId="736AD5A6" w:rsidR="007D2451" w:rsidRPr="007D2451" w:rsidRDefault="007D2451" w:rsidP="006F211A">
      <w:pPr>
        <w:spacing w:before="300"/>
        <w:sectPr w:rsidR="007D2451" w:rsidRPr="007D2451" w:rsidSect="007D2451">
          <w:headerReference w:type="default" r:id="rId12"/>
          <w:footerReference w:type="default" r:id="rId13"/>
          <w:pgSz w:w="11907" w:h="16840" w:code="9"/>
          <w:pgMar w:top="1985" w:right="1134" w:bottom="1418" w:left="1418" w:header="1418" w:footer="1418" w:gutter="0"/>
          <w:cols w:space="720"/>
          <w:docGrid w:linePitch="299"/>
        </w:sectPr>
      </w:pPr>
    </w:p>
    <w:p w14:paraId="5E06F4BE" w14:textId="77777777" w:rsidR="00235FD4" w:rsidRPr="009F63DF" w:rsidRDefault="009F4007" w:rsidP="00B86493">
      <w:pPr>
        <w:pStyle w:val="SDMTOCHeading"/>
      </w:pPr>
      <w:r w:rsidRPr="009F63DF">
        <w:lastRenderedPageBreak/>
        <w:t>TABLE OF CONTENTS</w:t>
      </w:r>
      <w:r w:rsidR="007344BA" w:rsidRPr="009F63DF">
        <w:tab/>
      </w:r>
      <w:r w:rsidR="00A37ABA" w:rsidRPr="009F63DF">
        <w:t>Page</w:t>
      </w:r>
    </w:p>
    <w:p w14:paraId="6B2569C8" w14:textId="2B7EFB08" w:rsidR="008625A1" w:rsidRDefault="004A034D">
      <w:pPr>
        <w:pStyle w:val="TOC1"/>
        <w:rPr>
          <w:rFonts w:asciiTheme="minorHAnsi" w:eastAsiaTheme="minorEastAsia" w:hAnsiTheme="minorHAnsi" w:cstheme="minorBidi"/>
          <w:b w:val="0"/>
          <w:caps w:val="0"/>
          <w:noProof/>
          <w:kern w:val="2"/>
          <w:sz w:val="24"/>
          <w:szCs w:val="24"/>
          <w:lang w:val="en-US" w:eastAsia="zh-CN"/>
          <w14:ligatures w14:val="standardContextual"/>
        </w:rPr>
      </w:pPr>
      <w:r>
        <w:fldChar w:fldCharType="begin"/>
      </w:r>
      <w:r>
        <w:instrText xml:space="preserve"> TOC \o "1-3" \h \z \t "Heading 1,1, SDMHead1,1,SDMHead2,2,SDMHead3,3,SDMAppTitle,6" </w:instrText>
      </w:r>
      <w:r>
        <w:fldChar w:fldCharType="separate"/>
      </w:r>
      <w:hyperlink w:anchor="_Toc242471137" w:history="1">
        <w:r w:rsidR="008625A1" w:rsidRPr="005C63A9">
          <w:rPr>
            <w:rStyle w:val="Hyperlink"/>
            <w:noProof/>
          </w:rPr>
          <w:t>1.</w:t>
        </w:r>
        <w:r w:rsidR="008625A1">
          <w:rPr>
            <w:rFonts w:asciiTheme="minorHAnsi" w:eastAsiaTheme="minorEastAsia" w:hAnsiTheme="minorHAnsi" w:cstheme="minorBidi"/>
            <w:b w:val="0"/>
            <w:caps w:val="0"/>
            <w:noProof/>
            <w:kern w:val="2"/>
            <w:sz w:val="24"/>
            <w:szCs w:val="24"/>
            <w:lang w:val="en-US" w:eastAsia="zh-CN"/>
            <w14:ligatures w14:val="standardContextual"/>
          </w:rPr>
          <w:tab/>
        </w:r>
        <w:r w:rsidR="008625A1" w:rsidRPr="005C63A9">
          <w:rPr>
            <w:rStyle w:val="Hyperlink"/>
            <w:noProof/>
          </w:rPr>
          <w:t>Introductio</w:t>
        </w:r>
        <w:r w:rsidR="00CE069F" w:rsidRPr="005C63A9">
          <w:rPr>
            <w:rStyle w:val="Hyperlink"/>
            <w:noProof/>
          </w:rPr>
          <w:t>n</w:t>
        </w:r>
        <w:r w:rsidR="00CE069F">
          <w:rPr>
            <w:noProof/>
            <w:webHidden/>
          </w:rPr>
          <w:tab/>
        </w:r>
        <w:r w:rsidR="00CE069F">
          <w:rPr>
            <w:rStyle w:val="Hyperlink"/>
            <w:noProof/>
          </w:rPr>
          <w:tab/>
        </w:r>
        <w:r w:rsidR="008625A1">
          <w:rPr>
            <w:noProof/>
            <w:webHidden/>
          </w:rPr>
          <w:fldChar w:fldCharType="begin"/>
        </w:r>
        <w:r w:rsidR="008625A1">
          <w:rPr>
            <w:noProof/>
            <w:webHidden/>
          </w:rPr>
          <w:instrText xml:space="preserve"> PAGEREF _Toc242471137 \h </w:instrText>
        </w:r>
        <w:r w:rsidR="008625A1">
          <w:rPr>
            <w:noProof/>
            <w:webHidden/>
          </w:rPr>
        </w:r>
        <w:r w:rsidR="008625A1">
          <w:rPr>
            <w:noProof/>
            <w:webHidden/>
          </w:rPr>
          <w:fldChar w:fldCharType="separate"/>
        </w:r>
        <w:r w:rsidR="00831DAE">
          <w:rPr>
            <w:noProof/>
            <w:webHidden/>
          </w:rPr>
          <w:t>5</w:t>
        </w:r>
        <w:r w:rsidR="008625A1">
          <w:rPr>
            <w:noProof/>
            <w:webHidden/>
          </w:rPr>
          <w:fldChar w:fldCharType="end"/>
        </w:r>
      </w:hyperlink>
    </w:p>
    <w:p w14:paraId="1557FF4A" w14:textId="2C538AFF"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38" w:history="1">
        <w:r w:rsidRPr="005C63A9">
          <w:rPr>
            <w:rStyle w:val="Hyperlink"/>
            <w:noProof/>
          </w:rPr>
          <w:t>1.1.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Scop</w:t>
        </w:r>
        <w:r w:rsidR="00CE069F" w:rsidRPr="005C63A9">
          <w:rPr>
            <w:rStyle w:val="Hyperlink"/>
            <w:noProof/>
          </w:rPr>
          <w:t>e</w:t>
        </w:r>
        <w:r w:rsidR="00CE069F">
          <w:rPr>
            <w:noProof/>
            <w:webHidden/>
          </w:rPr>
          <w:tab/>
        </w:r>
        <w:r w:rsidR="00CE069F">
          <w:rPr>
            <w:rStyle w:val="Hyperlink"/>
            <w:noProof/>
          </w:rPr>
          <w:tab/>
        </w:r>
        <w:r>
          <w:rPr>
            <w:noProof/>
            <w:webHidden/>
          </w:rPr>
          <w:fldChar w:fldCharType="begin"/>
        </w:r>
        <w:r>
          <w:rPr>
            <w:noProof/>
            <w:webHidden/>
          </w:rPr>
          <w:instrText xml:space="preserve"> PAGEREF _Toc242471138 \h </w:instrText>
        </w:r>
        <w:r>
          <w:rPr>
            <w:noProof/>
            <w:webHidden/>
          </w:rPr>
        </w:r>
        <w:r>
          <w:rPr>
            <w:noProof/>
            <w:webHidden/>
          </w:rPr>
          <w:fldChar w:fldCharType="separate"/>
        </w:r>
        <w:r w:rsidR="00831DAE">
          <w:rPr>
            <w:noProof/>
            <w:webHidden/>
          </w:rPr>
          <w:t>5</w:t>
        </w:r>
        <w:r>
          <w:rPr>
            <w:noProof/>
            <w:webHidden/>
          </w:rPr>
          <w:fldChar w:fldCharType="end"/>
        </w:r>
      </w:hyperlink>
    </w:p>
    <w:p w14:paraId="6BE9876E" w14:textId="7F859B02"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39" w:history="1">
        <w:r w:rsidRPr="005C63A9">
          <w:rPr>
            <w:rStyle w:val="Hyperlink"/>
            <w:noProof/>
          </w:rPr>
          <w:t>1.2.</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Applicability of sectoral scope</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_Toc242471139 \h </w:instrText>
        </w:r>
        <w:r>
          <w:rPr>
            <w:noProof/>
            <w:webHidden/>
          </w:rPr>
        </w:r>
        <w:r>
          <w:rPr>
            <w:noProof/>
            <w:webHidden/>
          </w:rPr>
          <w:fldChar w:fldCharType="separate"/>
        </w:r>
        <w:r w:rsidR="00831DAE">
          <w:rPr>
            <w:noProof/>
            <w:webHidden/>
          </w:rPr>
          <w:t>5</w:t>
        </w:r>
        <w:r>
          <w:rPr>
            <w:noProof/>
            <w:webHidden/>
          </w:rPr>
          <w:fldChar w:fldCharType="end"/>
        </w:r>
      </w:hyperlink>
    </w:p>
    <w:p w14:paraId="78FD8716" w14:textId="5143C3F7"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40" w:history="1">
        <w:r w:rsidRPr="005C63A9">
          <w:rPr>
            <w:rStyle w:val="Hyperlink"/>
            <w:noProof/>
          </w:rPr>
          <w:t>1.3.</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Entry into force and validit</w:t>
        </w:r>
        <w:r w:rsidR="00CE069F" w:rsidRPr="005C63A9">
          <w:rPr>
            <w:rStyle w:val="Hyperlink"/>
            <w:noProof/>
          </w:rPr>
          <w:t>y</w:t>
        </w:r>
        <w:r w:rsidR="00CE069F">
          <w:rPr>
            <w:noProof/>
            <w:webHidden/>
          </w:rPr>
          <w:tab/>
        </w:r>
        <w:r w:rsidR="00CE069F">
          <w:rPr>
            <w:rStyle w:val="Hyperlink"/>
            <w:noProof/>
          </w:rPr>
          <w:tab/>
        </w:r>
        <w:r>
          <w:rPr>
            <w:noProof/>
            <w:webHidden/>
          </w:rPr>
          <w:fldChar w:fldCharType="begin"/>
        </w:r>
        <w:r>
          <w:rPr>
            <w:noProof/>
            <w:webHidden/>
          </w:rPr>
          <w:instrText xml:space="preserve"> PAGEREF _Toc242471140 \h </w:instrText>
        </w:r>
        <w:r>
          <w:rPr>
            <w:noProof/>
            <w:webHidden/>
          </w:rPr>
        </w:r>
        <w:r>
          <w:rPr>
            <w:noProof/>
            <w:webHidden/>
          </w:rPr>
          <w:fldChar w:fldCharType="separate"/>
        </w:r>
        <w:r w:rsidR="00831DAE">
          <w:rPr>
            <w:noProof/>
            <w:webHidden/>
          </w:rPr>
          <w:t>5</w:t>
        </w:r>
        <w:r>
          <w:rPr>
            <w:noProof/>
            <w:webHidden/>
          </w:rPr>
          <w:fldChar w:fldCharType="end"/>
        </w:r>
      </w:hyperlink>
    </w:p>
    <w:p w14:paraId="31344836" w14:textId="361C2C7F" w:rsidR="008625A1"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41" w:history="1">
        <w:r w:rsidRPr="005C63A9">
          <w:rPr>
            <w:rStyle w:val="Hyperlink"/>
            <w:noProof/>
          </w:rPr>
          <w:t>2.</w:t>
        </w:r>
        <w:r>
          <w:rPr>
            <w:rFonts w:asciiTheme="minorHAnsi" w:eastAsiaTheme="minorEastAsia" w:hAnsiTheme="minorHAnsi" w:cstheme="minorBidi"/>
            <w:b w:val="0"/>
            <w:caps w:val="0"/>
            <w:noProof/>
            <w:kern w:val="2"/>
            <w:sz w:val="24"/>
            <w:szCs w:val="24"/>
            <w:lang w:val="en-US" w:eastAsia="zh-CN"/>
            <w14:ligatures w14:val="standardContextual"/>
          </w:rPr>
          <w:tab/>
        </w:r>
        <w:r w:rsidRPr="005C63A9">
          <w:rPr>
            <w:rStyle w:val="Hyperlink"/>
            <w:noProof/>
          </w:rPr>
          <w:t>Definition</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_Toc242471141 \h </w:instrText>
        </w:r>
        <w:r>
          <w:rPr>
            <w:noProof/>
            <w:webHidden/>
          </w:rPr>
        </w:r>
        <w:r>
          <w:rPr>
            <w:noProof/>
            <w:webHidden/>
          </w:rPr>
          <w:fldChar w:fldCharType="separate"/>
        </w:r>
        <w:r w:rsidR="00831DAE">
          <w:rPr>
            <w:noProof/>
            <w:webHidden/>
          </w:rPr>
          <w:t>5</w:t>
        </w:r>
        <w:r>
          <w:rPr>
            <w:noProof/>
            <w:webHidden/>
          </w:rPr>
          <w:fldChar w:fldCharType="end"/>
        </w:r>
      </w:hyperlink>
    </w:p>
    <w:p w14:paraId="3DC304C7" w14:textId="4AEA9278"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42" w:history="1">
        <w:r w:rsidRPr="005C63A9">
          <w:rPr>
            <w:rStyle w:val="Hyperlink"/>
            <w:noProof/>
          </w:rPr>
          <w:t>2.1.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General term</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_Toc242471142 \h </w:instrText>
        </w:r>
        <w:r>
          <w:rPr>
            <w:noProof/>
            <w:webHidden/>
          </w:rPr>
        </w:r>
        <w:r>
          <w:rPr>
            <w:noProof/>
            <w:webHidden/>
          </w:rPr>
          <w:fldChar w:fldCharType="separate"/>
        </w:r>
        <w:r w:rsidR="00831DAE">
          <w:rPr>
            <w:noProof/>
            <w:webHidden/>
          </w:rPr>
          <w:t>5</w:t>
        </w:r>
        <w:r>
          <w:rPr>
            <w:noProof/>
            <w:webHidden/>
          </w:rPr>
          <w:fldChar w:fldCharType="end"/>
        </w:r>
      </w:hyperlink>
    </w:p>
    <w:p w14:paraId="7D9B12DE" w14:textId="7918DDA5"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43" w:history="1">
        <w:r w:rsidRPr="005C63A9">
          <w:rPr>
            <w:rStyle w:val="Hyperlink"/>
            <w:noProof/>
          </w:rPr>
          <w:t>2.2.</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Methodological terms and definition</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_Toc242471143 \h </w:instrText>
        </w:r>
        <w:r>
          <w:rPr>
            <w:noProof/>
            <w:webHidden/>
          </w:rPr>
        </w:r>
        <w:r>
          <w:rPr>
            <w:noProof/>
            <w:webHidden/>
          </w:rPr>
          <w:fldChar w:fldCharType="separate"/>
        </w:r>
        <w:r w:rsidR="00831DAE">
          <w:rPr>
            <w:noProof/>
            <w:webHidden/>
          </w:rPr>
          <w:t>5</w:t>
        </w:r>
        <w:r>
          <w:rPr>
            <w:noProof/>
            <w:webHidden/>
          </w:rPr>
          <w:fldChar w:fldCharType="end"/>
        </w:r>
      </w:hyperlink>
    </w:p>
    <w:p w14:paraId="412FC0EA" w14:textId="63AFB895" w:rsidR="008625A1"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44" w:history="1">
        <w:r w:rsidRPr="005C63A9">
          <w:rPr>
            <w:rStyle w:val="Hyperlink"/>
            <w:noProof/>
          </w:rPr>
          <w:t>3.</w:t>
        </w:r>
        <w:r>
          <w:rPr>
            <w:rFonts w:asciiTheme="minorHAnsi" w:eastAsiaTheme="minorEastAsia" w:hAnsiTheme="minorHAnsi" w:cstheme="minorBidi"/>
            <w:b w:val="0"/>
            <w:caps w:val="0"/>
            <w:noProof/>
            <w:kern w:val="2"/>
            <w:sz w:val="24"/>
            <w:szCs w:val="24"/>
            <w:lang w:val="en-US" w:eastAsia="zh-CN"/>
            <w14:ligatures w14:val="standardContextual"/>
          </w:rPr>
          <w:tab/>
        </w:r>
        <w:r w:rsidRPr="005C63A9">
          <w:rPr>
            <w:rStyle w:val="Hyperlink"/>
            <w:noProof/>
          </w:rPr>
          <w:t>Normative and informative reference</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_Toc242471144 \h </w:instrText>
        </w:r>
        <w:r>
          <w:rPr>
            <w:noProof/>
            <w:webHidden/>
          </w:rPr>
        </w:r>
        <w:r>
          <w:rPr>
            <w:noProof/>
            <w:webHidden/>
          </w:rPr>
          <w:fldChar w:fldCharType="separate"/>
        </w:r>
        <w:r w:rsidR="00831DAE">
          <w:rPr>
            <w:noProof/>
            <w:webHidden/>
          </w:rPr>
          <w:t>7</w:t>
        </w:r>
        <w:r>
          <w:rPr>
            <w:noProof/>
            <w:webHidden/>
          </w:rPr>
          <w:fldChar w:fldCharType="end"/>
        </w:r>
      </w:hyperlink>
    </w:p>
    <w:p w14:paraId="6008AAFF" w14:textId="7C30F651" w:rsidR="008625A1"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45" w:history="1">
        <w:r w:rsidRPr="005C63A9">
          <w:rPr>
            <w:rStyle w:val="Hyperlink"/>
            <w:noProof/>
          </w:rPr>
          <w:t>4.</w:t>
        </w:r>
        <w:r>
          <w:rPr>
            <w:rFonts w:asciiTheme="minorHAnsi" w:eastAsiaTheme="minorEastAsia" w:hAnsiTheme="minorHAnsi" w:cstheme="minorBidi"/>
            <w:b w:val="0"/>
            <w:caps w:val="0"/>
            <w:noProof/>
            <w:kern w:val="2"/>
            <w:sz w:val="24"/>
            <w:szCs w:val="24"/>
            <w:lang w:val="en-US" w:eastAsia="zh-CN"/>
            <w14:ligatures w14:val="standardContextual"/>
          </w:rPr>
          <w:tab/>
        </w:r>
        <w:r w:rsidRPr="005C63A9">
          <w:rPr>
            <w:rStyle w:val="Hyperlink"/>
            <w:noProof/>
          </w:rPr>
          <w:t>Applicabilit</w:t>
        </w:r>
        <w:r w:rsidR="00CE069F" w:rsidRPr="005C63A9">
          <w:rPr>
            <w:rStyle w:val="Hyperlink"/>
            <w:noProof/>
          </w:rPr>
          <w:t>y</w:t>
        </w:r>
        <w:r w:rsidR="00CE069F">
          <w:rPr>
            <w:noProof/>
            <w:webHidden/>
          </w:rPr>
          <w:tab/>
        </w:r>
        <w:r w:rsidR="00CE069F">
          <w:rPr>
            <w:rStyle w:val="Hyperlink"/>
            <w:noProof/>
          </w:rPr>
          <w:tab/>
        </w:r>
        <w:r>
          <w:rPr>
            <w:noProof/>
            <w:webHidden/>
          </w:rPr>
          <w:fldChar w:fldCharType="begin"/>
        </w:r>
        <w:r>
          <w:rPr>
            <w:noProof/>
            <w:webHidden/>
          </w:rPr>
          <w:instrText xml:space="preserve"> PAGEREF _Toc242471145 \h </w:instrText>
        </w:r>
        <w:r>
          <w:rPr>
            <w:noProof/>
            <w:webHidden/>
          </w:rPr>
        </w:r>
        <w:r>
          <w:rPr>
            <w:noProof/>
            <w:webHidden/>
          </w:rPr>
          <w:fldChar w:fldCharType="separate"/>
        </w:r>
        <w:r w:rsidR="00831DAE">
          <w:rPr>
            <w:noProof/>
            <w:webHidden/>
          </w:rPr>
          <w:t>8</w:t>
        </w:r>
        <w:r>
          <w:rPr>
            <w:noProof/>
            <w:webHidden/>
          </w:rPr>
          <w:fldChar w:fldCharType="end"/>
        </w:r>
      </w:hyperlink>
    </w:p>
    <w:p w14:paraId="4794D83F" w14:textId="5F2BFEF5" w:rsidR="008625A1"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46" w:history="1">
        <w:r w:rsidRPr="005C63A9">
          <w:rPr>
            <w:rStyle w:val="Hyperlink"/>
            <w:noProof/>
          </w:rPr>
          <w:t>5.</w:t>
        </w:r>
        <w:r>
          <w:rPr>
            <w:rFonts w:asciiTheme="minorHAnsi" w:eastAsiaTheme="minorEastAsia" w:hAnsiTheme="minorHAnsi" w:cstheme="minorBidi"/>
            <w:b w:val="0"/>
            <w:caps w:val="0"/>
            <w:noProof/>
            <w:kern w:val="2"/>
            <w:sz w:val="24"/>
            <w:szCs w:val="24"/>
            <w:lang w:val="en-US" w:eastAsia="zh-CN"/>
            <w14:ligatures w14:val="standardContextual"/>
          </w:rPr>
          <w:tab/>
        </w:r>
        <w:r w:rsidRPr="005C63A9">
          <w:rPr>
            <w:rStyle w:val="Hyperlink"/>
            <w:noProof/>
          </w:rPr>
          <w:t>Activity Boundar</w:t>
        </w:r>
        <w:r w:rsidR="00CE069F" w:rsidRPr="005C63A9">
          <w:rPr>
            <w:rStyle w:val="Hyperlink"/>
            <w:noProof/>
          </w:rPr>
          <w:t>y</w:t>
        </w:r>
        <w:r w:rsidR="00CE069F">
          <w:rPr>
            <w:noProof/>
            <w:webHidden/>
          </w:rPr>
          <w:tab/>
        </w:r>
        <w:r w:rsidR="00CE069F">
          <w:rPr>
            <w:rStyle w:val="Hyperlink"/>
            <w:noProof/>
          </w:rPr>
          <w:tab/>
        </w:r>
        <w:r>
          <w:rPr>
            <w:noProof/>
            <w:webHidden/>
          </w:rPr>
          <w:fldChar w:fldCharType="begin"/>
        </w:r>
        <w:r>
          <w:rPr>
            <w:noProof/>
            <w:webHidden/>
          </w:rPr>
          <w:instrText xml:space="preserve"> PAGEREF _Toc242471146 \h </w:instrText>
        </w:r>
        <w:r>
          <w:rPr>
            <w:noProof/>
            <w:webHidden/>
          </w:rPr>
        </w:r>
        <w:r>
          <w:rPr>
            <w:noProof/>
            <w:webHidden/>
          </w:rPr>
          <w:fldChar w:fldCharType="separate"/>
        </w:r>
        <w:r w:rsidR="00831DAE">
          <w:rPr>
            <w:noProof/>
            <w:webHidden/>
          </w:rPr>
          <w:t>11</w:t>
        </w:r>
        <w:r>
          <w:rPr>
            <w:noProof/>
            <w:webHidden/>
          </w:rPr>
          <w:fldChar w:fldCharType="end"/>
        </w:r>
      </w:hyperlink>
    </w:p>
    <w:p w14:paraId="3438BA09" w14:textId="0FA456DD" w:rsidR="008625A1"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47" w:history="1">
        <w:r w:rsidRPr="005C63A9">
          <w:rPr>
            <w:rStyle w:val="Hyperlink"/>
            <w:noProof/>
          </w:rPr>
          <w:t>6.</w:t>
        </w:r>
        <w:r>
          <w:rPr>
            <w:rFonts w:asciiTheme="minorHAnsi" w:eastAsiaTheme="minorEastAsia" w:hAnsiTheme="minorHAnsi" w:cstheme="minorBidi"/>
            <w:b w:val="0"/>
            <w:caps w:val="0"/>
            <w:noProof/>
            <w:kern w:val="2"/>
            <w:sz w:val="24"/>
            <w:szCs w:val="24"/>
            <w:lang w:val="en-US" w:eastAsia="zh-CN"/>
            <w14:ligatures w14:val="standardContextual"/>
          </w:rPr>
          <w:tab/>
        </w:r>
        <w:r w:rsidRPr="005C63A9">
          <w:rPr>
            <w:rStyle w:val="Hyperlink"/>
            <w:noProof/>
          </w:rPr>
          <w:t>Demonstration of additionalit</w:t>
        </w:r>
        <w:r w:rsidR="00CE069F" w:rsidRPr="005C63A9">
          <w:rPr>
            <w:rStyle w:val="Hyperlink"/>
            <w:noProof/>
          </w:rPr>
          <w:t>y</w:t>
        </w:r>
        <w:r w:rsidR="00CE069F">
          <w:rPr>
            <w:noProof/>
            <w:webHidden/>
          </w:rPr>
          <w:tab/>
        </w:r>
        <w:r w:rsidR="00CE069F">
          <w:rPr>
            <w:rStyle w:val="Hyperlink"/>
            <w:noProof/>
          </w:rPr>
          <w:tab/>
        </w:r>
        <w:r>
          <w:rPr>
            <w:noProof/>
            <w:webHidden/>
          </w:rPr>
          <w:fldChar w:fldCharType="begin"/>
        </w:r>
        <w:r>
          <w:rPr>
            <w:noProof/>
            <w:webHidden/>
          </w:rPr>
          <w:instrText xml:space="preserve"> PAGEREF _Toc242471147 \h </w:instrText>
        </w:r>
        <w:r>
          <w:rPr>
            <w:noProof/>
            <w:webHidden/>
          </w:rPr>
        </w:r>
        <w:r>
          <w:rPr>
            <w:noProof/>
            <w:webHidden/>
          </w:rPr>
          <w:fldChar w:fldCharType="separate"/>
        </w:r>
        <w:r w:rsidR="00831DAE">
          <w:rPr>
            <w:noProof/>
            <w:webHidden/>
          </w:rPr>
          <w:t>14</w:t>
        </w:r>
        <w:r>
          <w:rPr>
            <w:noProof/>
            <w:webHidden/>
          </w:rPr>
          <w:fldChar w:fldCharType="end"/>
        </w:r>
      </w:hyperlink>
    </w:p>
    <w:p w14:paraId="7F45BA3E" w14:textId="111A9252"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48" w:history="1">
        <w:r w:rsidRPr="005C63A9">
          <w:rPr>
            <w:rStyle w:val="Hyperlink"/>
            <w:noProof/>
          </w:rPr>
          <w:t>6.1.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Regulatory analysi</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_Toc242471148 \h </w:instrText>
        </w:r>
        <w:r>
          <w:rPr>
            <w:noProof/>
            <w:webHidden/>
          </w:rPr>
        </w:r>
        <w:r>
          <w:rPr>
            <w:noProof/>
            <w:webHidden/>
          </w:rPr>
          <w:fldChar w:fldCharType="separate"/>
        </w:r>
        <w:r w:rsidR="00831DAE">
          <w:rPr>
            <w:noProof/>
            <w:webHidden/>
          </w:rPr>
          <w:t>14</w:t>
        </w:r>
        <w:r>
          <w:rPr>
            <w:noProof/>
            <w:webHidden/>
          </w:rPr>
          <w:fldChar w:fldCharType="end"/>
        </w:r>
      </w:hyperlink>
    </w:p>
    <w:p w14:paraId="3106C799" w14:textId="23008623" w:rsidR="008625A1"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49" w:history="1">
        <w:r w:rsidRPr="005C63A9">
          <w:rPr>
            <w:rStyle w:val="Hyperlink"/>
            <w:noProof/>
          </w:rPr>
          <w:t>7.</w:t>
        </w:r>
        <w:r>
          <w:rPr>
            <w:rFonts w:asciiTheme="minorHAnsi" w:eastAsiaTheme="minorEastAsia" w:hAnsiTheme="minorHAnsi" w:cstheme="minorBidi"/>
            <w:b w:val="0"/>
            <w:caps w:val="0"/>
            <w:noProof/>
            <w:kern w:val="2"/>
            <w:sz w:val="24"/>
            <w:szCs w:val="24"/>
            <w:lang w:val="en-US" w:eastAsia="zh-CN"/>
            <w14:ligatures w14:val="standardContextual"/>
          </w:rPr>
          <w:tab/>
        </w:r>
        <w:r w:rsidRPr="005C63A9">
          <w:rPr>
            <w:rStyle w:val="Hyperlink"/>
            <w:noProof/>
          </w:rPr>
          <w:t>Baseline scenari</w:t>
        </w:r>
        <w:r w:rsidR="00CE069F" w:rsidRPr="005C63A9">
          <w:rPr>
            <w:rStyle w:val="Hyperlink"/>
            <w:noProof/>
          </w:rPr>
          <w:t>o</w:t>
        </w:r>
        <w:r w:rsidR="00CE069F">
          <w:rPr>
            <w:noProof/>
            <w:webHidden/>
          </w:rPr>
          <w:tab/>
        </w:r>
        <w:r w:rsidR="00CE069F">
          <w:rPr>
            <w:rStyle w:val="Hyperlink"/>
            <w:noProof/>
          </w:rPr>
          <w:tab/>
        </w:r>
        <w:r>
          <w:rPr>
            <w:noProof/>
            <w:webHidden/>
          </w:rPr>
          <w:fldChar w:fldCharType="begin"/>
        </w:r>
        <w:r>
          <w:rPr>
            <w:noProof/>
            <w:webHidden/>
          </w:rPr>
          <w:instrText xml:space="preserve"> PAGEREF _Toc242471149 \h </w:instrText>
        </w:r>
        <w:r>
          <w:rPr>
            <w:noProof/>
            <w:webHidden/>
          </w:rPr>
        </w:r>
        <w:r>
          <w:rPr>
            <w:noProof/>
            <w:webHidden/>
          </w:rPr>
          <w:fldChar w:fldCharType="separate"/>
        </w:r>
        <w:r w:rsidR="00831DAE">
          <w:rPr>
            <w:noProof/>
            <w:webHidden/>
          </w:rPr>
          <w:t>16</w:t>
        </w:r>
        <w:r>
          <w:rPr>
            <w:noProof/>
            <w:webHidden/>
          </w:rPr>
          <w:fldChar w:fldCharType="end"/>
        </w:r>
      </w:hyperlink>
    </w:p>
    <w:p w14:paraId="6C2401C9" w14:textId="72B40B48"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50" w:history="1">
        <w:r w:rsidRPr="005C63A9">
          <w:rPr>
            <w:rStyle w:val="Hyperlink"/>
            <w:noProof/>
          </w:rPr>
          <w:t>7.1.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Description of the pre-activity scenario in the PD</w:t>
        </w:r>
        <w:r w:rsidR="00CE069F" w:rsidRPr="005C63A9">
          <w:rPr>
            <w:rStyle w:val="Hyperlink"/>
            <w:noProof/>
          </w:rPr>
          <w:t>D</w:t>
        </w:r>
        <w:r w:rsidR="00CE069F">
          <w:rPr>
            <w:noProof/>
            <w:webHidden/>
          </w:rPr>
          <w:tab/>
        </w:r>
        <w:r w:rsidR="00CE069F">
          <w:rPr>
            <w:rStyle w:val="Hyperlink"/>
            <w:noProof/>
          </w:rPr>
          <w:tab/>
        </w:r>
        <w:r>
          <w:rPr>
            <w:noProof/>
            <w:webHidden/>
          </w:rPr>
          <w:fldChar w:fldCharType="begin"/>
        </w:r>
        <w:r>
          <w:rPr>
            <w:noProof/>
            <w:webHidden/>
          </w:rPr>
          <w:instrText xml:space="preserve"> PAGEREF _Toc242471150 \h </w:instrText>
        </w:r>
        <w:r>
          <w:rPr>
            <w:noProof/>
            <w:webHidden/>
          </w:rPr>
        </w:r>
        <w:r>
          <w:rPr>
            <w:noProof/>
            <w:webHidden/>
          </w:rPr>
          <w:fldChar w:fldCharType="separate"/>
        </w:r>
        <w:r w:rsidR="00831DAE">
          <w:rPr>
            <w:noProof/>
            <w:webHidden/>
          </w:rPr>
          <w:t>16</w:t>
        </w:r>
        <w:r>
          <w:rPr>
            <w:noProof/>
            <w:webHidden/>
          </w:rPr>
          <w:fldChar w:fldCharType="end"/>
        </w:r>
      </w:hyperlink>
    </w:p>
    <w:p w14:paraId="3C65679E" w14:textId="284B41CC" w:rsidR="008625A1"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51" w:history="1">
        <w:r w:rsidRPr="005C63A9">
          <w:rPr>
            <w:rStyle w:val="Hyperlink"/>
            <w:noProof/>
          </w:rPr>
          <w:t>7.1.1.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Assessment of the presence of cooking technologies equivalent to the project cookstove</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_Toc242471151 \h </w:instrText>
        </w:r>
        <w:r>
          <w:rPr>
            <w:noProof/>
            <w:webHidden/>
          </w:rPr>
        </w:r>
        <w:r>
          <w:rPr>
            <w:noProof/>
            <w:webHidden/>
          </w:rPr>
          <w:fldChar w:fldCharType="separate"/>
        </w:r>
        <w:r w:rsidR="00831DAE">
          <w:rPr>
            <w:noProof/>
            <w:webHidden/>
          </w:rPr>
          <w:t>17</w:t>
        </w:r>
        <w:r>
          <w:rPr>
            <w:noProof/>
            <w:webHidden/>
          </w:rPr>
          <w:fldChar w:fldCharType="end"/>
        </w:r>
      </w:hyperlink>
    </w:p>
    <w:p w14:paraId="1944EBF2" w14:textId="17BF0DF5"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52" w:history="1">
        <w:r w:rsidRPr="005C63A9">
          <w:rPr>
            <w:rStyle w:val="Hyperlink"/>
            <w:noProof/>
          </w:rPr>
          <w:t>7.2.</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Selection of the baseline approaches from paragraph 36 of the rules, modalities and procedure</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_Toc242471152 \h </w:instrText>
        </w:r>
        <w:r>
          <w:rPr>
            <w:noProof/>
            <w:webHidden/>
          </w:rPr>
        </w:r>
        <w:r>
          <w:rPr>
            <w:noProof/>
            <w:webHidden/>
          </w:rPr>
          <w:fldChar w:fldCharType="separate"/>
        </w:r>
        <w:r w:rsidR="00831DAE">
          <w:rPr>
            <w:noProof/>
            <w:webHidden/>
          </w:rPr>
          <w:t>18</w:t>
        </w:r>
        <w:r>
          <w:rPr>
            <w:noProof/>
            <w:webHidden/>
          </w:rPr>
          <w:fldChar w:fldCharType="end"/>
        </w:r>
      </w:hyperlink>
    </w:p>
    <w:p w14:paraId="041C6AB3" w14:textId="389F3DE1"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53" w:history="1">
        <w:r w:rsidRPr="005C63A9">
          <w:rPr>
            <w:rStyle w:val="Hyperlink"/>
            <w:noProof/>
          </w:rPr>
          <w:t>7.3.</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Application of the selected approach, prior to implementation of a downward adjustmen</w:t>
        </w:r>
        <w:r w:rsidR="00CE069F" w:rsidRPr="005C63A9">
          <w:rPr>
            <w:rStyle w:val="Hyperlink"/>
            <w:noProof/>
          </w:rPr>
          <w:t>t</w:t>
        </w:r>
        <w:r w:rsidR="00CE069F">
          <w:rPr>
            <w:noProof/>
            <w:webHidden/>
          </w:rPr>
          <w:tab/>
        </w:r>
        <w:r w:rsidR="00CE069F">
          <w:rPr>
            <w:rStyle w:val="Hyperlink"/>
            <w:noProof/>
          </w:rPr>
          <w:tab/>
        </w:r>
        <w:r>
          <w:rPr>
            <w:noProof/>
            <w:webHidden/>
          </w:rPr>
          <w:fldChar w:fldCharType="begin"/>
        </w:r>
        <w:r>
          <w:rPr>
            <w:noProof/>
            <w:webHidden/>
          </w:rPr>
          <w:instrText xml:space="preserve"> PAGEREF _Toc242471153 \h </w:instrText>
        </w:r>
        <w:r>
          <w:rPr>
            <w:noProof/>
            <w:webHidden/>
          </w:rPr>
        </w:r>
        <w:r>
          <w:rPr>
            <w:noProof/>
            <w:webHidden/>
          </w:rPr>
          <w:fldChar w:fldCharType="separate"/>
        </w:r>
        <w:r w:rsidR="00831DAE">
          <w:rPr>
            <w:noProof/>
            <w:webHidden/>
          </w:rPr>
          <w:t>18</w:t>
        </w:r>
        <w:r>
          <w:rPr>
            <w:noProof/>
            <w:webHidden/>
          </w:rPr>
          <w:fldChar w:fldCharType="end"/>
        </w:r>
      </w:hyperlink>
    </w:p>
    <w:p w14:paraId="513608F4" w14:textId="6BA3BCF2" w:rsidR="008625A1"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54" w:history="1">
        <w:r w:rsidRPr="005C63A9">
          <w:rPr>
            <w:rStyle w:val="Hyperlink"/>
            <w:noProof/>
          </w:rPr>
          <w:t>7.3.1.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Procedure for the identification of the baseline scenari</w:t>
        </w:r>
        <w:r w:rsidR="00CE069F" w:rsidRPr="005C63A9">
          <w:rPr>
            <w:rStyle w:val="Hyperlink"/>
            <w:noProof/>
          </w:rPr>
          <w:t>o</w:t>
        </w:r>
        <w:r w:rsidR="00CE069F">
          <w:rPr>
            <w:noProof/>
            <w:webHidden/>
          </w:rPr>
          <w:tab/>
        </w:r>
        <w:r w:rsidR="00CE069F">
          <w:rPr>
            <w:rStyle w:val="Hyperlink"/>
            <w:noProof/>
          </w:rPr>
          <w:tab/>
        </w:r>
        <w:r>
          <w:rPr>
            <w:noProof/>
            <w:webHidden/>
          </w:rPr>
          <w:fldChar w:fldCharType="begin"/>
        </w:r>
        <w:r>
          <w:rPr>
            <w:noProof/>
            <w:webHidden/>
          </w:rPr>
          <w:instrText xml:space="preserve"> PAGEREF _Toc242471154 \h </w:instrText>
        </w:r>
        <w:r>
          <w:rPr>
            <w:noProof/>
            <w:webHidden/>
          </w:rPr>
        </w:r>
        <w:r>
          <w:rPr>
            <w:noProof/>
            <w:webHidden/>
          </w:rPr>
          <w:fldChar w:fldCharType="separate"/>
        </w:r>
        <w:r w:rsidR="00831DAE">
          <w:rPr>
            <w:noProof/>
            <w:webHidden/>
          </w:rPr>
          <w:t>18</w:t>
        </w:r>
        <w:r>
          <w:rPr>
            <w:noProof/>
            <w:webHidden/>
          </w:rPr>
          <w:fldChar w:fldCharType="end"/>
        </w:r>
      </w:hyperlink>
    </w:p>
    <w:p w14:paraId="21024DC3" w14:textId="72D19E71"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55" w:history="1">
        <w:r w:rsidRPr="005C63A9">
          <w:rPr>
            <w:rStyle w:val="Hyperlink"/>
            <w:noProof/>
          </w:rPr>
          <w:t>7.4.</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Calculation of unadjusted baseline emission</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_Toc242471155 \h </w:instrText>
        </w:r>
        <w:r>
          <w:rPr>
            <w:noProof/>
            <w:webHidden/>
          </w:rPr>
        </w:r>
        <w:r>
          <w:rPr>
            <w:noProof/>
            <w:webHidden/>
          </w:rPr>
          <w:fldChar w:fldCharType="separate"/>
        </w:r>
        <w:r w:rsidR="00831DAE">
          <w:rPr>
            <w:noProof/>
            <w:webHidden/>
          </w:rPr>
          <w:t>20</w:t>
        </w:r>
        <w:r>
          <w:rPr>
            <w:noProof/>
            <w:webHidden/>
          </w:rPr>
          <w:fldChar w:fldCharType="end"/>
        </w:r>
      </w:hyperlink>
    </w:p>
    <w:p w14:paraId="706DF280" w14:textId="2F891D80" w:rsidR="008625A1"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56" w:history="1">
        <w:r w:rsidRPr="005C63A9">
          <w:rPr>
            <w:rStyle w:val="Hyperlink"/>
            <w:noProof/>
          </w:rPr>
          <w:t>7.4.1.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rFonts w:eastAsia="Montserrat"/>
            <w:noProof/>
          </w:rPr>
          <w:t>Baseline emission</w:t>
        </w:r>
        <w:r w:rsidR="00CE069F" w:rsidRPr="005C63A9">
          <w:rPr>
            <w:rStyle w:val="Hyperlink"/>
            <w:rFonts w:eastAsia="Montserrat"/>
            <w:noProof/>
          </w:rPr>
          <w:t>s</w:t>
        </w:r>
        <w:r w:rsidR="00CE069F">
          <w:rPr>
            <w:noProof/>
            <w:webHidden/>
          </w:rPr>
          <w:tab/>
        </w:r>
        <w:r w:rsidR="00CE069F">
          <w:rPr>
            <w:rStyle w:val="Hyperlink"/>
            <w:rFonts w:eastAsia="Montserrat"/>
            <w:noProof/>
          </w:rPr>
          <w:tab/>
        </w:r>
        <w:r>
          <w:rPr>
            <w:noProof/>
            <w:webHidden/>
          </w:rPr>
          <w:fldChar w:fldCharType="begin"/>
        </w:r>
        <w:r>
          <w:rPr>
            <w:noProof/>
            <w:webHidden/>
          </w:rPr>
          <w:instrText xml:space="preserve"> PAGEREF _Toc242471156 \h </w:instrText>
        </w:r>
        <w:r>
          <w:rPr>
            <w:noProof/>
            <w:webHidden/>
          </w:rPr>
        </w:r>
        <w:r>
          <w:rPr>
            <w:noProof/>
            <w:webHidden/>
          </w:rPr>
          <w:fldChar w:fldCharType="separate"/>
        </w:r>
        <w:r w:rsidR="00831DAE">
          <w:rPr>
            <w:noProof/>
            <w:webHidden/>
          </w:rPr>
          <w:t>21</w:t>
        </w:r>
        <w:r>
          <w:rPr>
            <w:noProof/>
            <w:webHidden/>
          </w:rPr>
          <w:fldChar w:fldCharType="end"/>
        </w:r>
      </w:hyperlink>
    </w:p>
    <w:p w14:paraId="44FD0F56" w14:textId="6268BD0A"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57" w:history="1">
        <w:r w:rsidRPr="005C63A9">
          <w:rPr>
            <w:rStyle w:val="Hyperlink"/>
            <w:noProof/>
          </w:rPr>
          <w:t>7.5.</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Application of the downward adjustmen</w:t>
        </w:r>
        <w:r w:rsidR="00CE069F" w:rsidRPr="005C63A9">
          <w:rPr>
            <w:rStyle w:val="Hyperlink"/>
            <w:noProof/>
          </w:rPr>
          <w:t>t</w:t>
        </w:r>
        <w:r w:rsidR="00CE069F">
          <w:rPr>
            <w:noProof/>
            <w:webHidden/>
          </w:rPr>
          <w:tab/>
        </w:r>
        <w:r w:rsidR="00CE069F">
          <w:rPr>
            <w:rStyle w:val="Hyperlink"/>
            <w:noProof/>
          </w:rPr>
          <w:tab/>
        </w:r>
        <w:r>
          <w:rPr>
            <w:noProof/>
            <w:webHidden/>
          </w:rPr>
          <w:fldChar w:fldCharType="begin"/>
        </w:r>
        <w:r>
          <w:rPr>
            <w:noProof/>
            <w:webHidden/>
          </w:rPr>
          <w:instrText xml:space="preserve"> PAGEREF _Toc242471157 \h </w:instrText>
        </w:r>
        <w:r>
          <w:rPr>
            <w:noProof/>
            <w:webHidden/>
          </w:rPr>
        </w:r>
        <w:r>
          <w:rPr>
            <w:noProof/>
            <w:webHidden/>
          </w:rPr>
          <w:fldChar w:fldCharType="separate"/>
        </w:r>
        <w:r w:rsidR="00831DAE">
          <w:rPr>
            <w:noProof/>
            <w:webHidden/>
          </w:rPr>
          <w:t>24</w:t>
        </w:r>
        <w:r>
          <w:rPr>
            <w:noProof/>
            <w:webHidden/>
          </w:rPr>
          <w:fldChar w:fldCharType="end"/>
        </w:r>
      </w:hyperlink>
    </w:p>
    <w:p w14:paraId="3B423361" w14:textId="30023792" w:rsidR="008625A1"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58" w:history="1">
        <w:r w:rsidRPr="005C63A9">
          <w:rPr>
            <w:rStyle w:val="Hyperlink"/>
            <w:noProof/>
          </w:rPr>
          <w:t>7.5.1.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Downward adjusted baseline emissions in subsequent year</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_Toc242471158 \h </w:instrText>
        </w:r>
        <w:r>
          <w:rPr>
            <w:noProof/>
            <w:webHidden/>
          </w:rPr>
        </w:r>
        <w:r>
          <w:rPr>
            <w:noProof/>
            <w:webHidden/>
          </w:rPr>
          <w:fldChar w:fldCharType="separate"/>
        </w:r>
        <w:r w:rsidR="00831DAE">
          <w:rPr>
            <w:noProof/>
            <w:webHidden/>
          </w:rPr>
          <w:t>24</w:t>
        </w:r>
        <w:r>
          <w:rPr>
            <w:noProof/>
            <w:webHidden/>
          </w:rPr>
          <w:fldChar w:fldCharType="end"/>
        </w:r>
      </w:hyperlink>
    </w:p>
    <w:p w14:paraId="75B9E19C" w14:textId="7C3EC4B7"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59" w:history="1">
        <w:r w:rsidRPr="005C63A9">
          <w:rPr>
            <w:rStyle w:val="Hyperlink"/>
            <w:noProof/>
          </w:rPr>
          <w:t>7.6.</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Identification of the conservative Business-as-usual scenari</w:t>
        </w:r>
        <w:r w:rsidR="00CE069F" w:rsidRPr="005C63A9">
          <w:rPr>
            <w:rStyle w:val="Hyperlink"/>
            <w:noProof/>
          </w:rPr>
          <w:t>o</w:t>
        </w:r>
        <w:r w:rsidR="00CE069F">
          <w:rPr>
            <w:noProof/>
            <w:webHidden/>
          </w:rPr>
          <w:tab/>
        </w:r>
        <w:r w:rsidR="00CE069F">
          <w:rPr>
            <w:rStyle w:val="Hyperlink"/>
            <w:noProof/>
          </w:rPr>
          <w:tab/>
        </w:r>
        <w:r>
          <w:rPr>
            <w:noProof/>
            <w:webHidden/>
          </w:rPr>
          <w:fldChar w:fldCharType="begin"/>
        </w:r>
        <w:r>
          <w:rPr>
            <w:noProof/>
            <w:webHidden/>
          </w:rPr>
          <w:instrText xml:space="preserve"> PAGEREF _Toc242471159 \h </w:instrText>
        </w:r>
        <w:r>
          <w:rPr>
            <w:noProof/>
            <w:webHidden/>
          </w:rPr>
        </w:r>
        <w:r>
          <w:rPr>
            <w:noProof/>
            <w:webHidden/>
          </w:rPr>
          <w:fldChar w:fldCharType="separate"/>
        </w:r>
        <w:r w:rsidR="00831DAE">
          <w:rPr>
            <w:noProof/>
            <w:webHidden/>
          </w:rPr>
          <w:t>24</w:t>
        </w:r>
        <w:r>
          <w:rPr>
            <w:noProof/>
            <w:webHidden/>
          </w:rPr>
          <w:fldChar w:fldCharType="end"/>
        </w:r>
      </w:hyperlink>
    </w:p>
    <w:p w14:paraId="7711018C" w14:textId="1A5B59FE"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60" w:history="1">
        <w:r w:rsidRPr="005C63A9">
          <w:rPr>
            <w:rStyle w:val="Hyperlink"/>
            <w:noProof/>
          </w:rPr>
          <w:t>7.7.</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Comparison of crediting baseline</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_Toc242471160 \h </w:instrText>
        </w:r>
        <w:r>
          <w:rPr>
            <w:noProof/>
            <w:webHidden/>
          </w:rPr>
        </w:r>
        <w:r>
          <w:rPr>
            <w:noProof/>
            <w:webHidden/>
          </w:rPr>
          <w:fldChar w:fldCharType="separate"/>
        </w:r>
        <w:r w:rsidR="00831DAE">
          <w:rPr>
            <w:noProof/>
            <w:webHidden/>
          </w:rPr>
          <w:t>27</w:t>
        </w:r>
        <w:r>
          <w:rPr>
            <w:noProof/>
            <w:webHidden/>
          </w:rPr>
          <w:fldChar w:fldCharType="end"/>
        </w:r>
      </w:hyperlink>
    </w:p>
    <w:p w14:paraId="62755D01" w14:textId="136F7C15" w:rsidR="008625A1"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61" w:history="1">
        <w:r w:rsidRPr="005C63A9">
          <w:rPr>
            <w:rStyle w:val="Hyperlink"/>
            <w:noProof/>
          </w:rPr>
          <w:t>7.7.1.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Comparison ex-ant</w:t>
        </w:r>
        <w:r w:rsidR="00CE069F" w:rsidRPr="005C63A9">
          <w:rPr>
            <w:rStyle w:val="Hyperlink"/>
            <w:noProof/>
          </w:rPr>
          <w:t>e</w:t>
        </w:r>
        <w:r w:rsidR="00CE069F">
          <w:rPr>
            <w:noProof/>
            <w:webHidden/>
          </w:rPr>
          <w:tab/>
        </w:r>
        <w:r w:rsidR="00CE069F">
          <w:rPr>
            <w:rStyle w:val="Hyperlink"/>
            <w:noProof/>
          </w:rPr>
          <w:tab/>
        </w:r>
        <w:r>
          <w:rPr>
            <w:noProof/>
            <w:webHidden/>
          </w:rPr>
          <w:fldChar w:fldCharType="begin"/>
        </w:r>
        <w:r>
          <w:rPr>
            <w:noProof/>
            <w:webHidden/>
          </w:rPr>
          <w:instrText xml:space="preserve"> PAGEREF _Toc242471161 \h </w:instrText>
        </w:r>
        <w:r>
          <w:rPr>
            <w:noProof/>
            <w:webHidden/>
          </w:rPr>
        </w:r>
        <w:r>
          <w:rPr>
            <w:noProof/>
            <w:webHidden/>
          </w:rPr>
          <w:fldChar w:fldCharType="separate"/>
        </w:r>
        <w:r w:rsidR="00831DAE">
          <w:rPr>
            <w:noProof/>
            <w:webHidden/>
          </w:rPr>
          <w:t>27</w:t>
        </w:r>
        <w:r>
          <w:rPr>
            <w:noProof/>
            <w:webHidden/>
          </w:rPr>
          <w:fldChar w:fldCharType="end"/>
        </w:r>
      </w:hyperlink>
    </w:p>
    <w:p w14:paraId="4B7DE706" w14:textId="611417D9" w:rsidR="008625A1"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62" w:history="1">
        <w:r w:rsidRPr="005C63A9">
          <w:rPr>
            <w:rStyle w:val="Hyperlink"/>
            <w:noProof/>
          </w:rPr>
          <w:t>7.7.2.</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Comparison ex-pos</w:t>
        </w:r>
        <w:r w:rsidR="00CE069F" w:rsidRPr="005C63A9">
          <w:rPr>
            <w:rStyle w:val="Hyperlink"/>
            <w:noProof/>
          </w:rPr>
          <w:t>t</w:t>
        </w:r>
        <w:r w:rsidR="00CE069F">
          <w:rPr>
            <w:noProof/>
            <w:webHidden/>
          </w:rPr>
          <w:tab/>
        </w:r>
        <w:r w:rsidR="00CE069F">
          <w:rPr>
            <w:rStyle w:val="Hyperlink"/>
            <w:noProof/>
          </w:rPr>
          <w:tab/>
        </w:r>
        <w:r>
          <w:rPr>
            <w:noProof/>
            <w:webHidden/>
          </w:rPr>
          <w:fldChar w:fldCharType="begin"/>
        </w:r>
        <w:r>
          <w:rPr>
            <w:noProof/>
            <w:webHidden/>
          </w:rPr>
          <w:instrText xml:space="preserve"> PAGEREF _Toc242471162 \h </w:instrText>
        </w:r>
        <w:r>
          <w:rPr>
            <w:noProof/>
            <w:webHidden/>
          </w:rPr>
        </w:r>
        <w:r>
          <w:rPr>
            <w:noProof/>
            <w:webHidden/>
          </w:rPr>
          <w:fldChar w:fldCharType="separate"/>
        </w:r>
        <w:r w:rsidR="00831DAE">
          <w:rPr>
            <w:noProof/>
            <w:webHidden/>
          </w:rPr>
          <w:t>28</w:t>
        </w:r>
        <w:r>
          <w:rPr>
            <w:noProof/>
            <w:webHidden/>
          </w:rPr>
          <w:fldChar w:fldCharType="end"/>
        </w:r>
      </w:hyperlink>
    </w:p>
    <w:p w14:paraId="3814AE17" w14:textId="6E6DA09C" w:rsidR="008625A1"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63" w:history="1">
        <w:r w:rsidRPr="005C63A9">
          <w:rPr>
            <w:rStyle w:val="Hyperlink"/>
            <w:noProof/>
          </w:rPr>
          <w:t>8.</w:t>
        </w:r>
        <w:r>
          <w:rPr>
            <w:rFonts w:asciiTheme="minorHAnsi" w:eastAsiaTheme="minorEastAsia" w:hAnsiTheme="minorHAnsi" w:cstheme="minorBidi"/>
            <w:b w:val="0"/>
            <w:caps w:val="0"/>
            <w:noProof/>
            <w:kern w:val="2"/>
            <w:sz w:val="24"/>
            <w:szCs w:val="24"/>
            <w:lang w:val="en-US" w:eastAsia="zh-CN"/>
            <w14:ligatures w14:val="standardContextual"/>
          </w:rPr>
          <w:tab/>
        </w:r>
        <w:r w:rsidRPr="005C63A9">
          <w:rPr>
            <w:rStyle w:val="Hyperlink"/>
            <w:rFonts w:eastAsia="Montserrat"/>
            <w:noProof/>
          </w:rPr>
          <w:t>Activity scenari</w:t>
        </w:r>
        <w:r w:rsidR="00CE069F" w:rsidRPr="005C63A9">
          <w:rPr>
            <w:rStyle w:val="Hyperlink"/>
            <w:rFonts w:eastAsia="Montserrat"/>
            <w:noProof/>
          </w:rPr>
          <w:t>o</w:t>
        </w:r>
        <w:r w:rsidR="00CE069F">
          <w:rPr>
            <w:noProof/>
            <w:webHidden/>
          </w:rPr>
          <w:tab/>
        </w:r>
        <w:r w:rsidR="00CE069F">
          <w:rPr>
            <w:rStyle w:val="Hyperlink"/>
            <w:rFonts w:eastAsia="Montserrat"/>
            <w:noProof/>
          </w:rPr>
          <w:tab/>
        </w:r>
        <w:r>
          <w:rPr>
            <w:noProof/>
            <w:webHidden/>
          </w:rPr>
          <w:fldChar w:fldCharType="begin"/>
        </w:r>
        <w:r>
          <w:rPr>
            <w:noProof/>
            <w:webHidden/>
          </w:rPr>
          <w:instrText xml:space="preserve"> PAGEREF _Toc242471163 \h </w:instrText>
        </w:r>
        <w:r>
          <w:rPr>
            <w:noProof/>
            <w:webHidden/>
          </w:rPr>
        </w:r>
        <w:r>
          <w:rPr>
            <w:noProof/>
            <w:webHidden/>
          </w:rPr>
          <w:fldChar w:fldCharType="separate"/>
        </w:r>
        <w:r w:rsidR="00831DAE">
          <w:rPr>
            <w:noProof/>
            <w:webHidden/>
          </w:rPr>
          <w:t>28</w:t>
        </w:r>
        <w:r>
          <w:rPr>
            <w:noProof/>
            <w:webHidden/>
          </w:rPr>
          <w:fldChar w:fldCharType="end"/>
        </w:r>
      </w:hyperlink>
    </w:p>
    <w:p w14:paraId="0C678B30" w14:textId="5E5C9FC7" w:rsidR="008625A1"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64" w:history="1">
        <w:r w:rsidRPr="005C63A9">
          <w:rPr>
            <w:rStyle w:val="Hyperlink"/>
            <w:noProof/>
          </w:rPr>
          <w:t>8.1.</w:t>
        </w:r>
        <w:r>
          <w:rPr>
            <w:rFonts w:asciiTheme="minorHAnsi" w:eastAsiaTheme="minorEastAsia" w:hAnsiTheme="minorHAnsi" w:cstheme="minorBidi"/>
            <w:noProof/>
            <w:kern w:val="2"/>
            <w:sz w:val="24"/>
            <w:szCs w:val="24"/>
            <w:lang w:val="en-US" w:eastAsia="zh-CN"/>
            <w14:ligatures w14:val="standardContextual"/>
          </w:rPr>
          <w:tab/>
        </w:r>
        <w:r w:rsidRPr="005C63A9">
          <w:rPr>
            <w:rStyle w:val="Hyperlink"/>
            <w:noProof/>
          </w:rPr>
          <w:t>Application of multiple activity scenario</w:t>
        </w:r>
        <w:r w:rsidR="00CE069F" w:rsidRPr="005C63A9">
          <w:rPr>
            <w:rStyle w:val="Hyperlink"/>
            <w:noProof/>
          </w:rPr>
          <w:t>s</w:t>
        </w:r>
        <w:r w:rsidR="00CE069F">
          <w:rPr>
            <w:noProof/>
            <w:webHidden/>
          </w:rPr>
          <w:tab/>
        </w:r>
        <w:r w:rsidR="00CE069F">
          <w:rPr>
            <w:rStyle w:val="Hyperlink"/>
            <w:noProof/>
          </w:rPr>
          <w:tab/>
        </w:r>
        <w:r>
          <w:rPr>
            <w:noProof/>
            <w:webHidden/>
          </w:rPr>
          <w:fldChar w:fldCharType="begin"/>
        </w:r>
        <w:r>
          <w:rPr>
            <w:noProof/>
            <w:webHidden/>
          </w:rPr>
          <w:instrText xml:space="preserve"> PAGEREF _Toc242471164 \h </w:instrText>
        </w:r>
        <w:r>
          <w:rPr>
            <w:noProof/>
            <w:webHidden/>
          </w:rPr>
        </w:r>
        <w:r>
          <w:rPr>
            <w:noProof/>
            <w:webHidden/>
          </w:rPr>
          <w:fldChar w:fldCharType="separate"/>
        </w:r>
        <w:r w:rsidR="00831DAE">
          <w:rPr>
            <w:noProof/>
            <w:webHidden/>
          </w:rPr>
          <w:t>28</w:t>
        </w:r>
        <w:r>
          <w:rPr>
            <w:noProof/>
            <w:webHidden/>
          </w:rPr>
          <w:fldChar w:fldCharType="end"/>
        </w:r>
      </w:hyperlink>
    </w:p>
    <w:p w14:paraId="7B537A50" w14:textId="68C036D0" w:rsidR="008625A1" w:rsidRPr="00096BAB"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65" w:history="1">
        <w:r w:rsidRPr="00096BAB">
          <w:rPr>
            <w:rStyle w:val="Hyperlink"/>
            <w:noProof/>
          </w:rPr>
          <w:t>8.2.</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Activity emission</w:t>
        </w:r>
        <w:r w:rsidR="00CE069F" w:rsidRPr="00096BAB">
          <w:rPr>
            <w:rStyle w:val="Hyperlink"/>
            <w:noProof/>
          </w:rPr>
          <w:t>s</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_Toc242471165 \h </w:instrText>
        </w:r>
        <w:r w:rsidRPr="00096BAB">
          <w:rPr>
            <w:noProof/>
            <w:webHidden/>
          </w:rPr>
        </w:r>
        <w:r w:rsidRPr="00096BAB">
          <w:rPr>
            <w:noProof/>
            <w:webHidden/>
          </w:rPr>
          <w:fldChar w:fldCharType="separate"/>
        </w:r>
        <w:r w:rsidR="00831DAE">
          <w:rPr>
            <w:noProof/>
            <w:webHidden/>
          </w:rPr>
          <w:t>28</w:t>
        </w:r>
        <w:r w:rsidRPr="00096BAB">
          <w:rPr>
            <w:noProof/>
            <w:webHidden/>
          </w:rPr>
          <w:fldChar w:fldCharType="end"/>
        </w:r>
      </w:hyperlink>
    </w:p>
    <w:p w14:paraId="4C885303" w14:textId="786900FE" w:rsidR="008625A1" w:rsidRPr="00096BAB"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66" w:history="1">
        <w:r w:rsidRPr="00096BAB">
          <w:rPr>
            <w:rStyle w:val="Hyperlink"/>
            <w:noProof/>
          </w:rPr>
          <w:t>8.2.1.</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Fuel consumption in the activity scenari</w:t>
        </w:r>
        <w:r w:rsidR="00CE069F" w:rsidRPr="00096BAB">
          <w:rPr>
            <w:rStyle w:val="Hyperlink"/>
            <w:noProof/>
          </w:rPr>
          <w:t>o</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_Toc242471166 \h </w:instrText>
        </w:r>
        <w:r w:rsidRPr="00096BAB">
          <w:rPr>
            <w:noProof/>
            <w:webHidden/>
          </w:rPr>
        </w:r>
        <w:r w:rsidRPr="00096BAB">
          <w:rPr>
            <w:noProof/>
            <w:webHidden/>
          </w:rPr>
          <w:fldChar w:fldCharType="separate"/>
        </w:r>
        <w:r w:rsidR="00831DAE">
          <w:rPr>
            <w:noProof/>
            <w:webHidden/>
          </w:rPr>
          <w:t>28</w:t>
        </w:r>
        <w:r w:rsidRPr="00096BAB">
          <w:rPr>
            <w:noProof/>
            <w:webHidden/>
          </w:rPr>
          <w:fldChar w:fldCharType="end"/>
        </w:r>
      </w:hyperlink>
    </w:p>
    <w:p w14:paraId="24E56EFC" w14:textId="21CA5B11" w:rsidR="008625A1" w:rsidRPr="00096BAB"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67" w:history="1">
        <w:r w:rsidRPr="00096BAB">
          <w:rPr>
            <w:rStyle w:val="Hyperlink"/>
            <w:noProof/>
          </w:rPr>
          <w:t>8.2.2.</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Activity emissions prior to Hawthorne effect adjustmen</w:t>
        </w:r>
        <w:r w:rsidR="00CE069F" w:rsidRPr="00096BAB">
          <w:rPr>
            <w:rStyle w:val="Hyperlink"/>
            <w:noProof/>
          </w:rPr>
          <w:t>t</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_Toc242471167 \h </w:instrText>
        </w:r>
        <w:r w:rsidRPr="00096BAB">
          <w:rPr>
            <w:noProof/>
            <w:webHidden/>
          </w:rPr>
        </w:r>
        <w:r w:rsidRPr="00096BAB">
          <w:rPr>
            <w:noProof/>
            <w:webHidden/>
          </w:rPr>
          <w:fldChar w:fldCharType="separate"/>
        </w:r>
        <w:r w:rsidR="00831DAE">
          <w:rPr>
            <w:noProof/>
            <w:webHidden/>
          </w:rPr>
          <w:t>29</w:t>
        </w:r>
        <w:r w:rsidRPr="00096BAB">
          <w:rPr>
            <w:noProof/>
            <w:webHidden/>
          </w:rPr>
          <w:fldChar w:fldCharType="end"/>
        </w:r>
      </w:hyperlink>
    </w:p>
    <w:p w14:paraId="10DF8BAC" w14:textId="09307F45" w:rsidR="008625A1" w:rsidRPr="00096BAB"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68" w:history="1">
        <w:r w:rsidRPr="00096BAB">
          <w:rPr>
            <w:rStyle w:val="Hyperlink"/>
            <w:noProof/>
          </w:rPr>
          <w:t>8.2.3.</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 xml:space="preserve">Adjustment for the potential impact of the </w:t>
        </w:r>
        <w:r w:rsidRPr="00096BAB">
          <w:rPr>
            <w:rStyle w:val="Hyperlink"/>
            <w:rFonts w:eastAsia="Montserrat"/>
            <w:noProof/>
          </w:rPr>
          <w:t xml:space="preserve">Hawthorne </w:t>
        </w:r>
        <w:r w:rsidRPr="00096BAB">
          <w:rPr>
            <w:rStyle w:val="Hyperlink"/>
            <w:noProof/>
          </w:rPr>
          <w:t>effec</w:t>
        </w:r>
        <w:r w:rsidR="00CE069F" w:rsidRPr="00096BAB">
          <w:rPr>
            <w:rStyle w:val="Hyperlink"/>
            <w:noProof/>
          </w:rPr>
          <w:t>t</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_Toc242471168 \h </w:instrText>
        </w:r>
        <w:r w:rsidRPr="00096BAB">
          <w:rPr>
            <w:noProof/>
            <w:webHidden/>
          </w:rPr>
        </w:r>
        <w:r w:rsidRPr="00096BAB">
          <w:rPr>
            <w:noProof/>
            <w:webHidden/>
          </w:rPr>
          <w:fldChar w:fldCharType="separate"/>
        </w:r>
        <w:r w:rsidR="00831DAE">
          <w:rPr>
            <w:noProof/>
            <w:webHidden/>
          </w:rPr>
          <w:t>32</w:t>
        </w:r>
        <w:r w:rsidRPr="00096BAB">
          <w:rPr>
            <w:noProof/>
            <w:webHidden/>
          </w:rPr>
          <w:fldChar w:fldCharType="end"/>
        </w:r>
      </w:hyperlink>
    </w:p>
    <w:p w14:paraId="6AFDFBF4" w14:textId="2332066A" w:rsidR="008625A1" w:rsidRPr="00096BAB"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69" w:history="1">
        <w:r w:rsidRPr="00096BAB">
          <w:rPr>
            <w:rStyle w:val="Hyperlink"/>
            <w:noProof/>
          </w:rPr>
          <w:t>9.</w:t>
        </w:r>
        <w:r w:rsidRPr="00096BAB">
          <w:rPr>
            <w:rFonts w:asciiTheme="minorHAnsi" w:eastAsiaTheme="minorEastAsia" w:hAnsiTheme="minorHAnsi" w:cstheme="minorBidi"/>
            <w:b w:val="0"/>
            <w:caps w:val="0"/>
            <w:noProof/>
            <w:kern w:val="2"/>
            <w:sz w:val="24"/>
            <w:szCs w:val="24"/>
            <w:lang w:val="en-US" w:eastAsia="zh-CN"/>
            <w14:ligatures w14:val="standardContextual"/>
          </w:rPr>
          <w:tab/>
        </w:r>
        <w:r w:rsidRPr="00096BAB">
          <w:rPr>
            <w:rStyle w:val="Hyperlink"/>
            <w:rFonts w:eastAsia="Montserrat"/>
            <w:noProof/>
          </w:rPr>
          <w:t>Leakag</w:t>
        </w:r>
        <w:r w:rsidR="00CE069F" w:rsidRPr="00096BAB">
          <w:rPr>
            <w:rStyle w:val="Hyperlink"/>
            <w:rFonts w:eastAsia="Montserrat"/>
            <w:noProof/>
          </w:rPr>
          <w:t>e</w:t>
        </w:r>
        <w:r w:rsidR="00CE069F" w:rsidRPr="00096BAB">
          <w:rPr>
            <w:noProof/>
            <w:webHidden/>
          </w:rPr>
          <w:tab/>
        </w:r>
        <w:r w:rsidR="00CE069F" w:rsidRPr="00096BAB">
          <w:rPr>
            <w:rStyle w:val="Hyperlink"/>
            <w:rFonts w:eastAsia="Montserrat"/>
            <w:noProof/>
          </w:rPr>
          <w:tab/>
        </w:r>
        <w:r w:rsidRPr="00096BAB">
          <w:rPr>
            <w:noProof/>
            <w:webHidden/>
          </w:rPr>
          <w:fldChar w:fldCharType="begin"/>
        </w:r>
        <w:r w:rsidRPr="00096BAB">
          <w:rPr>
            <w:noProof/>
            <w:webHidden/>
          </w:rPr>
          <w:instrText xml:space="preserve"> PAGEREF _Toc242471169 \h </w:instrText>
        </w:r>
        <w:r w:rsidRPr="00096BAB">
          <w:rPr>
            <w:noProof/>
            <w:webHidden/>
          </w:rPr>
        </w:r>
        <w:r w:rsidRPr="00096BAB">
          <w:rPr>
            <w:noProof/>
            <w:webHidden/>
          </w:rPr>
          <w:fldChar w:fldCharType="separate"/>
        </w:r>
        <w:r w:rsidR="00831DAE">
          <w:rPr>
            <w:noProof/>
            <w:webHidden/>
          </w:rPr>
          <w:t>33</w:t>
        </w:r>
        <w:r w:rsidRPr="00096BAB">
          <w:rPr>
            <w:noProof/>
            <w:webHidden/>
          </w:rPr>
          <w:fldChar w:fldCharType="end"/>
        </w:r>
      </w:hyperlink>
    </w:p>
    <w:p w14:paraId="2CB7C1DE" w14:textId="3D6D2BF6" w:rsidR="008625A1" w:rsidRPr="00096BAB"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70" w:history="1">
        <w:r w:rsidRPr="00096BAB">
          <w:rPr>
            <w:rStyle w:val="Hyperlink"/>
            <w:noProof/>
          </w:rPr>
          <w:t>10.</w:t>
        </w:r>
        <w:r w:rsidRPr="00096BAB">
          <w:rPr>
            <w:rFonts w:asciiTheme="minorHAnsi" w:eastAsiaTheme="minorEastAsia" w:hAnsiTheme="minorHAnsi" w:cstheme="minorBidi"/>
            <w:b w:val="0"/>
            <w:caps w:val="0"/>
            <w:noProof/>
            <w:kern w:val="2"/>
            <w:sz w:val="24"/>
            <w:szCs w:val="24"/>
            <w:lang w:val="en-US" w:eastAsia="zh-CN"/>
            <w14:ligatures w14:val="standardContextual"/>
          </w:rPr>
          <w:tab/>
        </w:r>
        <w:r w:rsidRPr="00096BAB">
          <w:rPr>
            <w:rStyle w:val="Hyperlink"/>
            <w:rFonts w:eastAsia="Montserrat"/>
            <w:noProof/>
          </w:rPr>
          <w:t>Non-permanence provision</w:t>
        </w:r>
        <w:r w:rsidR="00CE069F" w:rsidRPr="00096BAB">
          <w:rPr>
            <w:rStyle w:val="Hyperlink"/>
            <w:rFonts w:eastAsia="Montserrat"/>
            <w:noProof/>
          </w:rPr>
          <w:t>s</w:t>
        </w:r>
        <w:r w:rsidR="00CE069F" w:rsidRPr="00096BAB">
          <w:rPr>
            <w:noProof/>
            <w:webHidden/>
          </w:rPr>
          <w:tab/>
        </w:r>
        <w:r w:rsidR="00CE069F" w:rsidRPr="00096BAB">
          <w:rPr>
            <w:rStyle w:val="Hyperlink"/>
            <w:rFonts w:eastAsia="Montserrat"/>
            <w:noProof/>
          </w:rPr>
          <w:tab/>
        </w:r>
        <w:r w:rsidRPr="00096BAB">
          <w:rPr>
            <w:noProof/>
            <w:webHidden/>
          </w:rPr>
          <w:fldChar w:fldCharType="begin"/>
        </w:r>
        <w:r w:rsidRPr="00096BAB">
          <w:rPr>
            <w:noProof/>
            <w:webHidden/>
          </w:rPr>
          <w:instrText xml:space="preserve"> PAGEREF _Toc242471170 \h </w:instrText>
        </w:r>
        <w:r w:rsidRPr="00096BAB">
          <w:rPr>
            <w:noProof/>
            <w:webHidden/>
          </w:rPr>
        </w:r>
        <w:r w:rsidRPr="00096BAB">
          <w:rPr>
            <w:noProof/>
            <w:webHidden/>
          </w:rPr>
          <w:fldChar w:fldCharType="separate"/>
        </w:r>
        <w:r w:rsidR="00831DAE">
          <w:rPr>
            <w:noProof/>
            <w:webHidden/>
          </w:rPr>
          <w:t>33</w:t>
        </w:r>
        <w:r w:rsidRPr="00096BAB">
          <w:rPr>
            <w:noProof/>
            <w:webHidden/>
          </w:rPr>
          <w:fldChar w:fldCharType="end"/>
        </w:r>
      </w:hyperlink>
    </w:p>
    <w:p w14:paraId="20952FCD" w14:textId="44768FED" w:rsidR="008625A1" w:rsidRPr="00096BAB"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71" w:history="1">
        <w:r w:rsidRPr="00096BAB">
          <w:rPr>
            <w:rStyle w:val="Hyperlink"/>
            <w:noProof/>
          </w:rPr>
          <w:t>10.1.</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Monitoring and reporting requirement</w:t>
        </w:r>
        <w:r w:rsidR="00CE069F" w:rsidRPr="00096BAB">
          <w:rPr>
            <w:rStyle w:val="Hyperlink"/>
            <w:noProof/>
          </w:rPr>
          <w:t>s</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_Toc242471171 \h </w:instrText>
        </w:r>
        <w:r w:rsidRPr="00096BAB">
          <w:rPr>
            <w:noProof/>
            <w:webHidden/>
          </w:rPr>
        </w:r>
        <w:r w:rsidRPr="00096BAB">
          <w:rPr>
            <w:noProof/>
            <w:webHidden/>
          </w:rPr>
          <w:fldChar w:fldCharType="separate"/>
        </w:r>
        <w:r w:rsidR="00831DAE">
          <w:rPr>
            <w:noProof/>
            <w:webHidden/>
          </w:rPr>
          <w:t>33</w:t>
        </w:r>
        <w:r w:rsidRPr="00096BAB">
          <w:rPr>
            <w:noProof/>
            <w:webHidden/>
          </w:rPr>
          <w:fldChar w:fldCharType="end"/>
        </w:r>
      </w:hyperlink>
    </w:p>
    <w:p w14:paraId="16579042" w14:textId="25CEFB1E" w:rsidR="008625A1" w:rsidRPr="00096BAB"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72" w:history="1">
        <w:r w:rsidRPr="00096BAB">
          <w:rPr>
            <w:rStyle w:val="Hyperlink"/>
            <w:noProof/>
          </w:rPr>
          <w:t>10.2.</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Buffer pool contribution</w:t>
        </w:r>
        <w:r w:rsidR="00CE069F" w:rsidRPr="00096BAB">
          <w:rPr>
            <w:rStyle w:val="Hyperlink"/>
            <w:noProof/>
          </w:rPr>
          <w:t>s</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_Toc242471172 \h </w:instrText>
        </w:r>
        <w:r w:rsidRPr="00096BAB">
          <w:rPr>
            <w:noProof/>
            <w:webHidden/>
          </w:rPr>
        </w:r>
        <w:r w:rsidRPr="00096BAB">
          <w:rPr>
            <w:noProof/>
            <w:webHidden/>
          </w:rPr>
          <w:fldChar w:fldCharType="separate"/>
        </w:r>
        <w:r w:rsidR="00831DAE">
          <w:rPr>
            <w:noProof/>
            <w:webHidden/>
          </w:rPr>
          <w:t>34</w:t>
        </w:r>
        <w:r w:rsidRPr="00096BAB">
          <w:rPr>
            <w:noProof/>
            <w:webHidden/>
          </w:rPr>
          <w:fldChar w:fldCharType="end"/>
        </w:r>
      </w:hyperlink>
    </w:p>
    <w:p w14:paraId="38460413" w14:textId="43365EED" w:rsidR="008625A1" w:rsidRPr="00096BAB"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73" w:history="1">
        <w:r w:rsidRPr="00096BAB">
          <w:rPr>
            <w:rStyle w:val="Hyperlink"/>
            <w:noProof/>
          </w:rPr>
          <w:t>11.</w:t>
        </w:r>
        <w:r w:rsidRPr="00096BAB">
          <w:rPr>
            <w:rFonts w:asciiTheme="minorHAnsi" w:eastAsiaTheme="minorEastAsia" w:hAnsiTheme="minorHAnsi" w:cstheme="minorBidi"/>
            <w:b w:val="0"/>
            <w:caps w:val="0"/>
            <w:noProof/>
            <w:kern w:val="2"/>
            <w:sz w:val="24"/>
            <w:szCs w:val="24"/>
            <w:lang w:val="en-US" w:eastAsia="zh-CN"/>
            <w14:ligatures w14:val="standardContextual"/>
          </w:rPr>
          <w:tab/>
        </w:r>
        <w:r w:rsidRPr="00096BAB">
          <w:rPr>
            <w:rStyle w:val="Hyperlink"/>
            <w:rFonts w:eastAsia="Montserrat"/>
            <w:noProof/>
          </w:rPr>
          <w:t>Emission reduction</w:t>
        </w:r>
        <w:r w:rsidR="00CE069F" w:rsidRPr="00096BAB">
          <w:rPr>
            <w:rStyle w:val="Hyperlink"/>
            <w:rFonts w:eastAsia="Montserrat"/>
            <w:noProof/>
          </w:rPr>
          <w:t>s</w:t>
        </w:r>
        <w:r w:rsidR="00CE069F" w:rsidRPr="00096BAB">
          <w:rPr>
            <w:noProof/>
            <w:webHidden/>
          </w:rPr>
          <w:tab/>
        </w:r>
        <w:r w:rsidR="00CE069F" w:rsidRPr="00096BAB">
          <w:rPr>
            <w:rStyle w:val="Hyperlink"/>
            <w:rFonts w:eastAsia="Montserrat"/>
            <w:noProof/>
          </w:rPr>
          <w:tab/>
        </w:r>
        <w:r w:rsidRPr="00096BAB">
          <w:rPr>
            <w:noProof/>
            <w:webHidden/>
          </w:rPr>
          <w:fldChar w:fldCharType="begin"/>
        </w:r>
        <w:r w:rsidRPr="00096BAB">
          <w:rPr>
            <w:noProof/>
            <w:webHidden/>
          </w:rPr>
          <w:instrText xml:space="preserve"> PAGEREF _Toc242471173 \h </w:instrText>
        </w:r>
        <w:r w:rsidRPr="00096BAB">
          <w:rPr>
            <w:noProof/>
            <w:webHidden/>
          </w:rPr>
        </w:r>
        <w:r w:rsidRPr="00096BAB">
          <w:rPr>
            <w:noProof/>
            <w:webHidden/>
          </w:rPr>
          <w:fldChar w:fldCharType="separate"/>
        </w:r>
        <w:r w:rsidR="00831DAE">
          <w:rPr>
            <w:noProof/>
            <w:webHidden/>
          </w:rPr>
          <w:t>35</w:t>
        </w:r>
        <w:r w:rsidRPr="00096BAB">
          <w:rPr>
            <w:noProof/>
            <w:webHidden/>
          </w:rPr>
          <w:fldChar w:fldCharType="end"/>
        </w:r>
      </w:hyperlink>
    </w:p>
    <w:p w14:paraId="71172D68" w14:textId="31E33FAD" w:rsidR="008625A1" w:rsidRPr="00096BAB"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74" w:history="1">
        <w:r w:rsidRPr="00096BAB">
          <w:rPr>
            <w:rStyle w:val="Hyperlink"/>
            <w:noProof/>
          </w:rPr>
          <w:t>12.</w:t>
        </w:r>
        <w:r w:rsidRPr="00096BAB">
          <w:rPr>
            <w:rFonts w:asciiTheme="minorHAnsi" w:eastAsiaTheme="minorEastAsia" w:hAnsiTheme="minorHAnsi" w:cstheme="minorBidi"/>
            <w:b w:val="0"/>
            <w:caps w:val="0"/>
            <w:noProof/>
            <w:kern w:val="2"/>
            <w:sz w:val="24"/>
            <w:szCs w:val="24"/>
            <w:lang w:val="en-US" w:eastAsia="zh-CN"/>
            <w14:ligatures w14:val="standardContextual"/>
          </w:rPr>
          <w:tab/>
        </w:r>
        <w:r w:rsidRPr="00096BAB">
          <w:rPr>
            <w:rStyle w:val="Hyperlink"/>
            <w:rFonts w:eastAsia="Montserrat"/>
            <w:noProof/>
          </w:rPr>
          <w:t>Avoidance of double countin</w:t>
        </w:r>
        <w:r w:rsidR="00CE069F" w:rsidRPr="00096BAB">
          <w:rPr>
            <w:rStyle w:val="Hyperlink"/>
            <w:rFonts w:eastAsia="Montserrat"/>
            <w:noProof/>
          </w:rPr>
          <w:t>g</w:t>
        </w:r>
        <w:r w:rsidR="00CE069F" w:rsidRPr="00096BAB">
          <w:rPr>
            <w:noProof/>
            <w:webHidden/>
          </w:rPr>
          <w:tab/>
        </w:r>
        <w:r w:rsidR="00CE069F" w:rsidRPr="00096BAB">
          <w:rPr>
            <w:rStyle w:val="Hyperlink"/>
            <w:rFonts w:eastAsia="Montserrat"/>
            <w:noProof/>
          </w:rPr>
          <w:tab/>
        </w:r>
        <w:r w:rsidRPr="00096BAB">
          <w:rPr>
            <w:noProof/>
            <w:webHidden/>
          </w:rPr>
          <w:fldChar w:fldCharType="begin"/>
        </w:r>
        <w:r w:rsidRPr="00096BAB">
          <w:rPr>
            <w:noProof/>
            <w:webHidden/>
          </w:rPr>
          <w:instrText xml:space="preserve"> PAGEREF _Toc242471174 \h </w:instrText>
        </w:r>
        <w:r w:rsidRPr="00096BAB">
          <w:rPr>
            <w:noProof/>
            <w:webHidden/>
          </w:rPr>
        </w:r>
        <w:r w:rsidRPr="00096BAB">
          <w:rPr>
            <w:noProof/>
            <w:webHidden/>
          </w:rPr>
          <w:fldChar w:fldCharType="separate"/>
        </w:r>
        <w:r w:rsidR="00831DAE">
          <w:rPr>
            <w:noProof/>
            <w:webHidden/>
          </w:rPr>
          <w:t>36</w:t>
        </w:r>
        <w:r w:rsidRPr="00096BAB">
          <w:rPr>
            <w:noProof/>
            <w:webHidden/>
          </w:rPr>
          <w:fldChar w:fldCharType="end"/>
        </w:r>
      </w:hyperlink>
    </w:p>
    <w:p w14:paraId="2135ED30" w14:textId="28323D69" w:rsidR="008625A1" w:rsidRPr="00096BAB"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75" w:history="1">
        <w:r w:rsidRPr="00096BAB">
          <w:rPr>
            <w:rStyle w:val="Hyperlink"/>
            <w:noProof/>
          </w:rPr>
          <w:t>13.</w:t>
        </w:r>
        <w:r w:rsidRPr="00096BAB">
          <w:rPr>
            <w:rFonts w:asciiTheme="minorHAnsi" w:eastAsiaTheme="minorEastAsia" w:hAnsiTheme="minorHAnsi" w:cstheme="minorBidi"/>
            <w:b w:val="0"/>
            <w:caps w:val="0"/>
            <w:noProof/>
            <w:kern w:val="2"/>
            <w:sz w:val="24"/>
            <w:szCs w:val="24"/>
            <w:lang w:val="en-US" w:eastAsia="zh-CN"/>
            <w14:ligatures w14:val="standardContextual"/>
          </w:rPr>
          <w:tab/>
        </w:r>
        <w:r w:rsidRPr="00096BAB">
          <w:rPr>
            <w:rStyle w:val="Hyperlink"/>
            <w:rFonts w:eastAsia="Montserrat"/>
            <w:noProof/>
          </w:rPr>
          <w:t>Demonstration of alignment with the policies, options and implementation plans of the host Party with regard to its nationally determined contribution and long-term low greenhouse gas emission development strategies and the long-term temperature goal of the Paris Agreement and long-term goals of the Paris Agreemen</w:t>
        </w:r>
        <w:r w:rsidR="00CE069F" w:rsidRPr="00096BAB">
          <w:rPr>
            <w:rStyle w:val="Hyperlink"/>
            <w:rFonts w:eastAsia="Montserrat"/>
            <w:noProof/>
          </w:rPr>
          <w:t>t</w:t>
        </w:r>
        <w:r w:rsidR="00CE069F" w:rsidRPr="00096BAB">
          <w:rPr>
            <w:noProof/>
            <w:webHidden/>
          </w:rPr>
          <w:tab/>
        </w:r>
        <w:r w:rsidR="00CE069F" w:rsidRPr="00096BAB">
          <w:rPr>
            <w:rStyle w:val="Hyperlink"/>
            <w:rFonts w:eastAsia="Montserrat"/>
            <w:noProof/>
          </w:rPr>
          <w:tab/>
        </w:r>
        <w:r w:rsidRPr="00096BAB">
          <w:rPr>
            <w:noProof/>
            <w:webHidden/>
          </w:rPr>
          <w:fldChar w:fldCharType="begin"/>
        </w:r>
        <w:r w:rsidRPr="00096BAB">
          <w:rPr>
            <w:noProof/>
            <w:webHidden/>
          </w:rPr>
          <w:instrText xml:space="preserve"> PAGEREF _Toc242471175 \h </w:instrText>
        </w:r>
        <w:r w:rsidRPr="00096BAB">
          <w:rPr>
            <w:noProof/>
            <w:webHidden/>
          </w:rPr>
        </w:r>
        <w:r w:rsidRPr="00096BAB">
          <w:rPr>
            <w:noProof/>
            <w:webHidden/>
          </w:rPr>
          <w:fldChar w:fldCharType="separate"/>
        </w:r>
        <w:r w:rsidR="00831DAE">
          <w:rPr>
            <w:noProof/>
            <w:webHidden/>
          </w:rPr>
          <w:t>38</w:t>
        </w:r>
        <w:r w:rsidRPr="00096BAB">
          <w:rPr>
            <w:noProof/>
            <w:webHidden/>
          </w:rPr>
          <w:fldChar w:fldCharType="end"/>
        </w:r>
      </w:hyperlink>
    </w:p>
    <w:p w14:paraId="2CD90E66" w14:textId="57AFCEF3" w:rsidR="008625A1" w:rsidRPr="00096BAB"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76" w:history="1">
        <w:r w:rsidRPr="00096BAB">
          <w:rPr>
            <w:rStyle w:val="Hyperlink"/>
            <w:noProof/>
          </w:rPr>
          <w:t>14.</w:t>
        </w:r>
        <w:r w:rsidRPr="00096BAB">
          <w:rPr>
            <w:rFonts w:asciiTheme="minorHAnsi" w:eastAsiaTheme="minorEastAsia" w:hAnsiTheme="minorHAnsi" w:cstheme="minorBidi"/>
            <w:b w:val="0"/>
            <w:caps w:val="0"/>
            <w:noProof/>
            <w:kern w:val="2"/>
            <w:sz w:val="24"/>
            <w:szCs w:val="24"/>
            <w:lang w:val="en-US" w:eastAsia="zh-CN"/>
            <w14:ligatures w14:val="standardContextual"/>
          </w:rPr>
          <w:tab/>
        </w:r>
        <w:r w:rsidRPr="00096BAB">
          <w:rPr>
            <w:rStyle w:val="Hyperlink"/>
            <w:noProof/>
          </w:rPr>
          <w:t>Monitoring Requirement</w:t>
        </w:r>
        <w:r w:rsidR="00CE069F" w:rsidRPr="00096BAB">
          <w:rPr>
            <w:rStyle w:val="Hyperlink"/>
            <w:noProof/>
          </w:rPr>
          <w:t>s</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_Toc242471176 \h </w:instrText>
        </w:r>
        <w:r w:rsidRPr="00096BAB">
          <w:rPr>
            <w:noProof/>
            <w:webHidden/>
          </w:rPr>
        </w:r>
        <w:r w:rsidRPr="00096BAB">
          <w:rPr>
            <w:noProof/>
            <w:webHidden/>
          </w:rPr>
          <w:fldChar w:fldCharType="separate"/>
        </w:r>
        <w:r w:rsidR="00831DAE">
          <w:rPr>
            <w:noProof/>
            <w:webHidden/>
          </w:rPr>
          <w:t>38</w:t>
        </w:r>
        <w:r w:rsidRPr="00096BAB">
          <w:rPr>
            <w:noProof/>
            <w:webHidden/>
          </w:rPr>
          <w:fldChar w:fldCharType="end"/>
        </w:r>
      </w:hyperlink>
    </w:p>
    <w:p w14:paraId="1E0A2F3B" w14:textId="21EE856B" w:rsidR="008625A1" w:rsidRPr="00096BAB"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77" w:history="1">
        <w:r w:rsidRPr="00096BAB">
          <w:rPr>
            <w:rStyle w:val="Hyperlink"/>
            <w:noProof/>
          </w:rPr>
          <w:t>14.1.</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Monitoring activity schedule for activitie</w:t>
        </w:r>
        <w:r w:rsidR="00CE069F" w:rsidRPr="00096BAB">
          <w:rPr>
            <w:rStyle w:val="Hyperlink"/>
            <w:noProof/>
          </w:rPr>
          <w:t>s</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_Toc242471177 \h </w:instrText>
        </w:r>
        <w:r w:rsidRPr="00096BAB">
          <w:rPr>
            <w:noProof/>
            <w:webHidden/>
          </w:rPr>
        </w:r>
        <w:r w:rsidRPr="00096BAB">
          <w:rPr>
            <w:noProof/>
            <w:webHidden/>
          </w:rPr>
          <w:fldChar w:fldCharType="separate"/>
        </w:r>
        <w:r w:rsidR="00831DAE">
          <w:rPr>
            <w:noProof/>
            <w:webHidden/>
          </w:rPr>
          <w:t>38</w:t>
        </w:r>
        <w:r w:rsidRPr="00096BAB">
          <w:rPr>
            <w:noProof/>
            <w:webHidden/>
          </w:rPr>
          <w:fldChar w:fldCharType="end"/>
        </w:r>
      </w:hyperlink>
    </w:p>
    <w:p w14:paraId="07C2AB8D" w14:textId="31EF49BA" w:rsidR="008625A1" w:rsidRPr="00096BAB" w:rsidRDefault="008625A1">
      <w:pPr>
        <w:pStyle w:val="TOC2"/>
        <w:rPr>
          <w:rFonts w:asciiTheme="minorHAnsi" w:eastAsiaTheme="minorEastAsia" w:hAnsiTheme="minorHAnsi" w:cstheme="minorBidi"/>
          <w:noProof/>
          <w:kern w:val="2"/>
          <w:sz w:val="24"/>
          <w:szCs w:val="24"/>
          <w:lang w:val="en-US" w:eastAsia="zh-CN"/>
          <w14:ligatures w14:val="standardContextual"/>
        </w:rPr>
      </w:pPr>
      <w:hyperlink w:anchor="_Toc242471178" w:history="1">
        <w:r w:rsidRPr="00096BAB">
          <w:rPr>
            <w:rStyle w:val="Hyperlink"/>
            <w:noProof/>
          </w:rPr>
          <w:t>14.2.</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Other monitoring requirement</w:t>
        </w:r>
        <w:r w:rsidR="00CE069F" w:rsidRPr="00096BAB">
          <w:rPr>
            <w:rStyle w:val="Hyperlink"/>
            <w:noProof/>
          </w:rPr>
          <w:t>s</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_Toc242471178 \h </w:instrText>
        </w:r>
        <w:r w:rsidRPr="00096BAB">
          <w:rPr>
            <w:noProof/>
            <w:webHidden/>
          </w:rPr>
        </w:r>
        <w:r w:rsidRPr="00096BAB">
          <w:rPr>
            <w:noProof/>
            <w:webHidden/>
          </w:rPr>
          <w:fldChar w:fldCharType="separate"/>
        </w:r>
        <w:r w:rsidR="00831DAE">
          <w:rPr>
            <w:noProof/>
            <w:webHidden/>
          </w:rPr>
          <w:t>39</w:t>
        </w:r>
        <w:r w:rsidRPr="00096BAB">
          <w:rPr>
            <w:noProof/>
            <w:webHidden/>
          </w:rPr>
          <w:fldChar w:fldCharType="end"/>
        </w:r>
      </w:hyperlink>
    </w:p>
    <w:p w14:paraId="523BEDC7" w14:textId="57236AD6" w:rsidR="008625A1" w:rsidRPr="00096BAB"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79" w:history="1">
        <w:r w:rsidRPr="00096BAB">
          <w:rPr>
            <w:rStyle w:val="Hyperlink"/>
            <w:noProof/>
          </w:rPr>
          <w:t>14.2.1.</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Kitchen performance test</w:t>
        </w:r>
        <w:r w:rsidR="00CE069F" w:rsidRPr="00096BAB">
          <w:rPr>
            <w:rStyle w:val="Hyperlink"/>
            <w:noProof/>
          </w:rPr>
          <w:t>s</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_Toc242471179 \h </w:instrText>
        </w:r>
        <w:r w:rsidRPr="00096BAB">
          <w:rPr>
            <w:noProof/>
            <w:webHidden/>
          </w:rPr>
        </w:r>
        <w:r w:rsidRPr="00096BAB">
          <w:rPr>
            <w:noProof/>
            <w:webHidden/>
          </w:rPr>
          <w:fldChar w:fldCharType="separate"/>
        </w:r>
        <w:r w:rsidR="00831DAE">
          <w:rPr>
            <w:noProof/>
            <w:webHidden/>
          </w:rPr>
          <w:t>39</w:t>
        </w:r>
        <w:r w:rsidRPr="00096BAB">
          <w:rPr>
            <w:noProof/>
            <w:webHidden/>
          </w:rPr>
          <w:fldChar w:fldCharType="end"/>
        </w:r>
      </w:hyperlink>
    </w:p>
    <w:p w14:paraId="601DD5EA" w14:textId="4C07B78F" w:rsidR="008625A1" w:rsidRPr="00096BAB"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80" w:history="1">
        <w:r w:rsidRPr="00096BAB">
          <w:rPr>
            <w:rStyle w:val="Hyperlink"/>
            <w:noProof/>
          </w:rPr>
          <w:t>14.2.2.</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Seasonalit</w:t>
        </w:r>
        <w:r w:rsidR="00CE069F" w:rsidRPr="00096BAB">
          <w:rPr>
            <w:rStyle w:val="Hyperlink"/>
            <w:noProof/>
          </w:rPr>
          <w:t>y</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_Toc242471180 \h </w:instrText>
        </w:r>
        <w:r w:rsidRPr="00096BAB">
          <w:rPr>
            <w:noProof/>
            <w:webHidden/>
          </w:rPr>
        </w:r>
        <w:r w:rsidRPr="00096BAB">
          <w:rPr>
            <w:noProof/>
            <w:webHidden/>
          </w:rPr>
          <w:fldChar w:fldCharType="separate"/>
        </w:r>
        <w:r w:rsidR="00831DAE">
          <w:rPr>
            <w:noProof/>
            <w:webHidden/>
          </w:rPr>
          <w:t>39</w:t>
        </w:r>
        <w:r w:rsidRPr="00096BAB">
          <w:rPr>
            <w:noProof/>
            <w:webHidden/>
          </w:rPr>
          <w:fldChar w:fldCharType="end"/>
        </w:r>
      </w:hyperlink>
    </w:p>
    <w:p w14:paraId="73A45E0D" w14:textId="7A2A52DD" w:rsidR="008625A1" w:rsidRPr="00096BAB" w:rsidRDefault="008625A1">
      <w:pPr>
        <w:pStyle w:val="TOC3"/>
        <w:rPr>
          <w:rFonts w:asciiTheme="minorHAnsi" w:eastAsiaTheme="minorEastAsia" w:hAnsiTheme="minorHAnsi" w:cstheme="minorBidi"/>
          <w:noProof/>
          <w:kern w:val="2"/>
          <w:sz w:val="24"/>
          <w:szCs w:val="24"/>
          <w:lang w:val="en-US" w:eastAsia="zh-CN"/>
          <w14:ligatures w14:val="standardContextual"/>
        </w:rPr>
      </w:pPr>
      <w:hyperlink w:anchor="_Toc242471181" w:history="1">
        <w:r w:rsidRPr="00096BAB">
          <w:rPr>
            <w:rStyle w:val="Hyperlink"/>
            <w:noProof/>
          </w:rPr>
          <w:t>14.2.3.</w:t>
        </w:r>
        <w:r w:rsidRPr="00096BAB">
          <w:rPr>
            <w:rFonts w:asciiTheme="minorHAnsi" w:eastAsiaTheme="minorEastAsia" w:hAnsiTheme="minorHAnsi" w:cstheme="minorBidi"/>
            <w:noProof/>
            <w:kern w:val="2"/>
            <w:sz w:val="24"/>
            <w:szCs w:val="24"/>
            <w:lang w:val="en-US" w:eastAsia="zh-CN"/>
            <w14:ligatures w14:val="standardContextual"/>
          </w:rPr>
          <w:tab/>
        </w:r>
        <w:r w:rsidRPr="00096BAB">
          <w:rPr>
            <w:rStyle w:val="Hyperlink"/>
            <w:noProof/>
          </w:rPr>
          <w:t>Stove use monitoring (SUMs</w:t>
        </w:r>
        <w:r w:rsidR="00CE069F" w:rsidRPr="00096BAB">
          <w:rPr>
            <w:rStyle w:val="Hyperlink"/>
            <w:noProof/>
          </w:rPr>
          <w:t>)</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_Toc242471181 \h </w:instrText>
        </w:r>
        <w:r w:rsidRPr="00096BAB">
          <w:rPr>
            <w:noProof/>
            <w:webHidden/>
          </w:rPr>
        </w:r>
        <w:r w:rsidRPr="00096BAB">
          <w:rPr>
            <w:noProof/>
            <w:webHidden/>
          </w:rPr>
          <w:fldChar w:fldCharType="separate"/>
        </w:r>
        <w:r w:rsidR="00831DAE">
          <w:rPr>
            <w:noProof/>
            <w:webHidden/>
          </w:rPr>
          <w:t>40</w:t>
        </w:r>
        <w:r w:rsidRPr="00096BAB">
          <w:rPr>
            <w:noProof/>
            <w:webHidden/>
          </w:rPr>
          <w:fldChar w:fldCharType="end"/>
        </w:r>
      </w:hyperlink>
    </w:p>
    <w:p w14:paraId="03B91615" w14:textId="282D76C9" w:rsidR="008625A1" w:rsidRPr="00096BAB"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82" w:history="1">
        <w:r w:rsidRPr="00096BAB">
          <w:rPr>
            <w:rStyle w:val="Hyperlink"/>
            <w:noProof/>
          </w:rPr>
          <w:t>15.</w:t>
        </w:r>
        <w:r w:rsidRPr="00096BAB">
          <w:rPr>
            <w:rFonts w:asciiTheme="minorHAnsi" w:eastAsiaTheme="minorEastAsia" w:hAnsiTheme="minorHAnsi" w:cstheme="minorBidi"/>
            <w:b w:val="0"/>
            <w:caps w:val="0"/>
            <w:noProof/>
            <w:kern w:val="2"/>
            <w:sz w:val="24"/>
            <w:szCs w:val="24"/>
            <w:lang w:val="en-US" w:eastAsia="zh-CN"/>
            <w14:ligatures w14:val="standardContextual"/>
          </w:rPr>
          <w:tab/>
        </w:r>
        <w:r w:rsidRPr="00096BAB">
          <w:rPr>
            <w:rStyle w:val="Hyperlink"/>
            <w:noProof/>
          </w:rPr>
          <w:t>Data and parameters not monitore</w:t>
        </w:r>
        <w:r w:rsidR="00CE069F" w:rsidRPr="00096BAB">
          <w:rPr>
            <w:rStyle w:val="Hyperlink"/>
            <w:noProof/>
          </w:rPr>
          <w:t>d</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_Toc242471182 \h </w:instrText>
        </w:r>
        <w:r w:rsidRPr="00096BAB">
          <w:rPr>
            <w:noProof/>
            <w:webHidden/>
          </w:rPr>
        </w:r>
        <w:r w:rsidRPr="00096BAB">
          <w:rPr>
            <w:noProof/>
            <w:webHidden/>
          </w:rPr>
          <w:fldChar w:fldCharType="separate"/>
        </w:r>
        <w:r w:rsidR="00831DAE">
          <w:rPr>
            <w:noProof/>
            <w:webHidden/>
          </w:rPr>
          <w:t>40</w:t>
        </w:r>
        <w:r w:rsidRPr="00096BAB">
          <w:rPr>
            <w:noProof/>
            <w:webHidden/>
          </w:rPr>
          <w:fldChar w:fldCharType="end"/>
        </w:r>
      </w:hyperlink>
    </w:p>
    <w:p w14:paraId="6E90D2C2" w14:textId="7B3C6336" w:rsidR="008625A1" w:rsidRPr="00096BAB" w:rsidRDefault="008625A1">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71183" w:history="1">
        <w:r w:rsidRPr="00096BAB">
          <w:rPr>
            <w:rStyle w:val="Hyperlink"/>
            <w:noProof/>
          </w:rPr>
          <w:t>16.</w:t>
        </w:r>
        <w:r w:rsidRPr="00096BAB">
          <w:rPr>
            <w:rFonts w:asciiTheme="minorHAnsi" w:eastAsiaTheme="minorEastAsia" w:hAnsiTheme="minorHAnsi" w:cstheme="minorBidi"/>
            <w:b w:val="0"/>
            <w:caps w:val="0"/>
            <w:noProof/>
            <w:kern w:val="2"/>
            <w:sz w:val="24"/>
            <w:szCs w:val="24"/>
            <w:lang w:val="en-US" w:eastAsia="zh-CN"/>
            <w14:ligatures w14:val="standardContextual"/>
          </w:rPr>
          <w:tab/>
        </w:r>
        <w:r w:rsidRPr="00096BAB">
          <w:rPr>
            <w:rStyle w:val="Hyperlink"/>
            <w:noProof/>
          </w:rPr>
          <w:t>Data and parameters monitore</w:t>
        </w:r>
        <w:r w:rsidR="00CE069F" w:rsidRPr="00096BAB">
          <w:rPr>
            <w:rStyle w:val="Hyperlink"/>
            <w:noProof/>
          </w:rPr>
          <w:t>d</w:t>
        </w:r>
        <w:r w:rsidR="00CE069F" w:rsidRPr="00096BAB">
          <w:rPr>
            <w:noProof/>
            <w:webHidden/>
          </w:rPr>
          <w:tab/>
        </w:r>
        <w:r w:rsidR="00CE069F" w:rsidRPr="00096BAB">
          <w:rPr>
            <w:rStyle w:val="Hyperlink"/>
            <w:noProof/>
          </w:rPr>
          <w:tab/>
        </w:r>
        <w:r w:rsidRPr="00096BAB">
          <w:rPr>
            <w:noProof/>
            <w:webHidden/>
          </w:rPr>
          <w:fldChar w:fldCharType="begin"/>
        </w:r>
        <w:r w:rsidRPr="00096BAB">
          <w:rPr>
            <w:noProof/>
            <w:webHidden/>
          </w:rPr>
          <w:instrText xml:space="preserve"> PAGEREF _Toc242471183 \h </w:instrText>
        </w:r>
        <w:r w:rsidRPr="00096BAB">
          <w:rPr>
            <w:noProof/>
            <w:webHidden/>
          </w:rPr>
        </w:r>
        <w:r w:rsidRPr="00096BAB">
          <w:rPr>
            <w:noProof/>
            <w:webHidden/>
          </w:rPr>
          <w:fldChar w:fldCharType="separate"/>
        </w:r>
        <w:r w:rsidR="00831DAE">
          <w:rPr>
            <w:noProof/>
            <w:webHidden/>
          </w:rPr>
          <w:t>47</w:t>
        </w:r>
        <w:r w:rsidRPr="00096BAB">
          <w:rPr>
            <w:noProof/>
            <w:webHidden/>
          </w:rPr>
          <w:fldChar w:fldCharType="end"/>
        </w:r>
      </w:hyperlink>
    </w:p>
    <w:p w14:paraId="44F23FFB" w14:textId="44F1C05E" w:rsidR="008625A1" w:rsidRPr="00096BAB" w:rsidRDefault="008625A1">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2471184" w:history="1">
        <w:r w:rsidRPr="00096BAB">
          <w:rPr>
            <w:rStyle w:val="Hyperlink"/>
          </w:rPr>
          <w:t>Appendix 1.</w:t>
        </w:r>
        <w:r w:rsidRPr="00096BAB">
          <w:rPr>
            <w:rFonts w:asciiTheme="minorHAnsi" w:eastAsiaTheme="minorEastAsia" w:hAnsiTheme="minorHAnsi" w:cstheme="minorBidi"/>
            <w:b w:val="0"/>
            <w:caps w:val="0"/>
            <w:kern w:val="2"/>
            <w:sz w:val="24"/>
            <w:szCs w:val="24"/>
            <w:lang w:val="en-US" w:eastAsia="zh-CN"/>
            <w14:ligatures w14:val="standardContextual"/>
          </w:rPr>
          <w:tab/>
        </w:r>
        <w:r w:rsidRPr="00096BAB">
          <w:rPr>
            <w:rStyle w:val="Hyperlink"/>
          </w:rPr>
          <w:t>Activity information cover shee</w:t>
        </w:r>
        <w:r w:rsidR="00CE069F" w:rsidRPr="00096BAB">
          <w:rPr>
            <w:rStyle w:val="Hyperlink"/>
          </w:rPr>
          <w:t>t</w:t>
        </w:r>
        <w:r w:rsidR="00CE069F" w:rsidRPr="00096BAB">
          <w:rPr>
            <w:webHidden/>
          </w:rPr>
          <w:tab/>
        </w:r>
        <w:r w:rsidR="00CE069F" w:rsidRPr="00096BAB">
          <w:rPr>
            <w:rStyle w:val="Hyperlink"/>
          </w:rPr>
          <w:tab/>
        </w:r>
        <w:r w:rsidRPr="00096BAB">
          <w:rPr>
            <w:webHidden/>
          </w:rPr>
          <w:fldChar w:fldCharType="begin"/>
        </w:r>
        <w:r w:rsidRPr="00096BAB">
          <w:rPr>
            <w:webHidden/>
          </w:rPr>
          <w:instrText xml:space="preserve"> PAGEREF _Toc242471184 \h </w:instrText>
        </w:r>
        <w:r w:rsidRPr="00096BAB">
          <w:rPr>
            <w:webHidden/>
          </w:rPr>
        </w:r>
        <w:r w:rsidRPr="00096BAB">
          <w:rPr>
            <w:webHidden/>
          </w:rPr>
          <w:fldChar w:fldCharType="separate"/>
        </w:r>
        <w:r w:rsidR="00831DAE">
          <w:rPr>
            <w:webHidden/>
          </w:rPr>
          <w:t>57</w:t>
        </w:r>
        <w:r w:rsidRPr="00096BAB">
          <w:rPr>
            <w:webHidden/>
          </w:rPr>
          <w:fldChar w:fldCharType="end"/>
        </w:r>
      </w:hyperlink>
    </w:p>
    <w:p w14:paraId="1C8D626B" w14:textId="502AACE6" w:rsidR="008625A1" w:rsidRPr="00096BAB" w:rsidRDefault="008625A1">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2471185" w:history="1">
        <w:r w:rsidRPr="00096BAB">
          <w:rPr>
            <w:rStyle w:val="Hyperlink"/>
          </w:rPr>
          <w:t>Appendix 2.</w:t>
        </w:r>
        <w:r w:rsidRPr="00096BAB">
          <w:rPr>
            <w:rFonts w:asciiTheme="minorHAnsi" w:eastAsiaTheme="minorEastAsia" w:hAnsiTheme="minorHAnsi" w:cstheme="minorBidi"/>
            <w:b w:val="0"/>
            <w:caps w:val="0"/>
            <w:kern w:val="2"/>
            <w:sz w:val="24"/>
            <w:szCs w:val="24"/>
            <w:lang w:val="en-US" w:eastAsia="zh-CN"/>
            <w14:ligatures w14:val="standardContextual"/>
          </w:rPr>
          <w:tab/>
        </w:r>
        <w:r w:rsidRPr="00096BAB">
          <w:rPr>
            <w:rStyle w:val="Hyperlink"/>
          </w:rPr>
          <w:t>Sample template for the A6.4ERs waiver certificat</w:t>
        </w:r>
        <w:r w:rsidR="00CE069F" w:rsidRPr="00096BAB">
          <w:rPr>
            <w:rStyle w:val="Hyperlink"/>
          </w:rPr>
          <w:t>e</w:t>
        </w:r>
        <w:r w:rsidR="00CE069F" w:rsidRPr="00096BAB">
          <w:rPr>
            <w:webHidden/>
          </w:rPr>
          <w:tab/>
        </w:r>
        <w:r w:rsidR="00CE069F" w:rsidRPr="00096BAB">
          <w:rPr>
            <w:rStyle w:val="Hyperlink"/>
          </w:rPr>
          <w:tab/>
        </w:r>
        <w:r w:rsidRPr="00096BAB">
          <w:rPr>
            <w:webHidden/>
          </w:rPr>
          <w:fldChar w:fldCharType="begin"/>
        </w:r>
        <w:r w:rsidRPr="00096BAB">
          <w:rPr>
            <w:webHidden/>
          </w:rPr>
          <w:instrText xml:space="preserve"> PAGEREF _Toc242471185 \h </w:instrText>
        </w:r>
        <w:r w:rsidRPr="00096BAB">
          <w:rPr>
            <w:webHidden/>
          </w:rPr>
        </w:r>
        <w:r w:rsidRPr="00096BAB">
          <w:rPr>
            <w:webHidden/>
          </w:rPr>
          <w:fldChar w:fldCharType="separate"/>
        </w:r>
        <w:r w:rsidR="00831DAE">
          <w:rPr>
            <w:webHidden/>
          </w:rPr>
          <w:t>59</w:t>
        </w:r>
        <w:r w:rsidRPr="00096BAB">
          <w:rPr>
            <w:webHidden/>
          </w:rPr>
          <w:fldChar w:fldCharType="end"/>
        </w:r>
      </w:hyperlink>
    </w:p>
    <w:p w14:paraId="77055B5D" w14:textId="4B36662D" w:rsidR="008625A1" w:rsidRPr="00096BAB" w:rsidRDefault="008625A1">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2471186" w:history="1">
        <w:r w:rsidRPr="00096BAB">
          <w:rPr>
            <w:rStyle w:val="Hyperlink"/>
          </w:rPr>
          <w:t>Appendix 3.</w:t>
        </w:r>
        <w:r w:rsidRPr="00096BAB">
          <w:rPr>
            <w:rFonts w:asciiTheme="minorHAnsi" w:eastAsiaTheme="minorEastAsia" w:hAnsiTheme="minorHAnsi" w:cstheme="minorBidi"/>
            <w:b w:val="0"/>
            <w:caps w:val="0"/>
            <w:kern w:val="2"/>
            <w:sz w:val="24"/>
            <w:szCs w:val="24"/>
            <w:lang w:val="en-US" w:eastAsia="zh-CN"/>
            <w14:ligatures w14:val="standardContextual"/>
          </w:rPr>
          <w:tab/>
        </w:r>
        <w:r w:rsidRPr="00096BAB">
          <w:rPr>
            <w:rStyle w:val="Hyperlink"/>
          </w:rPr>
          <w:t>Activity-specific survey requirements for energy efficiency measures in household cookin</w:t>
        </w:r>
        <w:r w:rsidR="00CE069F" w:rsidRPr="00096BAB">
          <w:rPr>
            <w:rStyle w:val="Hyperlink"/>
          </w:rPr>
          <w:t>g</w:t>
        </w:r>
        <w:r w:rsidR="00CE069F" w:rsidRPr="00096BAB">
          <w:rPr>
            <w:webHidden/>
          </w:rPr>
          <w:tab/>
        </w:r>
        <w:r w:rsidR="00CE069F" w:rsidRPr="00096BAB">
          <w:rPr>
            <w:rStyle w:val="Hyperlink"/>
          </w:rPr>
          <w:tab/>
        </w:r>
        <w:r w:rsidRPr="00096BAB">
          <w:rPr>
            <w:webHidden/>
          </w:rPr>
          <w:fldChar w:fldCharType="begin"/>
        </w:r>
        <w:r w:rsidRPr="00096BAB">
          <w:rPr>
            <w:webHidden/>
          </w:rPr>
          <w:instrText xml:space="preserve"> PAGEREF _Toc242471186 \h </w:instrText>
        </w:r>
        <w:r w:rsidRPr="00096BAB">
          <w:rPr>
            <w:webHidden/>
          </w:rPr>
        </w:r>
        <w:r w:rsidRPr="00096BAB">
          <w:rPr>
            <w:webHidden/>
          </w:rPr>
          <w:fldChar w:fldCharType="separate"/>
        </w:r>
        <w:r w:rsidR="00831DAE">
          <w:rPr>
            <w:webHidden/>
          </w:rPr>
          <w:t>61</w:t>
        </w:r>
        <w:r w:rsidRPr="00096BAB">
          <w:rPr>
            <w:webHidden/>
          </w:rPr>
          <w:fldChar w:fldCharType="end"/>
        </w:r>
      </w:hyperlink>
    </w:p>
    <w:p w14:paraId="238EFD57" w14:textId="2D4D1403" w:rsidR="008625A1" w:rsidRPr="00096BAB" w:rsidRDefault="008625A1">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2471187" w:history="1">
        <w:r w:rsidRPr="00096BAB">
          <w:rPr>
            <w:rStyle w:val="Hyperlink"/>
          </w:rPr>
          <w:t>Appendix 4.</w:t>
        </w:r>
        <w:r w:rsidRPr="00096BAB">
          <w:rPr>
            <w:rFonts w:asciiTheme="minorHAnsi" w:eastAsiaTheme="minorEastAsia" w:hAnsiTheme="minorHAnsi" w:cstheme="minorBidi"/>
            <w:b w:val="0"/>
            <w:caps w:val="0"/>
            <w:kern w:val="2"/>
            <w:sz w:val="24"/>
            <w:szCs w:val="24"/>
            <w:lang w:val="en-US" w:eastAsia="zh-CN"/>
            <w14:ligatures w14:val="standardContextual"/>
          </w:rPr>
          <w:tab/>
        </w:r>
        <w:r w:rsidRPr="00096BAB">
          <w:rPr>
            <w:rStyle w:val="Hyperlink"/>
          </w:rPr>
          <w:t>Activity-specific sampling provisions for energy efficiency measures in household cookin</w:t>
        </w:r>
        <w:r w:rsidR="00CE069F" w:rsidRPr="00096BAB">
          <w:rPr>
            <w:rStyle w:val="Hyperlink"/>
          </w:rPr>
          <w:t>g</w:t>
        </w:r>
        <w:r w:rsidR="00CE069F" w:rsidRPr="00096BAB">
          <w:rPr>
            <w:webHidden/>
          </w:rPr>
          <w:tab/>
        </w:r>
        <w:r w:rsidR="00CE069F" w:rsidRPr="00096BAB">
          <w:rPr>
            <w:rStyle w:val="Hyperlink"/>
          </w:rPr>
          <w:tab/>
        </w:r>
        <w:r w:rsidRPr="00096BAB">
          <w:rPr>
            <w:webHidden/>
          </w:rPr>
          <w:fldChar w:fldCharType="begin"/>
        </w:r>
        <w:r w:rsidRPr="00096BAB">
          <w:rPr>
            <w:webHidden/>
          </w:rPr>
          <w:instrText xml:space="preserve"> PAGEREF _Toc242471187 \h </w:instrText>
        </w:r>
        <w:r w:rsidRPr="00096BAB">
          <w:rPr>
            <w:webHidden/>
          </w:rPr>
        </w:r>
        <w:r w:rsidRPr="00096BAB">
          <w:rPr>
            <w:webHidden/>
          </w:rPr>
          <w:fldChar w:fldCharType="separate"/>
        </w:r>
        <w:r w:rsidR="00831DAE">
          <w:rPr>
            <w:webHidden/>
          </w:rPr>
          <w:t>67</w:t>
        </w:r>
        <w:r w:rsidRPr="00096BAB">
          <w:rPr>
            <w:webHidden/>
          </w:rPr>
          <w:fldChar w:fldCharType="end"/>
        </w:r>
      </w:hyperlink>
    </w:p>
    <w:p w14:paraId="3F99C481" w14:textId="4C8A83A9" w:rsidR="008625A1" w:rsidRPr="00096BAB" w:rsidRDefault="008625A1">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2471188" w:history="1">
        <w:r w:rsidRPr="00096BAB">
          <w:rPr>
            <w:rStyle w:val="Hyperlink"/>
          </w:rPr>
          <w:t>Appendix 5.</w:t>
        </w:r>
        <w:r w:rsidRPr="00096BAB">
          <w:rPr>
            <w:rFonts w:asciiTheme="minorHAnsi" w:eastAsiaTheme="minorEastAsia" w:hAnsiTheme="minorHAnsi" w:cstheme="minorBidi"/>
            <w:b w:val="0"/>
            <w:caps w:val="0"/>
            <w:kern w:val="2"/>
            <w:sz w:val="24"/>
            <w:szCs w:val="24"/>
            <w:lang w:val="en-US" w:eastAsia="zh-CN"/>
            <w14:ligatures w14:val="standardContextual"/>
          </w:rPr>
          <w:tab/>
        </w:r>
        <w:r w:rsidRPr="00096BAB">
          <w:rPr>
            <w:rStyle w:val="Hyperlink"/>
          </w:rPr>
          <w:t>Requirements and Best Practices for Kitchen Performance Tests (KPTs</w:t>
        </w:r>
        <w:r w:rsidR="00CE069F" w:rsidRPr="00096BAB">
          <w:rPr>
            <w:rStyle w:val="Hyperlink"/>
          </w:rPr>
          <w:t>)</w:t>
        </w:r>
        <w:r w:rsidR="00CE069F" w:rsidRPr="00096BAB">
          <w:rPr>
            <w:webHidden/>
          </w:rPr>
          <w:tab/>
        </w:r>
        <w:r w:rsidR="00CE069F" w:rsidRPr="00096BAB">
          <w:rPr>
            <w:rStyle w:val="Hyperlink"/>
          </w:rPr>
          <w:tab/>
        </w:r>
        <w:r w:rsidRPr="00096BAB">
          <w:rPr>
            <w:webHidden/>
          </w:rPr>
          <w:fldChar w:fldCharType="begin"/>
        </w:r>
        <w:r w:rsidRPr="00096BAB">
          <w:rPr>
            <w:webHidden/>
          </w:rPr>
          <w:instrText xml:space="preserve"> PAGEREF _Toc242471188 \h </w:instrText>
        </w:r>
        <w:r w:rsidRPr="00096BAB">
          <w:rPr>
            <w:webHidden/>
          </w:rPr>
        </w:r>
        <w:r w:rsidRPr="00096BAB">
          <w:rPr>
            <w:webHidden/>
          </w:rPr>
          <w:fldChar w:fldCharType="separate"/>
        </w:r>
        <w:r w:rsidR="00831DAE">
          <w:rPr>
            <w:webHidden/>
          </w:rPr>
          <w:t>70</w:t>
        </w:r>
        <w:r w:rsidRPr="00096BAB">
          <w:rPr>
            <w:webHidden/>
          </w:rPr>
          <w:fldChar w:fldCharType="end"/>
        </w:r>
      </w:hyperlink>
    </w:p>
    <w:p w14:paraId="091450CC" w14:textId="3D2C671C" w:rsidR="008625A1" w:rsidRPr="00096BAB" w:rsidRDefault="008625A1">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2471189" w:history="1">
        <w:r w:rsidRPr="00096BAB">
          <w:rPr>
            <w:rStyle w:val="Hyperlink"/>
          </w:rPr>
          <w:t>Appendix 6.</w:t>
        </w:r>
        <w:r w:rsidRPr="00096BAB">
          <w:rPr>
            <w:rFonts w:asciiTheme="minorHAnsi" w:eastAsiaTheme="minorEastAsia" w:hAnsiTheme="minorHAnsi" w:cstheme="minorBidi"/>
            <w:b w:val="0"/>
            <w:caps w:val="0"/>
            <w:kern w:val="2"/>
            <w:sz w:val="24"/>
            <w:szCs w:val="24"/>
            <w:lang w:val="en-US" w:eastAsia="zh-CN"/>
            <w14:ligatures w14:val="standardContextual"/>
          </w:rPr>
          <w:tab/>
        </w:r>
        <w:r w:rsidRPr="00096BAB">
          <w:rPr>
            <w:rStyle w:val="Hyperlink"/>
          </w:rPr>
          <w:t>Requirements and Best Practices for use of Stove Use Monitors (SUM</w:t>
        </w:r>
        <w:r w:rsidR="00CE069F" w:rsidRPr="00096BAB">
          <w:rPr>
            <w:rStyle w:val="Hyperlink"/>
          </w:rPr>
          <w:t>)</w:t>
        </w:r>
        <w:r w:rsidR="00CE069F" w:rsidRPr="00096BAB">
          <w:rPr>
            <w:webHidden/>
          </w:rPr>
          <w:tab/>
        </w:r>
        <w:r w:rsidR="00CE069F" w:rsidRPr="00096BAB">
          <w:rPr>
            <w:rStyle w:val="Hyperlink"/>
          </w:rPr>
          <w:tab/>
        </w:r>
        <w:r w:rsidRPr="00096BAB">
          <w:rPr>
            <w:webHidden/>
          </w:rPr>
          <w:fldChar w:fldCharType="begin"/>
        </w:r>
        <w:r w:rsidRPr="00096BAB">
          <w:rPr>
            <w:webHidden/>
          </w:rPr>
          <w:instrText xml:space="preserve"> PAGEREF _Toc242471189 \h </w:instrText>
        </w:r>
        <w:r w:rsidRPr="00096BAB">
          <w:rPr>
            <w:webHidden/>
          </w:rPr>
        </w:r>
        <w:r w:rsidRPr="00096BAB">
          <w:rPr>
            <w:webHidden/>
          </w:rPr>
          <w:fldChar w:fldCharType="separate"/>
        </w:r>
        <w:r w:rsidR="00831DAE">
          <w:rPr>
            <w:webHidden/>
          </w:rPr>
          <w:t>73</w:t>
        </w:r>
        <w:r w:rsidRPr="00096BAB">
          <w:rPr>
            <w:webHidden/>
          </w:rPr>
          <w:fldChar w:fldCharType="end"/>
        </w:r>
      </w:hyperlink>
    </w:p>
    <w:p w14:paraId="6B6C63F8" w14:textId="213EFC25" w:rsidR="008625A1" w:rsidRDefault="008625A1">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2471190" w:history="1">
        <w:r w:rsidRPr="00096BAB">
          <w:rPr>
            <w:rStyle w:val="Hyperlink"/>
          </w:rPr>
          <w:t>Appendix 7.</w:t>
        </w:r>
        <w:r w:rsidRPr="00096BAB">
          <w:rPr>
            <w:rFonts w:asciiTheme="minorHAnsi" w:eastAsiaTheme="minorEastAsia" w:hAnsiTheme="minorHAnsi" w:cstheme="minorBidi"/>
            <w:b w:val="0"/>
            <w:caps w:val="0"/>
            <w:kern w:val="2"/>
            <w:sz w:val="24"/>
            <w:szCs w:val="24"/>
            <w:lang w:val="en-US" w:eastAsia="zh-CN"/>
            <w14:ligatures w14:val="standardContextual"/>
          </w:rPr>
          <w:tab/>
        </w:r>
        <w:r w:rsidRPr="00096BAB">
          <w:rPr>
            <w:rStyle w:val="Hyperlink"/>
          </w:rPr>
          <w:t>Demonstration of requirements at the level of the mechanism methodolog</w:t>
        </w:r>
        <w:r w:rsidR="00CE069F" w:rsidRPr="00096BAB">
          <w:rPr>
            <w:rStyle w:val="Hyperlink"/>
          </w:rPr>
          <w:t>y</w:t>
        </w:r>
        <w:r w:rsidR="00CE069F" w:rsidRPr="00096BAB">
          <w:rPr>
            <w:webHidden/>
          </w:rPr>
          <w:tab/>
        </w:r>
        <w:r w:rsidR="00CE069F" w:rsidRPr="00096BAB">
          <w:rPr>
            <w:rStyle w:val="Hyperlink"/>
          </w:rPr>
          <w:tab/>
        </w:r>
        <w:r w:rsidRPr="00096BAB">
          <w:rPr>
            <w:webHidden/>
          </w:rPr>
          <w:fldChar w:fldCharType="begin"/>
        </w:r>
        <w:r w:rsidRPr="00096BAB">
          <w:rPr>
            <w:webHidden/>
          </w:rPr>
          <w:instrText xml:space="preserve"> PAGEREF _Toc242471190 \h </w:instrText>
        </w:r>
        <w:r w:rsidRPr="00096BAB">
          <w:rPr>
            <w:webHidden/>
          </w:rPr>
        </w:r>
        <w:r w:rsidRPr="00096BAB">
          <w:rPr>
            <w:webHidden/>
          </w:rPr>
          <w:fldChar w:fldCharType="separate"/>
        </w:r>
        <w:r w:rsidR="00831DAE">
          <w:rPr>
            <w:webHidden/>
          </w:rPr>
          <w:t>77</w:t>
        </w:r>
        <w:r w:rsidRPr="00096BAB">
          <w:rPr>
            <w:webHidden/>
          </w:rPr>
          <w:fldChar w:fldCharType="end"/>
        </w:r>
      </w:hyperlink>
    </w:p>
    <w:p w14:paraId="18FEFA40" w14:textId="38441456" w:rsidR="002454C9" w:rsidRPr="009F63DF" w:rsidRDefault="004A034D" w:rsidP="008625A1">
      <w:pPr>
        <w:tabs>
          <w:tab w:val="left" w:leader="dot" w:pos="7937"/>
        </w:tabs>
        <w:sectPr w:rsidR="002454C9" w:rsidRPr="009F63DF" w:rsidSect="00AC494B">
          <w:headerReference w:type="default" r:id="rId14"/>
          <w:footerReference w:type="default" r:id="rId15"/>
          <w:pgSz w:w="11907" w:h="16840" w:code="9"/>
          <w:pgMar w:top="2552" w:right="1134" w:bottom="1418" w:left="1418" w:header="851" w:footer="567" w:gutter="0"/>
          <w:cols w:space="720"/>
          <w:formProt w:val="0"/>
          <w:docGrid w:linePitch="299"/>
        </w:sectPr>
      </w:pPr>
      <w:r>
        <w:fldChar w:fldCharType="end"/>
      </w:r>
    </w:p>
    <w:p w14:paraId="3BAFDBB2" w14:textId="0E520536" w:rsidR="001C2394" w:rsidRPr="009F63DF" w:rsidRDefault="001C2394" w:rsidP="001C2394">
      <w:pPr>
        <w:pStyle w:val="SDMHead1"/>
      </w:pPr>
      <w:bookmarkStart w:id="10" w:name="_Toc226983062"/>
      <w:bookmarkStart w:id="11" w:name="_Toc227677260"/>
      <w:bookmarkStart w:id="12" w:name="_Toc227694782"/>
      <w:bookmarkStart w:id="13" w:name="_Toc227920896"/>
      <w:bookmarkStart w:id="14" w:name="_Toc227938797"/>
      <w:bookmarkStart w:id="15" w:name="_Toc227948048"/>
      <w:bookmarkStart w:id="16" w:name="_Toc233388605"/>
      <w:bookmarkStart w:id="17" w:name="_Toc233961412"/>
      <w:bookmarkStart w:id="18" w:name="_Toc233970221"/>
      <w:bookmarkStart w:id="19" w:name="_Toc240546551"/>
      <w:bookmarkStart w:id="20" w:name="_Toc240631952"/>
      <w:bookmarkStart w:id="21" w:name="_Toc242471137"/>
      <w:bookmarkStart w:id="22" w:name="_Toc346039895"/>
      <w:bookmarkStart w:id="23" w:name="_Toc352521225"/>
      <w:bookmarkStart w:id="24" w:name="_Toc353201615"/>
      <w:bookmarkStart w:id="25" w:name="_Toc354405680"/>
      <w:bookmarkStart w:id="26" w:name="_Toc354405694"/>
      <w:bookmarkStart w:id="27" w:name="_Toc189047593"/>
      <w:r w:rsidRPr="009F63DF">
        <w:t>Introduction</w:t>
      </w:r>
      <w:bookmarkEnd w:id="10"/>
      <w:bookmarkEnd w:id="11"/>
      <w:bookmarkEnd w:id="12"/>
      <w:bookmarkEnd w:id="13"/>
      <w:bookmarkEnd w:id="14"/>
      <w:bookmarkEnd w:id="15"/>
      <w:bookmarkEnd w:id="16"/>
      <w:bookmarkEnd w:id="17"/>
      <w:bookmarkEnd w:id="18"/>
      <w:bookmarkEnd w:id="19"/>
      <w:bookmarkEnd w:id="20"/>
      <w:bookmarkEnd w:id="21"/>
    </w:p>
    <w:p w14:paraId="17EE312F" w14:textId="5D27E9F7" w:rsidR="001C2394" w:rsidRPr="009F63DF" w:rsidRDefault="001C2394" w:rsidP="001C2394">
      <w:pPr>
        <w:pStyle w:val="SDMHead2"/>
      </w:pPr>
      <w:bookmarkStart w:id="28" w:name="_Toc226983063"/>
      <w:bookmarkStart w:id="29" w:name="_Toc227677261"/>
      <w:bookmarkStart w:id="30" w:name="_Toc227694783"/>
      <w:bookmarkStart w:id="31" w:name="_Toc227920897"/>
      <w:bookmarkStart w:id="32" w:name="_Toc227938798"/>
      <w:bookmarkStart w:id="33" w:name="_Toc227948049"/>
      <w:bookmarkStart w:id="34" w:name="_Toc233388606"/>
      <w:bookmarkStart w:id="35" w:name="_Toc233961413"/>
      <w:bookmarkStart w:id="36" w:name="_Toc233970222"/>
      <w:bookmarkStart w:id="37" w:name="_Toc240546552"/>
      <w:bookmarkStart w:id="38" w:name="_Toc240631953"/>
      <w:bookmarkStart w:id="39" w:name="_Toc242471138"/>
      <w:r w:rsidRPr="009F63DF">
        <w:t>Scope</w:t>
      </w:r>
      <w:bookmarkEnd w:id="28"/>
      <w:bookmarkEnd w:id="29"/>
      <w:bookmarkEnd w:id="30"/>
      <w:bookmarkEnd w:id="31"/>
      <w:bookmarkEnd w:id="32"/>
      <w:bookmarkEnd w:id="33"/>
      <w:bookmarkEnd w:id="34"/>
      <w:bookmarkEnd w:id="35"/>
      <w:bookmarkEnd w:id="36"/>
      <w:bookmarkEnd w:id="37"/>
      <w:bookmarkEnd w:id="38"/>
      <w:bookmarkEnd w:id="39"/>
    </w:p>
    <w:p w14:paraId="27E1A986" w14:textId="7BD7F7F3" w:rsidR="00213880" w:rsidRPr="008C332A" w:rsidRDefault="001A74AE" w:rsidP="00AF1AC1">
      <w:pPr>
        <w:pStyle w:val="SDMPara"/>
        <w:numPr>
          <w:ilvl w:val="0"/>
          <w:numId w:val="38"/>
        </w:numPr>
      </w:pPr>
      <w:r w:rsidRPr="008C332A">
        <w:t xml:space="preserve">This version mechanism </w:t>
      </w:r>
      <w:r w:rsidR="009B4C08" w:rsidRPr="008C332A">
        <w:t>methodology</w:t>
      </w:r>
      <w:r w:rsidRPr="008C332A">
        <w:t xml:space="preserve"> is applicable for Article 6.4 projects and Article 6.4 programme of activities (PoAs), jointly referred to as “Article 6.4 activities</w:t>
      </w:r>
      <w:r w:rsidR="00D1354C" w:rsidRPr="008C332A">
        <w:t>”</w:t>
      </w:r>
      <w:r w:rsidR="00FF132E" w:rsidRPr="008C332A">
        <w:t>,</w:t>
      </w:r>
      <w:r w:rsidR="00213880" w:rsidRPr="008C332A">
        <w:t xml:space="preserve"> that comprise efficiency improvements in thermal applications in household cooking</w:t>
      </w:r>
      <w:r w:rsidR="000B40E6" w:rsidRPr="008C332A">
        <w:t xml:space="preserve"> in rural areas where the population is demonstrated to experience low income or poverty levels</w:t>
      </w:r>
      <w:r w:rsidR="00213880" w:rsidRPr="008C332A">
        <w:t>. Examples of applicable technologies and measures include the introduction of high efficiency fuelwood</w:t>
      </w:r>
      <w:r w:rsidR="007C7631" w:rsidRPr="008C332A">
        <w:t>-fired</w:t>
      </w:r>
      <w:r w:rsidR="00213880" w:rsidRPr="008C332A">
        <w:t xml:space="preserve"> or artisanal charcoal-fired cookstoves to replace existing devices.</w:t>
      </w:r>
    </w:p>
    <w:p w14:paraId="037C7B13" w14:textId="6CDCF3F7" w:rsidR="001C2394" w:rsidRPr="009F63DF" w:rsidRDefault="00E01286" w:rsidP="00E03E61">
      <w:pPr>
        <w:pStyle w:val="SDMPara"/>
      </w:pPr>
      <w:r w:rsidRPr="009F63DF">
        <w:t>Article 6.4 Emission Reductions (</w:t>
      </w:r>
      <w:r w:rsidR="001C2394" w:rsidRPr="009F63DF">
        <w:t>A6.4ERs</w:t>
      </w:r>
      <w:r w:rsidRPr="009F63DF">
        <w:t>)</w:t>
      </w:r>
      <w:r w:rsidR="001C2394" w:rsidRPr="009F63DF">
        <w:t xml:space="preserve"> issued based on this </w:t>
      </w:r>
      <w:r w:rsidR="00261F88" w:rsidRPr="009F63DF">
        <w:t xml:space="preserve">mechanism </w:t>
      </w:r>
      <w:r w:rsidR="001C2394" w:rsidRPr="009F63DF">
        <w:t>methodology represent emission reductions.</w:t>
      </w:r>
      <w:r w:rsidR="004377FA" w:rsidRPr="009F63DF">
        <w:t xml:space="preserve"> A</w:t>
      </w:r>
      <w:r w:rsidR="00FF4BC9" w:rsidRPr="009F63DF">
        <w:t xml:space="preserve"> </w:t>
      </w:r>
      <w:r w:rsidR="00557CBB" w:rsidRPr="009F63DF">
        <w:t>subset</w:t>
      </w:r>
      <w:r w:rsidR="004377FA" w:rsidRPr="009F63DF">
        <w:t xml:space="preserve"> of these emission reductions </w:t>
      </w:r>
      <w:r w:rsidR="00743F44" w:rsidRPr="009F63DF">
        <w:t>is</w:t>
      </w:r>
      <w:r w:rsidR="004377FA" w:rsidRPr="009F63DF">
        <w:t xml:space="preserve"> subject to reversal risks</w:t>
      </w:r>
      <w:r w:rsidR="00FF4BC9" w:rsidRPr="009F63DF">
        <w:t>.</w:t>
      </w:r>
      <w:r w:rsidR="009C7977" w:rsidRPr="009F63DF">
        <w:rPr>
          <w:rStyle w:val="FootnoteReference"/>
        </w:rPr>
        <w:footnoteReference w:id="2"/>
      </w:r>
    </w:p>
    <w:p w14:paraId="7FAFAC8D" w14:textId="77777777" w:rsidR="00446ABD" w:rsidRPr="00CE069F" w:rsidRDefault="00446ABD" w:rsidP="00446ABD">
      <w:pPr>
        <w:pStyle w:val="SDMHead2"/>
      </w:pPr>
      <w:bookmarkStart w:id="40" w:name="_Toc227920898"/>
      <w:bookmarkStart w:id="41" w:name="_Toc227938799"/>
      <w:bookmarkStart w:id="42" w:name="_Toc227948050"/>
      <w:bookmarkStart w:id="43" w:name="_Toc233388607"/>
      <w:bookmarkStart w:id="44" w:name="_Toc233961414"/>
      <w:bookmarkStart w:id="45" w:name="_Toc233970223"/>
      <w:bookmarkStart w:id="46" w:name="_Toc240546553"/>
      <w:bookmarkStart w:id="47" w:name="_Toc240631954"/>
      <w:bookmarkStart w:id="48" w:name="_Toc242471139"/>
      <w:bookmarkStart w:id="49" w:name="_Toc346039901"/>
      <w:bookmarkStart w:id="50" w:name="_Toc352521231"/>
      <w:bookmarkStart w:id="51" w:name="_Toc353201621"/>
      <w:bookmarkStart w:id="52" w:name="_Toc354405686"/>
      <w:bookmarkStart w:id="53" w:name="_Toc354405700"/>
      <w:bookmarkStart w:id="54" w:name="_Toc354503031"/>
      <w:bookmarkStart w:id="55" w:name="_Toc355024724"/>
      <w:bookmarkStart w:id="56" w:name="_Toc219446911"/>
      <w:bookmarkStart w:id="57" w:name="_Toc219711046"/>
      <w:bookmarkStart w:id="58" w:name="_Toc219711149"/>
      <w:bookmarkStart w:id="59" w:name="_Toc219711326"/>
      <w:bookmarkStart w:id="60" w:name="_Toc226502260"/>
      <w:bookmarkStart w:id="61" w:name="_Toc226576214"/>
      <w:bookmarkStart w:id="62" w:name="_Toc226983064"/>
      <w:bookmarkStart w:id="63" w:name="_Toc227677262"/>
      <w:bookmarkStart w:id="64" w:name="_Toc227694784"/>
      <w:r w:rsidRPr="00CE069F">
        <w:t>Applicability of sectoral scopes</w:t>
      </w:r>
      <w:bookmarkEnd w:id="40"/>
      <w:bookmarkEnd w:id="41"/>
      <w:bookmarkEnd w:id="42"/>
      <w:bookmarkEnd w:id="43"/>
      <w:bookmarkEnd w:id="44"/>
      <w:bookmarkEnd w:id="45"/>
      <w:bookmarkEnd w:id="46"/>
      <w:bookmarkEnd w:id="47"/>
      <w:bookmarkEnd w:id="48"/>
    </w:p>
    <w:p w14:paraId="117BA0A6" w14:textId="77777777" w:rsidR="00446ABD" w:rsidRPr="00CE069F" w:rsidRDefault="00446ABD" w:rsidP="00E03E61">
      <w:pPr>
        <w:pStyle w:val="SDMPara"/>
      </w:pPr>
      <w:r w:rsidRPr="00CE069F">
        <w:t>Designated operational entities validating and verifying Article 6.4 activities that use this mechanism methodology shall apply sectoral scope 3.</w:t>
      </w:r>
    </w:p>
    <w:p w14:paraId="598A4ABD" w14:textId="01858998" w:rsidR="001C2394" w:rsidRPr="00CE069F" w:rsidRDefault="001C2394" w:rsidP="001C2394">
      <w:pPr>
        <w:pStyle w:val="SDMHead2"/>
      </w:pPr>
      <w:bookmarkStart w:id="65" w:name="_Toc227920899"/>
      <w:bookmarkStart w:id="66" w:name="_Toc227938800"/>
      <w:bookmarkStart w:id="67" w:name="_Toc227948051"/>
      <w:bookmarkStart w:id="68" w:name="_Toc233388608"/>
      <w:bookmarkStart w:id="69" w:name="_Toc233961415"/>
      <w:bookmarkStart w:id="70" w:name="_Toc233970224"/>
      <w:bookmarkStart w:id="71" w:name="_Toc240546554"/>
      <w:bookmarkStart w:id="72" w:name="_Toc240631955"/>
      <w:bookmarkStart w:id="73" w:name="_Toc242471140"/>
      <w:r w:rsidRPr="00CE069F">
        <w:t>Entry into force</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003E1E3B" w:rsidRPr="00CE069F">
        <w:t xml:space="preserve"> and validity</w:t>
      </w:r>
      <w:bookmarkEnd w:id="68"/>
      <w:bookmarkEnd w:id="69"/>
      <w:bookmarkEnd w:id="70"/>
      <w:bookmarkEnd w:id="71"/>
      <w:bookmarkEnd w:id="72"/>
      <w:bookmarkEnd w:id="73"/>
    </w:p>
    <w:p w14:paraId="30319C5E" w14:textId="3E46B5E9" w:rsidR="00615311" w:rsidRPr="00CE069F" w:rsidRDefault="00056C1D" w:rsidP="00E03E61">
      <w:pPr>
        <w:pStyle w:val="SDMPara"/>
      </w:pPr>
      <w:bookmarkStart w:id="74" w:name="_Ref233392530"/>
      <w:r w:rsidRPr="00CE069F">
        <w:t xml:space="preserve">This mechanism methodology enters into force on the </w:t>
      </w:r>
      <w:r w:rsidR="00E47995" w:rsidRPr="00CE069F">
        <w:t>09</w:t>
      </w:r>
      <w:r w:rsidR="00886A6B" w:rsidRPr="00CE069F">
        <w:t xml:space="preserve"> </w:t>
      </w:r>
      <w:r w:rsidR="00E47995" w:rsidRPr="00CE069F">
        <w:t>October</w:t>
      </w:r>
      <w:r w:rsidR="00886A6B" w:rsidRPr="00CE069F">
        <w:t xml:space="preserve"> </w:t>
      </w:r>
      <w:r w:rsidR="00E47995" w:rsidRPr="00CE069F">
        <w:t>202</w:t>
      </w:r>
      <w:r w:rsidR="000873AB" w:rsidRPr="00CE069F">
        <w:t>6</w:t>
      </w:r>
      <w:r w:rsidR="00FF4BC9" w:rsidRPr="00CE069F">
        <w:t>.</w:t>
      </w:r>
    </w:p>
    <w:bookmarkEnd w:id="74"/>
    <w:p w14:paraId="31F5949F" w14:textId="6C1DD1A9" w:rsidR="001C2394" w:rsidRPr="009F63DF" w:rsidRDefault="001C2394" w:rsidP="00E03E61">
      <w:pPr>
        <w:pStyle w:val="SDMPara"/>
      </w:pPr>
      <w:r w:rsidRPr="00CE069F">
        <w:t xml:space="preserve">This mechanism methodology remains valid until </w:t>
      </w:r>
      <w:r w:rsidR="00EE57C5" w:rsidRPr="00CE069F">
        <w:t>08 October</w:t>
      </w:r>
      <w:r w:rsidR="005D1702" w:rsidRPr="00CE069F">
        <w:t xml:space="preserve"> </w:t>
      </w:r>
      <w:r w:rsidR="00EE57C5" w:rsidRPr="00CE069F">
        <w:t>2031</w:t>
      </w:r>
      <w:r w:rsidRPr="00CE069F">
        <w:t xml:space="preserve">, unless </w:t>
      </w:r>
      <w:r w:rsidR="00233FC8" w:rsidRPr="00CE069F">
        <w:t xml:space="preserve">an earlier date applies if the mechanism methodology </w:t>
      </w:r>
      <w:r w:rsidR="00B0324D" w:rsidRPr="00CE069F">
        <w:t xml:space="preserve">is </w:t>
      </w:r>
      <w:r w:rsidRPr="00CE069F">
        <w:t>revised or withdrawn in accordance with the “Procedure: Development, revision and clarification of methodologies and</w:t>
      </w:r>
      <w:r w:rsidRPr="009F63DF">
        <w:t xml:space="preserve"> methodological tools” (A6.4-PROC-METH-001)</w:t>
      </w:r>
      <w:r w:rsidR="003F0D64" w:rsidRPr="009F63DF">
        <w:t>.</w:t>
      </w:r>
      <w:r w:rsidRPr="009F63DF">
        <w:rPr>
          <w:vertAlign w:val="superscript"/>
        </w:rPr>
        <w:footnoteReference w:id="3"/>
      </w:r>
    </w:p>
    <w:p w14:paraId="3CC1BDA0" w14:textId="77777777" w:rsidR="001C2394" w:rsidRPr="009F63DF" w:rsidRDefault="001C2394" w:rsidP="001C2394">
      <w:pPr>
        <w:pStyle w:val="SDMHead1"/>
      </w:pPr>
      <w:bookmarkStart w:id="75" w:name="_Toc354503033"/>
      <w:bookmarkStart w:id="76" w:name="_Toc355024726"/>
      <w:bookmarkStart w:id="77" w:name="_Toc219446913"/>
      <w:bookmarkStart w:id="78" w:name="_Toc219711048"/>
      <w:bookmarkStart w:id="79" w:name="_Toc219711151"/>
      <w:bookmarkStart w:id="80" w:name="_Toc219711328"/>
      <w:bookmarkStart w:id="81" w:name="_Toc226502262"/>
      <w:bookmarkStart w:id="82" w:name="_Toc226576216"/>
      <w:bookmarkStart w:id="83" w:name="_Toc226983066"/>
      <w:bookmarkStart w:id="84" w:name="_Toc227677264"/>
      <w:bookmarkStart w:id="85" w:name="_Toc227694786"/>
      <w:bookmarkStart w:id="86" w:name="_Toc227920900"/>
      <w:bookmarkStart w:id="87" w:name="_Toc227938801"/>
      <w:bookmarkStart w:id="88" w:name="_Toc227948052"/>
      <w:bookmarkStart w:id="89" w:name="_Toc233388609"/>
      <w:bookmarkStart w:id="90" w:name="_Toc233961416"/>
      <w:bookmarkStart w:id="91" w:name="_Toc233970225"/>
      <w:bookmarkStart w:id="92" w:name="_Toc240546555"/>
      <w:bookmarkStart w:id="93" w:name="_Toc240631956"/>
      <w:bookmarkStart w:id="94" w:name="_Toc242471141"/>
      <w:bookmarkStart w:id="95" w:name="_Toc354503028"/>
      <w:bookmarkStart w:id="96" w:name="_Toc355024721"/>
      <w:r w:rsidRPr="009F63DF">
        <w:t>Definitions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F948461" w14:textId="77777777" w:rsidR="001C2394" w:rsidRPr="009F63DF" w:rsidRDefault="001C2394" w:rsidP="002B3EF7">
      <w:pPr>
        <w:pStyle w:val="SDMHead2"/>
      </w:pPr>
      <w:bookmarkStart w:id="97" w:name="_Toc226502263"/>
      <w:bookmarkStart w:id="98" w:name="_Toc226576217"/>
      <w:bookmarkStart w:id="99" w:name="_Toc226983067"/>
      <w:bookmarkStart w:id="100" w:name="_Toc227677265"/>
      <w:bookmarkStart w:id="101" w:name="_Toc227694787"/>
      <w:bookmarkStart w:id="102" w:name="_Toc227920901"/>
      <w:bookmarkStart w:id="103" w:name="_Toc227938802"/>
      <w:bookmarkStart w:id="104" w:name="_Toc227948053"/>
      <w:bookmarkStart w:id="105" w:name="_Toc233388610"/>
      <w:bookmarkStart w:id="106" w:name="_Toc233961417"/>
      <w:bookmarkStart w:id="107" w:name="_Toc233970226"/>
      <w:bookmarkStart w:id="108" w:name="_Toc240546556"/>
      <w:bookmarkStart w:id="109" w:name="_Toc240631957"/>
      <w:bookmarkStart w:id="110" w:name="_Toc242471142"/>
      <w:r w:rsidRPr="009F63DF">
        <w:t>General terms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2FA7749A" w14:textId="6E93478E" w:rsidR="001C2394" w:rsidRPr="009F63DF" w:rsidRDefault="001C2394" w:rsidP="00655F47">
      <w:pPr>
        <w:pStyle w:val="SDMPara"/>
        <w:keepNext/>
      </w:pPr>
      <w:r w:rsidRPr="009F63DF">
        <w:t xml:space="preserve">The following general terms are applied </w:t>
      </w:r>
      <w:r w:rsidR="00A26A30" w:rsidRPr="009F63DF">
        <w:t xml:space="preserve">in </w:t>
      </w:r>
      <w:r w:rsidRPr="009F63DF">
        <w:t>this mechanism methodology:</w:t>
      </w:r>
    </w:p>
    <w:p w14:paraId="4630F90F" w14:textId="77777777" w:rsidR="001C2394" w:rsidRPr="009F63DF" w:rsidRDefault="001C2394" w:rsidP="009311F1">
      <w:pPr>
        <w:pStyle w:val="SDMSubPara1"/>
      </w:pPr>
      <w:r w:rsidRPr="009F63DF">
        <w:t>"Shall" is used to indicate requirements that must be followed;</w:t>
      </w:r>
    </w:p>
    <w:p w14:paraId="5FCF885E" w14:textId="468F9158" w:rsidR="001C2394" w:rsidRPr="009F63DF" w:rsidRDefault="001C2394" w:rsidP="00E03E61">
      <w:pPr>
        <w:pStyle w:val="SDMSubPara1"/>
      </w:pPr>
      <w:r w:rsidRPr="009F63DF">
        <w:t>"Should" is used to indicate that, among several options, one course of action is recommended as particularly suitable;</w:t>
      </w:r>
      <w:r w:rsidR="51E9CBB3" w:rsidRPr="009F63DF">
        <w:t xml:space="preserve"> and</w:t>
      </w:r>
    </w:p>
    <w:p w14:paraId="37AF68C6" w14:textId="77777777" w:rsidR="001C2394" w:rsidRPr="009F63DF" w:rsidRDefault="001C2394" w:rsidP="00E03E61">
      <w:pPr>
        <w:pStyle w:val="SDMSubPara1"/>
      </w:pPr>
      <w:r w:rsidRPr="009F63DF">
        <w:t>"May" is used to indicate what is permitted.</w:t>
      </w:r>
    </w:p>
    <w:p w14:paraId="5F53399D" w14:textId="77777777" w:rsidR="001C2394" w:rsidRPr="009F63DF" w:rsidRDefault="001C2394" w:rsidP="0016344B">
      <w:pPr>
        <w:pStyle w:val="SDMHead2"/>
        <w:keepNext w:val="0"/>
        <w:keepLines w:val="0"/>
      </w:pPr>
      <w:bookmarkStart w:id="111" w:name="_Toc226502264"/>
      <w:bookmarkStart w:id="112" w:name="_Toc226576218"/>
      <w:bookmarkStart w:id="113" w:name="_Toc226983068"/>
      <w:bookmarkStart w:id="114" w:name="_Toc227677266"/>
      <w:bookmarkStart w:id="115" w:name="_Toc227694788"/>
      <w:bookmarkStart w:id="116" w:name="_Toc227920902"/>
      <w:bookmarkStart w:id="117" w:name="_Toc227938803"/>
      <w:bookmarkStart w:id="118" w:name="_Toc227948054"/>
      <w:bookmarkStart w:id="119" w:name="_Toc233388611"/>
      <w:bookmarkStart w:id="120" w:name="_Toc233961418"/>
      <w:bookmarkStart w:id="121" w:name="_Toc233970227"/>
      <w:bookmarkStart w:id="122" w:name="_Toc240546557"/>
      <w:bookmarkStart w:id="123" w:name="_Toc240631958"/>
      <w:bookmarkStart w:id="124" w:name="_Toc242471143"/>
      <w:r w:rsidRPr="009F63DF">
        <w:t>Methodological terms and definitions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6D61308" w14:textId="32121165" w:rsidR="001C2394" w:rsidRPr="009F63DF" w:rsidRDefault="001C2394" w:rsidP="0016344B">
      <w:pPr>
        <w:pStyle w:val="SDMPara"/>
      </w:pPr>
      <w:r w:rsidRPr="009F63DF">
        <w:t xml:space="preserve">The following general terms and definitions </w:t>
      </w:r>
      <w:r w:rsidR="00A26A30" w:rsidRPr="009F63DF">
        <w:t xml:space="preserve">apply in </w:t>
      </w:r>
      <w:r w:rsidRPr="009F63DF">
        <w:t>this mechanism methodology:</w:t>
      </w:r>
    </w:p>
    <w:p w14:paraId="2DA4C8F6" w14:textId="6A43E543" w:rsidR="001C2394" w:rsidRPr="009F63DF" w:rsidRDefault="001C2394" w:rsidP="00E03E61">
      <w:pPr>
        <w:pStyle w:val="SDMSubPara1"/>
      </w:pPr>
      <w:bookmarkStart w:id="125" w:name="_Ref232718017"/>
      <w:r w:rsidRPr="009F63DF">
        <w:rPr>
          <w:b/>
          <w:bCs/>
        </w:rPr>
        <w:t>Artisanal cookstoves:</w:t>
      </w:r>
      <w:r w:rsidRPr="009F63DF">
        <w:t xml:space="preserve"> </w:t>
      </w:r>
      <w:r w:rsidR="006861CC" w:rsidRPr="009F63DF">
        <w:t>cookstoves produced by small-scale manufacturing processes with no insulation or thermal envelope that can result in large variations in dimensions and performance across units. They are generally made by hand by skilled workers, rather than mass-produced in factories</w:t>
      </w:r>
      <w:r w:rsidR="004E4E19" w:rsidRPr="009F63DF">
        <w:t>,</w:t>
      </w:r>
      <w:r w:rsidR="006861CC" w:rsidRPr="009F63DF">
        <w:t xml:space="preserve"> and use solid biomass as the primary fuel</w:t>
      </w:r>
      <w:r w:rsidRPr="009F63DF">
        <w:t>;</w:t>
      </w:r>
      <w:bookmarkEnd w:id="125"/>
    </w:p>
    <w:p w14:paraId="25BE61E8" w14:textId="0B1B0E81" w:rsidR="001C2394" w:rsidRPr="009F63DF" w:rsidRDefault="001C2394" w:rsidP="00E03E61">
      <w:pPr>
        <w:pStyle w:val="SDMSubPara1"/>
      </w:pPr>
      <w:r w:rsidRPr="009F63DF">
        <w:rPr>
          <w:b/>
          <w:bCs/>
        </w:rPr>
        <w:t>Artisanal charcoal:</w:t>
      </w:r>
      <w:r w:rsidRPr="009F63DF">
        <w:t xml:space="preserve"> </w:t>
      </w:r>
      <w:r w:rsidR="006603DA" w:rsidRPr="009F63DF">
        <w:t>a</w:t>
      </w:r>
      <w:r w:rsidRPr="009F63DF">
        <w:t xml:space="preserve"> </w:t>
      </w:r>
      <w:r w:rsidR="00F24E1E" w:rsidRPr="009F63DF">
        <w:t>biomass fuel</w:t>
      </w:r>
      <w:r w:rsidRPr="009F63DF">
        <w:t xml:space="preserve"> that is a black substance made up mostly of carbon and has higher energy density than wood</w:t>
      </w:r>
      <w:r w:rsidR="000A0404" w:rsidRPr="009F63DF">
        <w:t xml:space="preserve">. </w:t>
      </w:r>
      <w:r w:rsidR="00A96115" w:rsidRPr="009F63DF">
        <w:t>Artisanal charcoal</w:t>
      </w:r>
      <w:r w:rsidR="000A0404" w:rsidRPr="009F63DF">
        <w:t xml:space="preserve"> is</w:t>
      </w:r>
      <w:r w:rsidRPr="009F63DF">
        <w:t xml:space="preserve"> </w:t>
      </w:r>
      <w:r w:rsidR="000A0404" w:rsidRPr="009F63DF">
        <w:t xml:space="preserve">produced </w:t>
      </w:r>
      <w:r w:rsidRPr="009F63DF">
        <w:t>using traditional, small-scale methods, which typically involve stacking wood and covering it with earth. A fraction of the wood is burned, which initiates pyrolysis, a thermo-chemical process that drives off moisture and volatile compounds</w:t>
      </w:r>
      <w:r w:rsidR="00D86044" w:rsidRPr="009F63DF">
        <w:t xml:space="preserve"> </w:t>
      </w:r>
      <w:r w:rsidR="003810C6" w:rsidRPr="009F63DF">
        <w:t>at high temperatures in the absence of oxygen</w:t>
      </w:r>
      <w:r w:rsidRPr="009F63DF">
        <w:t>, leaving behind charcoal. This technique has been used since the Bronze Age and contrasts with more modern techniques</w:t>
      </w:r>
      <w:r w:rsidR="000C42A3" w:rsidRPr="009F63DF">
        <w:t>;</w:t>
      </w:r>
    </w:p>
    <w:p w14:paraId="13BEC146" w14:textId="0CD8BE59" w:rsidR="001C2394" w:rsidRPr="009F63DF" w:rsidRDefault="001C2394" w:rsidP="00E03E61">
      <w:pPr>
        <w:pStyle w:val="SDMSubPara1"/>
      </w:pPr>
      <w:r w:rsidRPr="009F63DF">
        <w:rPr>
          <w:b/>
          <w:bCs/>
        </w:rPr>
        <w:t>Best practice</w:t>
      </w:r>
      <w:r w:rsidRPr="009F63DF">
        <w:t xml:space="preserve">: </w:t>
      </w:r>
      <w:r w:rsidR="006603DA" w:rsidRPr="009F63DF">
        <w:t>e</w:t>
      </w:r>
      <w:r w:rsidRPr="009F63DF">
        <w:t xml:space="preserve">vidence-based approaches recommended throughout this </w:t>
      </w:r>
      <w:r w:rsidR="00AB7526" w:rsidRPr="009F63DF">
        <w:t xml:space="preserve">mechanism </w:t>
      </w:r>
      <w:r w:rsidRPr="009F63DF">
        <w:t>methodology</w:t>
      </w:r>
      <w:r w:rsidR="006C48CD" w:rsidRPr="009F63DF">
        <w:t xml:space="preserve"> based on expert</w:t>
      </w:r>
      <w:r w:rsidR="007118C7" w:rsidRPr="009F63DF">
        <w:t xml:space="preserve"> judgment and literature sources</w:t>
      </w:r>
      <w:r w:rsidR="000C42A3" w:rsidRPr="009F63DF">
        <w:t>;</w:t>
      </w:r>
    </w:p>
    <w:p w14:paraId="7CA88D2D" w14:textId="49BF2703" w:rsidR="009068EB" w:rsidRPr="009F63DF" w:rsidRDefault="001C2394" w:rsidP="00E03E61">
      <w:pPr>
        <w:pStyle w:val="SDMSubPara1"/>
      </w:pPr>
      <w:r w:rsidRPr="009F63DF">
        <w:rPr>
          <w:b/>
          <w:bCs/>
        </w:rPr>
        <w:t>Cooking event:</w:t>
      </w:r>
      <w:r w:rsidRPr="009F63DF">
        <w:t xml:space="preserve"> </w:t>
      </w:r>
      <w:r w:rsidR="005D0BFF" w:rsidRPr="009F63DF">
        <w:t>o</w:t>
      </w:r>
      <w:r w:rsidRPr="009F63DF">
        <w:t xml:space="preserve">ccurrence in which energy is delivered from a cookstove to </w:t>
      </w:r>
      <w:r w:rsidR="005A34BA" w:rsidRPr="009F63DF">
        <w:t xml:space="preserve">perform </w:t>
      </w:r>
      <w:r w:rsidRPr="009F63DF">
        <w:t>a discrete task or set of tasks</w:t>
      </w:r>
      <w:r w:rsidR="0068204F" w:rsidRPr="009F63DF">
        <w:t>, such as cooking a meal, preparing beverages or heating water</w:t>
      </w:r>
      <w:r w:rsidR="00E11262" w:rsidRPr="009F63DF">
        <w:t>;</w:t>
      </w:r>
    </w:p>
    <w:p w14:paraId="38B0C6F0" w14:textId="47146F77" w:rsidR="001C2394" w:rsidRPr="009F63DF" w:rsidRDefault="001C2394" w:rsidP="00E03E61">
      <w:pPr>
        <w:pStyle w:val="SDMSubPara1"/>
      </w:pPr>
      <w:r w:rsidRPr="009F63DF">
        <w:rPr>
          <w:b/>
          <w:bCs/>
        </w:rPr>
        <w:t>Displacement:</w:t>
      </w:r>
      <w:r w:rsidRPr="009F63DF">
        <w:t xml:space="preserve"> </w:t>
      </w:r>
      <w:r w:rsidR="007C1527" w:rsidRPr="009F63DF">
        <w:t>d</w:t>
      </w:r>
      <w:r w:rsidRPr="009F63DF">
        <w:t>is</w:t>
      </w:r>
      <w:r w:rsidR="0036293D" w:rsidRPr="009F63DF">
        <w:rPr>
          <w:lang w:eastAsia="ja-JP"/>
        </w:rPr>
        <w:t>continu</w:t>
      </w:r>
      <w:r w:rsidR="00DB7E17" w:rsidRPr="009F63DF">
        <w:rPr>
          <w:lang w:eastAsia="ja-JP"/>
        </w:rPr>
        <w:t>ation of</w:t>
      </w:r>
      <w:r w:rsidR="0036293D" w:rsidRPr="009F63DF">
        <w:rPr>
          <w:lang w:eastAsia="ja-JP"/>
        </w:rPr>
        <w:t xml:space="preserve"> </w:t>
      </w:r>
      <w:r w:rsidRPr="009F63DF">
        <w:t>use of baseline cooking technologies and fuels due to use of the project cookstove;</w:t>
      </w:r>
    </w:p>
    <w:p w14:paraId="70CCA540" w14:textId="43B2BDEC" w:rsidR="001C2394" w:rsidRPr="009F63DF" w:rsidRDefault="001C2394" w:rsidP="00E03E61">
      <w:pPr>
        <w:pStyle w:val="SDMSubPara1"/>
      </w:pPr>
      <w:r w:rsidRPr="009F63DF">
        <w:rPr>
          <w:b/>
          <w:bCs/>
        </w:rPr>
        <w:t>Fraction of Non-Renewable Biomass (f</w:t>
      </w:r>
      <w:r w:rsidRPr="009F63DF">
        <w:rPr>
          <w:b/>
        </w:rPr>
        <w:t>NRB</w:t>
      </w:r>
      <w:r w:rsidRPr="009F63DF">
        <w:rPr>
          <w:b/>
          <w:bCs/>
        </w:rPr>
        <w:t>):</w:t>
      </w:r>
      <w:r w:rsidRPr="009F63DF">
        <w:t xml:space="preserve"> </w:t>
      </w:r>
      <w:r w:rsidR="007C1527" w:rsidRPr="009F63DF">
        <w:t>t</w:t>
      </w:r>
      <w:r w:rsidRPr="009F63DF">
        <w:t>he proportion of harvested biomass that exceeds the natural rate of regeneration of the landscape during a given period;</w:t>
      </w:r>
    </w:p>
    <w:p w14:paraId="75EC6DB3" w14:textId="5397BA63" w:rsidR="001C2394" w:rsidRPr="009F63DF" w:rsidRDefault="001C2394" w:rsidP="00E03E61">
      <w:pPr>
        <w:pStyle w:val="SDMSubPara1"/>
      </w:pPr>
      <w:r w:rsidRPr="009F63DF">
        <w:rPr>
          <w:b/>
          <w:bCs/>
        </w:rPr>
        <w:t>Harvested biomass</w:t>
      </w:r>
      <w:r w:rsidRPr="009F63DF">
        <w:t xml:space="preserve">: </w:t>
      </w:r>
      <w:r w:rsidR="007C1527" w:rsidRPr="009F63DF">
        <w:t>a</w:t>
      </w:r>
      <w:r w:rsidRPr="009F63DF">
        <w:t>bove-ground woody biomass collected or cut from living trees for use as fuelwood or for conversion to charcoal for use as fuel</w:t>
      </w:r>
      <w:r w:rsidR="00E11262" w:rsidRPr="009F63DF">
        <w:t>;</w:t>
      </w:r>
    </w:p>
    <w:p w14:paraId="0A396A23" w14:textId="31CD6624" w:rsidR="001C2394" w:rsidRPr="009F63DF" w:rsidRDefault="001C2394" w:rsidP="00E03E61">
      <w:pPr>
        <w:pStyle w:val="SDMSubPara1"/>
      </w:pPr>
      <w:r w:rsidRPr="009F63DF">
        <w:rPr>
          <w:b/>
          <w:bCs/>
        </w:rPr>
        <w:t xml:space="preserve">Hawthorne </w:t>
      </w:r>
      <w:r w:rsidR="00F90C69" w:rsidRPr="009F63DF">
        <w:rPr>
          <w:b/>
          <w:bCs/>
        </w:rPr>
        <w:t>e</w:t>
      </w:r>
      <w:r w:rsidRPr="009F63DF">
        <w:rPr>
          <w:b/>
          <w:bCs/>
        </w:rPr>
        <w:t>ffect</w:t>
      </w:r>
      <w:r w:rsidRPr="009F63DF">
        <w:t xml:space="preserve">: </w:t>
      </w:r>
      <w:r w:rsidR="007C1527" w:rsidRPr="009F63DF">
        <w:rPr>
          <w:color w:val="000000" w:themeColor="text1"/>
        </w:rPr>
        <w:t>i</w:t>
      </w:r>
      <w:r w:rsidR="009F3AAC" w:rsidRPr="009F63DF">
        <w:rPr>
          <w:color w:val="000000" w:themeColor="text1"/>
        </w:rPr>
        <w:t>mpact on</w:t>
      </w:r>
      <w:r w:rsidR="42E6A4F4" w:rsidRPr="009F63DF">
        <w:rPr>
          <w:color w:val="000000" w:themeColor="text1"/>
        </w:rPr>
        <w:t xml:space="preserve"> user behaviour </w:t>
      </w:r>
      <w:r w:rsidR="00D324DF" w:rsidRPr="009F63DF">
        <w:rPr>
          <w:color w:val="000000" w:themeColor="text1"/>
        </w:rPr>
        <w:t>(</w:t>
      </w:r>
      <w:r w:rsidR="42E6A4F4" w:rsidRPr="009F63DF">
        <w:rPr>
          <w:color w:val="000000" w:themeColor="text1"/>
        </w:rPr>
        <w:t>such as</w:t>
      </w:r>
      <w:r w:rsidR="00D324DF" w:rsidRPr="009F63DF">
        <w:rPr>
          <w:color w:val="000000" w:themeColor="text1"/>
        </w:rPr>
        <w:t xml:space="preserve"> </w:t>
      </w:r>
      <w:r w:rsidR="42E6A4F4" w:rsidRPr="009F63DF">
        <w:rPr>
          <w:color w:val="000000" w:themeColor="text1"/>
        </w:rPr>
        <w:t>altered use of cooking technologies or fuels</w:t>
      </w:r>
      <w:r w:rsidR="00D324DF" w:rsidRPr="009F63DF">
        <w:rPr>
          <w:color w:val="000000" w:themeColor="text1"/>
        </w:rPr>
        <w:t>)</w:t>
      </w:r>
      <w:r w:rsidR="42E6A4F4" w:rsidRPr="009F63DF">
        <w:rPr>
          <w:color w:val="000000" w:themeColor="text1"/>
        </w:rPr>
        <w:t xml:space="preserve"> resulting from awareness of being observed during monitoring or measurement activities, leading to a deviation from typical usage patterns</w:t>
      </w:r>
      <w:r w:rsidRPr="009F63DF">
        <w:t>;</w:t>
      </w:r>
    </w:p>
    <w:p w14:paraId="57A968CD" w14:textId="70BB54ED" w:rsidR="001C2394" w:rsidRPr="009F63DF" w:rsidRDefault="001C2394" w:rsidP="00E03E61">
      <w:pPr>
        <w:pStyle w:val="SDMSubPara1"/>
      </w:pPr>
      <w:r w:rsidRPr="009F63DF">
        <w:rPr>
          <w:b/>
          <w:bCs/>
        </w:rPr>
        <w:t>Household:</w:t>
      </w:r>
      <w:r w:rsidRPr="009F63DF">
        <w:t xml:space="preserve"> </w:t>
      </w:r>
      <w:r w:rsidR="00AB62C3" w:rsidRPr="009F63DF">
        <w:t>i</w:t>
      </w:r>
      <w:r w:rsidRPr="009F63DF">
        <w:t>ndividual residential unit and all the individuals living together and sharing cooking facilities and energy resources within that dwelling as their usual place of residence;</w:t>
      </w:r>
    </w:p>
    <w:p w14:paraId="19266122" w14:textId="7A7B7B8C" w:rsidR="001C2394" w:rsidRPr="009F63DF" w:rsidRDefault="001C2394" w:rsidP="00E03E61">
      <w:pPr>
        <w:pStyle w:val="SDMSubPara1"/>
      </w:pPr>
      <w:r w:rsidRPr="009F63DF">
        <w:rPr>
          <w:b/>
          <w:bCs/>
        </w:rPr>
        <w:t>Kitchen Performance Test (KPT):</w:t>
      </w:r>
      <w:r w:rsidRPr="009F63DF">
        <w:t xml:space="preserve"> </w:t>
      </w:r>
      <w:r w:rsidR="00AB62C3" w:rsidRPr="009F63DF">
        <w:t>f</w:t>
      </w:r>
      <w:r w:rsidRPr="009F63DF">
        <w:t>ield</w:t>
      </w:r>
      <w:r w:rsidR="00E52977" w:rsidRPr="009F63DF">
        <w:t>-</w:t>
      </w:r>
      <w:r w:rsidRPr="009F63DF">
        <w:t>based procedure to quantify fuel consumption under typical household and cookstove usage conditions</w:t>
      </w:r>
      <w:r w:rsidR="000264A7" w:rsidRPr="009F63DF">
        <w:t xml:space="preserve"> that</w:t>
      </w:r>
      <w:r w:rsidRPr="009F63DF">
        <w:t xml:space="preserve"> involves daily measurements of the amount of fuel used across several days in the user household’s kitchen;</w:t>
      </w:r>
    </w:p>
    <w:p w14:paraId="22CEC452" w14:textId="57C947D9" w:rsidR="008C5DAE" w:rsidRPr="009F63DF" w:rsidRDefault="008C5DAE" w:rsidP="00E03E61">
      <w:pPr>
        <w:pStyle w:val="SDMSubPara1"/>
      </w:pPr>
      <w:r w:rsidRPr="009F63DF">
        <w:rPr>
          <w:b/>
          <w:bCs/>
        </w:rPr>
        <w:t xml:space="preserve">Plancha-type stoves: </w:t>
      </w:r>
      <w:r w:rsidRPr="009F63DF">
        <w:t>stoves that use an open, flat griddle cooking surface rather than an enclosed pot that are the standard cooking technology for preparing griddle-based foods (for example, tortillas), for which tests based on heat transfer to pots of boiling water are not well-suited to reflect thermal efficiency for the relevant cooking tasks.</w:t>
      </w:r>
    </w:p>
    <w:p w14:paraId="3B9ED4B3" w14:textId="27616089" w:rsidR="006D2932" w:rsidRPr="009F63DF" w:rsidRDefault="00E67C80" w:rsidP="00E03E61">
      <w:pPr>
        <w:pStyle w:val="SDMSubPara1"/>
      </w:pPr>
      <w:r w:rsidRPr="009F63DF">
        <w:rPr>
          <w:b/>
          <w:bCs/>
        </w:rPr>
        <w:t>Project cookstoves</w:t>
      </w:r>
      <w:r w:rsidR="00A23517" w:rsidRPr="009F63DF">
        <w:rPr>
          <w:b/>
          <w:bCs/>
        </w:rPr>
        <w:t xml:space="preserve">: </w:t>
      </w:r>
      <w:r w:rsidR="00AB62C3" w:rsidRPr="009F63DF">
        <w:t>a</w:t>
      </w:r>
      <w:r w:rsidR="0034661F" w:rsidRPr="009F63DF">
        <w:t xml:space="preserve">ll cookstoves introduced </w:t>
      </w:r>
      <w:r w:rsidR="006A7710" w:rsidRPr="009F63DF">
        <w:t xml:space="preserve">by the Article 6.4 activity </w:t>
      </w:r>
      <w:r w:rsidR="0034661F" w:rsidRPr="009F63DF">
        <w:t xml:space="preserve">and used by user households </w:t>
      </w:r>
      <w:r w:rsidR="00B45CB0" w:rsidRPr="009F63DF">
        <w:t xml:space="preserve">to replace or reduce the use of </w:t>
      </w:r>
      <w:r w:rsidR="00B57723" w:rsidRPr="009F63DF">
        <w:t>existing cookstoves</w:t>
      </w:r>
      <w:r w:rsidR="00E11262" w:rsidRPr="009F63DF">
        <w:t>;</w:t>
      </w:r>
    </w:p>
    <w:p w14:paraId="0A5629BE" w14:textId="0AC5434E" w:rsidR="001C2394" w:rsidRPr="009F63DF" w:rsidRDefault="001C2394" w:rsidP="00E03E61">
      <w:pPr>
        <w:pStyle w:val="SDMSubPara1"/>
      </w:pPr>
      <w:r w:rsidRPr="009F63DF">
        <w:rPr>
          <w:b/>
          <w:bCs/>
        </w:rPr>
        <w:t>Stove stacking</w:t>
      </w:r>
      <w:r w:rsidRPr="009F63DF">
        <w:t xml:space="preserve">: </w:t>
      </w:r>
      <w:r w:rsidR="00AB62C3" w:rsidRPr="009F63DF">
        <w:t>u</w:t>
      </w:r>
      <w:r w:rsidRPr="009F63DF">
        <w:t xml:space="preserve">se of multiple cooking technologies and/or fuels within a </w:t>
      </w:r>
      <w:r w:rsidR="00113E99" w:rsidRPr="009F63DF">
        <w:t xml:space="preserve">user </w:t>
      </w:r>
      <w:r w:rsidRPr="009F63DF">
        <w:t>household;</w:t>
      </w:r>
    </w:p>
    <w:p w14:paraId="268C019E" w14:textId="4C446C0B" w:rsidR="001C2394" w:rsidRPr="009F63DF" w:rsidRDefault="001C2394" w:rsidP="00E03E61">
      <w:pPr>
        <w:pStyle w:val="SDMSubPara1"/>
      </w:pPr>
      <w:r w:rsidRPr="009F63DF">
        <w:rPr>
          <w:b/>
          <w:bCs/>
        </w:rPr>
        <w:t>Stove Use Monitor (SUM):</w:t>
      </w:r>
      <w:r w:rsidRPr="009F63DF">
        <w:t xml:space="preserve"> </w:t>
      </w:r>
      <w:r w:rsidR="00AB62C3" w:rsidRPr="009F63DF">
        <w:t>d</w:t>
      </w:r>
      <w:r w:rsidRPr="009F63DF">
        <w:t>evice that quantifies cookstove usage through direct measurements of physical or chemical parameters (e.g., temperature) of cookstoves</w:t>
      </w:r>
      <w:r w:rsidR="00D648F8" w:rsidRPr="009F63DF">
        <w:t xml:space="preserve"> </w:t>
      </w:r>
      <w:r w:rsidR="005D67F1" w:rsidRPr="009F63DF">
        <w:t>that relate to</w:t>
      </w:r>
      <w:r w:rsidR="00D648F8" w:rsidRPr="009F63DF">
        <w:t xml:space="preserve"> the number of cooking events</w:t>
      </w:r>
      <w:r w:rsidRPr="009F63DF">
        <w:t>. SUMs do not measure fuel or energy consumption;</w:t>
      </w:r>
      <w:r w:rsidR="0080158D" w:rsidRPr="009F63DF">
        <w:rPr>
          <w:rStyle w:val="FootnoteReference"/>
        </w:rPr>
        <w:footnoteReference w:id="4"/>
      </w:r>
    </w:p>
    <w:p w14:paraId="6426C896" w14:textId="3930A0A5" w:rsidR="001C2394" w:rsidRPr="009F63DF" w:rsidRDefault="001C2394" w:rsidP="00E03E61">
      <w:pPr>
        <w:pStyle w:val="SDMSubPara1"/>
      </w:pPr>
      <w:r w:rsidRPr="009F63DF">
        <w:rPr>
          <w:b/>
          <w:bCs/>
        </w:rPr>
        <w:t>Third-party entity:</w:t>
      </w:r>
      <w:r w:rsidRPr="009F63DF">
        <w:t xml:space="preserve"> </w:t>
      </w:r>
      <w:r w:rsidR="00AB62C3" w:rsidRPr="009F63DF">
        <w:t>e</w:t>
      </w:r>
      <w:r w:rsidRPr="009F63DF">
        <w:t xml:space="preserve">ntity that has no affiliation with the activity </w:t>
      </w:r>
      <w:r w:rsidR="00D11391" w:rsidRPr="009F63DF">
        <w:t xml:space="preserve">participants </w:t>
      </w:r>
      <w:r w:rsidRPr="009F63DF">
        <w:t>and no financial stake in the Article 6.4 activity that applies this mechanism methodology;</w:t>
      </w:r>
    </w:p>
    <w:p w14:paraId="7A4D0A0E" w14:textId="1DBDA483" w:rsidR="006A691F" w:rsidRPr="009F63DF" w:rsidRDefault="006A691F" w:rsidP="00E03E61">
      <w:pPr>
        <w:pStyle w:val="SDMSubPara1"/>
      </w:pPr>
      <w:r w:rsidRPr="009F63DF">
        <w:rPr>
          <w:b/>
          <w:bCs/>
        </w:rPr>
        <w:t>Useful energy:</w:t>
      </w:r>
      <w:r w:rsidRPr="009F63DF">
        <w:t xml:space="preserve"> Useful energy is the thermal energy effectively delivered by a cookstove to perform cooking </w:t>
      </w:r>
      <w:r w:rsidR="007E1F7D" w:rsidRPr="009F63DF">
        <w:t>events</w:t>
      </w:r>
      <w:r w:rsidRPr="009F63DF">
        <w:t>, excluding all conversion and transfer losses</w:t>
      </w:r>
      <w:r w:rsidR="00FF4BC9" w:rsidRPr="009F63DF">
        <w:t>;</w:t>
      </w:r>
    </w:p>
    <w:p w14:paraId="60088E64" w14:textId="03F9312D" w:rsidR="002F1DE2" w:rsidRPr="009F63DF" w:rsidRDefault="002F1DE2" w:rsidP="00E03E61">
      <w:pPr>
        <w:pStyle w:val="SDMSubPara1"/>
      </w:pPr>
      <w:bookmarkStart w:id="126" w:name="_Ref232966005"/>
      <w:r w:rsidRPr="009F63DF">
        <w:rPr>
          <w:b/>
          <w:bCs/>
        </w:rPr>
        <w:t>User household:</w:t>
      </w:r>
      <w:r w:rsidRPr="009F63DF">
        <w:t xml:space="preserve"> Article 6.4 activity household with a functioning project cookstove that is use</w:t>
      </w:r>
      <w:r w:rsidR="007E7D19" w:rsidRPr="009F63DF">
        <w:t>d,</w:t>
      </w:r>
      <w:r w:rsidRPr="009F63DF">
        <w:t xml:space="preserve"> on average</w:t>
      </w:r>
      <w:r w:rsidR="007E7D19" w:rsidRPr="009F63DF">
        <w:t>, for</w:t>
      </w:r>
      <w:r w:rsidRPr="009F63DF">
        <w:t xml:space="preserve"> at least </w:t>
      </w:r>
      <w:r w:rsidR="001A536F" w:rsidRPr="009F63DF">
        <w:t>five</w:t>
      </w:r>
      <w:r w:rsidR="007E7D19" w:rsidRPr="009F63DF">
        <w:t xml:space="preserve"> cooking event</w:t>
      </w:r>
      <w:r w:rsidR="005330FD" w:rsidRPr="009F63DF">
        <w:t>s</w:t>
      </w:r>
      <w:r w:rsidRPr="009F63DF">
        <w:t xml:space="preserve"> per week during a given monitoring period. The Article 6.4 activity may choose a higher threshold to define a user household</w:t>
      </w:r>
      <w:r w:rsidR="00D73ECD" w:rsidRPr="009F63DF">
        <w:t>, and</w:t>
      </w:r>
      <w:r w:rsidRPr="009F63DF">
        <w:t xml:space="preserve"> </w:t>
      </w:r>
      <w:r w:rsidR="00D73ECD" w:rsidRPr="009F63DF">
        <w:t>t</w:t>
      </w:r>
      <w:r w:rsidRPr="009F63DF">
        <w:t>he threshold for user household shall be specified in the monitoring plan and applied consistently to the entire crediting period;</w:t>
      </w:r>
      <w:bookmarkEnd w:id="126"/>
    </w:p>
    <w:p w14:paraId="35E3281D" w14:textId="1EDE0832" w:rsidR="001C2394" w:rsidRPr="009F63DF" w:rsidRDefault="001C2394" w:rsidP="00E03E61">
      <w:pPr>
        <w:pStyle w:val="SDMSubPara1"/>
      </w:pPr>
      <w:r w:rsidRPr="009F63DF">
        <w:rPr>
          <w:b/>
          <w:bCs/>
        </w:rPr>
        <w:t>Usage:</w:t>
      </w:r>
      <w:r w:rsidRPr="009F63DF">
        <w:t xml:space="preserve"> </w:t>
      </w:r>
      <w:r w:rsidR="00AB62C3" w:rsidRPr="009F63DF">
        <w:t>f</w:t>
      </w:r>
      <w:r w:rsidRPr="009F63DF">
        <w:t xml:space="preserve">requency </w:t>
      </w:r>
      <w:r w:rsidR="00CC419A" w:rsidRPr="009F63DF">
        <w:t>of cooking events</w:t>
      </w:r>
      <w:r w:rsidRPr="009F63DF">
        <w:t xml:space="preserve"> with </w:t>
      </w:r>
      <w:r w:rsidR="00956484" w:rsidRPr="009F63DF">
        <w:t>the project cookstove</w:t>
      </w:r>
      <w:r w:rsidRPr="009F63DF">
        <w:t>;</w:t>
      </w:r>
      <w:r w:rsidR="56EDF842" w:rsidRPr="009F63DF">
        <w:t xml:space="preserve"> and</w:t>
      </w:r>
    </w:p>
    <w:p w14:paraId="6686BDF8" w14:textId="700AF822" w:rsidR="001C2394" w:rsidRPr="009F63DF" w:rsidRDefault="001C2394" w:rsidP="00E03E61">
      <w:pPr>
        <w:pStyle w:val="SDMSubPara1"/>
      </w:pPr>
      <w:r w:rsidRPr="009F63DF">
        <w:rPr>
          <w:b/>
          <w:bCs/>
        </w:rPr>
        <w:t>Wood-to-charcoal conversion factor:</w:t>
      </w:r>
      <w:r w:rsidRPr="009F63DF">
        <w:t xml:space="preserve"> </w:t>
      </w:r>
      <w:r w:rsidR="00AB62C3" w:rsidRPr="009F63DF">
        <w:t>t</w:t>
      </w:r>
      <w:r w:rsidRPr="009F63DF">
        <w:t xml:space="preserve">he amount of wood needed to produce a </w:t>
      </w:r>
      <w:r w:rsidR="00946AED" w:rsidRPr="009F63DF">
        <w:t>certain</w:t>
      </w:r>
      <w:r w:rsidRPr="009F63DF">
        <w:t xml:space="preserve"> quantity of charcoal, expressed as a ratio of the mass of air-dry wood input per mass of charcoal output.</w:t>
      </w:r>
    </w:p>
    <w:p w14:paraId="5A32C057" w14:textId="446D6C14" w:rsidR="001C2394" w:rsidRPr="009F63DF" w:rsidRDefault="001C2394" w:rsidP="00E03E61">
      <w:pPr>
        <w:pStyle w:val="SDMPara"/>
      </w:pPr>
      <w:r w:rsidRPr="009F63DF">
        <w:t xml:space="preserve">Furthermore, the terms in the “Glossary: Article 6.4 mechanism terms” (A6.4-GLOS-GOV-001) and the definitions and terms in the methodological tools referred to in section </w:t>
      </w:r>
      <w:r w:rsidR="00A41D0A" w:rsidRPr="009F63DF">
        <w:fldChar w:fldCharType="begin"/>
      </w:r>
      <w:r w:rsidR="00A41D0A" w:rsidRPr="009F63DF">
        <w:instrText xml:space="preserve"> REF _Ref233731059 \n \h </w:instrText>
      </w:r>
      <w:r w:rsidR="00A41D0A" w:rsidRPr="009F63DF">
        <w:fldChar w:fldCharType="separate"/>
      </w:r>
      <w:r w:rsidR="00831DAE">
        <w:rPr>
          <w:cs/>
        </w:rPr>
        <w:t>‎</w:t>
      </w:r>
      <w:r w:rsidR="00831DAE">
        <w:t>3</w:t>
      </w:r>
      <w:r w:rsidR="00A41D0A" w:rsidRPr="009F63DF">
        <w:fldChar w:fldCharType="end"/>
      </w:r>
      <w:r w:rsidRPr="009F63DF">
        <w:t xml:space="preserve"> shall apply.</w:t>
      </w:r>
    </w:p>
    <w:p w14:paraId="68099D00" w14:textId="77777777" w:rsidR="001C2394" w:rsidRPr="009F63DF" w:rsidRDefault="001C2394" w:rsidP="00E96ED3">
      <w:pPr>
        <w:pStyle w:val="SDMHead1"/>
      </w:pPr>
      <w:bookmarkStart w:id="127" w:name="_Toc226502265"/>
      <w:bookmarkStart w:id="128" w:name="_Toc226576219"/>
      <w:bookmarkStart w:id="129" w:name="_Toc226983069"/>
      <w:bookmarkStart w:id="130" w:name="_Toc227677267"/>
      <w:bookmarkStart w:id="131" w:name="_Toc227694789"/>
      <w:bookmarkStart w:id="132" w:name="_Toc227920903"/>
      <w:bookmarkStart w:id="133" w:name="_Toc227938804"/>
      <w:bookmarkStart w:id="134" w:name="_Toc227948055"/>
      <w:bookmarkStart w:id="135" w:name="_Toc233388612"/>
      <w:bookmarkStart w:id="136" w:name="_Ref233731059"/>
      <w:bookmarkStart w:id="137" w:name="_Toc233961419"/>
      <w:bookmarkStart w:id="138" w:name="_Toc233970228"/>
      <w:bookmarkStart w:id="139" w:name="_Toc240546558"/>
      <w:bookmarkStart w:id="140" w:name="_Toc240631959"/>
      <w:bookmarkStart w:id="141" w:name="_Toc242471144"/>
      <w:bookmarkStart w:id="142" w:name="_Toc219446915"/>
      <w:bookmarkStart w:id="143" w:name="_Toc219711050"/>
      <w:bookmarkStart w:id="144" w:name="_Toc219711153"/>
      <w:bookmarkStart w:id="145" w:name="_Toc219711330"/>
      <w:r w:rsidRPr="009F63DF">
        <w:t>Normative and informative references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5B9F0BFB" w14:textId="33EEEC69" w:rsidR="001E5FD9" w:rsidRPr="00766880" w:rsidRDefault="001E5FD9" w:rsidP="00E03E61">
      <w:pPr>
        <w:pStyle w:val="SDMPara"/>
      </w:pPr>
      <w:r w:rsidRPr="009F63DF">
        <w:t>This mechanism methodology is based on elements from version 14.0 of the Clean Development Mechanism (CDM) Methodology “AMS-II.G.: Energy efficiency measures in thermal applications of non-renewable biomass”</w:t>
      </w:r>
      <w:r w:rsidR="00EE34AA" w:rsidRPr="009F63DF">
        <w:t xml:space="preserve"> </w:t>
      </w:r>
      <w:r w:rsidRPr="009F63DF">
        <w:t>and bottom</w:t>
      </w:r>
      <w:r w:rsidR="00CD4E69">
        <w:t>-</w:t>
      </w:r>
      <w:r w:rsidRPr="009F63DF">
        <w:t xml:space="preserve">up submission, </w:t>
      </w:r>
      <w:r w:rsidR="1AA814B1" w:rsidRPr="009F63DF">
        <w:t>”</w:t>
      </w:r>
      <w:r w:rsidRPr="009F63DF">
        <w:t>A6.4-</w:t>
      </w:r>
      <w:r w:rsidR="008071B6" w:rsidRPr="009F63DF">
        <w:t> </w:t>
      </w:r>
      <w:r w:rsidR="00302D8A" w:rsidRPr="009F63DF">
        <w:t xml:space="preserve">Proposed new methodology: </w:t>
      </w:r>
      <w:r w:rsidRPr="009F63DF">
        <w:t xml:space="preserve">Comprehensive Lowered Emission Assessment and Reporting (CLEAR) </w:t>
      </w:r>
      <w:r w:rsidRPr="00766880">
        <w:t>Methodology for Cooking Energy Transitions”</w:t>
      </w:r>
      <w:r w:rsidR="00302D8A" w:rsidRPr="00766880">
        <w:t xml:space="preserve"> (A6.4-PNM004)</w:t>
      </w:r>
      <w:r w:rsidRPr="00766880">
        <w:t>.</w:t>
      </w:r>
      <w:r w:rsidR="00710927" w:rsidRPr="00766880">
        <w:rPr>
          <w:rStyle w:val="FootnoteReference"/>
        </w:rPr>
        <w:t xml:space="preserve"> </w:t>
      </w:r>
      <w:r w:rsidR="00710927" w:rsidRPr="00766880">
        <w:rPr>
          <w:rStyle w:val="FootnoteReference"/>
        </w:rPr>
        <w:footnoteReference w:id="5"/>
      </w:r>
      <w:r w:rsidR="00710927" w:rsidRPr="00766880">
        <w:rPr>
          <w:rStyle w:val="FootnoteReference"/>
        </w:rPr>
        <w:t>,</w:t>
      </w:r>
      <w:r w:rsidR="00BD6B40" w:rsidRPr="00766880">
        <w:rPr>
          <w:rStyle w:val="FootnoteReference"/>
        </w:rPr>
        <w:footnoteReference w:id="6"/>
      </w:r>
    </w:p>
    <w:p w14:paraId="7F9B91BE" w14:textId="4729BB20" w:rsidR="001E5FD9" w:rsidRPr="00766880" w:rsidRDefault="001E5FD9" w:rsidP="00655F47">
      <w:pPr>
        <w:pStyle w:val="SDMPara"/>
        <w:keepNext/>
      </w:pPr>
      <w:bookmarkStart w:id="146" w:name="_Ref227588666"/>
      <w:r w:rsidRPr="00766880">
        <w:t>The following normative documents are indispensable for the application of this mechanism methodology:</w:t>
      </w:r>
      <w:bookmarkEnd w:id="146"/>
    </w:p>
    <w:p w14:paraId="0E332601" w14:textId="20688A34" w:rsidR="001E5FD9" w:rsidRPr="00766880" w:rsidRDefault="0025186F" w:rsidP="00E03E61">
      <w:pPr>
        <w:pStyle w:val="SDMSubPara1"/>
      </w:pPr>
      <w:r w:rsidRPr="00766880">
        <w:t>“</w:t>
      </w:r>
      <w:r w:rsidR="341EF737" w:rsidRPr="00766880">
        <w:t>Methodological tool: Sampling and surveys” (</w:t>
      </w:r>
      <w:r w:rsidRPr="00766880">
        <w:t>A6.4-</w:t>
      </w:r>
      <w:r w:rsidR="00806888" w:rsidRPr="00766880">
        <w:t>AMT-</w:t>
      </w:r>
      <w:r w:rsidR="005A32CB" w:rsidRPr="00766880">
        <w:t>01</w:t>
      </w:r>
      <w:r w:rsidR="00766880" w:rsidRPr="00766880">
        <w:t>0</w:t>
      </w:r>
      <w:r w:rsidRPr="00766880">
        <w:t xml:space="preserve">) </w:t>
      </w:r>
      <w:r w:rsidR="341EF737" w:rsidRPr="00766880">
        <w:t xml:space="preserve">(hereinafter referred </w:t>
      </w:r>
      <w:r w:rsidR="009C0DEE" w:rsidRPr="00766880">
        <w:t>to</w:t>
      </w:r>
      <w:r w:rsidR="341EF737" w:rsidRPr="00766880">
        <w:t xml:space="preserve"> as “</w:t>
      </w:r>
      <w:r w:rsidR="003B2A52" w:rsidRPr="00766880">
        <w:t>s</w:t>
      </w:r>
      <w:r w:rsidR="341EF737" w:rsidRPr="00766880">
        <w:t>ampling</w:t>
      </w:r>
      <w:r w:rsidR="003917C0" w:rsidRPr="00766880">
        <w:t xml:space="preserve"> and </w:t>
      </w:r>
      <w:r w:rsidR="003B2A52" w:rsidRPr="00766880">
        <w:t>s</w:t>
      </w:r>
      <w:r w:rsidR="003917C0" w:rsidRPr="00766880">
        <w:t>urveys</w:t>
      </w:r>
      <w:r w:rsidR="341EF737" w:rsidRPr="00766880">
        <w:t xml:space="preserve"> </w:t>
      </w:r>
      <w:r w:rsidR="003B2A52" w:rsidRPr="00766880">
        <w:t>t</w:t>
      </w:r>
      <w:r w:rsidR="341EF737" w:rsidRPr="00766880">
        <w:t>ool”)</w:t>
      </w:r>
      <w:r w:rsidR="001E5FD9" w:rsidRPr="00766880">
        <w:t>;</w:t>
      </w:r>
      <w:r w:rsidR="002F0EA9">
        <w:rPr>
          <w:rStyle w:val="FootnoteReference"/>
        </w:rPr>
        <w:footnoteReference w:id="7"/>
      </w:r>
    </w:p>
    <w:p w14:paraId="5B45B121" w14:textId="70037115" w:rsidR="001E5FD9" w:rsidRPr="009F63DF" w:rsidRDefault="0025186F" w:rsidP="00E03E61">
      <w:pPr>
        <w:pStyle w:val="SDMSubPara1"/>
      </w:pPr>
      <w:r w:rsidRPr="009F63DF">
        <w:t>“</w:t>
      </w:r>
      <w:r w:rsidR="001E5FD9" w:rsidRPr="009F63DF">
        <w:t xml:space="preserve">Methodological tool: Reversal </w:t>
      </w:r>
      <w:r w:rsidR="008A44C1" w:rsidRPr="009F63DF">
        <w:t>r</w:t>
      </w:r>
      <w:r w:rsidR="001E5FD9" w:rsidRPr="009F63DF">
        <w:t xml:space="preserve">isk </w:t>
      </w:r>
      <w:r w:rsidR="008A44C1" w:rsidRPr="009F63DF">
        <w:t>a</w:t>
      </w:r>
      <w:r w:rsidR="001E5FD9" w:rsidRPr="009F63DF">
        <w:t>ssessment</w:t>
      </w:r>
      <w:r w:rsidRPr="009F63DF">
        <w:t>” (A6.4-</w:t>
      </w:r>
      <w:r w:rsidR="00806888" w:rsidRPr="00F83D7E">
        <w:t>AMT-</w:t>
      </w:r>
      <w:r w:rsidR="005A32CB" w:rsidRPr="00F83D7E">
        <w:t>01</w:t>
      </w:r>
      <w:r w:rsidR="00F83D7E" w:rsidRPr="00F83D7E">
        <w:t>1</w:t>
      </w:r>
      <w:r w:rsidRPr="00F83D7E">
        <w:t>)</w:t>
      </w:r>
      <w:r w:rsidR="00056042" w:rsidRPr="00F83D7E">
        <w:t xml:space="preserve"> (</w:t>
      </w:r>
      <w:r w:rsidR="00056042" w:rsidRPr="009F63DF">
        <w:t>hereinafter referred to as “reversal risk assessment tool”)</w:t>
      </w:r>
      <w:r w:rsidR="001E5FD9" w:rsidRPr="009F63DF">
        <w:t>;</w:t>
      </w:r>
      <w:r w:rsidR="002F0EA9">
        <w:rPr>
          <w:rStyle w:val="FootnoteReference"/>
        </w:rPr>
        <w:footnoteReference w:id="8"/>
      </w:r>
    </w:p>
    <w:p w14:paraId="1BA924BE" w14:textId="7CABA7A8" w:rsidR="001E5FD9" w:rsidRPr="009F63DF" w:rsidRDefault="001E5FD9" w:rsidP="00E03E61">
      <w:pPr>
        <w:pStyle w:val="SDMSubPara1"/>
      </w:pPr>
      <w:r w:rsidRPr="009F63DF">
        <w:t>“</w:t>
      </w:r>
      <w:r w:rsidR="0025186F" w:rsidRPr="009F63DF">
        <w:t xml:space="preserve">Methodological </w:t>
      </w:r>
      <w:r w:rsidR="00630C0E" w:rsidRPr="009F63DF">
        <w:t>t</w:t>
      </w:r>
      <w:r w:rsidRPr="009F63DF">
        <w:t>ool</w:t>
      </w:r>
      <w:r w:rsidR="0025186F" w:rsidRPr="009F63DF">
        <w:t>:</w:t>
      </w:r>
      <w:r w:rsidRPr="009F63DF">
        <w:t xml:space="preserve"> </w:t>
      </w:r>
      <w:r w:rsidR="00806888" w:rsidRPr="009F63DF">
        <w:t>Fraction of non-renewable biomass</w:t>
      </w:r>
      <w:r w:rsidRPr="009F63DF">
        <w:t>” (</w:t>
      </w:r>
      <w:r w:rsidR="00806888" w:rsidRPr="009F63DF">
        <w:t>A6.4-AMT-</w:t>
      </w:r>
      <w:r w:rsidR="009A20A6" w:rsidRPr="009F63DF">
        <w:t>009</w:t>
      </w:r>
      <w:r w:rsidR="00806888" w:rsidRPr="009F63DF">
        <w:t xml:space="preserve">) </w:t>
      </w:r>
      <w:r w:rsidRPr="009F63DF">
        <w:t xml:space="preserve">(hereinafter referred </w:t>
      </w:r>
      <w:r w:rsidR="00AA3996" w:rsidRPr="009F63DF">
        <w:t xml:space="preserve">to </w:t>
      </w:r>
      <w:r w:rsidRPr="009F63DF">
        <w:t>as “fNRB</w:t>
      </w:r>
      <w:r w:rsidR="2A79F573" w:rsidRPr="009F63DF">
        <w:t xml:space="preserve"> </w:t>
      </w:r>
      <w:r w:rsidR="003B2A52" w:rsidRPr="009F63DF">
        <w:t>t</w:t>
      </w:r>
      <w:r w:rsidRPr="009F63DF">
        <w:t>ool”);</w:t>
      </w:r>
      <w:r w:rsidR="00EE6841" w:rsidRPr="009F63DF">
        <w:rPr>
          <w:rStyle w:val="FootnoteReference"/>
        </w:rPr>
        <w:footnoteReference w:id="9"/>
      </w:r>
    </w:p>
    <w:p w14:paraId="50F53C68" w14:textId="6F08C263" w:rsidR="00432691" w:rsidRPr="009F63DF" w:rsidRDefault="002E707A" w:rsidP="00E03E61">
      <w:pPr>
        <w:pStyle w:val="SDMSubPara1"/>
      </w:pPr>
      <w:r w:rsidRPr="009F63DF">
        <w:t>“Methodological t</w:t>
      </w:r>
      <w:r w:rsidR="0050325B" w:rsidRPr="009F63DF">
        <w:t>ool: Investment Analysis</w:t>
      </w:r>
      <w:r w:rsidRPr="009F63DF">
        <w:t>” (</w:t>
      </w:r>
      <w:r w:rsidR="00621B78" w:rsidRPr="009F63DF">
        <w:t>A6.4-AMT-002</w:t>
      </w:r>
      <w:r w:rsidRPr="009F63DF">
        <w:t>)</w:t>
      </w:r>
      <w:r w:rsidR="00621B78" w:rsidRPr="009F63DF">
        <w:t xml:space="preserve"> </w:t>
      </w:r>
      <w:r w:rsidR="00217B12" w:rsidRPr="009F63DF">
        <w:t>(</w:t>
      </w:r>
      <w:r w:rsidR="00621B78" w:rsidRPr="009F63DF">
        <w:t>hereinafter referred to as “</w:t>
      </w:r>
      <w:r w:rsidR="00090E4C" w:rsidRPr="009F63DF">
        <w:t>investment analysis</w:t>
      </w:r>
      <w:r w:rsidR="00621B78" w:rsidRPr="009F63DF">
        <w:t xml:space="preserve"> tool”)</w:t>
      </w:r>
      <w:r w:rsidR="00090E4C" w:rsidRPr="009F63DF">
        <w:t>;</w:t>
      </w:r>
      <w:r w:rsidR="00090E4C" w:rsidRPr="009F63DF">
        <w:rPr>
          <w:rStyle w:val="FootnoteReference"/>
        </w:rPr>
        <w:footnoteReference w:id="10"/>
      </w:r>
    </w:p>
    <w:p w14:paraId="42F35A20" w14:textId="3FA7572C" w:rsidR="001E5FD9" w:rsidRPr="009F63DF" w:rsidRDefault="001E5FD9" w:rsidP="00E03E61">
      <w:pPr>
        <w:pStyle w:val="SDMSubPara1"/>
      </w:pPr>
      <w:r w:rsidRPr="009F63DF">
        <w:t>Intergovernmental Panel on Climate Change (2019). 2019 Refinement to the 2006 IPCC Guidelines for National Greenhouse Gas Inventories</w:t>
      </w:r>
      <w:r w:rsidR="007F1E04" w:rsidRPr="009F63DF">
        <w:t xml:space="preserve">. </w:t>
      </w:r>
      <w:r w:rsidR="003D0212" w:rsidRPr="009F63DF">
        <w:t>Volume 1: General Guidance and Reporting. IPCC, Geneva, Switzerland</w:t>
      </w:r>
      <w:r w:rsidRPr="009F63DF">
        <w:t>;</w:t>
      </w:r>
      <w:r w:rsidR="00546D55" w:rsidRPr="009F63DF">
        <w:rPr>
          <w:rStyle w:val="FootnoteReference"/>
        </w:rPr>
        <w:footnoteReference w:id="11"/>
      </w:r>
    </w:p>
    <w:p w14:paraId="5C561D3F" w14:textId="7A158677" w:rsidR="001E5FD9" w:rsidRPr="009F63DF" w:rsidRDefault="001E5FD9" w:rsidP="00E03E61">
      <w:pPr>
        <w:pStyle w:val="SDMSubPara1"/>
      </w:pPr>
      <w:r w:rsidRPr="009F63DF">
        <w:t>Intergovernmental Panel on Climate Change (2006). 2006 IPCC Guidelines for National Greenhouse Gas Inventories</w:t>
      </w:r>
      <w:r w:rsidR="00FF4BC9" w:rsidRPr="009F63DF">
        <w:t>;</w:t>
      </w:r>
      <w:r w:rsidR="00546D55" w:rsidRPr="009F63DF">
        <w:rPr>
          <w:rStyle w:val="FootnoteReference"/>
        </w:rPr>
        <w:footnoteReference w:id="12"/>
      </w:r>
    </w:p>
    <w:p w14:paraId="7BF7A6E5" w14:textId="3EA7A7A4" w:rsidR="007D0B6B" w:rsidRPr="009F63DF" w:rsidRDefault="007D0B6B" w:rsidP="00E03E61">
      <w:pPr>
        <w:pStyle w:val="SDMSubPara1"/>
      </w:pPr>
      <w:r w:rsidRPr="009F63DF">
        <w:t>UNDP (United Nations Development Programme). 2025. 2025 Global Multidimensional Poverty Index (MPI): Overlapping Hardships: Poverty and Climate Hazards. New York.</w:t>
      </w:r>
      <w:r w:rsidR="00940C47" w:rsidRPr="009F63DF">
        <w:rPr>
          <w:rStyle w:val="FootnoteReference"/>
        </w:rPr>
        <w:footnoteReference w:id="13"/>
      </w:r>
    </w:p>
    <w:p w14:paraId="242D5A48" w14:textId="652F0A41" w:rsidR="001E5FD9" w:rsidRPr="009F63DF" w:rsidRDefault="001E5FD9" w:rsidP="00E96ED3">
      <w:pPr>
        <w:pStyle w:val="SDMHead1"/>
      </w:pPr>
      <w:bookmarkStart w:id="147" w:name="_Toc226983070"/>
      <w:bookmarkStart w:id="148" w:name="_Ref227188705"/>
      <w:bookmarkStart w:id="149" w:name="_Ref227188710"/>
      <w:bookmarkStart w:id="150" w:name="_Toc227677268"/>
      <w:bookmarkStart w:id="151" w:name="_Toc227694790"/>
      <w:bookmarkStart w:id="152" w:name="_Toc227920904"/>
      <w:bookmarkStart w:id="153" w:name="_Toc227938805"/>
      <w:bookmarkStart w:id="154" w:name="_Toc227948056"/>
      <w:bookmarkStart w:id="155" w:name="_Toc233388613"/>
      <w:bookmarkStart w:id="156" w:name="_Toc233961420"/>
      <w:bookmarkStart w:id="157" w:name="_Toc233970229"/>
      <w:bookmarkStart w:id="158" w:name="_Toc240546559"/>
      <w:bookmarkStart w:id="159" w:name="_Toc240631960"/>
      <w:bookmarkStart w:id="160" w:name="_Toc242471145"/>
      <w:bookmarkStart w:id="161" w:name="_Ref227266397"/>
      <w:r w:rsidRPr="009F63DF">
        <w:t>Applicability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13B48C59" w14:textId="7D8008C0" w:rsidR="001C2394" w:rsidRPr="009F63DF" w:rsidRDefault="001C2394" w:rsidP="00655F47">
      <w:pPr>
        <w:pStyle w:val="SDMPara"/>
        <w:keepNext/>
      </w:pPr>
      <w:bookmarkStart w:id="162" w:name="_Ref227588087"/>
      <w:bookmarkEnd w:id="95"/>
      <w:bookmarkEnd w:id="96"/>
      <w:bookmarkEnd w:id="142"/>
      <w:bookmarkEnd w:id="143"/>
      <w:bookmarkEnd w:id="144"/>
      <w:bookmarkEnd w:id="145"/>
      <w:bookmarkEnd w:id="161"/>
      <w:r w:rsidRPr="009F63DF">
        <w:t>The mechanism methodology is applicable to Article 6.4 activities that:</w:t>
      </w:r>
      <w:bookmarkEnd w:id="162"/>
    </w:p>
    <w:p w14:paraId="1078F459" w14:textId="7810C0CA" w:rsidR="001C2394" w:rsidRPr="009F63DF" w:rsidRDefault="00F8656C" w:rsidP="00E03E61">
      <w:pPr>
        <w:pStyle w:val="SDMSubPara1"/>
      </w:pPr>
      <w:r w:rsidRPr="009F63DF">
        <w:t>D</w:t>
      </w:r>
      <w:r w:rsidR="00984215" w:rsidRPr="009F63DF">
        <w:t>istribute</w:t>
      </w:r>
      <w:r w:rsidR="008C5A56" w:rsidRPr="009F63DF">
        <w:t xml:space="preserve"> </w:t>
      </w:r>
      <w:r w:rsidR="006B6B39" w:rsidRPr="009F63DF">
        <w:t xml:space="preserve">activity </w:t>
      </w:r>
      <w:r w:rsidR="008C5A56" w:rsidRPr="009F63DF">
        <w:t xml:space="preserve">cookstoves </w:t>
      </w:r>
      <w:r w:rsidR="001C2394" w:rsidRPr="009F63DF">
        <w:t>that reduce greenhouse gas emissions through increased thermal efficiency relative to the baseline scenario;</w:t>
      </w:r>
    </w:p>
    <w:p w14:paraId="0B42AEC9" w14:textId="55D722CF" w:rsidR="001C2394" w:rsidRPr="009F63DF" w:rsidRDefault="00F8656C" w:rsidP="00E03E61">
      <w:pPr>
        <w:pStyle w:val="SDMSubPara1"/>
      </w:pPr>
      <w:r w:rsidRPr="009F63DF">
        <w:t>A</w:t>
      </w:r>
      <w:r w:rsidR="001C2394" w:rsidRPr="009F63DF">
        <w:t>re implemented in households</w:t>
      </w:r>
      <w:r w:rsidR="00C41FA3" w:rsidRPr="009F63DF">
        <w:rPr>
          <w:rStyle w:val="FootnoteReference"/>
        </w:rPr>
        <w:footnoteReference w:id="14"/>
      </w:r>
      <w:r w:rsidR="001C2394" w:rsidRPr="009F63DF">
        <w:t>;</w:t>
      </w:r>
      <w:r w:rsidR="0006541A" w:rsidRPr="009F63DF">
        <w:t xml:space="preserve"> </w:t>
      </w:r>
      <w:r w:rsidRPr="009F63DF">
        <w:t>and</w:t>
      </w:r>
    </w:p>
    <w:p w14:paraId="18380E31" w14:textId="33D548D3" w:rsidR="001C2394" w:rsidRPr="009F63DF" w:rsidRDefault="00F8656C" w:rsidP="00E03E61">
      <w:pPr>
        <w:pStyle w:val="SDMSubPara1"/>
      </w:pPr>
      <w:r w:rsidRPr="009F63DF">
        <w:t>A</w:t>
      </w:r>
      <w:r w:rsidR="001C2394" w:rsidRPr="009F63DF">
        <w:t>re implemented in rural areas, according to the relevant national or sub-national government classification</w:t>
      </w:r>
      <w:r w:rsidRPr="009F63DF">
        <w:t>.</w:t>
      </w:r>
      <w:r w:rsidR="001C2394" w:rsidRPr="009F63DF">
        <w:rPr>
          <w:vertAlign w:val="superscript"/>
        </w:rPr>
        <w:footnoteReference w:id="15"/>
      </w:r>
    </w:p>
    <w:p w14:paraId="46C0DF20" w14:textId="41A58BD0" w:rsidR="006D2932" w:rsidRPr="009F63DF" w:rsidRDefault="00552D59" w:rsidP="00E03E61">
      <w:pPr>
        <w:pStyle w:val="SDMPara"/>
      </w:pPr>
      <w:bookmarkStart w:id="163" w:name="_Ref227588101"/>
      <w:r w:rsidRPr="009F63DF">
        <w:t>The mechanism methodology</w:t>
      </w:r>
      <w:r w:rsidR="009542CF" w:rsidRPr="009F63DF">
        <w:t xml:space="preserve"> is not applicable to activities that involve fuel switch between the pre-</w:t>
      </w:r>
      <w:r w:rsidR="009A282D" w:rsidRPr="009F63DF">
        <w:t>activity</w:t>
      </w:r>
      <w:r w:rsidR="009542CF" w:rsidRPr="009F63DF">
        <w:t xml:space="preserve"> and </w:t>
      </w:r>
      <w:r w:rsidR="008750F8" w:rsidRPr="009F63DF">
        <w:t>activity</w:t>
      </w:r>
      <w:r w:rsidR="009542CF" w:rsidRPr="009F63DF">
        <w:t xml:space="preserve"> scenario.</w:t>
      </w:r>
      <w:bookmarkEnd w:id="163"/>
      <w:r w:rsidR="00F563A9" w:rsidRPr="009F63DF">
        <w:rPr>
          <w:rStyle w:val="FootnoteReference"/>
        </w:rPr>
        <w:t xml:space="preserve"> </w:t>
      </w:r>
      <w:r w:rsidR="00837003" w:rsidRPr="009F63DF">
        <w:rPr>
          <w:rStyle w:val="FootnoteReference"/>
        </w:rPr>
        <w:footnoteReference w:id="16"/>
      </w:r>
    </w:p>
    <w:p w14:paraId="7DF6960F" w14:textId="04DDA99F" w:rsidR="00DB5960" w:rsidRPr="009F63DF" w:rsidRDefault="009D5F20" w:rsidP="0016344B">
      <w:pPr>
        <w:pStyle w:val="SDMPara"/>
      </w:pPr>
      <w:bookmarkStart w:id="164" w:name="_Ref227588151"/>
      <w:r w:rsidRPr="009F63DF">
        <w:t xml:space="preserve">Furthermore, this mechanism methodology is only applicable if </w:t>
      </w:r>
      <w:r w:rsidR="00A37F04" w:rsidRPr="009F63DF">
        <w:t>all</w:t>
      </w:r>
      <w:r w:rsidR="001A6E9F" w:rsidRPr="009F63DF">
        <w:t xml:space="preserve"> </w:t>
      </w:r>
      <w:r w:rsidRPr="009F63DF">
        <w:t>the following conditions apply:</w:t>
      </w:r>
      <w:bookmarkEnd w:id="164"/>
    </w:p>
    <w:p w14:paraId="398537FB" w14:textId="1ED93D45" w:rsidR="00705FF3" w:rsidRPr="009F63DF" w:rsidRDefault="00705FF3" w:rsidP="00E03E61">
      <w:pPr>
        <w:pStyle w:val="SDMSubPara1"/>
      </w:pPr>
      <w:bookmarkStart w:id="165" w:name="_Ref232966310"/>
      <w:r w:rsidRPr="009F63DF">
        <w:t>In the pre-activity scenario, the energy source for cooking in the target population is primarily fuelwood or artisanal charcoal (i.e., on average more than 75 per cent of cooking events are fired with fuelwood or artisanal charcoal), as determined via the pre-activity surveys;</w:t>
      </w:r>
      <w:bookmarkEnd w:id="165"/>
    </w:p>
    <w:p w14:paraId="07FB979A" w14:textId="2838D42D" w:rsidR="00705FF3" w:rsidRPr="009F63DF" w:rsidRDefault="00705FF3" w:rsidP="00E03E61">
      <w:pPr>
        <w:pStyle w:val="SDMSubPara1"/>
      </w:pPr>
      <w:r w:rsidRPr="009F63DF">
        <w:t>In the user households, the primary energy source for cooking (i.e., fuelwood or artisanal charcoal) shall remain unchanged between the pre</w:t>
      </w:r>
      <w:r w:rsidRPr="009F63DF">
        <w:noBreakHyphen/>
        <w:t>activity and activity scenarios, thereby excluding fuel switching. The comparison between the pre</w:t>
      </w:r>
      <w:r w:rsidRPr="009F63DF">
        <w:noBreakHyphen/>
        <w:t xml:space="preserve">activity and activity scenarios shall ensure consistency in the </w:t>
      </w:r>
      <w:r w:rsidR="00347851" w:rsidRPr="009F63DF">
        <w:t>proportion of cooking events</w:t>
      </w:r>
      <w:r w:rsidRPr="009F63DF">
        <w:t xml:space="preserve"> </w:t>
      </w:r>
      <w:r w:rsidR="00347851" w:rsidRPr="009F63DF">
        <w:t>fired</w:t>
      </w:r>
      <w:r w:rsidRPr="009F63DF">
        <w:t xml:space="preserve"> with the primary fuel, such that any </w:t>
      </w:r>
      <w:r w:rsidR="00AC3C2B" w:rsidRPr="009F63DF">
        <w:t>reduction</w:t>
      </w:r>
      <w:r w:rsidR="006B215B" w:rsidRPr="009F63DF">
        <w:t xml:space="preserve"> in use</w:t>
      </w:r>
      <w:r w:rsidRPr="009F63DF">
        <w:t xml:space="preserve"> does not exceed </w:t>
      </w:r>
      <w:r w:rsidR="00A547AC" w:rsidRPr="009F63DF">
        <w:t>20</w:t>
      </w:r>
      <w:r w:rsidRPr="009F63DF">
        <w:t xml:space="preserve"> per cent</w:t>
      </w:r>
      <w:r w:rsidR="006B215B" w:rsidRPr="009F63DF">
        <w:t xml:space="preserve"> below the pre-activity</w:t>
      </w:r>
      <w:r w:rsidR="001F1C2B" w:rsidRPr="009F63DF">
        <w:t xml:space="preserve"> level</w:t>
      </w:r>
      <w:r w:rsidRPr="009F63DF">
        <w:t xml:space="preserve"> during </w:t>
      </w:r>
      <w:r w:rsidR="001F1C2B" w:rsidRPr="009F63DF">
        <w:t>activity</w:t>
      </w:r>
      <w:r w:rsidRPr="009F63DF">
        <w:t xml:space="preserve"> implementation</w:t>
      </w:r>
      <w:r w:rsidR="00D65C3A" w:rsidRPr="009F63DF">
        <w:rPr>
          <w:rStyle w:val="FootnoteReference"/>
        </w:rPr>
        <w:footnoteReference w:id="17"/>
      </w:r>
      <w:r w:rsidRPr="009F63DF">
        <w:t xml:space="preserve">. This variation shall be interpreted solely as reflecting normal variability in household energy use and not </w:t>
      </w:r>
      <w:r w:rsidR="005F53EA" w:rsidRPr="009F63DF">
        <w:t xml:space="preserve">as </w:t>
      </w:r>
      <w:r w:rsidRPr="009F63DF">
        <w:t>represent</w:t>
      </w:r>
      <w:r w:rsidR="005F53EA" w:rsidRPr="009F63DF">
        <w:t>ing</w:t>
      </w:r>
      <w:r w:rsidRPr="009F63DF">
        <w:t xml:space="preserve"> changes in </w:t>
      </w:r>
      <w:r w:rsidR="00A2264F" w:rsidRPr="009F63DF">
        <w:t>primary energy source</w:t>
      </w:r>
      <w:r w:rsidRPr="009F63DF">
        <w:t xml:space="preserve"> or the introduction of other fuels. This determination shall </w:t>
      </w:r>
      <w:r w:rsidR="005C7BA0" w:rsidRPr="009F63DF">
        <w:t xml:space="preserve">be </w:t>
      </w:r>
      <w:r w:rsidRPr="009F63DF">
        <w:t>made for the first monitoring report and be based on a comparison between</w:t>
      </w:r>
      <w:r w:rsidR="005E1442" w:rsidRPr="009F63DF">
        <w:t xml:space="preserve"> </w:t>
      </w:r>
      <w:r w:rsidRPr="009F63DF">
        <w:t>the</w:t>
      </w:r>
      <w:r w:rsidR="005E1442" w:rsidRPr="009F63DF">
        <w:t xml:space="preserve"> results of the</w:t>
      </w:r>
      <w:r w:rsidRPr="009F63DF">
        <w:t xml:space="preserve"> first usage survey and the pre-activity survey</w:t>
      </w:r>
      <w:r w:rsidR="00827E71" w:rsidRPr="009F63DF">
        <w:t>;</w:t>
      </w:r>
    </w:p>
    <w:p w14:paraId="70033C1D" w14:textId="54F82CC7" w:rsidR="00364DDA" w:rsidRPr="009F63DF" w:rsidRDefault="008D6458" w:rsidP="00E03E61">
      <w:pPr>
        <w:pStyle w:val="SDMSubPara1"/>
      </w:pPr>
      <w:r w:rsidRPr="009F63DF">
        <w:t>Where artisanal</w:t>
      </w:r>
      <w:r w:rsidR="00364DDA" w:rsidRPr="009F63DF">
        <w:t xml:space="preserve"> charcoal</w:t>
      </w:r>
      <w:r w:rsidRPr="009F63DF">
        <w:t xml:space="preserve"> is used in the pre-</w:t>
      </w:r>
      <w:r w:rsidR="008750F8" w:rsidRPr="009F63DF">
        <w:t>activity</w:t>
      </w:r>
      <w:r w:rsidRPr="009F63DF">
        <w:t xml:space="preserve"> scenario, </w:t>
      </w:r>
      <w:r w:rsidR="008130DB" w:rsidRPr="009F63DF">
        <w:t>it shall be d</w:t>
      </w:r>
      <w:r w:rsidR="00B921BC" w:rsidRPr="009F63DF">
        <w:t>emonstrate</w:t>
      </w:r>
      <w:r w:rsidR="008130DB" w:rsidRPr="009F63DF">
        <w:t>d</w:t>
      </w:r>
      <w:r w:rsidR="00B921BC" w:rsidRPr="009F63DF">
        <w:t xml:space="preserve"> </w:t>
      </w:r>
      <w:r w:rsidR="002F5700" w:rsidRPr="009F63DF">
        <w:t>that the</w:t>
      </w:r>
      <w:r w:rsidR="00B921BC" w:rsidRPr="009F63DF">
        <w:t xml:space="preserve"> main charcoal production methods in </w:t>
      </w:r>
      <w:r w:rsidR="002F5700" w:rsidRPr="009F63DF">
        <w:t xml:space="preserve">the </w:t>
      </w:r>
      <w:r w:rsidR="008C72F7" w:rsidRPr="009F63DF">
        <w:t>geographical area of the</w:t>
      </w:r>
      <w:r w:rsidR="002F5700" w:rsidRPr="009F63DF">
        <w:t xml:space="preserve"> </w:t>
      </w:r>
      <w:r w:rsidR="000B34FA" w:rsidRPr="009F63DF">
        <w:t>activity</w:t>
      </w:r>
      <w:r w:rsidR="00B921BC" w:rsidRPr="009F63DF">
        <w:t xml:space="preserve"> boundary</w:t>
      </w:r>
      <w:r w:rsidR="002F5700" w:rsidRPr="009F63DF">
        <w:t xml:space="preserve"> </w:t>
      </w:r>
      <w:r w:rsidR="0087651E" w:rsidRPr="009F63DF">
        <w:t>related to</w:t>
      </w:r>
      <w:r w:rsidR="002F5700" w:rsidRPr="009F63DF">
        <w:t xml:space="preserve"> </w:t>
      </w:r>
      <w:r w:rsidR="00B3074F" w:rsidRPr="009F63DF">
        <w:t>the fuel “charcoal”</w:t>
      </w:r>
      <w:r w:rsidR="004A1378" w:rsidRPr="009F63DF">
        <w:rPr>
          <w:rStyle w:val="FootnoteReference"/>
        </w:rPr>
        <w:footnoteReference w:id="18"/>
      </w:r>
      <w:r w:rsidR="004A1378" w:rsidRPr="009F63DF">
        <w:t xml:space="preserve"> </w:t>
      </w:r>
      <w:r w:rsidR="008720B1" w:rsidRPr="009F63DF">
        <w:t>are consistent with the definition of artisanal charcoal</w:t>
      </w:r>
      <w:r w:rsidR="00274C3B" w:rsidRPr="009F63DF">
        <w:t xml:space="preserve">, </w:t>
      </w:r>
      <w:r w:rsidR="00E90C46" w:rsidRPr="009F63DF">
        <w:t>in other words that at least 90</w:t>
      </w:r>
      <w:r w:rsidR="00DE7B9B" w:rsidRPr="009F63DF">
        <w:t xml:space="preserve"> per cent</w:t>
      </w:r>
      <w:r w:rsidR="00D25C10" w:rsidRPr="009F63DF">
        <w:t xml:space="preserve"> per cent </w:t>
      </w:r>
      <w:r w:rsidR="00E90C46" w:rsidRPr="009F63DF">
        <w:t>of charcoal production in th</w:t>
      </w:r>
      <w:r w:rsidR="0081697C" w:rsidRPr="009F63DF">
        <w:t>at geographical</w:t>
      </w:r>
      <w:r w:rsidR="00E90C46" w:rsidRPr="009F63DF">
        <w:t xml:space="preserve"> area</w:t>
      </w:r>
      <w:r w:rsidR="00947CB9" w:rsidRPr="009F63DF">
        <w:t xml:space="preserve"> is produced using traditional, small-scale methods,</w:t>
      </w:r>
      <w:r w:rsidR="00E673E9" w:rsidRPr="009F63DF">
        <w:t xml:space="preserve"> </w:t>
      </w:r>
      <w:r w:rsidR="00D75263" w:rsidRPr="009F63DF">
        <w:t>which typically involve stacking wood and covering it with</w:t>
      </w:r>
      <w:r w:rsidR="00E673E9" w:rsidRPr="009F63DF">
        <w:t xml:space="preserve"> earth, based on literature sources</w:t>
      </w:r>
      <w:r w:rsidR="008720B1" w:rsidRPr="009F63DF">
        <w:t>.</w:t>
      </w:r>
      <w:r w:rsidR="00B3074F" w:rsidRPr="009F63DF">
        <w:t xml:space="preserve"> </w:t>
      </w:r>
      <w:r w:rsidR="00D41E0C" w:rsidRPr="009F63DF">
        <w:t>When the</w:t>
      </w:r>
      <w:r w:rsidR="00B921BC" w:rsidRPr="009F63DF">
        <w:t xml:space="preserve"> multi-national</w:t>
      </w:r>
      <w:r w:rsidR="007305AB" w:rsidRPr="009F63DF">
        <w:t xml:space="preserve"> </w:t>
      </w:r>
      <w:r w:rsidR="000B34FA" w:rsidRPr="009F63DF">
        <w:t>activity</w:t>
      </w:r>
      <w:r w:rsidR="007305AB" w:rsidRPr="009F63DF">
        <w:t xml:space="preserve"> boundary related to this fuel is applied, this demonstration shall include the </w:t>
      </w:r>
      <w:r w:rsidR="004E6CDF" w:rsidRPr="009F63DF">
        <w:t>host</w:t>
      </w:r>
      <w:r w:rsidR="00C26561" w:rsidRPr="009F63DF">
        <w:t xml:space="preserve"> Party</w:t>
      </w:r>
      <w:r w:rsidR="00830CA9" w:rsidRPr="009F63DF">
        <w:t xml:space="preserve"> where the activity is located as well as </w:t>
      </w:r>
      <w:r w:rsidR="009677B7" w:rsidRPr="009F63DF">
        <w:t xml:space="preserve">all neighbouring </w:t>
      </w:r>
      <w:r w:rsidR="00205F16" w:rsidRPr="009F63DF">
        <w:t>countries</w:t>
      </w:r>
      <w:r w:rsidR="009677B7" w:rsidRPr="009F63DF">
        <w:t xml:space="preserve"> that are a significant source of imported charcoal</w:t>
      </w:r>
      <w:r w:rsidR="40096C40" w:rsidRPr="009F63DF">
        <w:t>;</w:t>
      </w:r>
    </w:p>
    <w:p w14:paraId="1A2DAC84" w14:textId="77777777" w:rsidR="006D2932" w:rsidRPr="009F63DF" w:rsidRDefault="00233290" w:rsidP="00655F47">
      <w:pPr>
        <w:pStyle w:val="SDMSubPara1"/>
        <w:keepNext/>
      </w:pPr>
      <w:bookmarkStart w:id="166" w:name="_Ref232966128"/>
      <w:r w:rsidRPr="009F63DF">
        <w:t xml:space="preserve">The Article 6.4 </w:t>
      </w:r>
      <w:r w:rsidR="008C6F98" w:rsidRPr="009F63DF">
        <w:t>activi</w:t>
      </w:r>
      <w:r w:rsidR="00214789" w:rsidRPr="009F63DF">
        <w:t>ty</w:t>
      </w:r>
      <w:r w:rsidR="008C6F98" w:rsidRPr="009F63DF">
        <w:t xml:space="preserve"> shall be implemented in locations where the population is demonstrated to experience </w:t>
      </w:r>
      <w:r w:rsidR="001B0B7D" w:rsidRPr="009F63DF">
        <w:t xml:space="preserve">low income </w:t>
      </w:r>
      <w:r w:rsidR="00960131" w:rsidRPr="009F63DF">
        <w:t>or</w:t>
      </w:r>
      <w:r w:rsidR="001B0B7D" w:rsidRPr="009F63DF">
        <w:t xml:space="preserve"> </w:t>
      </w:r>
      <w:r w:rsidR="008C6F98" w:rsidRPr="009F63DF">
        <w:t xml:space="preserve">poverty </w:t>
      </w:r>
      <w:r w:rsidR="001B0B7D" w:rsidRPr="009F63DF">
        <w:t>levels</w:t>
      </w:r>
      <w:r w:rsidR="00D23D6E" w:rsidRPr="009F63DF">
        <w:t xml:space="preserve"> </w:t>
      </w:r>
      <w:r w:rsidR="00B8534C" w:rsidRPr="009F63DF">
        <w:t xml:space="preserve">based on a recognized poverty index </w:t>
      </w:r>
      <w:r w:rsidR="00D23D6E" w:rsidRPr="009F63DF">
        <w:t>as follows</w:t>
      </w:r>
      <w:r w:rsidR="006D2932" w:rsidRPr="009F63DF">
        <w:t>:</w:t>
      </w:r>
      <w:bookmarkEnd w:id="166"/>
    </w:p>
    <w:p w14:paraId="59143DAA" w14:textId="51A40E7E" w:rsidR="006D2932" w:rsidRPr="009F63DF" w:rsidRDefault="00FD3731" w:rsidP="004923D4">
      <w:pPr>
        <w:pStyle w:val="SDMSubPara2"/>
      </w:pPr>
      <w:r w:rsidRPr="009F63DF">
        <w:t xml:space="preserve">Where available, the poverty </w:t>
      </w:r>
      <w:r w:rsidR="00F35C4D" w:rsidRPr="009F63DF">
        <w:t>levels</w:t>
      </w:r>
      <w:r w:rsidRPr="009F63DF">
        <w:t xml:space="preserve"> shall be </w:t>
      </w:r>
      <w:r w:rsidR="00EB4ECB" w:rsidRPr="009F63DF">
        <w:t>demonstrated</w:t>
      </w:r>
      <w:r w:rsidRPr="009F63DF">
        <w:t xml:space="preserve"> using national or sub-national poverty indices</w:t>
      </w:r>
      <w:r w:rsidR="009843C3" w:rsidRPr="009F63DF">
        <w:t xml:space="preserve"> and their thresholds</w:t>
      </w:r>
      <w:r w:rsidR="00EB4ECB" w:rsidRPr="009F63DF">
        <w:t>;</w:t>
      </w:r>
    </w:p>
    <w:p w14:paraId="44B90C33" w14:textId="752D437E" w:rsidR="00A63511" w:rsidRPr="009F63DF" w:rsidRDefault="00FD3731" w:rsidP="004923D4">
      <w:pPr>
        <w:pStyle w:val="SDMSubPara2"/>
      </w:pPr>
      <w:r w:rsidRPr="009F63DF">
        <w:t xml:space="preserve">In the absence of </w:t>
      </w:r>
      <w:r w:rsidR="00EB4ECB" w:rsidRPr="009F63DF">
        <w:t>the previous</w:t>
      </w:r>
      <w:r w:rsidRPr="009F63DF">
        <w:t xml:space="preserve"> indices, </w:t>
      </w:r>
      <w:r w:rsidR="00EE29A9" w:rsidRPr="009F63DF">
        <w:t xml:space="preserve">the </w:t>
      </w:r>
      <w:r w:rsidRPr="009F63DF">
        <w:t>internationally recognized Multidimensional Poverty Index (MPI) shall be applied</w:t>
      </w:r>
      <w:r w:rsidR="00F5389C" w:rsidRPr="009F63DF">
        <w:t>.</w:t>
      </w:r>
      <w:r w:rsidR="00760EE9" w:rsidRPr="009F63DF">
        <w:rPr>
          <w:rStyle w:val="FootnoteReference"/>
        </w:rPr>
        <w:footnoteReference w:id="19"/>
      </w:r>
      <w:r w:rsidR="00760EE9" w:rsidRPr="009F63DF">
        <w:t xml:space="preserve"> </w:t>
      </w:r>
      <w:r w:rsidR="00334E67" w:rsidRPr="009F63DF">
        <w:t xml:space="preserve">A population shall be considered to meet the poverty </w:t>
      </w:r>
      <w:r w:rsidR="00226702" w:rsidRPr="009F63DF">
        <w:t xml:space="preserve">level </w:t>
      </w:r>
      <w:r w:rsidR="00334E67" w:rsidRPr="009F63DF">
        <w:t>criterion</w:t>
      </w:r>
      <w:r w:rsidR="007DA471" w:rsidRPr="009F63DF">
        <w:t>,</w:t>
      </w:r>
      <w:r w:rsidR="00334E67" w:rsidRPr="009F63DF">
        <w:t xml:space="preserve"> if the average MPI score is equal to or greater than 0.</w:t>
      </w:r>
      <w:r w:rsidR="002413C4" w:rsidRPr="009F63DF">
        <w:t>2</w:t>
      </w:r>
      <w:r w:rsidR="00D23D6E" w:rsidRPr="009F63DF">
        <w:t xml:space="preserve">; </w:t>
      </w:r>
      <w:r w:rsidR="006E13A7" w:rsidRPr="009F63DF">
        <w:t>or</w:t>
      </w:r>
    </w:p>
    <w:p w14:paraId="0104529F" w14:textId="7C03A2FB" w:rsidR="00A7677C" w:rsidRPr="009F63DF" w:rsidRDefault="00EB0421" w:rsidP="004923D4">
      <w:pPr>
        <w:pStyle w:val="SDMSubPara2"/>
      </w:pPr>
      <w:r w:rsidRPr="009F63DF">
        <w:t xml:space="preserve">Where </w:t>
      </w:r>
      <w:r w:rsidR="006E13A7" w:rsidRPr="009F63DF">
        <w:t>neither of the</w:t>
      </w:r>
      <w:r w:rsidRPr="009F63DF">
        <w:t xml:space="preserve"> indices above is </w:t>
      </w:r>
      <w:r w:rsidR="00A96A2E" w:rsidRPr="009F63DF">
        <w:t>available</w:t>
      </w:r>
      <w:r w:rsidR="001C5E71" w:rsidRPr="009F63DF">
        <w:t xml:space="preserve">, the applicability </w:t>
      </w:r>
      <w:r w:rsidR="008D31F0" w:rsidRPr="009F63DF">
        <w:t>shall be</w:t>
      </w:r>
      <w:r w:rsidR="001C5E71" w:rsidRPr="009F63DF">
        <w:t xml:space="preserve"> demonstrated based on the </w:t>
      </w:r>
      <w:r w:rsidR="00F12B99" w:rsidRPr="009F63DF">
        <w:t>average income level. In such cases, t</w:t>
      </w:r>
      <w:r w:rsidR="008715A9" w:rsidRPr="009F63DF">
        <w:t xml:space="preserve">he Article 6.4 activity </w:t>
      </w:r>
      <w:r w:rsidR="007C27B0" w:rsidRPr="009F63DF">
        <w:t xml:space="preserve">shall </w:t>
      </w:r>
      <w:r w:rsidR="008715A9" w:rsidRPr="009F63DF">
        <w:t>demonstrat</w:t>
      </w:r>
      <w:r w:rsidR="00D13C45" w:rsidRPr="009F63DF">
        <w:t xml:space="preserve">e </w:t>
      </w:r>
      <w:r w:rsidR="00915ACF" w:rsidRPr="009F63DF">
        <w:t>that the</w:t>
      </w:r>
      <w:r w:rsidR="008715A9" w:rsidRPr="009F63DF">
        <w:t xml:space="preserve"> income level </w:t>
      </w:r>
      <w:r w:rsidR="00D522DD" w:rsidRPr="009F63DF">
        <w:t xml:space="preserve">of the </w:t>
      </w:r>
      <w:r w:rsidR="00211342" w:rsidRPr="009F63DF">
        <w:t xml:space="preserve">target </w:t>
      </w:r>
      <w:r w:rsidR="00A10F65" w:rsidRPr="009F63DF">
        <w:t xml:space="preserve">population </w:t>
      </w:r>
      <w:r w:rsidR="00996A37" w:rsidRPr="009F63DF">
        <w:t xml:space="preserve">is </w:t>
      </w:r>
      <w:r w:rsidR="008715A9" w:rsidRPr="009F63DF">
        <w:t xml:space="preserve">at or below the </w:t>
      </w:r>
      <w:r w:rsidR="001300D7" w:rsidRPr="009F63DF">
        <w:t xml:space="preserve">income </w:t>
      </w:r>
      <w:r w:rsidR="008715A9" w:rsidRPr="009F63DF">
        <w:t xml:space="preserve">threshold </w:t>
      </w:r>
      <w:r w:rsidR="001300D7" w:rsidRPr="009F63DF">
        <w:t xml:space="preserve">for poverty level </w:t>
      </w:r>
      <w:r w:rsidR="008715A9" w:rsidRPr="009F63DF">
        <w:t>established by the national or sub-national government</w:t>
      </w:r>
      <w:r w:rsidR="00E171F5" w:rsidRPr="009F63DF">
        <w:t>, based on literature sources</w:t>
      </w:r>
      <w:r w:rsidR="00837003" w:rsidRPr="009F63DF">
        <w:t>.</w:t>
      </w:r>
    </w:p>
    <w:p w14:paraId="39D04552" w14:textId="12B90DC7" w:rsidR="00A70373" w:rsidRPr="009F63DF" w:rsidRDefault="00A70373" w:rsidP="00E03E61">
      <w:pPr>
        <w:pStyle w:val="SDMSubPara1"/>
      </w:pPr>
      <w:r w:rsidRPr="009F63DF">
        <w:t>Irrespective of the location of the activity, indices and thresholds used, the income level shall not be above the</w:t>
      </w:r>
      <w:r w:rsidR="00A50963" w:rsidRPr="009F63DF">
        <w:t xml:space="preserve"> latest</w:t>
      </w:r>
      <w:r w:rsidRPr="009F63DF">
        <w:t xml:space="preserve"> poverty level threshold determined by the World Bank </w:t>
      </w:r>
      <w:r w:rsidR="00614586" w:rsidRPr="009F63DF">
        <w:t>for lower middle-income countries</w:t>
      </w:r>
      <w:r w:rsidR="00614586" w:rsidRPr="009F63DF" w:rsidDel="00614586">
        <w:t xml:space="preserve"> </w:t>
      </w:r>
      <w:r w:rsidRPr="009F63DF">
        <w:t>(e.g. US $4.2/day per person PPP 2021)</w:t>
      </w:r>
      <w:r w:rsidR="00A914ED" w:rsidRPr="009F63DF">
        <w:t>;</w:t>
      </w:r>
    </w:p>
    <w:p w14:paraId="593ECDF2" w14:textId="58037CC2" w:rsidR="00385375" w:rsidRPr="009F63DF" w:rsidRDefault="00957FF4" w:rsidP="009311F1">
      <w:pPr>
        <w:pStyle w:val="SDMSubPara1"/>
      </w:pPr>
      <w:r w:rsidRPr="009F63DF">
        <w:t>Activity participants d</w:t>
      </w:r>
      <w:r w:rsidR="00385375" w:rsidRPr="009F63DF">
        <w:t xml:space="preserve">emonstrate that the Article 6.4 activity has selected </w:t>
      </w:r>
      <w:r w:rsidR="00A92061" w:rsidRPr="009F63DF">
        <w:t xml:space="preserve">project cookstove </w:t>
      </w:r>
      <w:r w:rsidR="00385375" w:rsidRPr="009F63DF">
        <w:t xml:space="preserve">technologies that meet the cooking needs of the target population, either by citing robust research or conducting an investigation of cooking practices and attitudes during the </w:t>
      </w:r>
      <w:r w:rsidR="00612749" w:rsidRPr="009F63DF">
        <w:t>activity</w:t>
      </w:r>
      <w:r w:rsidR="00385375" w:rsidRPr="009F63DF">
        <w:t xml:space="preserve"> design phase</w:t>
      </w:r>
      <w:r w:rsidRPr="009F63DF">
        <w:t>;</w:t>
      </w:r>
    </w:p>
    <w:p w14:paraId="7326F377" w14:textId="176B369D" w:rsidR="001C2394" w:rsidRPr="009F63DF" w:rsidRDefault="00E10BDD" w:rsidP="009311F1">
      <w:pPr>
        <w:pStyle w:val="SDMSubPara1"/>
      </w:pPr>
      <w:r w:rsidRPr="009F63DF">
        <w:t xml:space="preserve">Project cookstoves </w:t>
      </w:r>
      <w:r w:rsidR="0009141C" w:rsidRPr="009F63DF">
        <w:t>are</w:t>
      </w:r>
      <w:r w:rsidRPr="009F63DF">
        <w:t xml:space="preserve"> linked to a specific household through a permanent unique identifier affixed to the cookstove. Each identifier shall correspond to one and only one cookstove and one and only one household. The identifier shall be implemented through one of the following equally acceptable means: (i) a tag or plate affixed or fired into the body of the cookstove in such a way that its removal would </w:t>
      </w:r>
      <w:r w:rsidR="00B47964" w:rsidRPr="009F63DF">
        <w:t xml:space="preserve">damage or </w:t>
      </w:r>
      <w:r w:rsidRPr="009F63DF">
        <w:t>destroy the stove; or (ii) a stove use monitor (SUM) with a recorded serial number permanently installed on the cookstove. Household-only identification cards detached from the cookstove shall not be accepted as the sole means of identification. Activity participants shall maintain an identifier management system that ensures the traceability of each cookstove and its linkage to the corresponding household</w:t>
      </w:r>
      <w:r w:rsidR="00E11262" w:rsidRPr="009F63DF">
        <w:t>;</w:t>
      </w:r>
      <w:r w:rsidR="00837003" w:rsidRPr="009F63DF">
        <w:rPr>
          <w:rStyle w:val="FootnoteReference"/>
        </w:rPr>
        <w:footnoteReference w:id="20"/>
      </w:r>
    </w:p>
    <w:p w14:paraId="38571863" w14:textId="0A4553BE" w:rsidR="001C2394" w:rsidRPr="009F63DF" w:rsidRDefault="002862CA" w:rsidP="009311F1">
      <w:pPr>
        <w:pStyle w:val="SDMSubPara1"/>
      </w:pPr>
      <w:r w:rsidRPr="009F63DF">
        <w:t xml:space="preserve">The Article 6.4 </w:t>
      </w:r>
      <w:r w:rsidR="001C2394" w:rsidRPr="009F63DF">
        <w:t>activit</w:t>
      </w:r>
      <w:r w:rsidRPr="009F63DF">
        <w:t>y</w:t>
      </w:r>
      <w:r w:rsidR="001C2394" w:rsidRPr="009F63DF">
        <w:t xml:space="preserve"> identif</w:t>
      </w:r>
      <w:r w:rsidRPr="009F63DF">
        <w:t>ies</w:t>
      </w:r>
      <w:r w:rsidR="001C2394" w:rsidRPr="009F63DF">
        <w:t xml:space="preserve"> and either replace</w:t>
      </w:r>
      <w:r w:rsidRPr="009F63DF">
        <w:t>s</w:t>
      </w:r>
      <w:r w:rsidR="001C2394" w:rsidRPr="009F63DF">
        <w:t xml:space="preserve"> or retrofit</w:t>
      </w:r>
      <w:r w:rsidRPr="009F63DF">
        <w:t>s</w:t>
      </w:r>
      <w:r w:rsidR="001C2394" w:rsidRPr="009F63DF">
        <w:t xml:space="preserve"> malfunctioning </w:t>
      </w:r>
      <w:r w:rsidR="00EF1C6C" w:rsidRPr="009F63DF">
        <w:t xml:space="preserve">project </w:t>
      </w:r>
      <w:r w:rsidR="001C2394" w:rsidRPr="009F63DF">
        <w:t xml:space="preserve">cookstoves with a technology of comparable or better quality and thermal </w:t>
      </w:r>
      <w:r w:rsidR="007425E6" w:rsidRPr="009F63DF">
        <w:t>efficiency or</w:t>
      </w:r>
      <w:r w:rsidR="001C2394" w:rsidRPr="009F63DF">
        <w:t xml:space="preserve"> </w:t>
      </w:r>
      <w:r w:rsidRPr="009F63DF">
        <w:t xml:space="preserve">does </w:t>
      </w:r>
      <w:r w:rsidR="001C2394" w:rsidRPr="009F63DF">
        <w:t xml:space="preserve">not claim emission reductions for households when such failures occur. </w:t>
      </w:r>
      <w:r w:rsidR="005E65FB" w:rsidRPr="009F63DF">
        <w:t xml:space="preserve">Article 6.4 activities provide </w:t>
      </w:r>
      <w:r w:rsidR="001C2394" w:rsidRPr="009F63DF">
        <w:t>a documented plan for this process at the design phase;</w:t>
      </w:r>
    </w:p>
    <w:p w14:paraId="30DEA367" w14:textId="161FDE86" w:rsidR="006D2932" w:rsidRPr="009F63DF" w:rsidRDefault="001C2394" w:rsidP="00655F47">
      <w:pPr>
        <w:pStyle w:val="SDMSubPara1"/>
        <w:keepNext/>
      </w:pPr>
      <w:bookmarkStart w:id="167" w:name="_Ref232969769"/>
      <w:r w:rsidRPr="009F63DF">
        <w:t xml:space="preserve">All project cookstove models </w:t>
      </w:r>
      <w:r w:rsidR="00CC7460" w:rsidRPr="009F63DF">
        <w:t>shall</w:t>
      </w:r>
      <w:r w:rsidRPr="009F63DF">
        <w:t xml:space="preserve"> be tested for thermal efficiency using the </w:t>
      </w:r>
      <w:r w:rsidR="009420B9" w:rsidRPr="009F63DF">
        <w:t xml:space="preserve">standard </w:t>
      </w:r>
      <w:r w:rsidRPr="009F63DF">
        <w:t>ISO 19867-1:2018</w:t>
      </w:r>
      <w:r w:rsidR="0058695C" w:rsidRPr="009F63DF">
        <w:t xml:space="preserve"> – Clean cookstoves and clean cooking solutions — Harmonized laboratory test protocols</w:t>
      </w:r>
      <w:r w:rsidR="00822DC2" w:rsidRPr="009F63DF">
        <w:t xml:space="preserve"> (or any subsequent revision thereof)</w:t>
      </w:r>
      <w:r w:rsidRPr="009F63DF">
        <w:t>,</w:t>
      </w:r>
      <w:r w:rsidR="00FD1847" w:rsidRPr="009F63DF">
        <w:t xml:space="preserve"> or equivalent national standards</w:t>
      </w:r>
      <w:r w:rsidR="00F47972" w:rsidRPr="009F63DF">
        <w:t xml:space="preserve"> where a</w:t>
      </w:r>
      <w:r w:rsidR="00CD257E" w:rsidRPr="009F63DF">
        <w:t>n accredited</w:t>
      </w:r>
      <w:r w:rsidR="00F47972" w:rsidRPr="009F63DF">
        <w:t xml:space="preserve"> laboratory with this capacity is not available in the host country,</w:t>
      </w:r>
      <w:r w:rsidR="00FD1847" w:rsidRPr="009F63DF" w:rsidDel="00F47972">
        <w:t xml:space="preserve"> </w:t>
      </w:r>
      <w:bookmarkEnd w:id="167"/>
      <w:r w:rsidR="00293926" w:rsidRPr="009F63DF">
        <w:t>according to which</w:t>
      </w:r>
      <w:r w:rsidR="006D2932" w:rsidRPr="009F63DF">
        <w:t>:</w:t>
      </w:r>
    </w:p>
    <w:p w14:paraId="01315CCE" w14:textId="6DA5A75B" w:rsidR="001C2394" w:rsidRPr="009F63DF" w:rsidRDefault="001C2394" w:rsidP="004923D4">
      <w:pPr>
        <w:pStyle w:val="SDMSubPara2"/>
      </w:pPr>
      <w:r w:rsidRPr="009F63DF">
        <w:t>Wood-burning</w:t>
      </w:r>
      <w:r w:rsidRPr="009F63DF" w:rsidDel="00EC2095">
        <w:t xml:space="preserve"> </w:t>
      </w:r>
      <w:r w:rsidR="00EC2095" w:rsidRPr="009F63DF">
        <w:t xml:space="preserve">project cookstoves </w:t>
      </w:r>
      <w:r w:rsidRPr="009F63DF">
        <w:t>that use a griddle surface (e.g., plancha cookstoves for making tortillas) achieve a minimum efficiency of 20</w:t>
      </w:r>
      <w:r w:rsidR="00E14AC2" w:rsidRPr="009F63DF">
        <w:t xml:space="preserve"> per cent;</w:t>
      </w:r>
    </w:p>
    <w:p w14:paraId="5DC200B6" w14:textId="5B568B63" w:rsidR="001C2394" w:rsidRPr="009F63DF" w:rsidRDefault="001C2394" w:rsidP="004923D4">
      <w:pPr>
        <w:pStyle w:val="SDMSubPara2"/>
      </w:pPr>
      <w:r w:rsidRPr="009F63DF">
        <w:t>All other wood-burning project cookstoves achieve a minimum efficiency 25</w:t>
      </w:r>
      <w:r w:rsidR="003159F4" w:rsidRPr="009F63DF">
        <w:t> </w:t>
      </w:r>
      <w:r w:rsidR="00E14AC2" w:rsidRPr="009F63DF">
        <w:t>per</w:t>
      </w:r>
      <w:r w:rsidR="003159F4" w:rsidRPr="009F63DF">
        <w:t> </w:t>
      </w:r>
      <w:r w:rsidR="00E14AC2" w:rsidRPr="009F63DF">
        <w:t>cent</w:t>
      </w:r>
      <w:r w:rsidRPr="009F63DF">
        <w:t>; and</w:t>
      </w:r>
    </w:p>
    <w:p w14:paraId="76A21EF7" w14:textId="2B3EB348" w:rsidR="001C2394" w:rsidRPr="009F63DF" w:rsidRDefault="001C2394" w:rsidP="004923D4">
      <w:pPr>
        <w:pStyle w:val="SDMSubPara2"/>
      </w:pPr>
      <w:r w:rsidRPr="009F63DF">
        <w:t>Project cookstoves burning charcoal achieve a minimum efficiency of 30</w:t>
      </w:r>
      <w:r w:rsidR="003159F4" w:rsidRPr="009F63DF">
        <w:t> </w:t>
      </w:r>
      <w:r w:rsidR="00E14AC2" w:rsidRPr="009F63DF">
        <w:t>per</w:t>
      </w:r>
      <w:r w:rsidR="003159F4" w:rsidRPr="009F63DF">
        <w:t> </w:t>
      </w:r>
      <w:r w:rsidR="00E14AC2" w:rsidRPr="009F63DF">
        <w:t>cent</w:t>
      </w:r>
      <w:r w:rsidR="00837003" w:rsidRPr="009F63DF">
        <w:t>.</w:t>
      </w:r>
    </w:p>
    <w:p w14:paraId="2EF8101C" w14:textId="5FCE4891" w:rsidR="00D631D5" w:rsidRPr="004727D5" w:rsidRDefault="00B3368F" w:rsidP="009311F1">
      <w:pPr>
        <w:pStyle w:val="SDMSubPara1"/>
      </w:pPr>
      <w:bookmarkStart w:id="168" w:name="_Ref227589417"/>
      <w:r w:rsidRPr="009F63DF">
        <w:t>Prior to the implementation of the Article 6.4 activity, t</w:t>
      </w:r>
      <w:r w:rsidR="00D631D5" w:rsidRPr="009F63DF">
        <w:t>he percent</w:t>
      </w:r>
      <w:r w:rsidR="002846C4" w:rsidRPr="009F63DF">
        <w:t>age</w:t>
      </w:r>
      <w:r w:rsidR="00D631D5" w:rsidRPr="009F63DF">
        <w:t xml:space="preserve"> of households in the target population with a functional cooking technology that is assessed to have the same or a higher efficiency as the project cookstoves </w:t>
      </w:r>
      <w:r w:rsidR="00DA074F" w:rsidRPr="004727D5">
        <w:t xml:space="preserve">is </w:t>
      </w:r>
      <w:r w:rsidR="00E32452" w:rsidRPr="004727D5">
        <w:t xml:space="preserve">7.5 </w:t>
      </w:r>
      <w:r w:rsidR="00D631D5" w:rsidRPr="004727D5">
        <w:t>per cent</w:t>
      </w:r>
      <w:r w:rsidR="00DA074F" w:rsidRPr="004727D5">
        <w:t xml:space="preserve"> or less</w:t>
      </w:r>
      <w:r w:rsidR="00E670C0" w:rsidRPr="004727D5">
        <w:t>, as determined by following the methods in</w:t>
      </w:r>
      <w:r w:rsidR="00F22A13" w:rsidRPr="004727D5">
        <w:t xml:space="preserve"> section</w:t>
      </w:r>
      <w:r w:rsidR="00803933" w:rsidRPr="004727D5">
        <w:t xml:space="preserve"> </w:t>
      </w:r>
      <w:r w:rsidR="00803933" w:rsidRPr="004727D5">
        <w:fldChar w:fldCharType="begin"/>
      </w:r>
      <w:r w:rsidR="00803933" w:rsidRPr="004727D5">
        <w:instrText xml:space="preserve"> REF _Ref227013743 \r \h </w:instrText>
      </w:r>
      <w:r w:rsidR="004727D5">
        <w:instrText xml:space="preserve"> \* MERGEFORMAT </w:instrText>
      </w:r>
      <w:r w:rsidR="00803933" w:rsidRPr="004727D5">
        <w:fldChar w:fldCharType="separate"/>
      </w:r>
      <w:r w:rsidR="00831DAE">
        <w:rPr>
          <w:cs/>
        </w:rPr>
        <w:t>‎</w:t>
      </w:r>
      <w:r w:rsidR="00831DAE">
        <w:t>7.1.1</w:t>
      </w:r>
      <w:r w:rsidR="00803933" w:rsidRPr="004727D5">
        <w:fldChar w:fldCharType="end"/>
      </w:r>
      <w:bookmarkEnd w:id="168"/>
      <w:r w:rsidR="002846C4" w:rsidRPr="004727D5">
        <w:t>; and</w:t>
      </w:r>
    </w:p>
    <w:p w14:paraId="3D4480C3" w14:textId="56E34D50" w:rsidR="00F26C43" w:rsidRPr="009F63DF" w:rsidRDefault="00F26C43" w:rsidP="009311F1">
      <w:pPr>
        <w:pStyle w:val="SDMSubPara1"/>
      </w:pPr>
      <w:bookmarkStart w:id="169" w:name="_Ref232966583"/>
      <w:bookmarkStart w:id="170" w:name="_Ref227588457"/>
      <w:r w:rsidRPr="009F63DF">
        <w:t xml:space="preserve">From 01 January 2028 onwards, </w:t>
      </w:r>
      <w:r w:rsidR="006B317E" w:rsidRPr="009F63DF">
        <w:t xml:space="preserve">emission reductions shall be calculated using </w:t>
      </w:r>
      <w:r w:rsidRPr="009F63DF">
        <w:t xml:space="preserve">stove usage </w:t>
      </w:r>
      <w:r w:rsidR="006B317E" w:rsidRPr="009F63DF">
        <w:t xml:space="preserve">monitored </w:t>
      </w:r>
      <w:r w:rsidRPr="009F63DF">
        <w:t xml:space="preserve">as per section </w:t>
      </w:r>
      <w:r w:rsidRPr="009F63DF">
        <w:fldChar w:fldCharType="begin"/>
      </w:r>
      <w:r w:rsidRPr="009F63DF">
        <w:instrText xml:space="preserve"> REF _Ref232068000 \r \h </w:instrText>
      </w:r>
      <w:r w:rsidRPr="009F63DF">
        <w:fldChar w:fldCharType="separate"/>
      </w:r>
      <w:r w:rsidR="00831DAE">
        <w:rPr>
          <w:cs/>
        </w:rPr>
        <w:t>‎</w:t>
      </w:r>
      <w:r w:rsidR="00831DAE">
        <w:t>7.4.1</w:t>
      </w:r>
      <w:r w:rsidRPr="009F63DF">
        <w:fldChar w:fldCharType="end"/>
      </w:r>
      <w:r w:rsidRPr="009F63DF">
        <w:t xml:space="preserve"> </w:t>
      </w:r>
      <w:r w:rsidR="006B317E" w:rsidRPr="009F63DF">
        <w:t>(</w:t>
      </w:r>
      <w:r w:rsidRPr="009F63DF">
        <w:t>using SUMs</w:t>
      </w:r>
      <w:r w:rsidR="007A31AA" w:rsidRPr="009F63DF">
        <w:t>)</w:t>
      </w:r>
      <w:r w:rsidR="00D76BFA" w:rsidRPr="009F63DF">
        <w:t>,</w:t>
      </w:r>
      <w:r w:rsidR="00E46A84" w:rsidRPr="009F63DF">
        <w:t xml:space="preserve"> noting that </w:t>
      </w:r>
      <w:r w:rsidR="001A0435" w:rsidRPr="009F63DF">
        <w:t>a robust sample of stoves equipped with SUM</w:t>
      </w:r>
      <w:r w:rsidR="00857280" w:rsidRPr="009F63DF">
        <w:t>s</w:t>
      </w:r>
      <w:r w:rsidR="001A0435" w:rsidRPr="009F63DF">
        <w:t xml:space="preserve"> can be used for deriving this parameter</w:t>
      </w:r>
      <w:r w:rsidRPr="009F63DF">
        <w:t xml:space="preserve">. For any monitoring after </w:t>
      </w:r>
      <w:r w:rsidR="00A015B6" w:rsidRPr="009F63DF">
        <w:t>that date</w:t>
      </w:r>
      <w:r w:rsidRPr="009F63DF">
        <w:t>, emission reductions can only be claimed for stoves for which the usage rate was determined using SUMs</w:t>
      </w:r>
      <w:bookmarkEnd w:id="169"/>
      <w:r w:rsidRPr="009F63DF">
        <w:t>.</w:t>
      </w:r>
      <w:r w:rsidR="00A015B6" w:rsidRPr="009F63DF">
        <w:rPr>
          <w:rStyle w:val="FootnoteReference"/>
        </w:rPr>
        <w:footnoteReference w:id="21"/>
      </w:r>
    </w:p>
    <w:p w14:paraId="65B3B315" w14:textId="26625D0B" w:rsidR="00716D17" w:rsidRPr="009F63DF" w:rsidRDefault="00716D17" w:rsidP="00E03E61">
      <w:pPr>
        <w:pStyle w:val="SDMPara"/>
      </w:pPr>
      <w:r w:rsidRPr="009F63DF">
        <w:t xml:space="preserve">This mechanism methodology is applicable to Article 6.4 activities implemented at the project level or as </w:t>
      </w:r>
      <w:r w:rsidR="00BD7865" w:rsidRPr="009F63DF">
        <w:t xml:space="preserve">a </w:t>
      </w:r>
      <w:r w:rsidR="0059533F" w:rsidRPr="009F63DF">
        <w:t>p</w:t>
      </w:r>
      <w:r w:rsidRPr="009F63DF">
        <w:t xml:space="preserve">rogramme of </w:t>
      </w:r>
      <w:r w:rsidR="0059533F" w:rsidRPr="009F63DF">
        <w:t>a</w:t>
      </w:r>
      <w:r w:rsidRPr="009F63DF">
        <w:t>ctivities</w:t>
      </w:r>
      <w:r w:rsidR="00C34446" w:rsidRPr="009F63DF">
        <w:t xml:space="preserve"> (PoA)</w:t>
      </w:r>
      <w:r w:rsidRPr="009F63DF">
        <w:t>. The mechanism methodology is not applicable to activities implemented at other scales (e.g., policies, sectoral approaches, etc.).</w:t>
      </w:r>
      <w:bookmarkEnd w:id="170"/>
    </w:p>
    <w:p w14:paraId="2A8F566A" w14:textId="3A87E8D4" w:rsidR="00BA0A2C" w:rsidRPr="009F63DF" w:rsidRDefault="00BA0A2C" w:rsidP="00E03E61">
      <w:pPr>
        <w:pStyle w:val="SDMPara"/>
      </w:pPr>
      <w:bookmarkStart w:id="171" w:name="_Ref227588466"/>
      <w:r w:rsidRPr="009F63DF">
        <w:t xml:space="preserve">This mechanism methodology is only applicable on a standalone basis and shall not be applied in combination with other </w:t>
      </w:r>
      <w:r w:rsidR="008253F1" w:rsidRPr="009F63DF">
        <w:t xml:space="preserve">mechanism </w:t>
      </w:r>
      <w:r w:rsidRPr="009F63DF">
        <w:t xml:space="preserve">methodologies, unless one or more of the other </w:t>
      </w:r>
      <w:r w:rsidR="008253F1" w:rsidRPr="009F63DF">
        <w:t xml:space="preserve">mechanism </w:t>
      </w:r>
      <w:r w:rsidRPr="009F63DF">
        <w:t>methodologies specify how the interaction with this mechanism methodology is taken into account.</w:t>
      </w:r>
      <w:bookmarkEnd w:id="171"/>
    </w:p>
    <w:p w14:paraId="3C206775" w14:textId="77777777" w:rsidR="00B026BE" w:rsidRPr="009F63DF" w:rsidRDefault="00B026BE" w:rsidP="00655F47">
      <w:pPr>
        <w:pStyle w:val="SDMPara"/>
        <w:keepNext/>
      </w:pPr>
      <w:bookmarkStart w:id="172" w:name="_Ref224146743"/>
      <w:bookmarkStart w:id="173" w:name="_Toc219446919"/>
      <w:bookmarkStart w:id="174" w:name="_Toc219711054"/>
      <w:bookmarkStart w:id="175" w:name="_Toc219711157"/>
      <w:bookmarkStart w:id="176" w:name="_Toc219711334"/>
      <w:bookmarkStart w:id="177" w:name="_Toc226502268"/>
      <w:bookmarkStart w:id="178" w:name="_Toc226576221"/>
      <w:bookmarkStart w:id="179" w:name="_Toc226983071"/>
      <w:bookmarkStart w:id="180" w:name="_Ref227185569"/>
      <w:bookmarkStart w:id="181" w:name="_Ref227185578"/>
      <w:bookmarkStart w:id="182" w:name="_Toc227677269"/>
      <w:bookmarkStart w:id="183" w:name="_Toc227694791"/>
      <w:bookmarkStart w:id="184" w:name="_Toc227920905"/>
      <w:bookmarkStart w:id="185" w:name="_Toc227938806"/>
      <w:bookmarkStart w:id="186" w:name="_Toc227948057"/>
      <w:r w:rsidRPr="009F63DF">
        <w:t>The above provisions shall be demonstrated as follows:</w:t>
      </w:r>
      <w:bookmarkEnd w:id="172"/>
    </w:p>
    <w:p w14:paraId="6AE4C005" w14:textId="45545613" w:rsidR="00615311" w:rsidRPr="009F63DF" w:rsidRDefault="00B026BE" w:rsidP="009311F1">
      <w:pPr>
        <w:pStyle w:val="SDMSubPara1"/>
      </w:pPr>
      <w:r w:rsidRPr="009F63DF">
        <w:t xml:space="preserve">The provisions in paragraphs </w:t>
      </w:r>
      <w:r w:rsidRPr="009F63DF">
        <w:fldChar w:fldCharType="begin"/>
      </w:r>
      <w:r w:rsidRPr="009F63DF">
        <w:instrText xml:space="preserve"> REF _Ref227588087 \r \h </w:instrText>
      </w:r>
      <w:r w:rsidRPr="009F63DF">
        <w:fldChar w:fldCharType="separate"/>
      </w:r>
      <w:r w:rsidR="00831DAE">
        <w:rPr>
          <w:cs/>
        </w:rPr>
        <w:t>‎</w:t>
      </w:r>
      <w:r w:rsidR="00831DAE">
        <w:t>11</w:t>
      </w:r>
      <w:r w:rsidRPr="009F63DF">
        <w:fldChar w:fldCharType="end"/>
      </w:r>
      <w:r w:rsidRPr="009F63DF">
        <w:t xml:space="preserve">, </w:t>
      </w:r>
      <w:r w:rsidRPr="009F63DF">
        <w:fldChar w:fldCharType="begin"/>
      </w:r>
      <w:r w:rsidRPr="009F63DF">
        <w:instrText xml:space="preserve"> REF _Ref227588101 \r \h  \* MERGEFORMAT </w:instrText>
      </w:r>
      <w:r w:rsidRPr="009F63DF">
        <w:fldChar w:fldCharType="separate"/>
      </w:r>
      <w:r w:rsidR="00831DAE">
        <w:rPr>
          <w:cs/>
        </w:rPr>
        <w:t>‎</w:t>
      </w:r>
      <w:r w:rsidR="00831DAE">
        <w:t>12</w:t>
      </w:r>
      <w:r w:rsidRPr="009F63DF">
        <w:fldChar w:fldCharType="end"/>
      </w:r>
      <w:r w:rsidRPr="009F63DF">
        <w:t xml:space="preserve">, </w:t>
      </w:r>
      <w:r w:rsidRPr="009F63DF">
        <w:fldChar w:fldCharType="begin"/>
      </w:r>
      <w:r w:rsidRPr="009F63DF">
        <w:instrText xml:space="preserve"> REF _Ref227588151 \r \h  \* MERGEFORMAT </w:instrText>
      </w:r>
      <w:r w:rsidRPr="009F63DF">
        <w:fldChar w:fldCharType="separate"/>
      </w:r>
      <w:r w:rsidR="00831DAE">
        <w:rPr>
          <w:cs/>
        </w:rPr>
        <w:t>‎</w:t>
      </w:r>
      <w:r w:rsidR="00831DAE">
        <w:t>13</w:t>
      </w:r>
      <w:r w:rsidRPr="009F63DF">
        <w:fldChar w:fldCharType="end"/>
      </w:r>
      <w:r w:rsidRPr="009F63DF">
        <w:t>(a), (c), (d), (e), (f</w:t>
      </w:r>
      <w:r w:rsidRPr="004727D5">
        <w:t xml:space="preserve">), (h), (i), </w:t>
      </w:r>
      <w:r w:rsidR="000764EE" w:rsidRPr="004727D5">
        <w:t xml:space="preserve">(j), </w:t>
      </w:r>
      <w:r w:rsidRPr="004727D5">
        <w:fldChar w:fldCharType="begin"/>
      </w:r>
      <w:r w:rsidRPr="004727D5">
        <w:instrText xml:space="preserve"> REF _Ref227588457 \r \h  \* MERGEFORMAT </w:instrText>
      </w:r>
      <w:r w:rsidRPr="004727D5">
        <w:fldChar w:fldCharType="separate"/>
      </w:r>
      <w:r w:rsidR="00831DAE">
        <w:rPr>
          <w:cs/>
        </w:rPr>
        <w:t>‎</w:t>
      </w:r>
      <w:r w:rsidR="00831DAE">
        <w:t>13(k)</w:t>
      </w:r>
      <w:r w:rsidRPr="004727D5">
        <w:fldChar w:fldCharType="end"/>
      </w:r>
      <w:r w:rsidRPr="004727D5">
        <w:t xml:space="preserve"> and </w:t>
      </w:r>
      <w:r w:rsidRPr="004727D5">
        <w:fldChar w:fldCharType="begin"/>
      </w:r>
      <w:r w:rsidRPr="004727D5">
        <w:instrText xml:space="preserve"> REF _Ref227588466 \r \h  \* MERGEFORMAT </w:instrText>
      </w:r>
      <w:r w:rsidRPr="004727D5">
        <w:fldChar w:fldCharType="separate"/>
      </w:r>
      <w:r w:rsidR="00831DAE">
        <w:rPr>
          <w:cs/>
        </w:rPr>
        <w:t>‎</w:t>
      </w:r>
      <w:r w:rsidR="00831DAE">
        <w:t>15</w:t>
      </w:r>
      <w:r w:rsidRPr="004727D5">
        <w:fldChar w:fldCharType="end"/>
      </w:r>
      <w:r w:rsidRPr="004727D5">
        <w:t xml:space="preserve"> shall be demonstrated in the project design</w:t>
      </w:r>
      <w:r w:rsidRPr="004727D5" w:rsidDel="00EC5D21">
        <w:t xml:space="preserve"> </w:t>
      </w:r>
      <w:r w:rsidRPr="004727D5">
        <w:t>document (PDD) and be assessed at the initial validation, as well as in the case of a change in project cookstove</w:t>
      </w:r>
      <w:r w:rsidRPr="009F63DF">
        <w:t xml:space="preserve"> design over the activity lifetime;</w:t>
      </w:r>
    </w:p>
    <w:p w14:paraId="6563BFB9" w14:textId="2285691C" w:rsidR="00615311" w:rsidRPr="009F63DF" w:rsidRDefault="002206F7" w:rsidP="009311F1">
      <w:pPr>
        <w:pStyle w:val="SDMSubPara1"/>
      </w:pPr>
      <w:r w:rsidRPr="009F63DF">
        <w:t xml:space="preserve">The provisions in paragraph </w:t>
      </w:r>
      <w:r w:rsidR="00E50CAF" w:rsidRPr="009F63DF">
        <w:fldChar w:fldCharType="begin"/>
      </w:r>
      <w:r w:rsidR="00E50CAF" w:rsidRPr="009F63DF">
        <w:instrText xml:space="preserve"> REF _Ref227588151 \r \h  \* MERGEFORMAT </w:instrText>
      </w:r>
      <w:r w:rsidR="00E50CAF" w:rsidRPr="009F63DF">
        <w:fldChar w:fldCharType="separate"/>
      </w:r>
      <w:r w:rsidR="00831DAE">
        <w:rPr>
          <w:cs/>
        </w:rPr>
        <w:t>‎</w:t>
      </w:r>
      <w:r w:rsidR="00831DAE">
        <w:t>13</w:t>
      </w:r>
      <w:r w:rsidR="00E50CAF" w:rsidRPr="009F63DF">
        <w:fldChar w:fldCharType="end"/>
      </w:r>
      <w:r w:rsidR="00E50CAF" w:rsidRPr="009F63DF">
        <w:t>(b)</w:t>
      </w:r>
      <w:r w:rsidRPr="009F63DF">
        <w:t xml:space="preserve"> above shall be demonstrated in the PDD and demonstrated in the first monitoring report and assessed at the first verification; and</w:t>
      </w:r>
    </w:p>
    <w:p w14:paraId="52C576C4" w14:textId="1CBBE82E" w:rsidR="00B026BE" w:rsidRPr="009F63DF" w:rsidRDefault="00B026BE" w:rsidP="009311F1">
      <w:pPr>
        <w:pStyle w:val="SDMSubPara1"/>
      </w:pPr>
      <w:r w:rsidRPr="009F63DF">
        <w:t xml:space="preserve">The provisions in paragraphs, </w:t>
      </w:r>
      <w:r w:rsidR="007050F8" w:rsidRPr="009F63DF">
        <w:fldChar w:fldCharType="begin"/>
      </w:r>
      <w:r w:rsidR="007050F8" w:rsidRPr="009F63DF">
        <w:instrText xml:space="preserve"> REF _Ref227588151 \r \h  \* MERGEFORMAT </w:instrText>
      </w:r>
      <w:r w:rsidR="007050F8" w:rsidRPr="009F63DF">
        <w:fldChar w:fldCharType="separate"/>
      </w:r>
      <w:r w:rsidR="00831DAE">
        <w:rPr>
          <w:cs/>
        </w:rPr>
        <w:t>‎</w:t>
      </w:r>
      <w:r w:rsidR="00831DAE">
        <w:t>13</w:t>
      </w:r>
      <w:r w:rsidR="007050F8" w:rsidRPr="009F63DF">
        <w:fldChar w:fldCharType="end"/>
      </w:r>
      <w:r w:rsidR="007050F8" w:rsidRPr="009F63DF">
        <w:t xml:space="preserve"> </w:t>
      </w:r>
      <w:r w:rsidRPr="009F63DF">
        <w:t xml:space="preserve">(g) and (h) shall be demonstrated in each monitoring report and be assessed at each verification, as well as </w:t>
      </w:r>
      <w:r w:rsidR="00836C45" w:rsidRPr="009F63DF">
        <w:t>at</w:t>
      </w:r>
      <w:r w:rsidRPr="009F63DF">
        <w:t xml:space="preserve"> each </w:t>
      </w:r>
      <w:r w:rsidR="00A160B4" w:rsidRPr="009F63DF">
        <w:t>(</w:t>
      </w:r>
      <w:r w:rsidRPr="009F63DF">
        <w:t>KPT</w:t>
      </w:r>
      <w:r w:rsidR="00A160B4" w:rsidRPr="009F63DF">
        <w:t>)</w:t>
      </w:r>
      <w:r w:rsidR="00836C45" w:rsidRPr="009F63DF">
        <w:t xml:space="preserve"> </w:t>
      </w:r>
      <w:r w:rsidRPr="009F63DF">
        <w:t xml:space="preserve">cycle in line with paragraph </w:t>
      </w:r>
      <w:r w:rsidRPr="009F63DF">
        <w:fldChar w:fldCharType="begin"/>
      </w:r>
      <w:r w:rsidRPr="009F63DF">
        <w:instrText xml:space="preserve"> REF _Ref232108365 \r \h </w:instrText>
      </w:r>
      <w:r w:rsidRPr="009F63DF">
        <w:fldChar w:fldCharType="separate"/>
      </w:r>
      <w:r w:rsidR="00831DAE">
        <w:rPr>
          <w:cs/>
        </w:rPr>
        <w:t>‎</w:t>
      </w:r>
      <w:r w:rsidR="00831DAE">
        <w:t>122</w:t>
      </w:r>
      <w:r w:rsidRPr="009F63DF">
        <w:fldChar w:fldCharType="end"/>
      </w:r>
      <w:r w:rsidRPr="009F63DF">
        <w:t>.</w:t>
      </w:r>
    </w:p>
    <w:p w14:paraId="27137102" w14:textId="40506C89" w:rsidR="00B026BE" w:rsidRPr="009F63DF" w:rsidRDefault="00B026BE" w:rsidP="00E03E61">
      <w:pPr>
        <w:pStyle w:val="SDMPara"/>
      </w:pPr>
      <w:r w:rsidRPr="009F63DF">
        <w:t>The applicability conditions included in the methodological tools referred to in paragraph </w:t>
      </w:r>
      <w:r w:rsidRPr="009F63DF">
        <w:fldChar w:fldCharType="begin"/>
      </w:r>
      <w:r w:rsidRPr="009F63DF">
        <w:instrText xml:space="preserve"> REF _Ref227588666 \r \h </w:instrText>
      </w:r>
      <w:r w:rsidRPr="009F63DF">
        <w:fldChar w:fldCharType="separate"/>
      </w:r>
      <w:r w:rsidR="00831DAE">
        <w:rPr>
          <w:cs/>
        </w:rPr>
        <w:t>‎</w:t>
      </w:r>
      <w:r w:rsidR="00831DAE">
        <w:t>10</w:t>
      </w:r>
      <w:r w:rsidRPr="009F63DF">
        <w:fldChar w:fldCharType="end"/>
      </w:r>
      <w:r w:rsidRPr="009F63DF">
        <w:t xml:space="preserve"> also apply.</w:t>
      </w:r>
    </w:p>
    <w:p w14:paraId="448AEEE1" w14:textId="6CBFB23E" w:rsidR="001C2394" w:rsidRPr="009F63DF" w:rsidRDefault="004E05CB" w:rsidP="00B07AF7">
      <w:pPr>
        <w:pStyle w:val="SDMHead1"/>
      </w:pPr>
      <w:bookmarkStart w:id="187" w:name="_Toc233388614"/>
      <w:bookmarkStart w:id="188" w:name="_Toc233961421"/>
      <w:bookmarkStart w:id="189" w:name="_Toc233970230"/>
      <w:bookmarkStart w:id="190" w:name="_Ref240378165"/>
      <w:bookmarkStart w:id="191" w:name="_Toc240546560"/>
      <w:bookmarkStart w:id="192" w:name="_Toc240631961"/>
      <w:bookmarkStart w:id="193" w:name="_Toc242471146"/>
      <w:r w:rsidRPr="009F63DF">
        <w:t>Activity</w:t>
      </w:r>
      <w:r w:rsidR="001C2394" w:rsidRPr="009F63DF">
        <w:t xml:space="preserve"> Boundary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38C1BCB5" w14:textId="4FA605BC" w:rsidR="006D2932" w:rsidRPr="009F63DF" w:rsidRDefault="001C2394" w:rsidP="00655F47">
      <w:pPr>
        <w:pStyle w:val="SDMPara"/>
        <w:keepNext/>
      </w:pPr>
      <w:r w:rsidRPr="009F63DF">
        <w:t xml:space="preserve">The </w:t>
      </w:r>
      <w:r w:rsidR="004E05CB" w:rsidRPr="009F63DF">
        <w:t>activity</w:t>
      </w:r>
      <w:r w:rsidRPr="009F63DF">
        <w:t xml:space="preserve"> boundary </w:t>
      </w:r>
      <w:r w:rsidR="003A0F48" w:rsidRPr="009F63DF">
        <w:t>includes two components</w:t>
      </w:r>
      <w:r w:rsidR="006D2932" w:rsidRPr="009F63DF">
        <w:t>:</w:t>
      </w:r>
    </w:p>
    <w:p w14:paraId="42AE2A80" w14:textId="72FFDEE2" w:rsidR="006D2932" w:rsidRPr="009F63DF" w:rsidRDefault="00527FAA" w:rsidP="009311F1">
      <w:pPr>
        <w:pStyle w:val="SDMSubPara1"/>
      </w:pPr>
      <w:bookmarkStart w:id="194" w:name="_Ref227139933"/>
      <w:r w:rsidRPr="009F63DF">
        <w:t>The</w:t>
      </w:r>
      <w:r w:rsidR="001C2394" w:rsidRPr="009F63DF">
        <w:t xml:space="preserve"> physical, geographical sites where </w:t>
      </w:r>
      <w:r w:rsidR="007557E7" w:rsidRPr="009F63DF">
        <w:t xml:space="preserve">the </w:t>
      </w:r>
      <w:r w:rsidR="001C2394" w:rsidRPr="009F63DF">
        <w:t xml:space="preserve">project </w:t>
      </w:r>
      <w:r w:rsidR="0003498C" w:rsidRPr="009F63DF">
        <w:t>cookstoves</w:t>
      </w:r>
      <w:r w:rsidR="001C2394" w:rsidRPr="009F63DF">
        <w:t xml:space="preserve"> operate</w:t>
      </w:r>
      <w:r w:rsidR="003A0F48" w:rsidRPr="009F63DF">
        <w:t>;</w:t>
      </w:r>
      <w:r w:rsidR="001C2394" w:rsidRPr="009F63DF">
        <w:t xml:space="preserve"> and</w:t>
      </w:r>
      <w:bookmarkEnd w:id="194"/>
    </w:p>
    <w:p w14:paraId="20FAFF0A" w14:textId="41CF243E" w:rsidR="001C2394" w:rsidRPr="009F63DF" w:rsidRDefault="00527FAA" w:rsidP="009311F1">
      <w:pPr>
        <w:pStyle w:val="SDMSubPara1"/>
      </w:pPr>
      <w:bookmarkStart w:id="195" w:name="_Ref227139807"/>
      <w:r w:rsidRPr="009F63DF">
        <w:t>The</w:t>
      </w:r>
      <w:r w:rsidR="001C2394" w:rsidRPr="009F63DF">
        <w:t xml:space="preserve"> location(s) </w:t>
      </w:r>
      <w:r w:rsidR="00457E2B" w:rsidRPr="009F63DF">
        <w:t xml:space="preserve">in </w:t>
      </w:r>
      <w:r w:rsidR="001C2394" w:rsidRPr="009F63DF">
        <w:t xml:space="preserve">which </w:t>
      </w:r>
      <w:r w:rsidR="00C765E5" w:rsidRPr="009F63DF">
        <w:t xml:space="preserve">the </w:t>
      </w:r>
      <w:r w:rsidR="001C2394" w:rsidRPr="009F63DF">
        <w:t xml:space="preserve">fuels </w:t>
      </w:r>
      <w:r w:rsidR="00C765E5" w:rsidRPr="009F63DF">
        <w:t xml:space="preserve">used by the households </w:t>
      </w:r>
      <w:r w:rsidR="001C2394" w:rsidRPr="009F63DF">
        <w:t xml:space="preserve">are produced or </w:t>
      </w:r>
      <w:r w:rsidR="00031D92" w:rsidRPr="009F63DF">
        <w:t xml:space="preserve">the location(s) </w:t>
      </w:r>
      <w:r w:rsidR="00BE6430" w:rsidRPr="009F63DF">
        <w:t xml:space="preserve">from where they are </w:t>
      </w:r>
      <w:r w:rsidR="001C2394" w:rsidRPr="009F63DF">
        <w:t>collected</w:t>
      </w:r>
      <w:r w:rsidR="0003498C" w:rsidRPr="009F63DF">
        <w:t xml:space="preserve"> in the baseline and </w:t>
      </w:r>
      <w:r w:rsidR="00E50FD1" w:rsidRPr="009F63DF">
        <w:t xml:space="preserve">activity </w:t>
      </w:r>
      <w:r w:rsidR="0003498C" w:rsidRPr="009F63DF">
        <w:t>scenario</w:t>
      </w:r>
      <w:r w:rsidRPr="009F63DF">
        <w:t>s</w:t>
      </w:r>
      <w:r w:rsidR="001C2394" w:rsidRPr="009F63DF">
        <w:t>.</w:t>
      </w:r>
      <w:bookmarkEnd w:id="195"/>
    </w:p>
    <w:p w14:paraId="6065B7A7" w14:textId="6719ADE9" w:rsidR="003E1B2B" w:rsidRPr="009F63DF" w:rsidRDefault="003E1B2B" w:rsidP="00E03E61">
      <w:pPr>
        <w:pStyle w:val="SDMPara"/>
      </w:pPr>
      <w:r w:rsidRPr="009F63DF">
        <w:t xml:space="preserve">The emission sources included in or excluded from the </w:t>
      </w:r>
      <w:r w:rsidR="004E05CB" w:rsidRPr="009F63DF">
        <w:t>activity</w:t>
      </w:r>
      <w:r w:rsidRPr="009F63DF">
        <w:t xml:space="preserve"> boundary are specified in </w:t>
      </w:r>
      <w:r w:rsidR="00E16F03" w:rsidRPr="009F63DF">
        <w:fldChar w:fldCharType="begin"/>
      </w:r>
      <w:r w:rsidR="00E16F03" w:rsidRPr="009F63DF">
        <w:instrText xml:space="preserve"> REF _Ref233731528 \h </w:instrText>
      </w:r>
      <w:r w:rsidR="00E16F03" w:rsidRPr="009F63DF">
        <w:fldChar w:fldCharType="separate"/>
      </w:r>
      <w:r w:rsidR="00831DAE" w:rsidRPr="009F63DF">
        <w:t>Table </w:t>
      </w:r>
      <w:r w:rsidR="00831DAE">
        <w:rPr>
          <w:noProof/>
        </w:rPr>
        <w:t>1</w:t>
      </w:r>
      <w:r w:rsidR="00E16F03" w:rsidRPr="009F63DF">
        <w:fldChar w:fldCharType="end"/>
      </w:r>
      <w:r w:rsidRPr="009F63DF">
        <w:t xml:space="preserve"> below. The greenhouse gas </w:t>
      </w:r>
      <w:r w:rsidR="00B07D15" w:rsidRPr="009F63DF">
        <w:t>(GHG)</w:t>
      </w:r>
      <w:r w:rsidRPr="009F63DF">
        <w:t xml:space="preserve"> reservoirs included in or excluded from the </w:t>
      </w:r>
      <w:r w:rsidR="000B34FA" w:rsidRPr="009F63DF">
        <w:t>activity</w:t>
      </w:r>
      <w:r w:rsidRPr="009F63DF">
        <w:t xml:space="preserve"> boundary are specified in </w:t>
      </w:r>
      <w:r w:rsidR="00FF433D" w:rsidRPr="009F63DF">
        <w:rPr>
          <w:highlight w:val="cyan"/>
        </w:rPr>
        <w:fldChar w:fldCharType="begin"/>
      </w:r>
      <w:r w:rsidR="00FF433D" w:rsidRPr="009F63DF">
        <w:instrText xml:space="preserve"> REF _Ref232720824 \h </w:instrText>
      </w:r>
      <w:r w:rsidR="00FF433D" w:rsidRPr="009F63DF">
        <w:rPr>
          <w:highlight w:val="cyan"/>
        </w:rPr>
      </w:r>
      <w:r w:rsidR="00FF433D" w:rsidRPr="009F63DF">
        <w:rPr>
          <w:highlight w:val="cyan"/>
        </w:rPr>
        <w:fldChar w:fldCharType="separate"/>
      </w:r>
      <w:r w:rsidR="00831DAE" w:rsidRPr="009F63DF">
        <w:t>Table </w:t>
      </w:r>
      <w:r w:rsidR="00831DAE">
        <w:rPr>
          <w:noProof/>
        </w:rPr>
        <w:t>2</w:t>
      </w:r>
      <w:r w:rsidR="00FF433D" w:rsidRPr="009F63DF">
        <w:rPr>
          <w:highlight w:val="cyan"/>
        </w:rPr>
        <w:fldChar w:fldCharType="end"/>
      </w:r>
      <w:r w:rsidRPr="009F63DF">
        <w:t xml:space="preserve"> below.</w:t>
      </w:r>
    </w:p>
    <w:p w14:paraId="0F411C04" w14:textId="4E4F0BF6" w:rsidR="0051379B" w:rsidRPr="009F63DF" w:rsidRDefault="0051379B" w:rsidP="00B07AF7">
      <w:pPr>
        <w:pStyle w:val="Caption"/>
        <w:suppressAutoHyphens/>
      </w:pPr>
      <w:bookmarkStart w:id="196" w:name="_Ref233731528"/>
      <w:r w:rsidRPr="009F63DF">
        <w:t>Table</w:t>
      </w:r>
      <w:r w:rsidR="00BD3482" w:rsidRPr="009F63DF">
        <w:t> </w:t>
      </w:r>
      <w:r w:rsidRPr="009F63DF">
        <w:fldChar w:fldCharType="begin"/>
      </w:r>
      <w:r w:rsidRPr="009F63DF">
        <w:instrText xml:space="preserve"> SEQ Table </w:instrText>
      </w:r>
      <w:r w:rsidR="00BD3482" w:rsidRPr="009F63DF">
        <w:instrText xml:space="preserve">\r1 </w:instrText>
      </w:r>
      <w:r w:rsidRPr="009F63DF">
        <w:instrText xml:space="preserve">\* ARABIC </w:instrText>
      </w:r>
      <w:r w:rsidRPr="009F63DF">
        <w:fldChar w:fldCharType="separate"/>
      </w:r>
      <w:r w:rsidR="00831DAE">
        <w:rPr>
          <w:noProof/>
        </w:rPr>
        <w:t>1</w:t>
      </w:r>
      <w:r w:rsidRPr="009F63DF">
        <w:fldChar w:fldCharType="end"/>
      </w:r>
      <w:bookmarkEnd w:id="196"/>
      <w:r w:rsidRPr="009F63DF">
        <w:t>.</w:t>
      </w:r>
      <w:r w:rsidRPr="009F63DF">
        <w:tab/>
        <w:t xml:space="preserve">Emission sources included in or excluded from the </w:t>
      </w:r>
      <w:r w:rsidR="000B34FA" w:rsidRPr="009F63DF">
        <w:t>activity</w:t>
      </w:r>
      <w:r w:rsidRPr="009F63DF">
        <w:t xml:space="preserve"> boundary</w:t>
      </w:r>
    </w:p>
    <w:tbl>
      <w:tblPr>
        <w:tblStyle w:val="SDMMethTable"/>
        <w:tblW w:w="8529" w:type="dxa"/>
        <w:tblLook w:val="0620" w:firstRow="1" w:lastRow="0" w:firstColumn="0" w:lastColumn="0" w:noHBand="1" w:noVBand="1"/>
      </w:tblPr>
      <w:tblGrid>
        <w:gridCol w:w="714"/>
        <w:gridCol w:w="1517"/>
        <w:gridCol w:w="722"/>
        <w:gridCol w:w="1335"/>
        <w:gridCol w:w="1555"/>
        <w:gridCol w:w="2686"/>
      </w:tblGrid>
      <w:tr w:rsidR="003A4C0B" w:rsidRPr="009F63DF" w14:paraId="3CA6C24A" w14:textId="77777777" w:rsidTr="0016344B">
        <w:trPr>
          <w:cnfStyle w:val="100000000000" w:firstRow="1" w:lastRow="0" w:firstColumn="0" w:lastColumn="0" w:oddVBand="0" w:evenVBand="0" w:oddHBand="0" w:evenHBand="0" w:firstRowFirstColumn="0" w:firstRowLastColumn="0" w:lastRowFirstColumn="0" w:lastRowLastColumn="0"/>
        </w:trPr>
        <w:tc>
          <w:tcPr>
            <w:tcW w:w="714" w:type="dxa"/>
            <w:tcBorders>
              <w:bottom w:val="single" w:sz="4" w:space="0" w:color="auto"/>
              <w:right w:val="single" w:sz="4" w:space="0" w:color="auto"/>
            </w:tcBorders>
            <w:shd w:val="clear" w:color="auto" w:fill="auto"/>
          </w:tcPr>
          <w:p w14:paraId="7F969C8A" w14:textId="77777777" w:rsidR="001C2394" w:rsidRPr="009F63DF" w:rsidRDefault="001C2394" w:rsidP="00311575">
            <w:pPr>
              <w:suppressAutoHyphens/>
              <w:jc w:val="center"/>
              <w:rPr>
                <w:rFonts w:cs="Arial"/>
                <w:sz w:val="20"/>
              </w:rPr>
            </w:pPr>
          </w:p>
        </w:tc>
        <w:tc>
          <w:tcPr>
            <w:tcW w:w="1517" w:type="dxa"/>
            <w:tcBorders>
              <w:left w:val="single" w:sz="4" w:space="0" w:color="auto"/>
              <w:bottom w:val="single" w:sz="4" w:space="0" w:color="auto"/>
              <w:right w:val="single" w:sz="4" w:space="0" w:color="auto"/>
            </w:tcBorders>
            <w:shd w:val="clear" w:color="auto" w:fill="auto"/>
          </w:tcPr>
          <w:p w14:paraId="50004A60" w14:textId="77777777" w:rsidR="001C2394" w:rsidRPr="009F63DF" w:rsidRDefault="001C2394" w:rsidP="00311575">
            <w:pPr>
              <w:suppressAutoHyphens/>
              <w:jc w:val="left"/>
              <w:rPr>
                <w:rFonts w:cs="Arial"/>
                <w:sz w:val="20"/>
              </w:rPr>
            </w:pPr>
            <w:r w:rsidRPr="009F63DF">
              <w:rPr>
                <w:rFonts w:cs="Arial"/>
                <w:sz w:val="20"/>
              </w:rPr>
              <w:t>Source</w:t>
            </w:r>
          </w:p>
        </w:tc>
        <w:tc>
          <w:tcPr>
            <w:tcW w:w="722" w:type="dxa"/>
            <w:tcBorders>
              <w:left w:val="single" w:sz="4" w:space="0" w:color="auto"/>
              <w:bottom w:val="single" w:sz="4" w:space="0" w:color="auto"/>
              <w:right w:val="single" w:sz="4" w:space="0" w:color="auto"/>
            </w:tcBorders>
            <w:shd w:val="clear" w:color="auto" w:fill="auto"/>
          </w:tcPr>
          <w:p w14:paraId="3632229C" w14:textId="77777777" w:rsidR="001C2394" w:rsidRPr="009F63DF" w:rsidRDefault="001C2394" w:rsidP="00311575">
            <w:pPr>
              <w:suppressAutoHyphens/>
              <w:jc w:val="left"/>
              <w:rPr>
                <w:rFonts w:cs="Arial"/>
                <w:sz w:val="20"/>
              </w:rPr>
            </w:pPr>
            <w:r w:rsidRPr="009F63DF">
              <w:rPr>
                <w:rFonts w:cs="Arial"/>
                <w:sz w:val="20"/>
              </w:rPr>
              <w:t>Gas</w:t>
            </w:r>
          </w:p>
        </w:tc>
        <w:tc>
          <w:tcPr>
            <w:tcW w:w="1335" w:type="dxa"/>
            <w:tcBorders>
              <w:left w:val="single" w:sz="4" w:space="0" w:color="auto"/>
              <w:bottom w:val="single" w:sz="4" w:space="0" w:color="auto"/>
              <w:right w:val="single" w:sz="4" w:space="0" w:color="auto"/>
            </w:tcBorders>
            <w:shd w:val="clear" w:color="auto" w:fill="auto"/>
          </w:tcPr>
          <w:p w14:paraId="3C669D6E" w14:textId="77777777" w:rsidR="001C2394" w:rsidRPr="009F63DF" w:rsidRDefault="001C2394" w:rsidP="00311575">
            <w:pPr>
              <w:suppressAutoHyphens/>
              <w:jc w:val="left"/>
              <w:rPr>
                <w:rFonts w:cs="Arial"/>
                <w:sz w:val="20"/>
              </w:rPr>
            </w:pPr>
            <w:r w:rsidRPr="009F63DF">
              <w:rPr>
                <w:rFonts w:cs="Arial"/>
                <w:sz w:val="20"/>
              </w:rPr>
              <w:t>Included?</w:t>
            </w:r>
          </w:p>
        </w:tc>
        <w:tc>
          <w:tcPr>
            <w:tcW w:w="1555" w:type="dxa"/>
            <w:tcBorders>
              <w:left w:val="single" w:sz="4" w:space="0" w:color="auto"/>
              <w:bottom w:val="single" w:sz="4" w:space="0" w:color="auto"/>
              <w:right w:val="single" w:sz="4" w:space="0" w:color="auto"/>
            </w:tcBorders>
            <w:shd w:val="clear" w:color="auto" w:fill="auto"/>
          </w:tcPr>
          <w:p w14:paraId="47B247DF" w14:textId="77777777" w:rsidR="001C2394" w:rsidRPr="009F63DF" w:rsidRDefault="001C2394" w:rsidP="00311575">
            <w:pPr>
              <w:suppressAutoHyphens/>
              <w:jc w:val="left"/>
              <w:rPr>
                <w:rFonts w:cs="Arial"/>
                <w:b w:val="0"/>
                <w:sz w:val="20"/>
              </w:rPr>
            </w:pPr>
            <w:r w:rsidRPr="009F63DF">
              <w:rPr>
                <w:rFonts w:cs="Arial"/>
                <w:sz w:val="20"/>
              </w:rPr>
              <w:t>Controlled / Related to / Affected by?</w:t>
            </w:r>
          </w:p>
        </w:tc>
        <w:tc>
          <w:tcPr>
            <w:tcW w:w="2686" w:type="dxa"/>
            <w:tcBorders>
              <w:left w:val="single" w:sz="4" w:space="0" w:color="auto"/>
              <w:bottom w:val="single" w:sz="4" w:space="0" w:color="auto"/>
            </w:tcBorders>
            <w:shd w:val="clear" w:color="auto" w:fill="auto"/>
          </w:tcPr>
          <w:p w14:paraId="1D7C17B8" w14:textId="77777777" w:rsidR="001C2394" w:rsidRPr="009F63DF" w:rsidRDefault="001C2394" w:rsidP="00311575">
            <w:pPr>
              <w:suppressAutoHyphens/>
              <w:jc w:val="left"/>
              <w:rPr>
                <w:rFonts w:cs="Arial"/>
                <w:sz w:val="20"/>
              </w:rPr>
            </w:pPr>
            <w:r w:rsidRPr="009F63DF">
              <w:rPr>
                <w:rFonts w:cs="Arial"/>
                <w:sz w:val="20"/>
              </w:rPr>
              <w:t>Justification / Explanation</w:t>
            </w:r>
          </w:p>
        </w:tc>
      </w:tr>
      <w:tr w:rsidR="00FB1BEB" w:rsidRPr="009F63DF" w14:paraId="0D54ED4D" w14:textId="77777777" w:rsidTr="0016344B">
        <w:tc>
          <w:tcPr>
            <w:tcW w:w="714" w:type="dxa"/>
            <w:vMerge w:val="restart"/>
            <w:textDirection w:val="btLr"/>
          </w:tcPr>
          <w:p w14:paraId="64785F8E" w14:textId="77777777" w:rsidR="00FB1BEB" w:rsidRPr="009F63DF" w:rsidRDefault="00FB1BEB" w:rsidP="00311575">
            <w:pPr>
              <w:suppressAutoHyphens/>
              <w:ind w:left="113" w:right="113"/>
              <w:jc w:val="center"/>
              <w:rPr>
                <w:rFonts w:cs="Arial"/>
                <w:b/>
                <w:bCs/>
                <w:sz w:val="20"/>
              </w:rPr>
            </w:pPr>
            <w:r w:rsidRPr="009F63DF">
              <w:rPr>
                <w:rFonts w:eastAsia="Montserrat" w:cs="Arial"/>
                <w:b/>
                <w:bCs/>
                <w:color w:val="000000"/>
                <w:sz w:val="20"/>
                <w:lang w:eastAsia="en-US"/>
              </w:rPr>
              <w:t>BASELINE SCENARIO</w:t>
            </w:r>
          </w:p>
        </w:tc>
        <w:tc>
          <w:tcPr>
            <w:tcW w:w="1517" w:type="dxa"/>
            <w:vMerge w:val="restart"/>
          </w:tcPr>
          <w:p w14:paraId="78F6C025"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Thermal energy generation by burning of fuel</w:t>
            </w:r>
          </w:p>
        </w:tc>
        <w:tc>
          <w:tcPr>
            <w:tcW w:w="722" w:type="dxa"/>
            <w:tcBorders>
              <w:top w:val="single" w:sz="4" w:space="0" w:color="auto"/>
            </w:tcBorders>
          </w:tcPr>
          <w:p w14:paraId="2D364B6C"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CO</w:t>
            </w:r>
            <w:r w:rsidRPr="009F63DF">
              <w:rPr>
                <w:rFonts w:eastAsia="Montserrat" w:cs="Arial"/>
                <w:color w:val="000000"/>
                <w:sz w:val="20"/>
                <w:vertAlign w:val="subscript"/>
                <w:lang w:eastAsia="en-US"/>
              </w:rPr>
              <w:t>2</w:t>
            </w:r>
          </w:p>
        </w:tc>
        <w:tc>
          <w:tcPr>
            <w:tcW w:w="1335" w:type="dxa"/>
            <w:vMerge w:val="restart"/>
            <w:tcBorders>
              <w:top w:val="single" w:sz="4" w:space="0" w:color="auto"/>
            </w:tcBorders>
          </w:tcPr>
          <w:p w14:paraId="16F82B01" w14:textId="682ADE47" w:rsidR="00FB1BEB" w:rsidRPr="009F63DF" w:rsidRDefault="00FB1BEB" w:rsidP="00311575">
            <w:pPr>
              <w:suppressAutoHyphens/>
              <w:jc w:val="left"/>
              <w:rPr>
                <w:rFonts w:cs="Arial"/>
                <w:sz w:val="20"/>
              </w:rPr>
            </w:pPr>
            <w:r w:rsidRPr="009F63DF">
              <w:rPr>
                <w:rFonts w:eastAsia="Montserrat" w:cs="Arial"/>
                <w:color w:val="000000"/>
                <w:sz w:val="20"/>
                <w:lang w:eastAsia="en-US"/>
              </w:rPr>
              <w:t>Included</w:t>
            </w:r>
          </w:p>
        </w:tc>
        <w:tc>
          <w:tcPr>
            <w:tcW w:w="1555" w:type="dxa"/>
            <w:vMerge w:val="restart"/>
            <w:tcBorders>
              <w:top w:val="single" w:sz="4" w:space="0" w:color="auto"/>
            </w:tcBorders>
          </w:tcPr>
          <w:p w14:paraId="499684C1" w14:textId="032F459A" w:rsidR="00FB1BEB" w:rsidRPr="009F63DF" w:rsidRDefault="00FB1BEB" w:rsidP="00311575">
            <w:pPr>
              <w:suppressAutoHyphens/>
              <w:jc w:val="left"/>
              <w:rPr>
                <w:rFonts w:eastAsia="Montserrat" w:cs="Arial"/>
                <w:color w:val="000000"/>
                <w:sz w:val="20"/>
                <w:lang w:eastAsia="en-US"/>
              </w:rPr>
            </w:pPr>
            <w:r w:rsidRPr="009F63DF">
              <w:rPr>
                <w:rFonts w:eastAsia="Montserrat" w:cs="Arial"/>
                <w:color w:val="000000"/>
                <w:sz w:val="20"/>
                <w:lang w:eastAsia="en-US"/>
              </w:rPr>
              <w:t>Controlled</w:t>
            </w:r>
          </w:p>
        </w:tc>
        <w:tc>
          <w:tcPr>
            <w:tcW w:w="2686" w:type="dxa"/>
            <w:tcBorders>
              <w:top w:val="single" w:sz="4" w:space="0" w:color="auto"/>
            </w:tcBorders>
          </w:tcPr>
          <w:p w14:paraId="2E6FAD37"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Major source of emissions</w:t>
            </w:r>
          </w:p>
        </w:tc>
      </w:tr>
      <w:tr w:rsidR="00FB1BEB" w:rsidRPr="009F63DF" w14:paraId="6B57FD3F" w14:textId="77777777" w:rsidTr="0016344B">
        <w:tc>
          <w:tcPr>
            <w:tcW w:w="714" w:type="dxa"/>
            <w:vMerge/>
          </w:tcPr>
          <w:p w14:paraId="0E20600B" w14:textId="77777777" w:rsidR="00FB1BEB" w:rsidRPr="009F63DF" w:rsidRDefault="00FB1BEB" w:rsidP="00311575">
            <w:pPr>
              <w:numPr>
                <w:ilvl w:val="1"/>
                <w:numId w:val="1"/>
              </w:numPr>
              <w:suppressAutoHyphens/>
              <w:jc w:val="center"/>
              <w:rPr>
                <w:rFonts w:cs="Arial"/>
                <w:sz w:val="20"/>
              </w:rPr>
            </w:pPr>
          </w:p>
        </w:tc>
        <w:tc>
          <w:tcPr>
            <w:tcW w:w="1517" w:type="dxa"/>
            <w:vMerge/>
          </w:tcPr>
          <w:p w14:paraId="0B113AE6" w14:textId="77777777" w:rsidR="00FB1BEB" w:rsidRPr="009F63DF" w:rsidRDefault="00FB1BEB" w:rsidP="00311575">
            <w:pPr>
              <w:suppressAutoHyphens/>
              <w:jc w:val="left"/>
              <w:rPr>
                <w:rFonts w:cs="Arial"/>
                <w:sz w:val="20"/>
              </w:rPr>
            </w:pPr>
          </w:p>
        </w:tc>
        <w:tc>
          <w:tcPr>
            <w:tcW w:w="722" w:type="dxa"/>
          </w:tcPr>
          <w:p w14:paraId="2F0D462C"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CH</w:t>
            </w:r>
            <w:r w:rsidRPr="009F63DF">
              <w:rPr>
                <w:rFonts w:eastAsia="Montserrat" w:cs="Arial"/>
                <w:color w:val="000000"/>
                <w:sz w:val="20"/>
                <w:vertAlign w:val="subscript"/>
                <w:lang w:eastAsia="en-US"/>
              </w:rPr>
              <w:t>4</w:t>
            </w:r>
          </w:p>
        </w:tc>
        <w:tc>
          <w:tcPr>
            <w:tcW w:w="1335" w:type="dxa"/>
            <w:vMerge/>
          </w:tcPr>
          <w:p w14:paraId="2B49DDCD" w14:textId="5D80CE60" w:rsidR="00FB1BEB" w:rsidRPr="009F63DF" w:rsidRDefault="00FB1BEB" w:rsidP="00311575">
            <w:pPr>
              <w:suppressAutoHyphens/>
              <w:jc w:val="left"/>
              <w:rPr>
                <w:rFonts w:cs="Arial"/>
                <w:sz w:val="20"/>
              </w:rPr>
            </w:pPr>
          </w:p>
        </w:tc>
        <w:tc>
          <w:tcPr>
            <w:tcW w:w="1555" w:type="dxa"/>
            <w:vMerge/>
          </w:tcPr>
          <w:p w14:paraId="4BCED6D1" w14:textId="77777777" w:rsidR="00FB1BEB" w:rsidRPr="009F63DF" w:rsidRDefault="00FB1BEB" w:rsidP="00311575">
            <w:pPr>
              <w:suppressAutoHyphens/>
              <w:jc w:val="left"/>
              <w:rPr>
                <w:rFonts w:eastAsia="Montserrat" w:cs="Arial"/>
                <w:color w:val="000000"/>
                <w:sz w:val="20"/>
                <w:lang w:eastAsia="en-US"/>
              </w:rPr>
            </w:pPr>
          </w:p>
        </w:tc>
        <w:tc>
          <w:tcPr>
            <w:tcW w:w="2686" w:type="dxa"/>
          </w:tcPr>
          <w:p w14:paraId="5913E57E"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Can be significant for some fuels</w:t>
            </w:r>
          </w:p>
        </w:tc>
      </w:tr>
      <w:tr w:rsidR="00FB1BEB" w:rsidRPr="009F63DF" w14:paraId="5542FE36" w14:textId="77777777" w:rsidTr="0016344B">
        <w:tc>
          <w:tcPr>
            <w:tcW w:w="714" w:type="dxa"/>
            <w:vMerge/>
          </w:tcPr>
          <w:p w14:paraId="299B3800" w14:textId="77777777" w:rsidR="00FB1BEB" w:rsidRPr="009F63DF" w:rsidRDefault="00FB1BEB" w:rsidP="00311575">
            <w:pPr>
              <w:numPr>
                <w:ilvl w:val="1"/>
                <w:numId w:val="1"/>
              </w:numPr>
              <w:suppressAutoHyphens/>
              <w:jc w:val="center"/>
              <w:rPr>
                <w:rFonts w:cs="Arial"/>
                <w:sz w:val="20"/>
              </w:rPr>
            </w:pPr>
          </w:p>
        </w:tc>
        <w:tc>
          <w:tcPr>
            <w:tcW w:w="1517" w:type="dxa"/>
            <w:vMerge/>
          </w:tcPr>
          <w:p w14:paraId="42C010DF" w14:textId="77777777" w:rsidR="00FB1BEB" w:rsidRPr="009F63DF" w:rsidRDefault="00FB1BEB" w:rsidP="00311575">
            <w:pPr>
              <w:suppressAutoHyphens/>
              <w:jc w:val="left"/>
              <w:rPr>
                <w:rFonts w:cs="Arial"/>
                <w:sz w:val="20"/>
              </w:rPr>
            </w:pPr>
          </w:p>
        </w:tc>
        <w:tc>
          <w:tcPr>
            <w:tcW w:w="722" w:type="dxa"/>
          </w:tcPr>
          <w:p w14:paraId="5D540FAE"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N</w:t>
            </w:r>
            <w:r w:rsidRPr="009F63DF">
              <w:rPr>
                <w:rFonts w:eastAsia="Montserrat" w:cs="Arial"/>
                <w:color w:val="000000"/>
                <w:sz w:val="20"/>
                <w:vertAlign w:val="subscript"/>
                <w:lang w:eastAsia="en-US"/>
              </w:rPr>
              <w:t>2</w:t>
            </w:r>
            <w:r w:rsidRPr="009F63DF">
              <w:rPr>
                <w:rFonts w:eastAsia="Montserrat" w:cs="Arial"/>
                <w:color w:val="000000"/>
                <w:sz w:val="20"/>
                <w:lang w:eastAsia="en-US"/>
              </w:rPr>
              <w:t>O</w:t>
            </w:r>
          </w:p>
        </w:tc>
        <w:tc>
          <w:tcPr>
            <w:tcW w:w="1335" w:type="dxa"/>
            <w:vMerge/>
          </w:tcPr>
          <w:p w14:paraId="7CEA69CA" w14:textId="1D57CC7B" w:rsidR="00FB1BEB" w:rsidRPr="009F63DF" w:rsidRDefault="00FB1BEB" w:rsidP="00311575">
            <w:pPr>
              <w:suppressAutoHyphens/>
              <w:jc w:val="left"/>
              <w:rPr>
                <w:rFonts w:cs="Arial"/>
                <w:sz w:val="20"/>
              </w:rPr>
            </w:pPr>
          </w:p>
        </w:tc>
        <w:tc>
          <w:tcPr>
            <w:tcW w:w="1555" w:type="dxa"/>
            <w:vMerge/>
          </w:tcPr>
          <w:p w14:paraId="47E95395" w14:textId="77777777" w:rsidR="00FB1BEB" w:rsidRPr="009F63DF" w:rsidRDefault="00FB1BEB" w:rsidP="00311575">
            <w:pPr>
              <w:suppressAutoHyphens/>
              <w:jc w:val="left"/>
              <w:rPr>
                <w:rFonts w:eastAsia="Montserrat" w:cs="Arial"/>
                <w:color w:val="000000"/>
                <w:sz w:val="20"/>
                <w:lang w:eastAsia="en-US"/>
              </w:rPr>
            </w:pPr>
          </w:p>
        </w:tc>
        <w:tc>
          <w:tcPr>
            <w:tcW w:w="2686" w:type="dxa"/>
          </w:tcPr>
          <w:p w14:paraId="5D3855DE"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Can be significant for some fuels</w:t>
            </w:r>
          </w:p>
        </w:tc>
      </w:tr>
      <w:tr w:rsidR="00FB1BEB" w:rsidRPr="009F63DF" w14:paraId="50088A2B" w14:textId="77777777" w:rsidTr="0016344B">
        <w:tc>
          <w:tcPr>
            <w:tcW w:w="714" w:type="dxa"/>
            <w:vMerge/>
          </w:tcPr>
          <w:p w14:paraId="061F5249" w14:textId="77777777" w:rsidR="00FB1BEB" w:rsidRPr="009F63DF" w:rsidRDefault="00FB1BEB" w:rsidP="00311575">
            <w:pPr>
              <w:numPr>
                <w:ilvl w:val="1"/>
                <w:numId w:val="1"/>
              </w:numPr>
              <w:suppressAutoHyphens/>
              <w:jc w:val="center"/>
              <w:rPr>
                <w:rFonts w:cs="Arial"/>
                <w:sz w:val="20"/>
              </w:rPr>
            </w:pPr>
          </w:p>
        </w:tc>
        <w:tc>
          <w:tcPr>
            <w:tcW w:w="1517" w:type="dxa"/>
            <w:vMerge w:val="restart"/>
          </w:tcPr>
          <w:p w14:paraId="7AA466E0" w14:textId="7AAD8EAF" w:rsidR="00FB1BEB" w:rsidRPr="009F63DF" w:rsidRDefault="00FB1BEB" w:rsidP="00311575">
            <w:pPr>
              <w:suppressAutoHyphens/>
              <w:jc w:val="left"/>
              <w:rPr>
                <w:rFonts w:cs="Arial"/>
                <w:sz w:val="20"/>
              </w:rPr>
            </w:pPr>
            <w:r w:rsidRPr="009F63DF">
              <w:rPr>
                <w:rFonts w:eastAsia="Montserrat" w:cs="Arial"/>
                <w:color w:val="000000"/>
                <w:sz w:val="20"/>
                <w:lang w:eastAsia="en-US"/>
              </w:rPr>
              <w:t>Fuel production (charcoal)</w:t>
            </w:r>
          </w:p>
        </w:tc>
        <w:tc>
          <w:tcPr>
            <w:tcW w:w="722" w:type="dxa"/>
          </w:tcPr>
          <w:p w14:paraId="100B8D99"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CO</w:t>
            </w:r>
            <w:r w:rsidRPr="009F63DF">
              <w:rPr>
                <w:rFonts w:eastAsia="Montserrat" w:cs="Arial"/>
                <w:color w:val="000000"/>
                <w:sz w:val="20"/>
                <w:vertAlign w:val="subscript"/>
                <w:lang w:eastAsia="en-US"/>
              </w:rPr>
              <w:t>2</w:t>
            </w:r>
          </w:p>
        </w:tc>
        <w:tc>
          <w:tcPr>
            <w:tcW w:w="1335" w:type="dxa"/>
            <w:vMerge w:val="restart"/>
          </w:tcPr>
          <w:p w14:paraId="2643E18D" w14:textId="4C43A96B" w:rsidR="00FB1BEB" w:rsidRPr="009F63DF" w:rsidRDefault="00FB1BEB" w:rsidP="00311575">
            <w:pPr>
              <w:suppressAutoHyphens/>
              <w:jc w:val="left"/>
              <w:rPr>
                <w:rFonts w:cs="Arial"/>
                <w:sz w:val="20"/>
              </w:rPr>
            </w:pPr>
            <w:r w:rsidRPr="009F63DF">
              <w:rPr>
                <w:rFonts w:eastAsia="Montserrat" w:cs="Arial"/>
                <w:color w:val="000000"/>
                <w:sz w:val="20"/>
                <w:lang w:eastAsia="en-US"/>
              </w:rPr>
              <w:t>Included</w:t>
            </w:r>
          </w:p>
        </w:tc>
        <w:tc>
          <w:tcPr>
            <w:tcW w:w="1555" w:type="dxa"/>
            <w:vMerge w:val="restart"/>
          </w:tcPr>
          <w:p w14:paraId="1530B631" w14:textId="77777777" w:rsidR="00FB1BEB" w:rsidRPr="009F63DF" w:rsidRDefault="00FB1BEB" w:rsidP="00311575">
            <w:pPr>
              <w:suppressAutoHyphens/>
              <w:jc w:val="left"/>
              <w:rPr>
                <w:rFonts w:eastAsia="Montserrat" w:cs="Arial"/>
                <w:color w:val="000000"/>
                <w:sz w:val="20"/>
                <w:lang w:eastAsia="en-US"/>
              </w:rPr>
            </w:pPr>
            <w:r w:rsidRPr="009F63DF">
              <w:rPr>
                <w:rFonts w:eastAsia="Montserrat" w:cs="Arial"/>
                <w:color w:val="000000"/>
                <w:sz w:val="20"/>
                <w:lang w:eastAsia="en-US"/>
              </w:rPr>
              <w:t>Affected by</w:t>
            </w:r>
          </w:p>
        </w:tc>
        <w:tc>
          <w:tcPr>
            <w:tcW w:w="2686" w:type="dxa"/>
          </w:tcPr>
          <w:p w14:paraId="08CA32B9"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Major source of emissions for some fuels</w:t>
            </w:r>
          </w:p>
        </w:tc>
      </w:tr>
      <w:tr w:rsidR="00FB1BEB" w:rsidRPr="009F63DF" w14:paraId="08F8BB8C" w14:textId="77777777" w:rsidTr="0016344B">
        <w:tc>
          <w:tcPr>
            <w:tcW w:w="714" w:type="dxa"/>
            <w:vMerge/>
          </w:tcPr>
          <w:p w14:paraId="72A97ED7" w14:textId="77777777" w:rsidR="00FB1BEB" w:rsidRPr="009F63DF" w:rsidRDefault="00FB1BEB" w:rsidP="00311575">
            <w:pPr>
              <w:numPr>
                <w:ilvl w:val="1"/>
                <w:numId w:val="1"/>
              </w:numPr>
              <w:suppressAutoHyphens/>
              <w:jc w:val="center"/>
              <w:rPr>
                <w:rFonts w:cs="Arial"/>
                <w:sz w:val="20"/>
              </w:rPr>
            </w:pPr>
          </w:p>
        </w:tc>
        <w:tc>
          <w:tcPr>
            <w:tcW w:w="1517" w:type="dxa"/>
            <w:vMerge/>
          </w:tcPr>
          <w:p w14:paraId="6B73FB88" w14:textId="77777777" w:rsidR="00FB1BEB" w:rsidRPr="009F63DF" w:rsidRDefault="00FB1BEB" w:rsidP="00311575">
            <w:pPr>
              <w:suppressAutoHyphens/>
              <w:jc w:val="left"/>
              <w:rPr>
                <w:rFonts w:cs="Arial"/>
                <w:sz w:val="20"/>
              </w:rPr>
            </w:pPr>
          </w:p>
        </w:tc>
        <w:tc>
          <w:tcPr>
            <w:tcW w:w="722" w:type="dxa"/>
          </w:tcPr>
          <w:p w14:paraId="5B85934E"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CH</w:t>
            </w:r>
            <w:r w:rsidRPr="009F63DF">
              <w:rPr>
                <w:rFonts w:eastAsia="Montserrat" w:cs="Arial"/>
                <w:color w:val="000000"/>
                <w:sz w:val="20"/>
                <w:vertAlign w:val="subscript"/>
                <w:lang w:eastAsia="en-US"/>
              </w:rPr>
              <w:t>4</w:t>
            </w:r>
          </w:p>
        </w:tc>
        <w:tc>
          <w:tcPr>
            <w:tcW w:w="1335" w:type="dxa"/>
            <w:vMerge/>
          </w:tcPr>
          <w:p w14:paraId="2E70FDC4" w14:textId="5FF822C0" w:rsidR="00FB1BEB" w:rsidRPr="009F63DF" w:rsidRDefault="00FB1BEB" w:rsidP="00311575">
            <w:pPr>
              <w:suppressAutoHyphens/>
              <w:jc w:val="left"/>
              <w:rPr>
                <w:rFonts w:cs="Arial"/>
                <w:sz w:val="20"/>
              </w:rPr>
            </w:pPr>
          </w:p>
        </w:tc>
        <w:tc>
          <w:tcPr>
            <w:tcW w:w="1555" w:type="dxa"/>
            <w:vMerge/>
          </w:tcPr>
          <w:p w14:paraId="3FC4074B" w14:textId="77777777" w:rsidR="00FB1BEB" w:rsidRPr="009F63DF" w:rsidRDefault="00FB1BEB" w:rsidP="00311575">
            <w:pPr>
              <w:suppressAutoHyphens/>
              <w:jc w:val="left"/>
              <w:rPr>
                <w:rFonts w:eastAsia="Montserrat" w:cs="Arial"/>
                <w:color w:val="000000"/>
                <w:sz w:val="20"/>
                <w:lang w:eastAsia="en-US"/>
              </w:rPr>
            </w:pPr>
          </w:p>
        </w:tc>
        <w:tc>
          <w:tcPr>
            <w:tcW w:w="2686" w:type="dxa"/>
            <w:vMerge w:val="restart"/>
          </w:tcPr>
          <w:p w14:paraId="5E589FD6" w14:textId="6F6E5A08" w:rsidR="00FB1BEB" w:rsidRPr="009F63DF" w:rsidRDefault="00FB1BEB" w:rsidP="00311575">
            <w:pPr>
              <w:suppressAutoHyphens/>
              <w:jc w:val="left"/>
              <w:rPr>
                <w:rFonts w:cs="Arial"/>
                <w:sz w:val="20"/>
              </w:rPr>
            </w:pPr>
            <w:r w:rsidRPr="009F63DF">
              <w:rPr>
                <w:rFonts w:eastAsia="Montserrat" w:cs="Arial"/>
                <w:color w:val="000000"/>
                <w:sz w:val="20"/>
                <w:lang w:eastAsia="en-US"/>
              </w:rPr>
              <w:t>Can be significant for some fuels</w:t>
            </w:r>
          </w:p>
        </w:tc>
      </w:tr>
      <w:tr w:rsidR="00FB1BEB" w:rsidRPr="009F63DF" w14:paraId="354E5654" w14:textId="77777777" w:rsidTr="0016344B">
        <w:tc>
          <w:tcPr>
            <w:tcW w:w="714" w:type="dxa"/>
            <w:vMerge/>
          </w:tcPr>
          <w:p w14:paraId="493FA56D" w14:textId="77777777" w:rsidR="00FB1BEB" w:rsidRPr="009F63DF" w:rsidRDefault="00FB1BEB" w:rsidP="00311575">
            <w:pPr>
              <w:numPr>
                <w:ilvl w:val="1"/>
                <w:numId w:val="1"/>
              </w:numPr>
              <w:suppressAutoHyphens/>
              <w:jc w:val="center"/>
              <w:rPr>
                <w:rFonts w:cs="Arial"/>
                <w:sz w:val="20"/>
              </w:rPr>
            </w:pPr>
          </w:p>
        </w:tc>
        <w:tc>
          <w:tcPr>
            <w:tcW w:w="1517" w:type="dxa"/>
            <w:vMerge/>
          </w:tcPr>
          <w:p w14:paraId="29BA2FF3" w14:textId="77777777" w:rsidR="00FB1BEB" w:rsidRPr="009F63DF" w:rsidRDefault="00FB1BEB" w:rsidP="00311575">
            <w:pPr>
              <w:suppressAutoHyphens/>
              <w:jc w:val="left"/>
              <w:rPr>
                <w:rFonts w:cs="Arial"/>
                <w:sz w:val="20"/>
              </w:rPr>
            </w:pPr>
          </w:p>
        </w:tc>
        <w:tc>
          <w:tcPr>
            <w:tcW w:w="722" w:type="dxa"/>
          </w:tcPr>
          <w:p w14:paraId="66CE3F96"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N</w:t>
            </w:r>
            <w:r w:rsidRPr="009F63DF">
              <w:rPr>
                <w:rFonts w:eastAsia="Montserrat" w:cs="Arial"/>
                <w:color w:val="000000"/>
                <w:sz w:val="20"/>
                <w:vertAlign w:val="subscript"/>
                <w:lang w:eastAsia="en-US"/>
              </w:rPr>
              <w:t>2</w:t>
            </w:r>
            <w:r w:rsidRPr="009F63DF">
              <w:rPr>
                <w:rFonts w:eastAsia="Montserrat" w:cs="Arial"/>
                <w:color w:val="000000"/>
                <w:sz w:val="20"/>
                <w:lang w:eastAsia="en-US"/>
              </w:rPr>
              <w:t>O</w:t>
            </w:r>
          </w:p>
        </w:tc>
        <w:tc>
          <w:tcPr>
            <w:tcW w:w="1335" w:type="dxa"/>
            <w:vMerge/>
          </w:tcPr>
          <w:p w14:paraId="116A542F" w14:textId="767E617E" w:rsidR="00FB1BEB" w:rsidRPr="009F63DF" w:rsidRDefault="00FB1BEB" w:rsidP="00311575">
            <w:pPr>
              <w:suppressAutoHyphens/>
              <w:jc w:val="left"/>
              <w:rPr>
                <w:rFonts w:cs="Arial"/>
                <w:sz w:val="20"/>
              </w:rPr>
            </w:pPr>
          </w:p>
        </w:tc>
        <w:tc>
          <w:tcPr>
            <w:tcW w:w="1555" w:type="dxa"/>
            <w:vMerge/>
          </w:tcPr>
          <w:p w14:paraId="372C37C3" w14:textId="77777777" w:rsidR="00FB1BEB" w:rsidRPr="009F63DF" w:rsidRDefault="00FB1BEB" w:rsidP="00311575">
            <w:pPr>
              <w:suppressAutoHyphens/>
              <w:jc w:val="left"/>
              <w:rPr>
                <w:rFonts w:eastAsia="Montserrat" w:cs="Arial"/>
                <w:color w:val="000000"/>
                <w:sz w:val="20"/>
                <w:lang w:eastAsia="en-US"/>
              </w:rPr>
            </w:pPr>
          </w:p>
        </w:tc>
        <w:tc>
          <w:tcPr>
            <w:tcW w:w="2686" w:type="dxa"/>
            <w:vMerge/>
          </w:tcPr>
          <w:p w14:paraId="3663FF85" w14:textId="170933DB" w:rsidR="00FB1BEB" w:rsidRPr="009F63DF" w:rsidRDefault="00FB1BEB" w:rsidP="00311575">
            <w:pPr>
              <w:suppressAutoHyphens/>
              <w:jc w:val="left"/>
              <w:rPr>
                <w:rFonts w:cs="Arial"/>
                <w:sz w:val="20"/>
              </w:rPr>
            </w:pPr>
          </w:p>
        </w:tc>
      </w:tr>
      <w:tr w:rsidR="00FB3572" w:rsidRPr="009F63DF" w14:paraId="656A8710" w14:textId="77777777" w:rsidTr="0016344B">
        <w:tc>
          <w:tcPr>
            <w:tcW w:w="714" w:type="dxa"/>
            <w:vMerge/>
          </w:tcPr>
          <w:p w14:paraId="19529329" w14:textId="77777777" w:rsidR="00FB3572" w:rsidRPr="009F63DF" w:rsidRDefault="00FB3572" w:rsidP="00311575">
            <w:pPr>
              <w:numPr>
                <w:ilvl w:val="1"/>
                <w:numId w:val="1"/>
              </w:numPr>
              <w:suppressAutoHyphens/>
              <w:jc w:val="center"/>
              <w:rPr>
                <w:rFonts w:cs="Arial"/>
                <w:sz w:val="20"/>
              </w:rPr>
            </w:pPr>
          </w:p>
        </w:tc>
        <w:tc>
          <w:tcPr>
            <w:tcW w:w="1517" w:type="dxa"/>
            <w:vMerge w:val="restart"/>
          </w:tcPr>
          <w:p w14:paraId="0FE439AE" w14:textId="77777777" w:rsidR="00FB3572" w:rsidRPr="009F63DF" w:rsidRDefault="00FB3572" w:rsidP="00311575">
            <w:pPr>
              <w:suppressAutoHyphens/>
              <w:jc w:val="left"/>
              <w:rPr>
                <w:rFonts w:cs="Arial"/>
                <w:sz w:val="20"/>
              </w:rPr>
            </w:pPr>
            <w:r w:rsidRPr="009F63DF">
              <w:rPr>
                <w:rFonts w:eastAsia="Montserrat" w:cs="Arial"/>
                <w:color w:val="000000"/>
                <w:sz w:val="20"/>
                <w:lang w:eastAsia="en-US"/>
              </w:rPr>
              <w:t>Fuel transport</w:t>
            </w:r>
          </w:p>
        </w:tc>
        <w:tc>
          <w:tcPr>
            <w:tcW w:w="722" w:type="dxa"/>
          </w:tcPr>
          <w:p w14:paraId="41857B03" w14:textId="7777777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CO</w:t>
            </w:r>
            <w:r w:rsidRPr="009F63DF">
              <w:rPr>
                <w:rFonts w:eastAsia="Montserrat" w:cs="Arial"/>
                <w:color w:val="000000"/>
                <w:sz w:val="20"/>
                <w:vertAlign w:val="subscript"/>
                <w:lang w:eastAsia="en-US"/>
              </w:rPr>
              <w:t>2</w:t>
            </w:r>
          </w:p>
        </w:tc>
        <w:tc>
          <w:tcPr>
            <w:tcW w:w="1335" w:type="dxa"/>
            <w:vMerge w:val="restart"/>
          </w:tcPr>
          <w:p w14:paraId="38CD01C6" w14:textId="15D82644" w:rsidR="00FB3572" w:rsidRPr="009F63DF" w:rsidRDefault="00FB3572" w:rsidP="00311575">
            <w:pPr>
              <w:suppressAutoHyphens/>
              <w:jc w:val="left"/>
              <w:rPr>
                <w:rFonts w:eastAsia="Montserrat" w:cs="Arial"/>
                <w:color w:val="000000"/>
                <w:sz w:val="20"/>
                <w:lang w:eastAsia="en-US"/>
              </w:rPr>
            </w:pPr>
            <w:r w:rsidRPr="009F63DF" w:rsidDel="00FB3572">
              <w:rPr>
                <w:rFonts w:eastAsia="Montserrat" w:cs="Arial"/>
                <w:color w:val="000000"/>
                <w:sz w:val="20"/>
                <w:lang w:eastAsia="en-US"/>
              </w:rPr>
              <w:t>No</w:t>
            </w:r>
          </w:p>
        </w:tc>
        <w:tc>
          <w:tcPr>
            <w:tcW w:w="1555" w:type="dxa"/>
            <w:vMerge w:val="restart"/>
          </w:tcPr>
          <w:p w14:paraId="2BC9E10C" w14:textId="7777777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Related to</w:t>
            </w:r>
          </w:p>
        </w:tc>
        <w:tc>
          <w:tcPr>
            <w:tcW w:w="2686" w:type="dxa"/>
            <w:vMerge w:val="restart"/>
          </w:tcPr>
          <w:p w14:paraId="7ACB5436" w14:textId="1FBC02C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Excluded for simplification</w:t>
            </w:r>
          </w:p>
        </w:tc>
      </w:tr>
      <w:tr w:rsidR="00FB3572" w:rsidRPr="009F63DF" w14:paraId="5AF82864" w14:textId="77777777" w:rsidTr="0016344B">
        <w:tc>
          <w:tcPr>
            <w:tcW w:w="714" w:type="dxa"/>
            <w:vMerge/>
          </w:tcPr>
          <w:p w14:paraId="42CC5CEF" w14:textId="77777777" w:rsidR="00FB3572" w:rsidRPr="009F63DF" w:rsidRDefault="00FB3572" w:rsidP="00311575">
            <w:pPr>
              <w:numPr>
                <w:ilvl w:val="1"/>
                <w:numId w:val="1"/>
              </w:numPr>
              <w:suppressAutoHyphens/>
              <w:jc w:val="center"/>
              <w:rPr>
                <w:rFonts w:cs="Arial"/>
                <w:sz w:val="20"/>
              </w:rPr>
            </w:pPr>
          </w:p>
        </w:tc>
        <w:tc>
          <w:tcPr>
            <w:tcW w:w="1517" w:type="dxa"/>
            <w:vMerge/>
          </w:tcPr>
          <w:p w14:paraId="35161AC9" w14:textId="77777777" w:rsidR="00FB3572" w:rsidRPr="009F63DF" w:rsidRDefault="00FB3572" w:rsidP="00311575">
            <w:pPr>
              <w:suppressAutoHyphens/>
              <w:jc w:val="left"/>
              <w:rPr>
                <w:rFonts w:cs="Arial"/>
                <w:sz w:val="20"/>
              </w:rPr>
            </w:pPr>
          </w:p>
        </w:tc>
        <w:tc>
          <w:tcPr>
            <w:tcW w:w="722" w:type="dxa"/>
          </w:tcPr>
          <w:p w14:paraId="2C0E6251" w14:textId="7777777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CH</w:t>
            </w:r>
            <w:r w:rsidRPr="009F63DF">
              <w:rPr>
                <w:rFonts w:eastAsia="Montserrat" w:cs="Arial"/>
                <w:color w:val="000000"/>
                <w:sz w:val="20"/>
                <w:vertAlign w:val="subscript"/>
                <w:lang w:eastAsia="en-US"/>
              </w:rPr>
              <w:t>4</w:t>
            </w:r>
          </w:p>
        </w:tc>
        <w:tc>
          <w:tcPr>
            <w:tcW w:w="1335" w:type="dxa"/>
            <w:vMerge/>
          </w:tcPr>
          <w:p w14:paraId="3EDE9A56" w14:textId="6692FB90" w:rsidR="00FB3572" w:rsidRPr="009F63DF" w:rsidRDefault="00FB3572" w:rsidP="00311575">
            <w:pPr>
              <w:suppressAutoHyphens/>
              <w:jc w:val="left"/>
              <w:rPr>
                <w:rFonts w:eastAsia="Montserrat" w:cs="Arial"/>
                <w:color w:val="000000"/>
                <w:sz w:val="20"/>
                <w:lang w:eastAsia="en-US"/>
              </w:rPr>
            </w:pPr>
          </w:p>
        </w:tc>
        <w:tc>
          <w:tcPr>
            <w:tcW w:w="1555" w:type="dxa"/>
            <w:vMerge/>
          </w:tcPr>
          <w:p w14:paraId="7CD3B812" w14:textId="77777777" w:rsidR="00FB3572" w:rsidRPr="009F63DF" w:rsidRDefault="00FB3572" w:rsidP="00311575">
            <w:pPr>
              <w:suppressAutoHyphens/>
              <w:jc w:val="left"/>
              <w:rPr>
                <w:rFonts w:eastAsia="Montserrat" w:cs="Arial"/>
                <w:color w:val="000000"/>
                <w:sz w:val="20"/>
                <w:lang w:eastAsia="en-US"/>
              </w:rPr>
            </w:pPr>
          </w:p>
        </w:tc>
        <w:tc>
          <w:tcPr>
            <w:tcW w:w="2686" w:type="dxa"/>
            <w:vMerge/>
          </w:tcPr>
          <w:p w14:paraId="61497AC8" w14:textId="14B8DB6D" w:rsidR="00FB3572" w:rsidRPr="009F63DF" w:rsidRDefault="00FB3572" w:rsidP="00311575">
            <w:pPr>
              <w:suppressAutoHyphens/>
              <w:jc w:val="left"/>
              <w:rPr>
                <w:rFonts w:eastAsia="Montserrat" w:cs="Arial"/>
                <w:color w:val="000000"/>
                <w:sz w:val="20"/>
                <w:lang w:eastAsia="en-US"/>
              </w:rPr>
            </w:pPr>
          </w:p>
        </w:tc>
      </w:tr>
      <w:tr w:rsidR="00FB3572" w:rsidRPr="009F63DF" w14:paraId="3FDE5432" w14:textId="77777777" w:rsidTr="0016344B">
        <w:tc>
          <w:tcPr>
            <w:tcW w:w="714" w:type="dxa"/>
            <w:vMerge/>
          </w:tcPr>
          <w:p w14:paraId="7D326715" w14:textId="77777777" w:rsidR="00FB3572" w:rsidRPr="009F63DF" w:rsidRDefault="00FB3572" w:rsidP="00311575">
            <w:pPr>
              <w:numPr>
                <w:ilvl w:val="1"/>
                <w:numId w:val="1"/>
              </w:numPr>
              <w:suppressAutoHyphens/>
              <w:jc w:val="center"/>
              <w:rPr>
                <w:rFonts w:cs="Arial"/>
                <w:sz w:val="20"/>
              </w:rPr>
            </w:pPr>
          </w:p>
        </w:tc>
        <w:tc>
          <w:tcPr>
            <w:tcW w:w="1517" w:type="dxa"/>
            <w:vMerge/>
          </w:tcPr>
          <w:p w14:paraId="11A979E8" w14:textId="77777777" w:rsidR="00FB3572" w:rsidRPr="009F63DF" w:rsidRDefault="00FB3572" w:rsidP="00311575">
            <w:pPr>
              <w:suppressAutoHyphens/>
              <w:jc w:val="left"/>
              <w:rPr>
                <w:rFonts w:cs="Arial"/>
                <w:sz w:val="20"/>
              </w:rPr>
            </w:pPr>
          </w:p>
        </w:tc>
        <w:tc>
          <w:tcPr>
            <w:tcW w:w="722" w:type="dxa"/>
          </w:tcPr>
          <w:p w14:paraId="2DB674B3" w14:textId="7777777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N</w:t>
            </w:r>
            <w:r w:rsidRPr="009F63DF">
              <w:rPr>
                <w:rFonts w:eastAsia="Montserrat" w:cs="Arial"/>
                <w:color w:val="000000"/>
                <w:sz w:val="20"/>
                <w:vertAlign w:val="subscript"/>
                <w:lang w:eastAsia="en-US"/>
              </w:rPr>
              <w:t>2</w:t>
            </w:r>
            <w:r w:rsidRPr="009F63DF">
              <w:rPr>
                <w:rFonts w:eastAsia="Montserrat" w:cs="Arial"/>
                <w:color w:val="000000"/>
                <w:sz w:val="20"/>
                <w:lang w:eastAsia="en-US"/>
              </w:rPr>
              <w:t>O</w:t>
            </w:r>
          </w:p>
        </w:tc>
        <w:tc>
          <w:tcPr>
            <w:tcW w:w="1335" w:type="dxa"/>
            <w:vMerge/>
          </w:tcPr>
          <w:p w14:paraId="4BA7D271" w14:textId="1FB98836" w:rsidR="00FB3572" w:rsidRPr="009F63DF" w:rsidRDefault="00FB3572" w:rsidP="00311575">
            <w:pPr>
              <w:suppressAutoHyphens/>
              <w:jc w:val="left"/>
              <w:rPr>
                <w:rFonts w:eastAsia="Montserrat" w:cs="Arial"/>
                <w:color w:val="000000"/>
                <w:sz w:val="20"/>
                <w:lang w:eastAsia="en-US"/>
              </w:rPr>
            </w:pPr>
          </w:p>
        </w:tc>
        <w:tc>
          <w:tcPr>
            <w:tcW w:w="1555" w:type="dxa"/>
            <w:vMerge/>
          </w:tcPr>
          <w:p w14:paraId="0041039C" w14:textId="77777777" w:rsidR="00FB3572" w:rsidRPr="009F63DF" w:rsidRDefault="00FB3572" w:rsidP="00311575">
            <w:pPr>
              <w:suppressAutoHyphens/>
              <w:jc w:val="left"/>
              <w:rPr>
                <w:rFonts w:eastAsia="Montserrat" w:cs="Arial"/>
                <w:color w:val="000000"/>
                <w:sz w:val="20"/>
                <w:lang w:eastAsia="en-US"/>
              </w:rPr>
            </w:pPr>
          </w:p>
        </w:tc>
        <w:tc>
          <w:tcPr>
            <w:tcW w:w="2686" w:type="dxa"/>
            <w:vMerge/>
          </w:tcPr>
          <w:p w14:paraId="593420E2" w14:textId="28000321" w:rsidR="00FB3572" w:rsidRPr="009F63DF" w:rsidRDefault="00FB3572" w:rsidP="00311575">
            <w:pPr>
              <w:suppressAutoHyphens/>
              <w:jc w:val="left"/>
              <w:rPr>
                <w:rFonts w:eastAsia="Montserrat" w:cs="Arial"/>
                <w:color w:val="000000"/>
                <w:sz w:val="20"/>
                <w:lang w:eastAsia="en-US"/>
              </w:rPr>
            </w:pPr>
          </w:p>
        </w:tc>
      </w:tr>
      <w:tr w:rsidR="00FB1BEB" w:rsidRPr="009F63DF" w14:paraId="6847BD01" w14:textId="77777777" w:rsidTr="0016344B">
        <w:tc>
          <w:tcPr>
            <w:tcW w:w="714" w:type="dxa"/>
            <w:vMerge w:val="restart"/>
            <w:textDirection w:val="btLr"/>
          </w:tcPr>
          <w:p w14:paraId="4F50DF13" w14:textId="77777777" w:rsidR="00FB1BEB" w:rsidRPr="009F63DF" w:rsidRDefault="00FB1BEB" w:rsidP="00311575">
            <w:pPr>
              <w:suppressAutoHyphens/>
              <w:ind w:left="113" w:right="113"/>
              <w:jc w:val="center"/>
              <w:rPr>
                <w:rFonts w:cs="Arial"/>
                <w:b/>
                <w:bCs/>
                <w:sz w:val="20"/>
              </w:rPr>
            </w:pPr>
            <w:r w:rsidRPr="009F63DF">
              <w:rPr>
                <w:rFonts w:eastAsia="Montserrat" w:cs="Arial"/>
                <w:b/>
                <w:bCs/>
                <w:color w:val="000000"/>
                <w:sz w:val="20"/>
                <w:lang w:eastAsia="en-US"/>
              </w:rPr>
              <w:t>ARTICLE 6.4 ACTIVITY SCENARIO</w:t>
            </w:r>
          </w:p>
        </w:tc>
        <w:tc>
          <w:tcPr>
            <w:tcW w:w="1517" w:type="dxa"/>
            <w:vMerge w:val="restart"/>
          </w:tcPr>
          <w:p w14:paraId="21C3FC2E" w14:textId="058E640C" w:rsidR="00FB1BEB" w:rsidRPr="009F63DF" w:rsidRDefault="00FB1BEB" w:rsidP="00311575">
            <w:pPr>
              <w:suppressAutoHyphens/>
              <w:jc w:val="left"/>
              <w:rPr>
                <w:rFonts w:cs="Arial"/>
                <w:sz w:val="20"/>
              </w:rPr>
            </w:pPr>
            <w:r w:rsidRPr="009F63DF">
              <w:rPr>
                <w:rFonts w:eastAsia="Montserrat" w:cs="Arial"/>
                <w:color w:val="000000"/>
                <w:sz w:val="20"/>
                <w:lang w:eastAsia="en-US"/>
              </w:rPr>
              <w:t>Thermal energy generation by</w:t>
            </w:r>
            <w:r w:rsidR="00827E71" w:rsidRPr="009F63DF">
              <w:rPr>
                <w:rFonts w:eastAsia="Montserrat" w:cs="Arial"/>
                <w:color w:val="000000"/>
                <w:sz w:val="20"/>
                <w:lang w:eastAsia="en-US"/>
              </w:rPr>
              <w:t xml:space="preserve"> </w:t>
            </w:r>
            <w:r w:rsidRPr="009F63DF">
              <w:rPr>
                <w:rFonts w:eastAsia="Montserrat" w:cs="Arial"/>
                <w:color w:val="000000"/>
                <w:sz w:val="20"/>
                <w:lang w:eastAsia="en-US"/>
              </w:rPr>
              <w:t>burning of fuel</w:t>
            </w:r>
          </w:p>
        </w:tc>
        <w:tc>
          <w:tcPr>
            <w:tcW w:w="722" w:type="dxa"/>
          </w:tcPr>
          <w:p w14:paraId="76AE2814"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CO</w:t>
            </w:r>
            <w:r w:rsidRPr="009F63DF">
              <w:rPr>
                <w:rFonts w:eastAsia="Montserrat" w:cs="Arial"/>
                <w:color w:val="000000"/>
                <w:sz w:val="20"/>
                <w:vertAlign w:val="subscript"/>
                <w:lang w:eastAsia="en-US"/>
              </w:rPr>
              <w:t>2</w:t>
            </w:r>
          </w:p>
        </w:tc>
        <w:tc>
          <w:tcPr>
            <w:tcW w:w="1335" w:type="dxa"/>
            <w:vMerge w:val="restart"/>
          </w:tcPr>
          <w:p w14:paraId="12449063" w14:textId="51579A0B" w:rsidR="00FB1BEB" w:rsidRPr="009F63DF" w:rsidRDefault="00FB1BEB" w:rsidP="00311575">
            <w:pPr>
              <w:suppressAutoHyphens/>
              <w:jc w:val="left"/>
              <w:rPr>
                <w:rFonts w:cs="Arial"/>
                <w:sz w:val="20"/>
              </w:rPr>
            </w:pPr>
            <w:r w:rsidRPr="009F63DF">
              <w:rPr>
                <w:rFonts w:eastAsia="Montserrat" w:cs="Arial"/>
                <w:color w:val="000000"/>
                <w:sz w:val="20"/>
                <w:lang w:eastAsia="en-US"/>
              </w:rPr>
              <w:t>Included</w:t>
            </w:r>
          </w:p>
        </w:tc>
        <w:tc>
          <w:tcPr>
            <w:tcW w:w="1555" w:type="dxa"/>
            <w:vMerge w:val="restart"/>
          </w:tcPr>
          <w:p w14:paraId="6B63E906" w14:textId="77777777" w:rsidR="00FB1BEB" w:rsidRPr="009F63DF" w:rsidRDefault="00FB1BEB" w:rsidP="00311575">
            <w:pPr>
              <w:suppressAutoHyphens/>
              <w:jc w:val="left"/>
              <w:rPr>
                <w:rFonts w:eastAsia="Montserrat" w:cs="Arial"/>
                <w:color w:val="000000"/>
                <w:sz w:val="20"/>
                <w:lang w:eastAsia="en-US"/>
              </w:rPr>
            </w:pPr>
            <w:r w:rsidRPr="009F63DF">
              <w:rPr>
                <w:rFonts w:eastAsia="Montserrat" w:cs="Arial"/>
                <w:color w:val="000000"/>
                <w:sz w:val="20"/>
                <w:lang w:eastAsia="en-US"/>
              </w:rPr>
              <w:t>Controlled</w:t>
            </w:r>
          </w:p>
        </w:tc>
        <w:tc>
          <w:tcPr>
            <w:tcW w:w="2686" w:type="dxa"/>
          </w:tcPr>
          <w:p w14:paraId="72EF7AD2"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Major source of emissions</w:t>
            </w:r>
          </w:p>
        </w:tc>
      </w:tr>
      <w:tr w:rsidR="00FB1BEB" w:rsidRPr="009F63DF" w14:paraId="305FD5BD" w14:textId="77777777" w:rsidTr="0016344B">
        <w:tc>
          <w:tcPr>
            <w:tcW w:w="714" w:type="dxa"/>
            <w:vMerge/>
          </w:tcPr>
          <w:p w14:paraId="232AACCD" w14:textId="77777777" w:rsidR="00FB1BEB" w:rsidRPr="009F63DF" w:rsidRDefault="00FB1BEB" w:rsidP="00311575">
            <w:pPr>
              <w:numPr>
                <w:ilvl w:val="1"/>
                <w:numId w:val="1"/>
              </w:numPr>
              <w:suppressAutoHyphens/>
              <w:jc w:val="left"/>
              <w:rPr>
                <w:rFonts w:cs="Arial"/>
                <w:sz w:val="20"/>
              </w:rPr>
            </w:pPr>
          </w:p>
        </w:tc>
        <w:tc>
          <w:tcPr>
            <w:tcW w:w="1517" w:type="dxa"/>
            <w:vMerge/>
          </w:tcPr>
          <w:p w14:paraId="3733FB5B" w14:textId="77777777" w:rsidR="00FB1BEB" w:rsidRPr="009F63DF" w:rsidRDefault="00FB1BEB" w:rsidP="00311575">
            <w:pPr>
              <w:suppressAutoHyphens/>
              <w:jc w:val="left"/>
              <w:rPr>
                <w:rFonts w:cs="Arial"/>
                <w:sz w:val="20"/>
              </w:rPr>
            </w:pPr>
          </w:p>
        </w:tc>
        <w:tc>
          <w:tcPr>
            <w:tcW w:w="722" w:type="dxa"/>
          </w:tcPr>
          <w:p w14:paraId="603EA574"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CH</w:t>
            </w:r>
            <w:r w:rsidRPr="009F63DF">
              <w:rPr>
                <w:rFonts w:eastAsia="Montserrat" w:cs="Arial"/>
                <w:color w:val="000000"/>
                <w:sz w:val="20"/>
                <w:vertAlign w:val="subscript"/>
                <w:lang w:eastAsia="en-US"/>
              </w:rPr>
              <w:t>4</w:t>
            </w:r>
          </w:p>
        </w:tc>
        <w:tc>
          <w:tcPr>
            <w:tcW w:w="1335" w:type="dxa"/>
            <w:vMerge/>
          </w:tcPr>
          <w:p w14:paraId="5E5E3359" w14:textId="2E9BF56D" w:rsidR="00FB1BEB" w:rsidRPr="009F63DF" w:rsidRDefault="00FB1BEB" w:rsidP="00311575">
            <w:pPr>
              <w:suppressAutoHyphens/>
              <w:jc w:val="left"/>
              <w:rPr>
                <w:rFonts w:cs="Arial"/>
                <w:sz w:val="20"/>
              </w:rPr>
            </w:pPr>
          </w:p>
        </w:tc>
        <w:tc>
          <w:tcPr>
            <w:tcW w:w="1555" w:type="dxa"/>
            <w:vMerge/>
          </w:tcPr>
          <w:p w14:paraId="5EE4BFDC" w14:textId="77777777" w:rsidR="00FB1BEB" w:rsidRPr="009F63DF" w:rsidRDefault="00FB1BEB" w:rsidP="00311575">
            <w:pPr>
              <w:suppressAutoHyphens/>
              <w:jc w:val="left"/>
              <w:rPr>
                <w:rFonts w:eastAsia="Montserrat" w:cs="Arial"/>
                <w:color w:val="000000"/>
                <w:sz w:val="20"/>
                <w:lang w:eastAsia="en-US"/>
              </w:rPr>
            </w:pPr>
          </w:p>
        </w:tc>
        <w:tc>
          <w:tcPr>
            <w:tcW w:w="2686" w:type="dxa"/>
            <w:vMerge w:val="restart"/>
          </w:tcPr>
          <w:p w14:paraId="08A155A8" w14:textId="0945CD33" w:rsidR="00FB1BEB" w:rsidRPr="009F63DF" w:rsidRDefault="00FB1BEB" w:rsidP="00311575">
            <w:pPr>
              <w:suppressAutoHyphens/>
              <w:jc w:val="left"/>
              <w:rPr>
                <w:rFonts w:cs="Arial"/>
                <w:sz w:val="20"/>
              </w:rPr>
            </w:pPr>
            <w:r w:rsidRPr="009F63DF">
              <w:rPr>
                <w:rFonts w:eastAsia="Montserrat" w:cs="Arial"/>
                <w:color w:val="000000"/>
                <w:sz w:val="20"/>
                <w:lang w:eastAsia="en-US"/>
              </w:rPr>
              <w:t>Can be significant for some fuels</w:t>
            </w:r>
          </w:p>
        </w:tc>
      </w:tr>
      <w:tr w:rsidR="00FB1BEB" w:rsidRPr="009F63DF" w14:paraId="1C0A8C4F" w14:textId="77777777" w:rsidTr="0016344B">
        <w:tc>
          <w:tcPr>
            <w:tcW w:w="714" w:type="dxa"/>
            <w:vMerge/>
          </w:tcPr>
          <w:p w14:paraId="679786FA" w14:textId="77777777" w:rsidR="00FB1BEB" w:rsidRPr="009F63DF" w:rsidRDefault="00FB1BEB" w:rsidP="00311575">
            <w:pPr>
              <w:numPr>
                <w:ilvl w:val="1"/>
                <w:numId w:val="1"/>
              </w:numPr>
              <w:suppressAutoHyphens/>
              <w:jc w:val="left"/>
              <w:rPr>
                <w:rFonts w:cs="Arial"/>
                <w:sz w:val="20"/>
              </w:rPr>
            </w:pPr>
          </w:p>
        </w:tc>
        <w:tc>
          <w:tcPr>
            <w:tcW w:w="1517" w:type="dxa"/>
            <w:vMerge/>
          </w:tcPr>
          <w:p w14:paraId="3B22246C" w14:textId="77777777" w:rsidR="00FB1BEB" w:rsidRPr="009F63DF" w:rsidRDefault="00FB1BEB" w:rsidP="00311575">
            <w:pPr>
              <w:suppressAutoHyphens/>
              <w:jc w:val="left"/>
              <w:rPr>
                <w:rFonts w:cs="Arial"/>
                <w:sz w:val="20"/>
              </w:rPr>
            </w:pPr>
          </w:p>
        </w:tc>
        <w:tc>
          <w:tcPr>
            <w:tcW w:w="722" w:type="dxa"/>
          </w:tcPr>
          <w:p w14:paraId="27DC29E3"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N</w:t>
            </w:r>
            <w:r w:rsidRPr="009F63DF">
              <w:rPr>
                <w:rFonts w:eastAsia="Montserrat" w:cs="Arial"/>
                <w:color w:val="000000"/>
                <w:sz w:val="20"/>
                <w:vertAlign w:val="subscript"/>
                <w:lang w:eastAsia="en-US"/>
              </w:rPr>
              <w:t>2</w:t>
            </w:r>
            <w:r w:rsidRPr="009F63DF">
              <w:rPr>
                <w:rFonts w:eastAsia="Montserrat" w:cs="Arial"/>
                <w:color w:val="000000"/>
                <w:sz w:val="20"/>
                <w:lang w:eastAsia="en-US"/>
              </w:rPr>
              <w:t>O</w:t>
            </w:r>
          </w:p>
        </w:tc>
        <w:tc>
          <w:tcPr>
            <w:tcW w:w="1335" w:type="dxa"/>
            <w:vMerge/>
          </w:tcPr>
          <w:p w14:paraId="443FBD76" w14:textId="0B9E7176" w:rsidR="00FB1BEB" w:rsidRPr="009F63DF" w:rsidRDefault="00FB1BEB" w:rsidP="00311575">
            <w:pPr>
              <w:suppressAutoHyphens/>
              <w:jc w:val="left"/>
              <w:rPr>
                <w:rFonts w:cs="Arial"/>
                <w:sz w:val="20"/>
              </w:rPr>
            </w:pPr>
          </w:p>
        </w:tc>
        <w:tc>
          <w:tcPr>
            <w:tcW w:w="1555" w:type="dxa"/>
            <w:vMerge/>
          </w:tcPr>
          <w:p w14:paraId="5C542318" w14:textId="77777777" w:rsidR="00FB1BEB" w:rsidRPr="009F63DF" w:rsidRDefault="00FB1BEB" w:rsidP="00311575">
            <w:pPr>
              <w:suppressAutoHyphens/>
              <w:jc w:val="left"/>
              <w:rPr>
                <w:rFonts w:eastAsia="Montserrat" w:cs="Arial"/>
                <w:color w:val="000000"/>
                <w:sz w:val="20"/>
                <w:lang w:eastAsia="en-US"/>
              </w:rPr>
            </w:pPr>
          </w:p>
        </w:tc>
        <w:tc>
          <w:tcPr>
            <w:tcW w:w="2686" w:type="dxa"/>
            <w:vMerge/>
          </w:tcPr>
          <w:p w14:paraId="22D337A5" w14:textId="53860E80" w:rsidR="00FB1BEB" w:rsidRPr="009F63DF" w:rsidRDefault="00FB1BEB" w:rsidP="00311575">
            <w:pPr>
              <w:suppressAutoHyphens/>
              <w:jc w:val="left"/>
              <w:rPr>
                <w:rFonts w:cs="Arial"/>
                <w:sz w:val="20"/>
              </w:rPr>
            </w:pPr>
          </w:p>
        </w:tc>
      </w:tr>
      <w:tr w:rsidR="00FB1BEB" w:rsidRPr="009F63DF" w14:paraId="27D8515A" w14:textId="77777777" w:rsidTr="0016344B">
        <w:tc>
          <w:tcPr>
            <w:tcW w:w="714" w:type="dxa"/>
            <w:vMerge/>
          </w:tcPr>
          <w:p w14:paraId="5BB58498" w14:textId="77777777" w:rsidR="00FB1BEB" w:rsidRPr="009F63DF" w:rsidRDefault="00FB1BEB" w:rsidP="00311575">
            <w:pPr>
              <w:numPr>
                <w:ilvl w:val="1"/>
                <w:numId w:val="1"/>
              </w:numPr>
              <w:suppressAutoHyphens/>
              <w:jc w:val="left"/>
              <w:rPr>
                <w:rFonts w:cs="Arial"/>
                <w:sz w:val="20"/>
              </w:rPr>
            </w:pPr>
          </w:p>
        </w:tc>
        <w:tc>
          <w:tcPr>
            <w:tcW w:w="1517" w:type="dxa"/>
            <w:vMerge w:val="restart"/>
          </w:tcPr>
          <w:p w14:paraId="5DACA983" w14:textId="3BBA963C" w:rsidR="00FB1BEB" w:rsidRPr="009F63DF" w:rsidRDefault="00FB1BEB" w:rsidP="00311575">
            <w:pPr>
              <w:suppressAutoHyphens/>
              <w:jc w:val="left"/>
              <w:rPr>
                <w:rFonts w:cs="Arial"/>
                <w:sz w:val="20"/>
              </w:rPr>
            </w:pPr>
            <w:r w:rsidRPr="009F63DF">
              <w:rPr>
                <w:rFonts w:eastAsia="Montserrat" w:cs="Arial"/>
                <w:color w:val="000000"/>
                <w:sz w:val="20"/>
                <w:lang w:eastAsia="en-US"/>
              </w:rPr>
              <w:t>Fuel production (charcoal)</w:t>
            </w:r>
          </w:p>
        </w:tc>
        <w:tc>
          <w:tcPr>
            <w:tcW w:w="722" w:type="dxa"/>
          </w:tcPr>
          <w:p w14:paraId="43EFEED1"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CO</w:t>
            </w:r>
            <w:r w:rsidRPr="009F63DF">
              <w:rPr>
                <w:rFonts w:eastAsia="Montserrat" w:cs="Arial"/>
                <w:color w:val="000000"/>
                <w:sz w:val="20"/>
                <w:vertAlign w:val="subscript"/>
                <w:lang w:eastAsia="en-US"/>
              </w:rPr>
              <w:t>2</w:t>
            </w:r>
          </w:p>
        </w:tc>
        <w:tc>
          <w:tcPr>
            <w:tcW w:w="1335" w:type="dxa"/>
            <w:vMerge w:val="restart"/>
          </w:tcPr>
          <w:p w14:paraId="66A994CD" w14:textId="01C5A652" w:rsidR="00FB1BEB" w:rsidRPr="009F63DF" w:rsidRDefault="00FB1BEB" w:rsidP="00311575">
            <w:pPr>
              <w:suppressAutoHyphens/>
              <w:jc w:val="left"/>
              <w:rPr>
                <w:rFonts w:cs="Arial"/>
                <w:sz w:val="20"/>
              </w:rPr>
            </w:pPr>
            <w:r w:rsidRPr="009F63DF">
              <w:rPr>
                <w:rFonts w:eastAsia="Montserrat" w:cs="Arial"/>
                <w:color w:val="000000"/>
                <w:sz w:val="20"/>
                <w:lang w:eastAsia="en-US"/>
              </w:rPr>
              <w:t>Included</w:t>
            </w:r>
          </w:p>
        </w:tc>
        <w:tc>
          <w:tcPr>
            <w:tcW w:w="1555" w:type="dxa"/>
            <w:vMerge w:val="restart"/>
          </w:tcPr>
          <w:p w14:paraId="12BE6440" w14:textId="77777777" w:rsidR="00FB1BEB" w:rsidRPr="009F63DF" w:rsidRDefault="00FB1BEB" w:rsidP="00311575">
            <w:pPr>
              <w:suppressAutoHyphens/>
              <w:jc w:val="left"/>
              <w:rPr>
                <w:rFonts w:eastAsia="Montserrat" w:cs="Arial"/>
                <w:color w:val="000000"/>
                <w:sz w:val="20"/>
                <w:lang w:eastAsia="en-US"/>
              </w:rPr>
            </w:pPr>
            <w:r w:rsidRPr="009F63DF">
              <w:rPr>
                <w:rFonts w:eastAsia="Montserrat" w:cs="Arial"/>
                <w:color w:val="000000"/>
                <w:sz w:val="20"/>
                <w:lang w:eastAsia="en-US"/>
              </w:rPr>
              <w:t>Affected by</w:t>
            </w:r>
          </w:p>
        </w:tc>
        <w:tc>
          <w:tcPr>
            <w:tcW w:w="2686" w:type="dxa"/>
          </w:tcPr>
          <w:p w14:paraId="2D18B4AE"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Major source of emissions for some fuels</w:t>
            </w:r>
          </w:p>
        </w:tc>
      </w:tr>
      <w:tr w:rsidR="00FB1BEB" w:rsidRPr="009F63DF" w14:paraId="27708A2B" w14:textId="77777777" w:rsidTr="0016344B">
        <w:tc>
          <w:tcPr>
            <w:tcW w:w="714" w:type="dxa"/>
            <w:vMerge/>
          </w:tcPr>
          <w:p w14:paraId="30B5B0E1" w14:textId="77777777" w:rsidR="00FB1BEB" w:rsidRPr="009F63DF" w:rsidRDefault="00FB1BEB" w:rsidP="00311575">
            <w:pPr>
              <w:numPr>
                <w:ilvl w:val="1"/>
                <w:numId w:val="1"/>
              </w:numPr>
              <w:suppressAutoHyphens/>
              <w:jc w:val="left"/>
              <w:rPr>
                <w:rFonts w:cs="Arial"/>
                <w:sz w:val="20"/>
              </w:rPr>
            </w:pPr>
          </w:p>
        </w:tc>
        <w:tc>
          <w:tcPr>
            <w:tcW w:w="1517" w:type="dxa"/>
            <w:vMerge/>
          </w:tcPr>
          <w:p w14:paraId="454F70A5" w14:textId="77777777" w:rsidR="00FB1BEB" w:rsidRPr="009F63DF" w:rsidRDefault="00FB1BEB" w:rsidP="00311575">
            <w:pPr>
              <w:suppressAutoHyphens/>
              <w:jc w:val="left"/>
              <w:rPr>
                <w:rFonts w:cs="Arial"/>
                <w:sz w:val="20"/>
              </w:rPr>
            </w:pPr>
          </w:p>
        </w:tc>
        <w:tc>
          <w:tcPr>
            <w:tcW w:w="722" w:type="dxa"/>
          </w:tcPr>
          <w:p w14:paraId="13A139AB"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CH</w:t>
            </w:r>
            <w:r w:rsidRPr="009F63DF">
              <w:rPr>
                <w:rFonts w:eastAsia="Montserrat" w:cs="Arial"/>
                <w:color w:val="000000"/>
                <w:sz w:val="20"/>
                <w:vertAlign w:val="subscript"/>
                <w:lang w:eastAsia="en-US"/>
              </w:rPr>
              <w:t>4</w:t>
            </w:r>
          </w:p>
        </w:tc>
        <w:tc>
          <w:tcPr>
            <w:tcW w:w="1335" w:type="dxa"/>
            <w:vMerge/>
          </w:tcPr>
          <w:p w14:paraId="2B2E12CA" w14:textId="453EE6BF" w:rsidR="00FB1BEB" w:rsidRPr="009F63DF" w:rsidRDefault="00FB1BEB" w:rsidP="00311575">
            <w:pPr>
              <w:suppressAutoHyphens/>
              <w:jc w:val="left"/>
              <w:rPr>
                <w:rFonts w:cs="Arial"/>
                <w:sz w:val="20"/>
              </w:rPr>
            </w:pPr>
          </w:p>
        </w:tc>
        <w:tc>
          <w:tcPr>
            <w:tcW w:w="1555" w:type="dxa"/>
            <w:vMerge/>
          </w:tcPr>
          <w:p w14:paraId="219395AB" w14:textId="77777777" w:rsidR="00FB1BEB" w:rsidRPr="009F63DF" w:rsidRDefault="00FB1BEB" w:rsidP="00311575">
            <w:pPr>
              <w:suppressAutoHyphens/>
              <w:jc w:val="left"/>
              <w:rPr>
                <w:rFonts w:eastAsia="Montserrat" w:cs="Arial"/>
                <w:color w:val="000000"/>
                <w:sz w:val="20"/>
                <w:lang w:eastAsia="en-US"/>
              </w:rPr>
            </w:pPr>
          </w:p>
        </w:tc>
        <w:tc>
          <w:tcPr>
            <w:tcW w:w="2686" w:type="dxa"/>
          </w:tcPr>
          <w:p w14:paraId="35E18322"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Can be significant for some fuels</w:t>
            </w:r>
          </w:p>
        </w:tc>
      </w:tr>
      <w:tr w:rsidR="00FB1BEB" w:rsidRPr="009F63DF" w14:paraId="11CD556E" w14:textId="77777777" w:rsidTr="0016344B">
        <w:tc>
          <w:tcPr>
            <w:tcW w:w="714" w:type="dxa"/>
            <w:vMerge/>
          </w:tcPr>
          <w:p w14:paraId="23714CCB" w14:textId="77777777" w:rsidR="00FB1BEB" w:rsidRPr="009F63DF" w:rsidRDefault="00FB1BEB" w:rsidP="00311575">
            <w:pPr>
              <w:numPr>
                <w:ilvl w:val="1"/>
                <w:numId w:val="1"/>
              </w:numPr>
              <w:suppressAutoHyphens/>
              <w:jc w:val="left"/>
              <w:rPr>
                <w:rFonts w:cs="Arial"/>
                <w:sz w:val="20"/>
              </w:rPr>
            </w:pPr>
          </w:p>
        </w:tc>
        <w:tc>
          <w:tcPr>
            <w:tcW w:w="1517" w:type="dxa"/>
            <w:vMerge/>
          </w:tcPr>
          <w:p w14:paraId="4C9BD1ED" w14:textId="77777777" w:rsidR="00FB1BEB" w:rsidRPr="009F63DF" w:rsidRDefault="00FB1BEB" w:rsidP="00311575">
            <w:pPr>
              <w:suppressAutoHyphens/>
              <w:jc w:val="left"/>
              <w:rPr>
                <w:rFonts w:cs="Arial"/>
                <w:sz w:val="20"/>
              </w:rPr>
            </w:pPr>
          </w:p>
        </w:tc>
        <w:tc>
          <w:tcPr>
            <w:tcW w:w="722" w:type="dxa"/>
          </w:tcPr>
          <w:p w14:paraId="10D14432"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N</w:t>
            </w:r>
            <w:r w:rsidRPr="009F63DF">
              <w:rPr>
                <w:rFonts w:eastAsia="Montserrat" w:cs="Arial"/>
                <w:color w:val="000000"/>
                <w:sz w:val="20"/>
                <w:vertAlign w:val="subscript"/>
                <w:lang w:eastAsia="en-US"/>
              </w:rPr>
              <w:t>2</w:t>
            </w:r>
            <w:r w:rsidRPr="009F63DF">
              <w:rPr>
                <w:rFonts w:eastAsia="Montserrat" w:cs="Arial"/>
                <w:color w:val="000000"/>
                <w:sz w:val="20"/>
                <w:lang w:eastAsia="en-US"/>
              </w:rPr>
              <w:t>O</w:t>
            </w:r>
          </w:p>
        </w:tc>
        <w:tc>
          <w:tcPr>
            <w:tcW w:w="1335" w:type="dxa"/>
            <w:vMerge/>
          </w:tcPr>
          <w:p w14:paraId="4731F680" w14:textId="298F128D" w:rsidR="00FB1BEB" w:rsidRPr="009F63DF" w:rsidRDefault="00FB1BEB" w:rsidP="00311575">
            <w:pPr>
              <w:suppressAutoHyphens/>
              <w:jc w:val="left"/>
              <w:rPr>
                <w:rFonts w:cs="Arial"/>
                <w:sz w:val="20"/>
              </w:rPr>
            </w:pPr>
          </w:p>
        </w:tc>
        <w:tc>
          <w:tcPr>
            <w:tcW w:w="1555" w:type="dxa"/>
            <w:vMerge/>
          </w:tcPr>
          <w:p w14:paraId="62CA5926" w14:textId="77777777" w:rsidR="00FB1BEB" w:rsidRPr="009F63DF" w:rsidRDefault="00FB1BEB" w:rsidP="00311575">
            <w:pPr>
              <w:suppressAutoHyphens/>
              <w:jc w:val="left"/>
              <w:rPr>
                <w:rFonts w:eastAsia="Montserrat" w:cs="Arial"/>
                <w:color w:val="000000"/>
                <w:sz w:val="20"/>
                <w:lang w:eastAsia="en-US"/>
              </w:rPr>
            </w:pPr>
          </w:p>
        </w:tc>
        <w:tc>
          <w:tcPr>
            <w:tcW w:w="2686" w:type="dxa"/>
          </w:tcPr>
          <w:p w14:paraId="07CB000B" w14:textId="77777777" w:rsidR="00FB1BEB" w:rsidRPr="009F63DF" w:rsidRDefault="00FB1BEB" w:rsidP="00311575">
            <w:pPr>
              <w:suppressAutoHyphens/>
              <w:jc w:val="left"/>
              <w:rPr>
                <w:rFonts w:cs="Arial"/>
                <w:sz w:val="20"/>
              </w:rPr>
            </w:pPr>
            <w:r w:rsidRPr="009F63DF">
              <w:rPr>
                <w:rFonts w:eastAsia="Montserrat" w:cs="Arial"/>
                <w:color w:val="000000"/>
                <w:sz w:val="20"/>
                <w:lang w:eastAsia="en-US"/>
              </w:rPr>
              <w:t>Can be significant for some fuels</w:t>
            </w:r>
          </w:p>
        </w:tc>
      </w:tr>
      <w:tr w:rsidR="00FB3572" w:rsidRPr="009F63DF" w14:paraId="7696617B" w14:textId="77777777" w:rsidTr="0016344B">
        <w:tc>
          <w:tcPr>
            <w:tcW w:w="714" w:type="dxa"/>
            <w:vMerge/>
          </w:tcPr>
          <w:p w14:paraId="0D530F9E" w14:textId="77777777" w:rsidR="00FB3572" w:rsidRPr="009F63DF" w:rsidRDefault="00FB3572" w:rsidP="00311575">
            <w:pPr>
              <w:numPr>
                <w:ilvl w:val="1"/>
                <w:numId w:val="1"/>
              </w:numPr>
              <w:suppressAutoHyphens/>
              <w:jc w:val="left"/>
              <w:rPr>
                <w:rFonts w:cs="Arial"/>
                <w:sz w:val="20"/>
              </w:rPr>
            </w:pPr>
          </w:p>
        </w:tc>
        <w:tc>
          <w:tcPr>
            <w:tcW w:w="1517" w:type="dxa"/>
            <w:vMerge w:val="restart"/>
          </w:tcPr>
          <w:p w14:paraId="468ACBC8" w14:textId="77777777" w:rsidR="00FB3572" w:rsidRPr="009F63DF" w:rsidRDefault="00FB3572" w:rsidP="00311575">
            <w:pPr>
              <w:suppressAutoHyphens/>
              <w:jc w:val="left"/>
              <w:rPr>
                <w:rFonts w:cs="Arial"/>
                <w:sz w:val="20"/>
              </w:rPr>
            </w:pPr>
            <w:r w:rsidRPr="009F63DF">
              <w:rPr>
                <w:rFonts w:eastAsia="Montserrat" w:cs="Arial"/>
                <w:color w:val="000000"/>
                <w:sz w:val="20"/>
                <w:lang w:eastAsia="en-US"/>
              </w:rPr>
              <w:t>Fuel transport</w:t>
            </w:r>
          </w:p>
        </w:tc>
        <w:tc>
          <w:tcPr>
            <w:tcW w:w="722" w:type="dxa"/>
          </w:tcPr>
          <w:p w14:paraId="55B89803" w14:textId="7777777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CO</w:t>
            </w:r>
            <w:r w:rsidRPr="009F63DF">
              <w:rPr>
                <w:rFonts w:eastAsia="Montserrat" w:cs="Arial"/>
                <w:color w:val="000000"/>
                <w:sz w:val="20"/>
                <w:vertAlign w:val="subscript"/>
                <w:lang w:eastAsia="en-US"/>
              </w:rPr>
              <w:t>2</w:t>
            </w:r>
          </w:p>
        </w:tc>
        <w:tc>
          <w:tcPr>
            <w:tcW w:w="1335" w:type="dxa"/>
            <w:vMerge w:val="restart"/>
          </w:tcPr>
          <w:p w14:paraId="25AC9B8F" w14:textId="51293D3A" w:rsidR="00FB3572" w:rsidRPr="009F63DF" w:rsidRDefault="00FB3572" w:rsidP="00311575">
            <w:pPr>
              <w:suppressAutoHyphens/>
              <w:jc w:val="left"/>
              <w:rPr>
                <w:rFonts w:eastAsia="Montserrat" w:cs="Arial"/>
                <w:color w:val="000000"/>
                <w:sz w:val="20"/>
                <w:lang w:eastAsia="en-US"/>
              </w:rPr>
            </w:pPr>
            <w:r w:rsidRPr="009F63DF" w:rsidDel="00FB3572">
              <w:rPr>
                <w:rFonts w:eastAsia="Montserrat" w:cs="Arial"/>
                <w:color w:val="000000"/>
                <w:sz w:val="20"/>
                <w:lang w:eastAsia="en-US"/>
              </w:rPr>
              <w:t>No</w:t>
            </w:r>
          </w:p>
        </w:tc>
        <w:tc>
          <w:tcPr>
            <w:tcW w:w="1555" w:type="dxa"/>
            <w:vMerge w:val="restart"/>
          </w:tcPr>
          <w:p w14:paraId="69D88913" w14:textId="7777777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Related to</w:t>
            </w:r>
          </w:p>
        </w:tc>
        <w:tc>
          <w:tcPr>
            <w:tcW w:w="2686" w:type="dxa"/>
            <w:vMerge w:val="restart"/>
          </w:tcPr>
          <w:p w14:paraId="330F8CB9" w14:textId="0AB56EED"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Excluded for simplification</w:t>
            </w:r>
          </w:p>
        </w:tc>
      </w:tr>
      <w:tr w:rsidR="00FB3572" w:rsidRPr="009F63DF" w14:paraId="79EDFF64" w14:textId="77777777" w:rsidTr="0016344B">
        <w:tc>
          <w:tcPr>
            <w:tcW w:w="714" w:type="dxa"/>
            <w:vMerge/>
          </w:tcPr>
          <w:p w14:paraId="0226A871" w14:textId="77777777" w:rsidR="00FB3572" w:rsidRPr="009F63DF" w:rsidRDefault="00FB3572" w:rsidP="00311575">
            <w:pPr>
              <w:numPr>
                <w:ilvl w:val="1"/>
                <w:numId w:val="1"/>
              </w:numPr>
              <w:suppressAutoHyphens/>
              <w:jc w:val="left"/>
              <w:rPr>
                <w:rFonts w:cs="Arial"/>
                <w:sz w:val="20"/>
              </w:rPr>
            </w:pPr>
          </w:p>
        </w:tc>
        <w:tc>
          <w:tcPr>
            <w:tcW w:w="1517" w:type="dxa"/>
            <w:vMerge/>
          </w:tcPr>
          <w:p w14:paraId="2018BB2A" w14:textId="77777777" w:rsidR="00FB3572" w:rsidRPr="009F63DF" w:rsidRDefault="00FB3572" w:rsidP="00311575">
            <w:pPr>
              <w:suppressAutoHyphens/>
              <w:jc w:val="left"/>
              <w:rPr>
                <w:rFonts w:cs="Arial"/>
                <w:sz w:val="20"/>
              </w:rPr>
            </w:pPr>
          </w:p>
        </w:tc>
        <w:tc>
          <w:tcPr>
            <w:tcW w:w="722" w:type="dxa"/>
          </w:tcPr>
          <w:p w14:paraId="6FD0F201" w14:textId="7777777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CH</w:t>
            </w:r>
            <w:r w:rsidRPr="009F63DF">
              <w:rPr>
                <w:rFonts w:eastAsia="Montserrat" w:cs="Arial"/>
                <w:color w:val="000000"/>
                <w:sz w:val="20"/>
                <w:vertAlign w:val="subscript"/>
                <w:lang w:eastAsia="en-US"/>
              </w:rPr>
              <w:t>4</w:t>
            </w:r>
          </w:p>
        </w:tc>
        <w:tc>
          <w:tcPr>
            <w:tcW w:w="1335" w:type="dxa"/>
            <w:vMerge/>
          </w:tcPr>
          <w:p w14:paraId="3DE1069A" w14:textId="67DFF589" w:rsidR="00FB3572" w:rsidRPr="009F63DF" w:rsidRDefault="00FB3572" w:rsidP="00311575">
            <w:pPr>
              <w:suppressAutoHyphens/>
              <w:jc w:val="left"/>
              <w:rPr>
                <w:rFonts w:eastAsia="Montserrat" w:cs="Arial"/>
                <w:color w:val="000000"/>
                <w:sz w:val="20"/>
                <w:lang w:eastAsia="en-US"/>
              </w:rPr>
            </w:pPr>
          </w:p>
        </w:tc>
        <w:tc>
          <w:tcPr>
            <w:tcW w:w="1555" w:type="dxa"/>
            <w:vMerge/>
          </w:tcPr>
          <w:p w14:paraId="7CC70DB2" w14:textId="77777777" w:rsidR="00FB3572" w:rsidRPr="009F63DF" w:rsidRDefault="00FB3572" w:rsidP="00311575">
            <w:pPr>
              <w:suppressAutoHyphens/>
              <w:jc w:val="left"/>
              <w:rPr>
                <w:rFonts w:eastAsia="Montserrat" w:cs="Arial"/>
                <w:color w:val="000000"/>
                <w:sz w:val="20"/>
                <w:lang w:eastAsia="en-US"/>
              </w:rPr>
            </w:pPr>
          </w:p>
        </w:tc>
        <w:tc>
          <w:tcPr>
            <w:tcW w:w="2686" w:type="dxa"/>
            <w:vMerge/>
          </w:tcPr>
          <w:p w14:paraId="7B655800" w14:textId="458390C7" w:rsidR="00FB3572" w:rsidRPr="009F63DF" w:rsidRDefault="00FB3572" w:rsidP="00311575">
            <w:pPr>
              <w:suppressAutoHyphens/>
              <w:jc w:val="left"/>
              <w:rPr>
                <w:rFonts w:eastAsia="Montserrat" w:cs="Arial"/>
                <w:color w:val="000000"/>
                <w:sz w:val="20"/>
                <w:lang w:eastAsia="en-US"/>
              </w:rPr>
            </w:pPr>
          </w:p>
        </w:tc>
      </w:tr>
      <w:tr w:rsidR="00FB3572" w:rsidRPr="009F63DF" w14:paraId="2169715A" w14:textId="77777777" w:rsidTr="0016344B">
        <w:tc>
          <w:tcPr>
            <w:tcW w:w="714" w:type="dxa"/>
            <w:vMerge/>
          </w:tcPr>
          <w:p w14:paraId="3A6BA839" w14:textId="77777777" w:rsidR="00FB3572" w:rsidRPr="009F63DF" w:rsidRDefault="00FB3572" w:rsidP="00311575">
            <w:pPr>
              <w:numPr>
                <w:ilvl w:val="1"/>
                <w:numId w:val="1"/>
              </w:numPr>
              <w:suppressAutoHyphens/>
              <w:jc w:val="left"/>
              <w:rPr>
                <w:rFonts w:cs="Arial"/>
                <w:sz w:val="20"/>
              </w:rPr>
            </w:pPr>
          </w:p>
        </w:tc>
        <w:tc>
          <w:tcPr>
            <w:tcW w:w="1517" w:type="dxa"/>
            <w:vMerge/>
          </w:tcPr>
          <w:p w14:paraId="4F216727" w14:textId="77777777" w:rsidR="00FB3572" w:rsidRPr="009F63DF" w:rsidRDefault="00FB3572" w:rsidP="00311575">
            <w:pPr>
              <w:suppressAutoHyphens/>
              <w:jc w:val="left"/>
              <w:rPr>
                <w:rFonts w:cs="Arial"/>
                <w:sz w:val="20"/>
              </w:rPr>
            </w:pPr>
          </w:p>
        </w:tc>
        <w:tc>
          <w:tcPr>
            <w:tcW w:w="722" w:type="dxa"/>
          </w:tcPr>
          <w:p w14:paraId="4F7F11D8" w14:textId="77777777" w:rsidR="00FB3572" w:rsidRPr="009F63DF" w:rsidRDefault="00FB3572" w:rsidP="00311575">
            <w:pPr>
              <w:suppressAutoHyphens/>
              <w:jc w:val="left"/>
              <w:rPr>
                <w:rFonts w:eastAsia="Montserrat" w:cs="Arial"/>
                <w:color w:val="000000"/>
                <w:sz w:val="20"/>
                <w:lang w:eastAsia="en-US"/>
              </w:rPr>
            </w:pPr>
            <w:r w:rsidRPr="009F63DF">
              <w:rPr>
                <w:rFonts w:eastAsia="Montserrat" w:cs="Arial"/>
                <w:color w:val="000000"/>
                <w:sz w:val="20"/>
                <w:lang w:eastAsia="en-US"/>
              </w:rPr>
              <w:t>N</w:t>
            </w:r>
            <w:r w:rsidRPr="009F63DF">
              <w:rPr>
                <w:rFonts w:eastAsia="Montserrat" w:cs="Arial"/>
                <w:color w:val="000000"/>
                <w:sz w:val="20"/>
                <w:vertAlign w:val="subscript"/>
                <w:lang w:eastAsia="en-US"/>
              </w:rPr>
              <w:t>2</w:t>
            </w:r>
            <w:r w:rsidRPr="009F63DF">
              <w:rPr>
                <w:rFonts w:eastAsia="Montserrat" w:cs="Arial"/>
                <w:color w:val="000000"/>
                <w:sz w:val="20"/>
                <w:lang w:eastAsia="en-US"/>
              </w:rPr>
              <w:t>O</w:t>
            </w:r>
          </w:p>
        </w:tc>
        <w:tc>
          <w:tcPr>
            <w:tcW w:w="1335" w:type="dxa"/>
            <w:vMerge/>
          </w:tcPr>
          <w:p w14:paraId="58DC5AAB" w14:textId="3E81C125" w:rsidR="00FB3572" w:rsidRPr="009F63DF" w:rsidRDefault="00FB3572" w:rsidP="00311575">
            <w:pPr>
              <w:suppressAutoHyphens/>
              <w:jc w:val="left"/>
              <w:rPr>
                <w:rFonts w:eastAsia="Montserrat" w:cs="Arial"/>
                <w:color w:val="000000"/>
                <w:sz w:val="20"/>
                <w:lang w:eastAsia="en-US"/>
              </w:rPr>
            </w:pPr>
          </w:p>
        </w:tc>
        <w:tc>
          <w:tcPr>
            <w:tcW w:w="1555" w:type="dxa"/>
            <w:vMerge/>
          </w:tcPr>
          <w:p w14:paraId="188F2BBD" w14:textId="77777777" w:rsidR="00FB3572" w:rsidRPr="009F63DF" w:rsidRDefault="00FB3572" w:rsidP="00311575">
            <w:pPr>
              <w:suppressAutoHyphens/>
              <w:jc w:val="left"/>
              <w:rPr>
                <w:rFonts w:eastAsia="Montserrat" w:cs="Arial"/>
                <w:color w:val="000000"/>
                <w:sz w:val="20"/>
                <w:lang w:eastAsia="en-US"/>
              </w:rPr>
            </w:pPr>
          </w:p>
        </w:tc>
        <w:tc>
          <w:tcPr>
            <w:tcW w:w="2686" w:type="dxa"/>
            <w:vMerge/>
          </w:tcPr>
          <w:p w14:paraId="478DAE6D" w14:textId="33334D3B" w:rsidR="00FB3572" w:rsidRPr="009F63DF" w:rsidRDefault="00FB3572" w:rsidP="00311575">
            <w:pPr>
              <w:suppressAutoHyphens/>
              <w:jc w:val="left"/>
              <w:rPr>
                <w:rFonts w:eastAsia="Montserrat" w:cs="Arial"/>
                <w:color w:val="000000"/>
                <w:sz w:val="20"/>
                <w:lang w:eastAsia="en-US"/>
              </w:rPr>
            </w:pPr>
          </w:p>
        </w:tc>
      </w:tr>
    </w:tbl>
    <w:p w14:paraId="5B178CDF" w14:textId="204C40A4" w:rsidR="000624B3" w:rsidRPr="009F63DF" w:rsidRDefault="000624B3" w:rsidP="00E03E61">
      <w:pPr>
        <w:pStyle w:val="SDMPara"/>
      </w:pPr>
      <w:bookmarkStart w:id="197" w:name="_Toc219446923"/>
      <w:bookmarkStart w:id="198" w:name="_Toc219711058"/>
      <w:bookmarkStart w:id="199" w:name="_Toc219711161"/>
      <w:bookmarkStart w:id="200" w:name="_Toc219711338"/>
      <w:bookmarkStart w:id="201" w:name="_Toc219446920"/>
      <w:bookmarkStart w:id="202" w:name="_Toc219711055"/>
      <w:bookmarkStart w:id="203" w:name="_Toc219711158"/>
      <w:bookmarkStart w:id="204" w:name="_Toc219711335"/>
      <w:r w:rsidRPr="009F63DF">
        <w:t xml:space="preserve">Baseline and </w:t>
      </w:r>
      <w:r w:rsidR="00F87E78" w:rsidRPr="009F63DF">
        <w:t>activity</w:t>
      </w:r>
      <w:r w:rsidRPr="009F63DF">
        <w:t xml:space="preserve"> emissions from fuel transport are excluded for simplicity since the </w:t>
      </w:r>
      <w:r w:rsidR="00E20B2A" w:rsidRPr="009F63DF">
        <w:t xml:space="preserve">Article 6.4 </w:t>
      </w:r>
      <w:r w:rsidRPr="009F63DF">
        <w:t>activity reduces fuel consumption but does not change the fuel</w:t>
      </w:r>
      <w:r w:rsidR="00E20B2A" w:rsidRPr="009F63DF">
        <w:t xml:space="preserve"> type</w:t>
      </w:r>
      <w:r w:rsidRPr="009F63DF">
        <w:t>s utilized. This is conservative since the emissions from fuel transport in the activity scenario therefore will be lower than in the baseline scenario.</w:t>
      </w:r>
    </w:p>
    <w:p w14:paraId="21E9683B" w14:textId="34402198" w:rsidR="0051379B" w:rsidRPr="009F63DF" w:rsidRDefault="0051379B" w:rsidP="00B07AF7">
      <w:pPr>
        <w:pStyle w:val="Caption"/>
        <w:suppressAutoHyphens/>
      </w:pPr>
      <w:bookmarkStart w:id="205" w:name="_Ref232720824"/>
      <w:r w:rsidRPr="009F63DF">
        <w:t>Table</w:t>
      </w:r>
      <w:r w:rsidR="00BD3482" w:rsidRPr="009F63DF">
        <w:t> </w:t>
      </w:r>
      <w:r w:rsidRPr="009F63DF">
        <w:fldChar w:fldCharType="begin"/>
      </w:r>
      <w:r w:rsidRPr="009F63DF">
        <w:instrText>SEQ Table \r2 \* ARABIC</w:instrText>
      </w:r>
      <w:r w:rsidRPr="009F63DF">
        <w:fldChar w:fldCharType="separate"/>
      </w:r>
      <w:r w:rsidR="00831DAE">
        <w:rPr>
          <w:noProof/>
        </w:rPr>
        <w:t>2</w:t>
      </w:r>
      <w:r w:rsidRPr="009F63DF">
        <w:fldChar w:fldCharType="end"/>
      </w:r>
      <w:bookmarkEnd w:id="205"/>
      <w:r w:rsidRPr="009F63DF">
        <w:t>.</w:t>
      </w:r>
      <w:r w:rsidRPr="009F63DF">
        <w:tab/>
      </w:r>
      <w:r w:rsidR="00427F5A" w:rsidRPr="009F63DF">
        <w:t>GHG</w:t>
      </w:r>
      <w:r w:rsidR="00BD3482" w:rsidRPr="009F63DF">
        <w:t xml:space="preserve"> reservoirs included in or excluded from the </w:t>
      </w:r>
      <w:r w:rsidR="005302AA" w:rsidRPr="009F63DF">
        <w:t>activity</w:t>
      </w:r>
      <w:r w:rsidR="00BD3482" w:rsidRPr="009F63DF">
        <w:t xml:space="preserve"> boundary</w:t>
      </w:r>
    </w:p>
    <w:tbl>
      <w:tblPr>
        <w:tblStyle w:val="SDMMethTable"/>
        <w:tblW w:w="8529" w:type="dxa"/>
        <w:tblLook w:val="0620" w:firstRow="1" w:lastRow="0" w:firstColumn="0" w:lastColumn="0" w:noHBand="1" w:noVBand="1"/>
      </w:tblPr>
      <w:tblGrid>
        <w:gridCol w:w="846"/>
        <w:gridCol w:w="2107"/>
        <w:gridCol w:w="1331"/>
        <w:gridCol w:w="2502"/>
        <w:gridCol w:w="1743"/>
      </w:tblGrid>
      <w:tr w:rsidR="00FE7CC5" w:rsidRPr="009F63DF" w14:paraId="649F765D" w14:textId="77777777" w:rsidTr="0016344B">
        <w:trPr>
          <w:cnfStyle w:val="100000000000" w:firstRow="1" w:lastRow="0" w:firstColumn="0" w:lastColumn="0" w:oddVBand="0" w:evenVBand="0" w:oddHBand="0" w:evenHBand="0" w:firstRowFirstColumn="0" w:firstRowLastColumn="0" w:lastRowFirstColumn="0" w:lastRowLastColumn="0"/>
        </w:trPr>
        <w:tc>
          <w:tcPr>
            <w:tcW w:w="496" w:type="pct"/>
            <w:tcBorders>
              <w:bottom w:val="single" w:sz="4" w:space="0" w:color="auto"/>
              <w:right w:val="single" w:sz="4" w:space="0" w:color="auto"/>
            </w:tcBorders>
            <w:shd w:val="clear" w:color="auto" w:fill="auto"/>
          </w:tcPr>
          <w:p w14:paraId="3DC4A66D" w14:textId="77777777" w:rsidR="001C2394" w:rsidRPr="009F63DF" w:rsidRDefault="001C2394" w:rsidP="00B07AF7">
            <w:pPr>
              <w:suppressAutoHyphens/>
              <w:jc w:val="left"/>
              <w:rPr>
                <w:rFonts w:cs="Arial"/>
                <w:sz w:val="20"/>
              </w:rPr>
            </w:pPr>
          </w:p>
        </w:tc>
        <w:tc>
          <w:tcPr>
            <w:tcW w:w="1235" w:type="pct"/>
            <w:tcBorders>
              <w:left w:val="single" w:sz="4" w:space="0" w:color="auto"/>
              <w:bottom w:val="single" w:sz="4" w:space="0" w:color="auto"/>
              <w:right w:val="single" w:sz="4" w:space="0" w:color="auto"/>
            </w:tcBorders>
            <w:shd w:val="clear" w:color="auto" w:fill="auto"/>
          </w:tcPr>
          <w:p w14:paraId="3C318707" w14:textId="4A6A4492" w:rsidR="001C2394" w:rsidRPr="009F63DF" w:rsidRDefault="009E42BB" w:rsidP="00B07AF7">
            <w:pPr>
              <w:suppressAutoHyphens/>
              <w:jc w:val="left"/>
              <w:rPr>
                <w:rFonts w:cs="Arial"/>
                <w:sz w:val="20"/>
              </w:rPr>
            </w:pPr>
            <w:r w:rsidRPr="009F63DF">
              <w:rPr>
                <w:rFonts w:cs="Arial"/>
                <w:sz w:val="20"/>
              </w:rPr>
              <w:t>Reservoir</w:t>
            </w:r>
          </w:p>
        </w:tc>
        <w:tc>
          <w:tcPr>
            <w:tcW w:w="780" w:type="pct"/>
            <w:tcBorders>
              <w:left w:val="single" w:sz="4" w:space="0" w:color="auto"/>
              <w:bottom w:val="single" w:sz="4" w:space="0" w:color="auto"/>
              <w:right w:val="single" w:sz="4" w:space="0" w:color="auto"/>
            </w:tcBorders>
            <w:shd w:val="clear" w:color="auto" w:fill="auto"/>
          </w:tcPr>
          <w:p w14:paraId="5315F2CE" w14:textId="77777777" w:rsidR="001C2394" w:rsidRPr="009F63DF" w:rsidRDefault="001C2394" w:rsidP="00B07AF7">
            <w:pPr>
              <w:suppressAutoHyphens/>
              <w:jc w:val="left"/>
              <w:rPr>
                <w:rFonts w:cs="Arial"/>
                <w:sz w:val="20"/>
              </w:rPr>
            </w:pPr>
            <w:r w:rsidRPr="009F63DF">
              <w:rPr>
                <w:rFonts w:cs="Arial"/>
                <w:sz w:val="20"/>
              </w:rPr>
              <w:t>Included?</w:t>
            </w:r>
          </w:p>
        </w:tc>
        <w:tc>
          <w:tcPr>
            <w:tcW w:w="1467" w:type="pct"/>
            <w:tcBorders>
              <w:left w:val="single" w:sz="4" w:space="0" w:color="auto"/>
              <w:bottom w:val="single" w:sz="4" w:space="0" w:color="auto"/>
              <w:right w:val="single" w:sz="4" w:space="0" w:color="auto"/>
            </w:tcBorders>
            <w:shd w:val="clear" w:color="auto" w:fill="auto"/>
          </w:tcPr>
          <w:p w14:paraId="0C10ABD2" w14:textId="77777777" w:rsidR="001C2394" w:rsidRPr="009F63DF" w:rsidRDefault="001C2394" w:rsidP="00B07AF7">
            <w:pPr>
              <w:suppressAutoHyphens/>
              <w:jc w:val="left"/>
              <w:rPr>
                <w:rFonts w:cs="Arial"/>
                <w:b w:val="0"/>
                <w:sz w:val="20"/>
              </w:rPr>
            </w:pPr>
            <w:r w:rsidRPr="009F63DF">
              <w:rPr>
                <w:rFonts w:cs="Arial"/>
                <w:sz w:val="20"/>
              </w:rPr>
              <w:t>Controlled / Related to / Affected by?</w:t>
            </w:r>
          </w:p>
        </w:tc>
        <w:tc>
          <w:tcPr>
            <w:tcW w:w="1022" w:type="pct"/>
            <w:tcBorders>
              <w:left w:val="single" w:sz="4" w:space="0" w:color="auto"/>
              <w:bottom w:val="single" w:sz="4" w:space="0" w:color="auto"/>
            </w:tcBorders>
            <w:shd w:val="clear" w:color="auto" w:fill="auto"/>
          </w:tcPr>
          <w:p w14:paraId="769C48BD" w14:textId="77777777" w:rsidR="001C2394" w:rsidRPr="009F63DF" w:rsidRDefault="001C2394" w:rsidP="00B07AF7">
            <w:pPr>
              <w:suppressAutoHyphens/>
              <w:jc w:val="left"/>
              <w:rPr>
                <w:rFonts w:cs="Arial"/>
                <w:sz w:val="20"/>
              </w:rPr>
            </w:pPr>
            <w:r w:rsidRPr="009F63DF">
              <w:rPr>
                <w:rFonts w:cs="Arial"/>
                <w:sz w:val="20"/>
              </w:rPr>
              <w:t>Justification / Explanation</w:t>
            </w:r>
          </w:p>
        </w:tc>
      </w:tr>
      <w:tr w:rsidR="001C2394" w:rsidRPr="009F63DF" w14:paraId="7393D177" w14:textId="77777777" w:rsidTr="0016344B">
        <w:trPr>
          <w:trHeight w:val="1300"/>
        </w:trPr>
        <w:tc>
          <w:tcPr>
            <w:tcW w:w="496" w:type="pct"/>
            <w:textDirection w:val="btLr"/>
          </w:tcPr>
          <w:p w14:paraId="548CC9CA" w14:textId="77777777" w:rsidR="001C2394" w:rsidRPr="009F63DF" w:rsidRDefault="001C2394" w:rsidP="00B07AF7">
            <w:pPr>
              <w:suppressAutoHyphens/>
              <w:ind w:left="113" w:right="113"/>
              <w:jc w:val="center"/>
              <w:rPr>
                <w:rFonts w:cs="Arial"/>
                <w:b/>
                <w:bCs/>
                <w:sz w:val="20"/>
              </w:rPr>
            </w:pPr>
            <w:r w:rsidRPr="009F63DF">
              <w:rPr>
                <w:rFonts w:eastAsia="Montserrat" w:cs="Arial"/>
                <w:b/>
                <w:bCs/>
                <w:color w:val="000000"/>
                <w:sz w:val="20"/>
                <w:lang w:eastAsia="en-US"/>
              </w:rPr>
              <w:t>BASELINE SCENARIO</w:t>
            </w:r>
          </w:p>
        </w:tc>
        <w:tc>
          <w:tcPr>
            <w:tcW w:w="1235" w:type="pct"/>
          </w:tcPr>
          <w:p w14:paraId="38263BD3" w14:textId="6EDF740C" w:rsidR="001C2394" w:rsidRPr="009F63DF" w:rsidRDefault="00B041E1" w:rsidP="00B07AF7">
            <w:pPr>
              <w:suppressAutoHyphens/>
              <w:jc w:val="left"/>
              <w:rPr>
                <w:rFonts w:cs="Arial"/>
                <w:sz w:val="20"/>
              </w:rPr>
            </w:pPr>
            <w:r w:rsidRPr="009F63DF">
              <w:rPr>
                <w:rFonts w:eastAsia="Montserrat" w:cs="Arial"/>
                <w:color w:val="000000"/>
                <w:sz w:val="20"/>
                <w:lang w:eastAsia="en-US"/>
              </w:rPr>
              <w:t>Above-ground woody biomass</w:t>
            </w:r>
            <w:r w:rsidR="007C6D48" w:rsidRPr="009F63DF">
              <w:rPr>
                <w:rFonts w:eastAsia="Montserrat" w:cs="Arial"/>
                <w:color w:val="000000"/>
                <w:sz w:val="20"/>
                <w:lang w:eastAsia="en-US"/>
              </w:rPr>
              <w:t xml:space="preserve"> in</w:t>
            </w:r>
            <w:r w:rsidRPr="009F63DF">
              <w:rPr>
                <w:rFonts w:eastAsia="Montserrat" w:cs="Arial"/>
                <w:color w:val="000000"/>
                <w:sz w:val="20"/>
                <w:lang w:eastAsia="en-US"/>
              </w:rPr>
              <w:t xml:space="preserve"> </w:t>
            </w:r>
            <w:r w:rsidR="00E1060F" w:rsidRPr="009F63DF">
              <w:rPr>
                <w:rFonts w:eastAsia="Montserrat" w:cs="Arial"/>
                <w:color w:val="000000"/>
                <w:sz w:val="20"/>
                <w:lang w:eastAsia="en-US"/>
              </w:rPr>
              <w:t>landscape</w:t>
            </w:r>
          </w:p>
        </w:tc>
        <w:tc>
          <w:tcPr>
            <w:tcW w:w="780" w:type="pct"/>
            <w:tcBorders>
              <w:top w:val="single" w:sz="4" w:space="0" w:color="auto"/>
            </w:tcBorders>
          </w:tcPr>
          <w:p w14:paraId="2DD1E7A5" w14:textId="57E6035E" w:rsidR="001C2394" w:rsidRPr="009F63DF" w:rsidRDefault="006551BA" w:rsidP="00B07AF7">
            <w:pPr>
              <w:suppressAutoHyphens/>
              <w:jc w:val="left"/>
              <w:rPr>
                <w:rFonts w:cs="Arial"/>
                <w:sz w:val="20"/>
              </w:rPr>
            </w:pPr>
            <w:r w:rsidRPr="009F63DF">
              <w:rPr>
                <w:rFonts w:eastAsia="Montserrat" w:cs="Arial"/>
                <w:color w:val="000000"/>
                <w:sz w:val="20"/>
                <w:lang w:eastAsia="en-US"/>
              </w:rPr>
              <w:t>Included</w:t>
            </w:r>
          </w:p>
        </w:tc>
        <w:tc>
          <w:tcPr>
            <w:tcW w:w="1467" w:type="pct"/>
            <w:tcBorders>
              <w:top w:val="single" w:sz="4" w:space="0" w:color="auto"/>
            </w:tcBorders>
          </w:tcPr>
          <w:p w14:paraId="68B05E2F" w14:textId="77777777" w:rsidR="001C2394" w:rsidRPr="009F63DF" w:rsidRDefault="001C2394" w:rsidP="00B07AF7">
            <w:pPr>
              <w:suppressAutoHyphens/>
              <w:jc w:val="left"/>
              <w:rPr>
                <w:rFonts w:eastAsia="Montserrat" w:cs="Arial"/>
                <w:color w:val="000000"/>
                <w:sz w:val="20"/>
                <w:lang w:eastAsia="en-US"/>
              </w:rPr>
            </w:pPr>
            <w:r w:rsidRPr="009F63DF">
              <w:rPr>
                <w:rFonts w:eastAsia="Montserrat" w:cs="Arial"/>
                <w:color w:val="000000"/>
                <w:sz w:val="20"/>
                <w:lang w:eastAsia="en-US"/>
              </w:rPr>
              <w:t>Affected by</w:t>
            </w:r>
          </w:p>
        </w:tc>
        <w:tc>
          <w:tcPr>
            <w:tcW w:w="1022" w:type="pct"/>
            <w:tcBorders>
              <w:top w:val="single" w:sz="4" w:space="0" w:color="auto"/>
            </w:tcBorders>
          </w:tcPr>
          <w:p w14:paraId="511A2896" w14:textId="77777777" w:rsidR="001C2394" w:rsidRPr="009F63DF" w:rsidRDefault="001C2394" w:rsidP="00B07AF7">
            <w:pPr>
              <w:suppressAutoHyphens/>
              <w:jc w:val="left"/>
              <w:rPr>
                <w:rFonts w:cs="Arial"/>
                <w:sz w:val="20"/>
              </w:rPr>
            </w:pPr>
            <w:r w:rsidRPr="009F63DF">
              <w:rPr>
                <w:rFonts w:eastAsia="Montserrat" w:cs="Arial"/>
                <w:color w:val="000000"/>
                <w:sz w:val="20"/>
                <w:lang w:eastAsia="en-US"/>
              </w:rPr>
              <w:t>Primary source of harvested biomass</w:t>
            </w:r>
          </w:p>
        </w:tc>
      </w:tr>
      <w:tr w:rsidR="00DE3916" w:rsidRPr="009F63DF" w14:paraId="1C519D86" w14:textId="77777777" w:rsidTr="0016344B">
        <w:tc>
          <w:tcPr>
            <w:tcW w:w="496" w:type="pct"/>
            <w:vMerge w:val="restart"/>
            <w:textDirection w:val="btLr"/>
          </w:tcPr>
          <w:p w14:paraId="08D7AD4F" w14:textId="77777777" w:rsidR="00DE3916" w:rsidRPr="009F63DF" w:rsidRDefault="00DE3916" w:rsidP="00B07AF7">
            <w:pPr>
              <w:suppressAutoHyphens/>
              <w:ind w:left="113" w:right="113"/>
              <w:jc w:val="center"/>
              <w:rPr>
                <w:rFonts w:cs="Arial"/>
                <w:b/>
                <w:bCs/>
                <w:sz w:val="20"/>
              </w:rPr>
            </w:pPr>
            <w:r w:rsidRPr="009F63DF">
              <w:rPr>
                <w:rFonts w:eastAsia="Montserrat" w:cs="Arial"/>
                <w:b/>
                <w:bCs/>
                <w:color w:val="000000"/>
                <w:sz w:val="20"/>
                <w:lang w:eastAsia="en-US"/>
              </w:rPr>
              <w:t>ARTICLE 6.4 ACTIVITY SCENARIO</w:t>
            </w:r>
          </w:p>
        </w:tc>
        <w:tc>
          <w:tcPr>
            <w:tcW w:w="1235" w:type="pct"/>
          </w:tcPr>
          <w:p w14:paraId="5520528A" w14:textId="5DB282F5" w:rsidR="00DE3916" w:rsidRPr="009F63DF" w:rsidRDefault="007C6D48" w:rsidP="00B07AF7">
            <w:pPr>
              <w:suppressAutoHyphens/>
              <w:jc w:val="left"/>
              <w:rPr>
                <w:rFonts w:cs="Arial"/>
                <w:sz w:val="20"/>
              </w:rPr>
            </w:pPr>
            <w:r w:rsidRPr="009F63DF">
              <w:rPr>
                <w:rFonts w:eastAsia="Montserrat" w:cs="Arial"/>
                <w:color w:val="000000"/>
                <w:sz w:val="20"/>
                <w:lang w:eastAsia="en-US"/>
              </w:rPr>
              <w:t xml:space="preserve">Above-ground woody biomass in </w:t>
            </w:r>
            <w:r w:rsidR="00E1060F" w:rsidRPr="009F63DF">
              <w:rPr>
                <w:rFonts w:cs="Arial"/>
                <w:sz w:val="20"/>
              </w:rPr>
              <w:t>landscape</w:t>
            </w:r>
          </w:p>
        </w:tc>
        <w:tc>
          <w:tcPr>
            <w:tcW w:w="780" w:type="pct"/>
          </w:tcPr>
          <w:p w14:paraId="540B63BB" w14:textId="786AB5DD" w:rsidR="00DE3916" w:rsidRPr="009F63DF" w:rsidRDefault="006551BA" w:rsidP="00B07AF7">
            <w:pPr>
              <w:suppressAutoHyphens/>
              <w:jc w:val="left"/>
              <w:rPr>
                <w:rFonts w:cs="Arial"/>
                <w:sz w:val="20"/>
              </w:rPr>
            </w:pPr>
            <w:r w:rsidRPr="009F63DF">
              <w:rPr>
                <w:rFonts w:eastAsia="Montserrat" w:cs="Arial"/>
                <w:color w:val="000000"/>
                <w:sz w:val="20"/>
                <w:lang w:eastAsia="en-US"/>
              </w:rPr>
              <w:t>Included</w:t>
            </w:r>
          </w:p>
        </w:tc>
        <w:tc>
          <w:tcPr>
            <w:tcW w:w="1467" w:type="pct"/>
          </w:tcPr>
          <w:p w14:paraId="53FDD07A" w14:textId="77777777" w:rsidR="00DE3916" w:rsidRPr="009F63DF" w:rsidRDefault="00DE3916" w:rsidP="00B07AF7">
            <w:pPr>
              <w:suppressAutoHyphens/>
              <w:jc w:val="left"/>
              <w:rPr>
                <w:rFonts w:eastAsia="Montserrat" w:cs="Arial"/>
                <w:color w:val="000000"/>
                <w:sz w:val="20"/>
                <w:lang w:eastAsia="en-US"/>
              </w:rPr>
            </w:pPr>
            <w:r w:rsidRPr="009F63DF">
              <w:rPr>
                <w:rFonts w:eastAsia="Montserrat" w:cs="Arial"/>
                <w:color w:val="000000"/>
                <w:sz w:val="20"/>
                <w:lang w:eastAsia="en-US"/>
              </w:rPr>
              <w:t>Affected by</w:t>
            </w:r>
          </w:p>
        </w:tc>
        <w:tc>
          <w:tcPr>
            <w:tcW w:w="1022" w:type="pct"/>
          </w:tcPr>
          <w:p w14:paraId="4B33C677" w14:textId="77777777" w:rsidR="00DE3916" w:rsidRPr="009F63DF" w:rsidRDefault="00DE3916" w:rsidP="00B07AF7">
            <w:pPr>
              <w:suppressAutoHyphens/>
              <w:jc w:val="left"/>
              <w:rPr>
                <w:rFonts w:cs="Arial"/>
                <w:sz w:val="20"/>
              </w:rPr>
            </w:pPr>
            <w:r w:rsidRPr="009F63DF">
              <w:rPr>
                <w:rFonts w:eastAsia="Montserrat" w:cs="Arial"/>
                <w:color w:val="000000"/>
                <w:sz w:val="20"/>
                <w:lang w:eastAsia="en-US"/>
              </w:rPr>
              <w:t>Primary source of harvested biomass</w:t>
            </w:r>
          </w:p>
        </w:tc>
      </w:tr>
      <w:tr w:rsidR="00DE3916" w:rsidRPr="009F63DF" w14:paraId="2EB06F49" w14:textId="77777777" w:rsidTr="0016344B">
        <w:tc>
          <w:tcPr>
            <w:tcW w:w="496" w:type="pct"/>
            <w:vMerge/>
          </w:tcPr>
          <w:p w14:paraId="2C2798C8" w14:textId="77777777" w:rsidR="00DE3916" w:rsidRPr="009F63DF" w:rsidRDefault="00DE3916" w:rsidP="00B07AF7">
            <w:pPr>
              <w:suppressAutoHyphens/>
              <w:jc w:val="left"/>
              <w:rPr>
                <w:rFonts w:eastAsia="Montserrat" w:cs="Arial"/>
                <w:b/>
                <w:bCs/>
                <w:color w:val="000000"/>
                <w:sz w:val="20"/>
                <w:lang w:eastAsia="en-US"/>
              </w:rPr>
            </w:pPr>
          </w:p>
        </w:tc>
        <w:tc>
          <w:tcPr>
            <w:tcW w:w="1235" w:type="pct"/>
          </w:tcPr>
          <w:p w14:paraId="061D0BB3" w14:textId="600C88E3" w:rsidR="00DE3916" w:rsidRPr="009F63DF" w:rsidRDefault="00DE3916" w:rsidP="00B07AF7">
            <w:pPr>
              <w:suppressAutoHyphens/>
              <w:jc w:val="left"/>
              <w:rPr>
                <w:rFonts w:cs="Arial"/>
                <w:sz w:val="20"/>
              </w:rPr>
            </w:pPr>
            <w:r w:rsidRPr="009F63DF">
              <w:rPr>
                <w:rFonts w:cs="Arial"/>
                <w:sz w:val="20"/>
              </w:rPr>
              <w:t>Biochar</w:t>
            </w:r>
          </w:p>
        </w:tc>
        <w:tc>
          <w:tcPr>
            <w:tcW w:w="780" w:type="pct"/>
          </w:tcPr>
          <w:p w14:paraId="235679BE" w14:textId="24A19147" w:rsidR="00DE3916" w:rsidRPr="009F63DF" w:rsidRDefault="00DE3916" w:rsidP="00B07AF7">
            <w:pPr>
              <w:suppressAutoHyphens/>
              <w:jc w:val="left"/>
              <w:rPr>
                <w:rFonts w:eastAsia="Montserrat" w:cs="Arial"/>
                <w:color w:val="000000"/>
                <w:sz w:val="20"/>
                <w:lang w:eastAsia="en-US"/>
              </w:rPr>
            </w:pPr>
            <w:r w:rsidRPr="009F63DF">
              <w:rPr>
                <w:rFonts w:eastAsia="Montserrat" w:cs="Arial"/>
                <w:color w:val="000000"/>
                <w:sz w:val="20"/>
                <w:lang w:eastAsia="en-US"/>
              </w:rPr>
              <w:t>No</w:t>
            </w:r>
          </w:p>
        </w:tc>
        <w:tc>
          <w:tcPr>
            <w:tcW w:w="1467" w:type="pct"/>
          </w:tcPr>
          <w:p w14:paraId="47892BD7" w14:textId="57D98867" w:rsidR="00DE3916" w:rsidRPr="009F63DF" w:rsidRDefault="0098344D" w:rsidP="00B07AF7">
            <w:pPr>
              <w:suppressAutoHyphens/>
              <w:jc w:val="left"/>
              <w:rPr>
                <w:rFonts w:eastAsia="Montserrat" w:cs="Arial"/>
                <w:color w:val="000000"/>
                <w:sz w:val="20"/>
                <w:lang w:eastAsia="en-US"/>
              </w:rPr>
            </w:pPr>
            <w:r w:rsidRPr="009F63DF">
              <w:rPr>
                <w:rFonts w:eastAsia="Montserrat" w:cs="Arial"/>
                <w:color w:val="000000"/>
                <w:sz w:val="20"/>
                <w:lang w:eastAsia="en-US"/>
              </w:rPr>
              <w:t>Controlled</w:t>
            </w:r>
          </w:p>
        </w:tc>
        <w:tc>
          <w:tcPr>
            <w:tcW w:w="1022" w:type="pct"/>
          </w:tcPr>
          <w:p w14:paraId="7463AB52" w14:textId="39480655" w:rsidR="00DE3916" w:rsidRPr="009F63DF" w:rsidRDefault="00F543A8" w:rsidP="00B07AF7">
            <w:pPr>
              <w:suppressAutoHyphens/>
              <w:jc w:val="left"/>
              <w:rPr>
                <w:rFonts w:eastAsia="Montserrat" w:cs="Arial"/>
                <w:color w:val="000000"/>
                <w:sz w:val="20"/>
                <w:lang w:eastAsia="en-US"/>
              </w:rPr>
            </w:pPr>
            <w:r w:rsidRPr="009F63DF">
              <w:rPr>
                <w:rFonts w:eastAsia="Montserrat" w:cs="Arial"/>
                <w:color w:val="000000"/>
                <w:sz w:val="20"/>
                <w:lang w:eastAsia="en-US"/>
              </w:rPr>
              <w:t>Potential removals related to a</w:t>
            </w:r>
            <w:r w:rsidR="00E9684C" w:rsidRPr="009F63DF">
              <w:rPr>
                <w:rFonts w:eastAsia="Montserrat" w:cs="Arial"/>
                <w:color w:val="000000"/>
                <w:sz w:val="20"/>
                <w:lang w:eastAsia="en-US"/>
              </w:rPr>
              <w:t>ny b</w:t>
            </w:r>
            <w:r w:rsidR="00191A64" w:rsidRPr="009F63DF">
              <w:rPr>
                <w:rFonts w:eastAsia="Montserrat" w:cs="Arial"/>
                <w:color w:val="000000"/>
                <w:sz w:val="20"/>
                <w:lang w:eastAsia="en-US"/>
              </w:rPr>
              <w:t>iochar that is produced from gasifier stoves</w:t>
            </w:r>
            <w:r w:rsidR="008D5DBA" w:rsidRPr="009F63DF">
              <w:rPr>
                <w:rFonts w:eastAsia="Montserrat" w:cs="Arial"/>
                <w:color w:val="000000"/>
                <w:sz w:val="20"/>
                <w:lang w:eastAsia="en-US"/>
              </w:rPr>
              <w:t xml:space="preserve"> is</w:t>
            </w:r>
            <w:r w:rsidRPr="009F63DF">
              <w:rPr>
                <w:rFonts w:eastAsia="Montserrat" w:cs="Arial"/>
                <w:color w:val="000000"/>
                <w:sz w:val="20"/>
                <w:lang w:eastAsia="en-US"/>
              </w:rPr>
              <w:t xml:space="preserve"> not </w:t>
            </w:r>
            <w:r w:rsidR="005C3B1C" w:rsidRPr="009F63DF">
              <w:rPr>
                <w:rFonts w:eastAsia="Montserrat" w:cs="Arial"/>
                <w:color w:val="000000"/>
                <w:sz w:val="20"/>
                <w:lang w:eastAsia="en-US"/>
              </w:rPr>
              <w:t>quantified</w:t>
            </w:r>
            <w:r w:rsidRPr="009F63DF">
              <w:rPr>
                <w:rFonts w:eastAsia="Montserrat" w:cs="Arial"/>
                <w:color w:val="000000"/>
                <w:sz w:val="20"/>
                <w:lang w:eastAsia="en-US"/>
              </w:rPr>
              <w:t>. This is conservative</w:t>
            </w:r>
          </w:p>
        </w:tc>
      </w:tr>
    </w:tbl>
    <w:p w14:paraId="285BB135" w14:textId="2AEE2D3E" w:rsidR="008F25B9" w:rsidRPr="009F63DF" w:rsidRDefault="008F25B9" w:rsidP="00E03E61">
      <w:pPr>
        <w:pStyle w:val="SDMPara"/>
      </w:pPr>
      <w:r w:rsidRPr="009F63DF">
        <w:t xml:space="preserve">The physical, geographical sites where the project cookstoves operate are different from the location(s) </w:t>
      </w:r>
      <w:r w:rsidR="00E84A5E" w:rsidRPr="009F63DF">
        <w:t xml:space="preserve">in </w:t>
      </w:r>
      <w:r w:rsidRPr="009F63DF">
        <w:t xml:space="preserve">which </w:t>
      </w:r>
      <w:r w:rsidR="00867CDE" w:rsidRPr="009F63DF">
        <w:t xml:space="preserve">the </w:t>
      </w:r>
      <w:r w:rsidRPr="009F63DF">
        <w:t xml:space="preserve">fuels </w:t>
      </w:r>
      <w:r w:rsidR="00867CDE" w:rsidRPr="009F63DF">
        <w:t xml:space="preserve">used by the user households </w:t>
      </w:r>
      <w:r w:rsidRPr="009F63DF">
        <w:t xml:space="preserve">are produced or </w:t>
      </w:r>
      <w:r w:rsidR="00867CDE" w:rsidRPr="009F63DF">
        <w:t xml:space="preserve">from where they </w:t>
      </w:r>
      <w:r w:rsidR="00B9FBF3" w:rsidRPr="009F63DF">
        <w:t xml:space="preserve">are </w:t>
      </w:r>
      <w:r w:rsidRPr="009F63DF">
        <w:t xml:space="preserve">collected in the baseline and </w:t>
      </w:r>
      <w:r w:rsidR="0054318E" w:rsidRPr="009F63DF">
        <w:t>activity</w:t>
      </w:r>
      <w:r w:rsidRPr="009F63DF">
        <w:t xml:space="preserve"> scenario</w:t>
      </w:r>
      <w:bookmarkStart w:id="206" w:name="_Ref227062498"/>
      <w:r w:rsidRPr="009F63DF">
        <w:t>.</w:t>
      </w:r>
      <w:r w:rsidRPr="009F63DF">
        <w:rPr>
          <w:vertAlign w:val="superscript"/>
        </w:rPr>
        <w:footnoteReference w:id="22"/>
      </w:r>
      <w:bookmarkEnd w:id="206"/>
      <w:r w:rsidR="00CB2574" w:rsidRPr="009F63DF">
        <w:t xml:space="preserve"> Activity participants shall confirm this by </w:t>
      </w:r>
      <w:r w:rsidR="00386FD0" w:rsidRPr="009F63DF">
        <w:t>complying with</w:t>
      </w:r>
      <w:r w:rsidR="00CB2574" w:rsidRPr="009F63DF">
        <w:t xml:space="preserve"> the </w:t>
      </w:r>
      <w:r w:rsidR="00386FD0" w:rsidRPr="009F63DF">
        <w:t>requirements</w:t>
      </w:r>
      <w:r w:rsidR="00B959E6" w:rsidRPr="009F63DF">
        <w:t xml:space="preserve"> in paragraphs </w:t>
      </w:r>
      <w:r w:rsidR="00B74B52" w:rsidRPr="009F63DF">
        <w:rPr>
          <w:highlight w:val="yellow"/>
        </w:rPr>
        <w:fldChar w:fldCharType="begin"/>
      </w:r>
      <w:r w:rsidR="00B74B52" w:rsidRPr="009F63DF">
        <w:instrText xml:space="preserve"> REF _Ref227589032 \r \h </w:instrText>
      </w:r>
      <w:r w:rsidR="00B74B52" w:rsidRPr="009F63DF">
        <w:rPr>
          <w:highlight w:val="yellow"/>
        </w:rPr>
      </w:r>
      <w:r w:rsidR="00B74B52" w:rsidRPr="009F63DF">
        <w:rPr>
          <w:highlight w:val="yellow"/>
        </w:rPr>
        <w:fldChar w:fldCharType="separate"/>
      </w:r>
      <w:r w:rsidR="00831DAE">
        <w:rPr>
          <w:cs/>
        </w:rPr>
        <w:t>‎</w:t>
      </w:r>
      <w:r w:rsidR="00831DAE">
        <w:t>22</w:t>
      </w:r>
      <w:r w:rsidR="00B74B52" w:rsidRPr="009F63DF">
        <w:rPr>
          <w:highlight w:val="yellow"/>
        </w:rPr>
        <w:fldChar w:fldCharType="end"/>
      </w:r>
      <w:r w:rsidR="00B959E6" w:rsidRPr="009F63DF">
        <w:t xml:space="preserve"> </w:t>
      </w:r>
      <w:r w:rsidR="006D7C32" w:rsidRPr="009F63DF">
        <w:t>to</w:t>
      </w:r>
      <w:r w:rsidR="00B959E6" w:rsidRPr="009F63DF">
        <w:t xml:space="preserve"> </w:t>
      </w:r>
      <w:r w:rsidR="00B74B52" w:rsidRPr="009F63DF">
        <w:rPr>
          <w:highlight w:val="yellow"/>
        </w:rPr>
        <w:fldChar w:fldCharType="begin"/>
      </w:r>
      <w:r w:rsidR="00B74B52" w:rsidRPr="009F63DF">
        <w:instrText xml:space="preserve"> REF _Ref227589044 \r \h </w:instrText>
      </w:r>
      <w:r w:rsidR="00B74B52" w:rsidRPr="009F63DF">
        <w:rPr>
          <w:highlight w:val="yellow"/>
        </w:rPr>
      </w:r>
      <w:r w:rsidR="00B74B52" w:rsidRPr="009F63DF">
        <w:rPr>
          <w:highlight w:val="yellow"/>
        </w:rPr>
        <w:fldChar w:fldCharType="separate"/>
      </w:r>
      <w:r w:rsidR="00831DAE">
        <w:rPr>
          <w:cs/>
        </w:rPr>
        <w:t>‎</w:t>
      </w:r>
      <w:r w:rsidR="00831DAE">
        <w:t>24</w:t>
      </w:r>
      <w:r w:rsidR="00B74B52" w:rsidRPr="009F63DF">
        <w:rPr>
          <w:highlight w:val="yellow"/>
        </w:rPr>
        <w:fldChar w:fldCharType="end"/>
      </w:r>
      <w:r w:rsidR="00282832" w:rsidRPr="009F63DF">
        <w:t xml:space="preserve"> </w:t>
      </w:r>
      <w:r w:rsidR="00B959E6" w:rsidRPr="009F63DF">
        <w:t>below</w:t>
      </w:r>
      <w:r w:rsidR="00386FD0" w:rsidRPr="009F63DF">
        <w:t>.</w:t>
      </w:r>
    </w:p>
    <w:p w14:paraId="72F3A559" w14:textId="0FA9B63F" w:rsidR="001C2394" w:rsidRPr="009F63DF" w:rsidRDefault="001C2394" w:rsidP="00E03E61">
      <w:pPr>
        <w:pStyle w:val="SDMPara"/>
      </w:pPr>
      <w:bookmarkStart w:id="207" w:name="_Ref227589032"/>
      <w:r w:rsidRPr="009F63DF">
        <w:t xml:space="preserve">Activity participants shall include in the PDD the location of the implementation of the Article 6.4 activity in the form of Keyhole Markup Language (KML) files or similar formats as one or more polygon(s), by specifying the coordinates of the geographic boundary where </w:t>
      </w:r>
      <w:r w:rsidR="003A249B" w:rsidRPr="009F63DF">
        <w:t xml:space="preserve">project </w:t>
      </w:r>
      <w:r w:rsidRPr="009F63DF">
        <w:t xml:space="preserve">cookstoves are distributed </w:t>
      </w:r>
      <w:r w:rsidR="00740507" w:rsidRPr="009F63DF">
        <w:t xml:space="preserve">and operated </w:t>
      </w:r>
      <w:r w:rsidR="003B78D8" w:rsidRPr="009F63DF">
        <w:t>(paragraph</w:t>
      </w:r>
      <w:r w:rsidR="00D96F6F" w:rsidRPr="009F63DF">
        <w:t xml:space="preserve"> </w:t>
      </w:r>
      <w:r w:rsidR="00EF0ABE" w:rsidRPr="009F63DF">
        <w:fldChar w:fldCharType="begin"/>
      </w:r>
      <w:r w:rsidR="00EF0ABE" w:rsidRPr="009F63DF">
        <w:instrText xml:space="preserve"> REF _Ref227139933 \r \h </w:instrText>
      </w:r>
      <w:r w:rsidR="0013464B" w:rsidRPr="009F63DF">
        <w:instrText xml:space="preserve"> \* MERGEFORMAT </w:instrText>
      </w:r>
      <w:r w:rsidR="00EF0ABE" w:rsidRPr="009F63DF">
        <w:fldChar w:fldCharType="separate"/>
      </w:r>
      <w:r w:rsidR="00831DAE">
        <w:rPr>
          <w:cs/>
        </w:rPr>
        <w:t>‎</w:t>
      </w:r>
      <w:r w:rsidR="00831DAE">
        <w:t>18(a)</w:t>
      </w:r>
      <w:r w:rsidR="00EF0ABE" w:rsidRPr="009F63DF">
        <w:fldChar w:fldCharType="end"/>
      </w:r>
      <w:r w:rsidR="00D96F6F" w:rsidRPr="009F63DF">
        <w:t xml:space="preserve">) </w:t>
      </w:r>
      <w:r w:rsidRPr="009F63DF">
        <w:t>using a known coordinate system or any other established method.</w:t>
      </w:r>
      <w:bookmarkEnd w:id="207"/>
    </w:p>
    <w:p w14:paraId="605CD3A9" w14:textId="58F7BEA1" w:rsidR="00027885" w:rsidRPr="009F63DF" w:rsidRDefault="000E535A" w:rsidP="00655F47">
      <w:pPr>
        <w:pStyle w:val="SDMPara"/>
        <w:keepNext/>
      </w:pPr>
      <w:bookmarkStart w:id="208" w:name="_Ref226994046"/>
      <w:r w:rsidRPr="009F63DF">
        <w:t>T</w:t>
      </w:r>
      <w:r w:rsidR="009F0F25" w:rsidRPr="009F63DF">
        <w:t xml:space="preserve">he geographic limits of the </w:t>
      </w:r>
      <w:r w:rsidR="0054318E" w:rsidRPr="009F63DF">
        <w:t>activity</w:t>
      </w:r>
      <w:r w:rsidR="009F0F25" w:rsidRPr="009F63DF">
        <w:t xml:space="preserve"> boundary </w:t>
      </w:r>
      <w:r w:rsidR="00775967" w:rsidRPr="009F63DF">
        <w:t xml:space="preserve">related to fuels </w:t>
      </w:r>
      <w:r w:rsidR="00A96E87" w:rsidRPr="009F63DF">
        <w:t xml:space="preserve">(paragraph </w:t>
      </w:r>
      <w:r w:rsidR="00340E3D" w:rsidRPr="009F63DF">
        <w:fldChar w:fldCharType="begin"/>
      </w:r>
      <w:r w:rsidR="00340E3D" w:rsidRPr="009F63DF">
        <w:instrText xml:space="preserve"> REF _Ref227139807 \r \h </w:instrText>
      </w:r>
      <w:r w:rsidR="00340E3D" w:rsidRPr="009F63DF">
        <w:fldChar w:fldCharType="separate"/>
      </w:r>
      <w:r w:rsidR="00831DAE">
        <w:rPr>
          <w:cs/>
        </w:rPr>
        <w:t>‎</w:t>
      </w:r>
      <w:r w:rsidR="00831DAE">
        <w:t>18(b)</w:t>
      </w:r>
      <w:r w:rsidR="00340E3D" w:rsidRPr="009F63DF">
        <w:fldChar w:fldCharType="end"/>
      </w:r>
      <w:r w:rsidR="00A96E87" w:rsidRPr="009F63DF">
        <w:t xml:space="preserve"> </w:t>
      </w:r>
      <w:r w:rsidR="009F0F25" w:rsidRPr="009F63DF">
        <w:t xml:space="preserve">shall be defined as sub-national, national or multi-national </w:t>
      </w:r>
      <w:r w:rsidR="00076393" w:rsidRPr="009F63DF">
        <w:t xml:space="preserve">for each fuel </w:t>
      </w:r>
      <w:r w:rsidR="00453C14" w:rsidRPr="009F63DF">
        <w:t xml:space="preserve">type </w:t>
      </w:r>
      <w:r w:rsidR="00C10DD7" w:rsidRPr="009F63DF">
        <w:t>as follows:</w:t>
      </w:r>
      <w:bookmarkEnd w:id="208"/>
    </w:p>
    <w:p w14:paraId="6DA95484" w14:textId="3600CFEF" w:rsidR="00F7138F" w:rsidRPr="009F63DF" w:rsidRDefault="00C477CA" w:rsidP="00655F47">
      <w:pPr>
        <w:pStyle w:val="SDMSubPara1"/>
        <w:keepNext/>
      </w:pPr>
      <w:r w:rsidRPr="009F63DF">
        <w:t>For charcoal</w:t>
      </w:r>
      <w:r w:rsidR="005D6171" w:rsidRPr="009F63DF">
        <w:t>, the geographic</w:t>
      </w:r>
      <w:r w:rsidR="003B0427" w:rsidRPr="009F63DF">
        <w:rPr>
          <w:lang w:eastAsia="ja-JP"/>
        </w:rPr>
        <w:t>al</w:t>
      </w:r>
      <w:r w:rsidR="005D6171" w:rsidRPr="009F63DF">
        <w:t xml:space="preserve"> limits of the </w:t>
      </w:r>
      <w:r w:rsidR="0054318E" w:rsidRPr="009F63DF">
        <w:t>activity</w:t>
      </w:r>
      <w:r w:rsidR="005D6171" w:rsidRPr="009F63DF">
        <w:t xml:space="preserve"> boundary</w:t>
      </w:r>
      <w:r w:rsidR="00F7138F" w:rsidRPr="009F63DF">
        <w:t>:</w:t>
      </w:r>
    </w:p>
    <w:p w14:paraId="3EB7E628" w14:textId="5AF48827" w:rsidR="004E6AC4" w:rsidRPr="009F63DF" w:rsidRDefault="005D6171" w:rsidP="00655F47">
      <w:pPr>
        <w:pStyle w:val="SDMSubPara2"/>
        <w:keepNext/>
      </w:pPr>
      <w:r w:rsidRPr="009F63DF">
        <w:t>S</w:t>
      </w:r>
      <w:r w:rsidR="002037EB" w:rsidRPr="009F63DF">
        <w:t xml:space="preserve">hall be multi-national if </w:t>
      </w:r>
      <w:r w:rsidR="00367122" w:rsidRPr="009F63DF">
        <w:t>both</w:t>
      </w:r>
      <w:r w:rsidR="00477B77" w:rsidRPr="009F63DF">
        <w:t xml:space="preserve"> </w:t>
      </w:r>
      <w:r w:rsidR="004E6AC4" w:rsidRPr="009F63DF">
        <w:t>of the following conditions are true:</w:t>
      </w:r>
    </w:p>
    <w:p w14:paraId="51221A6F" w14:textId="77777777" w:rsidR="006D2932" w:rsidRPr="009F63DF" w:rsidRDefault="004E6AC4" w:rsidP="004923D4">
      <w:pPr>
        <w:pStyle w:val="SDMSubPara3"/>
      </w:pPr>
      <w:r w:rsidRPr="009F63DF">
        <w:t>T</w:t>
      </w:r>
      <w:r w:rsidR="00BC31C9" w:rsidRPr="009F63DF">
        <w:t xml:space="preserve">he host </w:t>
      </w:r>
      <w:r w:rsidR="00093DBD" w:rsidRPr="009F63DF">
        <w:t>Party</w:t>
      </w:r>
      <w:r w:rsidR="00BC31C9" w:rsidRPr="009F63DF">
        <w:t xml:space="preserve"> import</w:t>
      </w:r>
      <w:r w:rsidR="002D0355" w:rsidRPr="009F63DF">
        <w:t>s</w:t>
      </w:r>
      <w:r w:rsidR="00BC31C9" w:rsidRPr="009F63DF">
        <w:t xml:space="preserve"> </w:t>
      </w:r>
      <w:r w:rsidR="005D3BDA" w:rsidRPr="009F63DF">
        <w:t xml:space="preserve">at least </w:t>
      </w:r>
      <w:r w:rsidR="00BC31C9" w:rsidRPr="009F63DF">
        <w:t>50 per cent of its charcoal from outside its national boundaries (including, where applicable, undocumented or illegal trade)</w:t>
      </w:r>
      <w:r w:rsidRPr="009F63DF">
        <w:t>;</w:t>
      </w:r>
      <w:r w:rsidR="00BC31C9" w:rsidRPr="009F63DF">
        <w:t xml:space="preserve"> and</w:t>
      </w:r>
    </w:p>
    <w:p w14:paraId="7F40967F" w14:textId="77777777" w:rsidR="00615311" w:rsidRPr="009F63DF" w:rsidRDefault="004E6AC4" w:rsidP="004923D4">
      <w:pPr>
        <w:pStyle w:val="SDMSubPara3"/>
      </w:pPr>
      <w:r w:rsidRPr="009F63DF">
        <w:t>T</w:t>
      </w:r>
      <w:r w:rsidR="00BC31C9" w:rsidRPr="009F63DF">
        <w:t xml:space="preserve">he applicable multi-national </w:t>
      </w:r>
      <w:r w:rsidR="00BE2E1A" w:rsidRPr="009F63DF">
        <w:t>parameter</w:t>
      </w:r>
      <w:r w:rsidR="00BC31C9" w:rsidRPr="009F63DF">
        <w:t xml:space="preserve"> </w:t>
      </w:r>
      <w:r w:rsidR="005B6746" w:rsidRPr="009F63DF">
        <w:t xml:space="preserve">from the </w:t>
      </w:r>
      <w:r w:rsidR="0098768A" w:rsidRPr="009F63DF">
        <w:t>fNRB</w:t>
      </w:r>
      <w:r w:rsidR="00AF5102" w:rsidRPr="009F63DF">
        <w:t xml:space="preserve"> </w:t>
      </w:r>
      <w:r w:rsidR="00E31230" w:rsidRPr="009F63DF">
        <w:t>t</w:t>
      </w:r>
      <w:r w:rsidR="00AF5102" w:rsidRPr="009F63DF">
        <w:t>ool</w:t>
      </w:r>
      <w:r w:rsidR="0091528D" w:rsidRPr="009F63DF">
        <w:t xml:space="preserve"> </w:t>
      </w:r>
      <w:r w:rsidR="00BC31C9" w:rsidRPr="009F63DF">
        <w:t>is</w:t>
      </w:r>
      <w:r w:rsidR="00BC31C9" w:rsidRPr="009F63DF" w:rsidDel="008E6D65">
        <w:t xml:space="preserve"> </w:t>
      </w:r>
      <w:r w:rsidR="008E6D65" w:rsidRPr="009F63DF">
        <w:t xml:space="preserve">lower </w:t>
      </w:r>
      <w:r w:rsidR="00BC31C9" w:rsidRPr="009F63DF">
        <w:t xml:space="preserve">than the national </w:t>
      </w:r>
      <w:r w:rsidR="00BE2E1A" w:rsidRPr="009F63DF">
        <w:t>parameter</w:t>
      </w:r>
      <w:r w:rsidR="00BC31C9" w:rsidRPr="009F63DF">
        <w:t xml:space="preserve"> for the host </w:t>
      </w:r>
      <w:r w:rsidR="0064642E" w:rsidRPr="009F63DF">
        <w:t xml:space="preserve">Party </w:t>
      </w:r>
      <w:r w:rsidR="00BE2E1A" w:rsidRPr="009F63DF">
        <w:t xml:space="preserve">from the </w:t>
      </w:r>
      <w:r w:rsidR="00D01B52" w:rsidRPr="009F63DF">
        <w:t>methodological tool</w:t>
      </w:r>
      <w:r w:rsidR="0062422A" w:rsidRPr="009F63DF">
        <w:t>.</w:t>
      </w:r>
    </w:p>
    <w:p w14:paraId="46384B77" w14:textId="4011A054" w:rsidR="00477B77" w:rsidRPr="009F63DF" w:rsidRDefault="00A45D1F" w:rsidP="00655F47">
      <w:pPr>
        <w:pStyle w:val="SDMSubPara2"/>
        <w:keepNext/>
      </w:pPr>
      <w:bookmarkStart w:id="209" w:name="_Ref226994846"/>
      <w:r w:rsidRPr="009F63DF">
        <w:t xml:space="preserve">Shall </w:t>
      </w:r>
      <w:r w:rsidR="00477B77" w:rsidRPr="009F63DF">
        <w:t>be sub</w:t>
      </w:r>
      <w:r w:rsidR="003646C0" w:rsidRPr="009F63DF">
        <w:t>-</w:t>
      </w:r>
      <w:r w:rsidR="00477B77" w:rsidRPr="009F63DF">
        <w:t>nationa</w:t>
      </w:r>
      <w:r w:rsidR="00B70956" w:rsidRPr="009F63DF">
        <w:t>l</w:t>
      </w:r>
      <w:r w:rsidR="00477B77" w:rsidRPr="009F63DF">
        <w:t xml:space="preserve"> if all of the following conditions are true:</w:t>
      </w:r>
      <w:bookmarkEnd w:id="209"/>
    </w:p>
    <w:p w14:paraId="3031E87E" w14:textId="77777777" w:rsidR="006D2932" w:rsidRPr="009F63DF" w:rsidRDefault="00477B77" w:rsidP="004923D4">
      <w:pPr>
        <w:pStyle w:val="SDMSubPara3"/>
      </w:pPr>
      <w:r w:rsidRPr="009F63DF">
        <w:t xml:space="preserve">The specific source of the charcoal and </w:t>
      </w:r>
      <w:r w:rsidR="00510133" w:rsidRPr="009F63DF">
        <w:t xml:space="preserve">the </w:t>
      </w:r>
      <w:r w:rsidRPr="009F63DF">
        <w:t>harvested biomass</w:t>
      </w:r>
      <w:r w:rsidR="00B70956" w:rsidRPr="009F63DF">
        <w:t xml:space="preserve"> </w:t>
      </w:r>
      <w:r w:rsidR="00510133" w:rsidRPr="009F63DF">
        <w:t xml:space="preserve">used to make the charcoal </w:t>
      </w:r>
      <w:r w:rsidR="00B70956" w:rsidRPr="009F63DF">
        <w:t>is known;</w:t>
      </w:r>
    </w:p>
    <w:p w14:paraId="71DEDBC3" w14:textId="09342311" w:rsidR="00E3190D" w:rsidRPr="009F63DF" w:rsidRDefault="00B70956" w:rsidP="004923D4">
      <w:pPr>
        <w:pStyle w:val="SDMSubPara3"/>
      </w:pPr>
      <w:r w:rsidRPr="009F63DF">
        <w:t xml:space="preserve">The specific source </w:t>
      </w:r>
      <w:r w:rsidR="00E46B9A" w:rsidRPr="009F63DF">
        <w:t xml:space="preserve">is reported in a </w:t>
      </w:r>
      <w:r w:rsidR="00F445D8" w:rsidRPr="009F63DF">
        <w:t>KML</w:t>
      </w:r>
      <w:r w:rsidR="00E46B9A" w:rsidRPr="009F63DF">
        <w:t xml:space="preserve"> file or similar; and</w:t>
      </w:r>
    </w:p>
    <w:p w14:paraId="7EFCDD5E" w14:textId="4E107C47" w:rsidR="006D2932" w:rsidRPr="009F63DF" w:rsidRDefault="00B70956" w:rsidP="004923D4">
      <w:pPr>
        <w:pStyle w:val="SDMSubPara3"/>
      </w:pPr>
      <w:r w:rsidRPr="009F63DF">
        <w:t xml:space="preserve">The specific source </w:t>
      </w:r>
      <w:r w:rsidR="006F1DE1" w:rsidRPr="009F63DF">
        <w:t xml:space="preserve">of the harvested biomass used to make the charcoal </w:t>
      </w:r>
      <w:r w:rsidRPr="009F63DF">
        <w:t xml:space="preserve">is </w:t>
      </w:r>
      <w:r w:rsidR="00C9457F" w:rsidRPr="009F63DF">
        <w:t xml:space="preserve">entirely </w:t>
      </w:r>
      <w:r w:rsidR="009F7768" w:rsidRPr="009F63DF">
        <w:t>within one subnational jurisdiction</w:t>
      </w:r>
      <w:r w:rsidR="0062422A" w:rsidRPr="009F63DF">
        <w:t>.</w:t>
      </w:r>
    </w:p>
    <w:p w14:paraId="1D7D660A" w14:textId="77777777" w:rsidR="006D2932" w:rsidRPr="009F63DF" w:rsidRDefault="00E46B9A" w:rsidP="004923D4">
      <w:pPr>
        <w:pStyle w:val="SDMSubPara2"/>
      </w:pPr>
      <w:r w:rsidRPr="009F63DF">
        <w:t>Shall be national in all other circumstances</w:t>
      </w:r>
      <w:r w:rsidR="009E351F" w:rsidRPr="009F63DF">
        <w:t xml:space="preserve"> where a national </w:t>
      </w:r>
      <w:r w:rsidR="00B8426B" w:rsidRPr="009F63DF">
        <w:t>parameter</w:t>
      </w:r>
      <w:r w:rsidR="009E351F" w:rsidRPr="009F63DF">
        <w:t xml:space="preserve"> is available for the </w:t>
      </w:r>
      <w:r w:rsidR="002628A9" w:rsidRPr="009F63DF">
        <w:t xml:space="preserve">host </w:t>
      </w:r>
      <w:r w:rsidR="0064642E" w:rsidRPr="009F63DF">
        <w:t>Party</w:t>
      </w:r>
      <w:r w:rsidR="00B8426B" w:rsidRPr="009F63DF">
        <w:t xml:space="preserve"> from the </w:t>
      </w:r>
      <w:r w:rsidR="00533865" w:rsidRPr="009F63DF">
        <w:t>fNRB</w:t>
      </w:r>
      <w:r w:rsidR="005225D4" w:rsidRPr="009F63DF">
        <w:t xml:space="preserve"> tool</w:t>
      </w:r>
      <w:r w:rsidR="002628A9" w:rsidRPr="009F63DF">
        <w:t>; and</w:t>
      </w:r>
    </w:p>
    <w:p w14:paraId="621FDB2F" w14:textId="697C7EEA" w:rsidR="00E46B9A" w:rsidRPr="009F63DF" w:rsidRDefault="002628A9" w:rsidP="004923D4">
      <w:pPr>
        <w:pStyle w:val="SDMSubPara2"/>
      </w:pPr>
      <w:r w:rsidRPr="009F63DF">
        <w:t xml:space="preserve">Shall be </w:t>
      </w:r>
      <w:r w:rsidR="002B6FE0" w:rsidRPr="009F63DF">
        <w:t>multi-</w:t>
      </w:r>
      <w:r w:rsidRPr="009F63DF">
        <w:t>national in all other circumstances</w:t>
      </w:r>
      <w:r w:rsidR="00E46B9A" w:rsidRPr="009F63DF">
        <w:t>.</w:t>
      </w:r>
    </w:p>
    <w:p w14:paraId="02BF5F66" w14:textId="461459A6" w:rsidR="00E46B9A" w:rsidRPr="009F63DF" w:rsidRDefault="00C477CA" w:rsidP="00655F47">
      <w:pPr>
        <w:pStyle w:val="SDMSubPara1"/>
        <w:keepNext/>
      </w:pPr>
      <w:r w:rsidRPr="009F63DF">
        <w:t>For fuelwood</w:t>
      </w:r>
      <w:r w:rsidR="009E3C1B" w:rsidRPr="009F63DF">
        <w:t xml:space="preserve">, the geographic limits of the </w:t>
      </w:r>
      <w:r w:rsidR="0054318E" w:rsidRPr="009F63DF">
        <w:t>activity</w:t>
      </w:r>
      <w:r w:rsidR="009E3C1B" w:rsidRPr="009F63DF">
        <w:t xml:space="preserve"> boundary</w:t>
      </w:r>
      <w:r w:rsidR="00C5F205" w:rsidRPr="009F63DF">
        <w:t xml:space="preserve"> shall be</w:t>
      </w:r>
      <w:r w:rsidR="009E3C1B" w:rsidRPr="009F63DF">
        <w:t>:</w:t>
      </w:r>
    </w:p>
    <w:p w14:paraId="0599452B" w14:textId="77777777" w:rsidR="006D2932" w:rsidRPr="009F63DF" w:rsidRDefault="79FB90D2" w:rsidP="004923D4">
      <w:pPr>
        <w:pStyle w:val="SDMSubPara2"/>
      </w:pPr>
      <w:r w:rsidRPr="009F63DF">
        <w:t>S</w:t>
      </w:r>
      <w:r w:rsidR="00454405" w:rsidRPr="009F63DF">
        <w:t xml:space="preserve">ubnational </w:t>
      </w:r>
      <w:r w:rsidR="00B8426B" w:rsidRPr="009F63DF">
        <w:t xml:space="preserve">where </w:t>
      </w:r>
      <w:r w:rsidR="001E09A2" w:rsidRPr="009F63DF">
        <w:t xml:space="preserve">a </w:t>
      </w:r>
      <w:r w:rsidR="00B8426B" w:rsidRPr="009F63DF">
        <w:t xml:space="preserve">subnational parameter </w:t>
      </w:r>
      <w:r w:rsidR="001E09A2" w:rsidRPr="009F63DF">
        <w:t xml:space="preserve">is available for </w:t>
      </w:r>
      <w:r w:rsidR="00B8426B" w:rsidRPr="009F63DF">
        <w:t xml:space="preserve">the applicable subnational </w:t>
      </w:r>
      <w:r w:rsidR="001E09A2" w:rsidRPr="009F63DF">
        <w:t xml:space="preserve">jurisdiction </w:t>
      </w:r>
      <w:r w:rsidR="00B8426B" w:rsidRPr="009F63DF">
        <w:t xml:space="preserve">from the </w:t>
      </w:r>
      <w:r w:rsidR="00533865" w:rsidRPr="009F63DF">
        <w:t>fNRB</w:t>
      </w:r>
      <w:r w:rsidR="005225D4" w:rsidRPr="009F63DF">
        <w:t xml:space="preserve"> tool</w:t>
      </w:r>
      <w:r w:rsidR="001E09A2" w:rsidRPr="009F63DF">
        <w:t>;</w:t>
      </w:r>
    </w:p>
    <w:p w14:paraId="449CBEB2" w14:textId="77777777" w:rsidR="006D2932" w:rsidRPr="009F63DF" w:rsidRDefault="60C96CC3" w:rsidP="004923D4">
      <w:pPr>
        <w:pStyle w:val="SDMSubPara2"/>
      </w:pPr>
      <w:r w:rsidRPr="009F63DF">
        <w:t>N</w:t>
      </w:r>
      <w:r w:rsidR="008A1FCA" w:rsidRPr="009F63DF">
        <w:t xml:space="preserve">ational in all other circumstances where a national </w:t>
      </w:r>
      <w:r w:rsidR="00B8426B" w:rsidRPr="009F63DF">
        <w:t>parameter</w:t>
      </w:r>
      <w:r w:rsidR="008A1FCA" w:rsidRPr="009F63DF">
        <w:t xml:space="preserve"> is available for the host </w:t>
      </w:r>
      <w:r w:rsidR="003E566E" w:rsidRPr="009F63DF">
        <w:t>Party from</w:t>
      </w:r>
      <w:r w:rsidR="00B8426B" w:rsidRPr="009F63DF">
        <w:t xml:space="preserve"> the </w:t>
      </w:r>
      <w:r w:rsidR="00533865" w:rsidRPr="009F63DF">
        <w:t>fNRB</w:t>
      </w:r>
      <w:r w:rsidR="005225D4" w:rsidRPr="009F63DF">
        <w:t xml:space="preserve"> tool</w:t>
      </w:r>
      <w:r w:rsidR="008A1FCA" w:rsidRPr="009F63DF">
        <w:t>; and</w:t>
      </w:r>
    </w:p>
    <w:p w14:paraId="5E89EF8A" w14:textId="77777777" w:rsidR="006D2932" w:rsidRPr="009F63DF" w:rsidRDefault="14E9BD58" w:rsidP="004923D4">
      <w:pPr>
        <w:pStyle w:val="SDMSubPara2"/>
      </w:pPr>
      <w:r w:rsidRPr="009F63DF">
        <w:t>M</w:t>
      </w:r>
      <w:r w:rsidR="008A1FCA" w:rsidRPr="009F63DF">
        <w:t>ulti-national in all other circumstances</w:t>
      </w:r>
      <w:r w:rsidR="00E0533F" w:rsidRPr="009F63DF">
        <w:t>, i.e. where a national parameter is not available</w:t>
      </w:r>
      <w:r w:rsidR="008A1FCA" w:rsidRPr="009F63DF">
        <w:t>.</w:t>
      </w:r>
    </w:p>
    <w:p w14:paraId="07228373" w14:textId="749FAD1E" w:rsidR="001C326A" w:rsidRPr="009F63DF" w:rsidRDefault="008077C1" w:rsidP="0016344B">
      <w:pPr>
        <w:pStyle w:val="SDMPara"/>
      </w:pPr>
      <w:bookmarkStart w:id="210" w:name="_Ref227589044"/>
      <w:r w:rsidRPr="009F63DF">
        <w:t xml:space="preserve">When the geographic limits of the </w:t>
      </w:r>
      <w:r w:rsidR="0054318E" w:rsidRPr="009F63DF">
        <w:t>activity</w:t>
      </w:r>
      <w:r w:rsidRPr="009F63DF">
        <w:t xml:space="preserve"> boundary </w:t>
      </w:r>
      <w:r w:rsidR="00AF7169" w:rsidRPr="009F63DF">
        <w:t xml:space="preserve">related to fuels </w:t>
      </w:r>
      <w:r w:rsidRPr="009F63DF">
        <w:t xml:space="preserve">are determined </w:t>
      </w:r>
      <w:r w:rsidR="00EA6DD6" w:rsidRPr="009F63DF">
        <w:t>pursuant to</w:t>
      </w:r>
      <w:r w:rsidRPr="009F63DF">
        <w:t xml:space="preserve"> paragraph</w:t>
      </w:r>
      <w:r w:rsidR="007C5B6E" w:rsidRPr="009F63DF">
        <w:t xml:space="preserve"> 22(a)(ii)</w:t>
      </w:r>
      <w:r w:rsidR="00EF0ABE" w:rsidRPr="009F63DF">
        <w:t xml:space="preserve"> only</w:t>
      </w:r>
      <w:r w:rsidR="007C5B6E" w:rsidRPr="009F63DF">
        <w:t>,</w:t>
      </w:r>
      <w:r w:rsidR="004D47C2" w:rsidRPr="009F63DF">
        <w:t xml:space="preserve"> a</w:t>
      </w:r>
      <w:r w:rsidRPr="009F63DF">
        <w:t xml:space="preserve">ctivity </w:t>
      </w:r>
      <w:r w:rsidR="001C326A" w:rsidRPr="009F63DF">
        <w:t>participants shall further include in the</w:t>
      </w:r>
      <w:r w:rsidR="00124273" w:rsidRPr="009F63DF">
        <w:t xml:space="preserve"> design document</w:t>
      </w:r>
      <w:r w:rsidR="001C326A" w:rsidRPr="009F63DF">
        <w:t>:</w:t>
      </w:r>
      <w:bookmarkEnd w:id="210"/>
    </w:p>
    <w:p w14:paraId="521993AA" w14:textId="657C71BB" w:rsidR="001C326A" w:rsidRPr="009F63DF" w:rsidRDefault="001C326A" w:rsidP="009311F1">
      <w:pPr>
        <w:pStyle w:val="SDMSubPara1"/>
      </w:pPr>
      <w:r w:rsidRPr="009F63DF">
        <w:t xml:space="preserve">The exact (if known) or approximate location(s) from which </w:t>
      </w:r>
      <w:r w:rsidR="0054318E" w:rsidRPr="009F63DF">
        <w:t>activity</w:t>
      </w:r>
      <w:r w:rsidRPr="009F63DF">
        <w:t xml:space="preserve"> fuels are produced or collected in the form of Keyhole Markup Language (KML) files or similar formats as one or more polygon(s), by specifying the coordinates of the geographic boundary of the production or collection areas using a known coordinate system or any other established method; and</w:t>
      </w:r>
    </w:p>
    <w:p w14:paraId="0EE51935" w14:textId="4238ED27" w:rsidR="001C326A" w:rsidRPr="009F63DF" w:rsidRDefault="001C326A" w:rsidP="009311F1">
      <w:pPr>
        <w:pStyle w:val="SDMSubPara1"/>
      </w:pPr>
      <w:r w:rsidRPr="009F63DF">
        <w:t>A description of how the location is determined or estimated.</w:t>
      </w:r>
    </w:p>
    <w:p w14:paraId="5E86A21E" w14:textId="77777777" w:rsidR="00615311" w:rsidRPr="009F63DF" w:rsidRDefault="005A70FD" w:rsidP="00E03E61">
      <w:pPr>
        <w:pStyle w:val="SDMPara"/>
      </w:pPr>
      <w:r w:rsidRPr="009F63DF">
        <w:t>For Article 6.4 activities implemented as a PoA</w:t>
      </w:r>
      <w:r w:rsidR="00C34446" w:rsidRPr="009F63DF">
        <w:t>, the geographic limits of the activity boundary related to fuels</w:t>
      </w:r>
      <w:r w:rsidR="00474FF2" w:rsidRPr="009F63DF">
        <w:t xml:space="preserve"> shall be defined at the level of each</w:t>
      </w:r>
      <w:r w:rsidR="007F1220" w:rsidRPr="009F63DF">
        <w:t xml:space="preserve"> component project (CP)</w:t>
      </w:r>
      <w:r w:rsidR="00474FF2" w:rsidRPr="009F63DF">
        <w:t>.</w:t>
      </w:r>
    </w:p>
    <w:p w14:paraId="40F7E641" w14:textId="10A9D615" w:rsidR="001C2394" w:rsidRPr="009F63DF" w:rsidRDefault="001C2394" w:rsidP="00B07AF7">
      <w:pPr>
        <w:pStyle w:val="SDMHead1"/>
      </w:pPr>
      <w:bookmarkStart w:id="211" w:name="_Toc226502269"/>
      <w:bookmarkStart w:id="212" w:name="_Toc226576222"/>
      <w:bookmarkStart w:id="213" w:name="_Toc226983072"/>
      <w:bookmarkStart w:id="214" w:name="_Toc227677270"/>
      <w:bookmarkStart w:id="215" w:name="_Toc227694792"/>
      <w:bookmarkStart w:id="216" w:name="_Toc227920906"/>
      <w:bookmarkStart w:id="217" w:name="_Toc227938807"/>
      <w:bookmarkStart w:id="218" w:name="_Toc227948058"/>
      <w:bookmarkStart w:id="219" w:name="_Toc233388615"/>
      <w:bookmarkStart w:id="220" w:name="_Toc233961422"/>
      <w:bookmarkStart w:id="221" w:name="_Toc233970231"/>
      <w:bookmarkStart w:id="222" w:name="_Toc240546561"/>
      <w:bookmarkStart w:id="223" w:name="_Toc240631962"/>
      <w:bookmarkStart w:id="224" w:name="_Toc242471147"/>
      <w:r w:rsidRPr="009F63DF">
        <w:t>Demonstration of additionality</w:t>
      </w:r>
      <w:bookmarkEnd w:id="197"/>
      <w:bookmarkEnd w:id="198"/>
      <w:bookmarkEnd w:id="199"/>
      <w:bookmarkEnd w:id="20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52D09181" w14:textId="7CB876C8" w:rsidR="006D2932" w:rsidRPr="009F63DF" w:rsidRDefault="001C2394" w:rsidP="00E03E61">
      <w:pPr>
        <w:pStyle w:val="SDMPara"/>
      </w:pPr>
      <w:r w:rsidRPr="009F63DF">
        <w:t>To demonstrate additionality, activity participants shall apply</w:t>
      </w:r>
      <w:r w:rsidR="002E3F71" w:rsidRPr="009F63DF">
        <w:t xml:space="preserve"> </w:t>
      </w:r>
      <w:r w:rsidR="00BE4921" w:rsidRPr="009F63DF">
        <w:t>a</w:t>
      </w:r>
      <w:r w:rsidRPr="009F63DF">
        <w:t xml:space="preserve"> regulatory analysis (</w:t>
      </w:r>
      <w:r w:rsidR="0094484B" w:rsidRPr="009F63DF">
        <w:t>s</w:t>
      </w:r>
      <w:r w:rsidRPr="009F63DF">
        <w:t>ection</w:t>
      </w:r>
      <w:r w:rsidR="0094484B" w:rsidRPr="009F63DF">
        <w:t> </w:t>
      </w:r>
      <w:r w:rsidRPr="009F63DF">
        <w:fldChar w:fldCharType="begin"/>
      </w:r>
      <w:r w:rsidRPr="009F63DF">
        <w:instrText xml:space="preserve"> REF _Ref226495656 \r \h </w:instrText>
      </w:r>
      <w:r w:rsidRPr="009F63DF">
        <w:fldChar w:fldCharType="separate"/>
      </w:r>
      <w:r w:rsidR="00831DAE">
        <w:rPr>
          <w:cs/>
        </w:rPr>
        <w:t>‎</w:t>
      </w:r>
      <w:r w:rsidR="00831DAE">
        <w:t>6.1</w:t>
      </w:r>
      <w:r w:rsidRPr="009F63DF">
        <w:fldChar w:fldCharType="end"/>
      </w:r>
      <w:r w:rsidRPr="009F63DF">
        <w:t xml:space="preserve"> below)</w:t>
      </w:r>
      <w:r w:rsidR="00364AB0" w:rsidRPr="009F63DF">
        <w:t>.</w:t>
      </w:r>
      <w:r w:rsidR="001352A1" w:rsidRPr="009F63DF">
        <w:t xml:space="preserve"> </w:t>
      </w:r>
      <w:r w:rsidRPr="009F63DF">
        <w:t xml:space="preserve">The proposed Article 6.4 activity shall only be considered additional if </w:t>
      </w:r>
      <w:r w:rsidR="00554CDB" w:rsidRPr="009F63DF">
        <w:t xml:space="preserve">the </w:t>
      </w:r>
      <w:r w:rsidR="00B3660C" w:rsidRPr="009F63DF">
        <w:t>regulatory analysis is</w:t>
      </w:r>
      <w:r w:rsidR="00810E2B" w:rsidRPr="009F63DF">
        <w:t xml:space="preserve"> </w:t>
      </w:r>
      <w:r w:rsidRPr="009F63DF">
        <w:t>concluded positively.</w:t>
      </w:r>
    </w:p>
    <w:p w14:paraId="6C69DD54" w14:textId="00478AC7" w:rsidR="001C2394" w:rsidRPr="009F63DF" w:rsidRDefault="0060509D" w:rsidP="00E03E61">
      <w:pPr>
        <w:pStyle w:val="SDMPara"/>
      </w:pPr>
      <w:r w:rsidRPr="009F63DF">
        <w:t xml:space="preserve">An analysis of lock-in risk and </w:t>
      </w:r>
      <w:r w:rsidR="00835260" w:rsidRPr="009F63DF">
        <w:t xml:space="preserve">an analysis using a performance-based approach are conducted at </w:t>
      </w:r>
      <w:r w:rsidRPr="009F63DF">
        <w:t xml:space="preserve">the level of the </w:t>
      </w:r>
      <w:r w:rsidR="00F7008A" w:rsidRPr="009F63DF">
        <w:t xml:space="preserve">mechanism </w:t>
      </w:r>
      <w:r w:rsidRPr="009F63DF">
        <w:t xml:space="preserve">methodology </w:t>
      </w:r>
      <w:r w:rsidR="00E7434E" w:rsidRPr="009F63DF">
        <w:t xml:space="preserve">for all applicable Article 6.4 activities under this </w:t>
      </w:r>
      <w:r w:rsidR="00F654D8" w:rsidRPr="009F63DF">
        <w:t xml:space="preserve">mechanism </w:t>
      </w:r>
      <w:r w:rsidR="00E7434E" w:rsidRPr="009F63DF">
        <w:t xml:space="preserve">methodology </w:t>
      </w:r>
      <w:r w:rsidRPr="009F63DF">
        <w:t xml:space="preserve">(see </w:t>
      </w:r>
      <w:r w:rsidR="009F2A2D">
        <w:fldChar w:fldCharType="begin"/>
      </w:r>
      <w:r w:rsidR="009F2A2D">
        <w:instrText xml:space="preserve"> REF _Ref240561466 \r \h </w:instrText>
      </w:r>
      <w:r w:rsidR="009F2A2D">
        <w:fldChar w:fldCharType="separate"/>
      </w:r>
      <w:r w:rsidR="00831DAE">
        <w:rPr>
          <w:cs/>
        </w:rPr>
        <w:t>‎</w:t>
      </w:r>
      <w:r w:rsidR="00831DAE">
        <w:t>Appendix 7</w:t>
      </w:r>
      <w:r w:rsidR="009F2A2D">
        <w:fldChar w:fldCharType="end"/>
      </w:r>
      <w:r w:rsidRPr="009F63DF">
        <w:t>).</w:t>
      </w:r>
    </w:p>
    <w:p w14:paraId="3A3D33FC" w14:textId="77777777" w:rsidR="00615311" w:rsidRPr="009F63DF" w:rsidRDefault="00A67931" w:rsidP="00E03E61">
      <w:pPr>
        <w:pStyle w:val="SDMPara"/>
      </w:pPr>
      <w:r w:rsidRPr="009F63DF">
        <w:t xml:space="preserve">For Article 6.4 activities implemented as a PoA, the </w:t>
      </w:r>
      <w:r w:rsidR="0029204D" w:rsidRPr="009F63DF">
        <w:t xml:space="preserve">regulatory analysis may be </w:t>
      </w:r>
      <w:r w:rsidR="0038022A" w:rsidRPr="009F63DF">
        <w:t>demonstrated in a standardized way at the PoA level</w:t>
      </w:r>
      <w:r w:rsidR="003E06CC" w:rsidRPr="009F63DF">
        <w:t xml:space="preserve"> by demonstrating</w:t>
      </w:r>
      <w:r w:rsidR="00EC1EE8" w:rsidRPr="009F63DF">
        <w:t xml:space="preserve"> compliance at the level of the jurisdiction and</w:t>
      </w:r>
      <w:r w:rsidR="00306D9E" w:rsidRPr="009F63DF">
        <w:t xml:space="preserve"> </w:t>
      </w:r>
      <w:r w:rsidR="00C358DA" w:rsidRPr="009F63DF">
        <w:t xml:space="preserve">defining </w:t>
      </w:r>
      <w:r w:rsidR="0038022A" w:rsidRPr="009F63DF">
        <w:t>eligibility criteria</w:t>
      </w:r>
      <w:r w:rsidR="00D86AA0" w:rsidRPr="009F63DF">
        <w:t xml:space="preserve"> based on location within the jurisdiction</w:t>
      </w:r>
      <w:r w:rsidR="0038022A" w:rsidRPr="009F63DF">
        <w:t xml:space="preserve"> that enable each CP to demonstrate </w:t>
      </w:r>
      <w:r w:rsidR="00803C38" w:rsidRPr="009F63DF">
        <w:t>that the regulatory analysis is concluded positively</w:t>
      </w:r>
      <w:r w:rsidRPr="009F63DF">
        <w:t>.</w:t>
      </w:r>
    </w:p>
    <w:p w14:paraId="345CCFE9" w14:textId="432C8226" w:rsidR="001C2394" w:rsidRPr="009F63DF" w:rsidRDefault="001C2394" w:rsidP="00E03E61">
      <w:pPr>
        <w:pStyle w:val="SDMPara"/>
      </w:pPr>
      <w:r w:rsidRPr="009F63DF">
        <w:t>Additionality shall be reassessed at the renewal of the crediting period.</w:t>
      </w:r>
    </w:p>
    <w:p w14:paraId="67A0E2CD" w14:textId="1EEA0EFB" w:rsidR="001C2394" w:rsidRPr="009F63DF" w:rsidRDefault="001C2394" w:rsidP="00C115BE">
      <w:pPr>
        <w:pStyle w:val="SDMHead2"/>
      </w:pPr>
      <w:bookmarkStart w:id="225" w:name="_Toc219446925"/>
      <w:bookmarkStart w:id="226" w:name="_Toc219711060"/>
      <w:bookmarkStart w:id="227" w:name="_Toc219711163"/>
      <w:bookmarkStart w:id="228" w:name="_Toc219711340"/>
      <w:bookmarkStart w:id="229" w:name="_Ref226495656"/>
      <w:bookmarkStart w:id="230" w:name="_Toc226502270"/>
      <w:bookmarkStart w:id="231" w:name="_Toc226576223"/>
      <w:bookmarkStart w:id="232" w:name="_Toc226983073"/>
      <w:bookmarkStart w:id="233" w:name="_Toc227677271"/>
      <w:bookmarkStart w:id="234" w:name="_Toc227694793"/>
      <w:bookmarkStart w:id="235" w:name="_Toc227920907"/>
      <w:bookmarkStart w:id="236" w:name="_Toc227938808"/>
      <w:bookmarkStart w:id="237" w:name="_Toc227948059"/>
      <w:bookmarkStart w:id="238" w:name="_Toc233388616"/>
      <w:bookmarkStart w:id="239" w:name="_Toc233961423"/>
      <w:bookmarkStart w:id="240" w:name="_Toc233970232"/>
      <w:bookmarkStart w:id="241" w:name="_Toc240546562"/>
      <w:bookmarkStart w:id="242" w:name="_Toc240631963"/>
      <w:bookmarkStart w:id="243" w:name="_Toc242471148"/>
      <w:bookmarkStart w:id="244" w:name="_Toc219446924"/>
      <w:bookmarkStart w:id="245" w:name="_Toc219711059"/>
      <w:bookmarkStart w:id="246" w:name="_Toc219711162"/>
      <w:bookmarkStart w:id="247" w:name="_Toc219711339"/>
      <w:r w:rsidRPr="009F63DF">
        <w:t>Regulatory analysis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67AA336C" w14:textId="537B642A" w:rsidR="00B72633" w:rsidRPr="009F63DF" w:rsidRDefault="00B72633" w:rsidP="00655F47">
      <w:pPr>
        <w:pStyle w:val="SDMPara"/>
        <w:keepNext/>
      </w:pPr>
      <w:bookmarkStart w:id="248" w:name="_Ref224037289"/>
      <w:bookmarkStart w:id="249" w:name="_Ref223988582"/>
      <w:r w:rsidRPr="009F63DF">
        <w:t xml:space="preserve">Activity participants shall review relevant legal requirements applicable to the host Party and to </w:t>
      </w:r>
      <w:r w:rsidR="006D426E" w:rsidRPr="009F63DF">
        <w:t xml:space="preserve">the use of cooking devices </w:t>
      </w:r>
      <w:r w:rsidRPr="009F63DF">
        <w:t>and justify, for each relevant legal requirement, that either</w:t>
      </w:r>
      <w:bookmarkEnd w:id="248"/>
      <w:r w:rsidRPr="009F63DF">
        <w:t>:</w:t>
      </w:r>
    </w:p>
    <w:p w14:paraId="078393C0" w14:textId="61523029" w:rsidR="00B72633" w:rsidRPr="009F63DF" w:rsidRDefault="00B72633" w:rsidP="00E03E61">
      <w:pPr>
        <w:pStyle w:val="SDMSubPara1"/>
      </w:pPr>
      <w:r w:rsidRPr="009F63DF">
        <w:t xml:space="preserve">The law or regulation refers to or formally integrates the </w:t>
      </w:r>
      <w:r w:rsidR="000B4A5C" w:rsidRPr="009F63DF">
        <w:t xml:space="preserve">Article 6.4 </w:t>
      </w:r>
      <w:r w:rsidRPr="009F63DF">
        <w:t>mechanism as an instrument for implementation;</w:t>
      </w:r>
      <w:r w:rsidRPr="009F63DF">
        <w:rPr>
          <w:rStyle w:val="FootnoteReference"/>
        </w:rPr>
        <w:footnoteReference w:id="23"/>
      </w:r>
      <w:r w:rsidRPr="009F63DF">
        <w:t xml:space="preserve"> or</w:t>
      </w:r>
    </w:p>
    <w:p w14:paraId="5DC7D43C" w14:textId="144D69F6" w:rsidR="00B72633" w:rsidRPr="009F63DF" w:rsidRDefault="00B72633" w:rsidP="00655F47">
      <w:pPr>
        <w:pStyle w:val="SDMSubPara1"/>
        <w:keepNext/>
      </w:pPr>
      <w:r w:rsidRPr="009F63DF">
        <w:t>The emission reductions resulting from the Article 6.4 activity would not occur as a result of the legal requirement, by confirming that all of the following conditions are true:</w:t>
      </w:r>
      <w:bookmarkEnd w:id="249"/>
    </w:p>
    <w:p w14:paraId="0F07E712" w14:textId="583BC99D" w:rsidR="00B72633" w:rsidRPr="009F63DF" w:rsidRDefault="00FD06D9" w:rsidP="00F44825">
      <w:pPr>
        <w:pStyle w:val="SDMSubPara2"/>
      </w:pPr>
      <w:r w:rsidRPr="009F63DF">
        <w:t xml:space="preserve">The legal requirements do not </w:t>
      </w:r>
      <w:r w:rsidR="00F87953" w:rsidRPr="009F63DF">
        <w:t>directly or indirectly</w:t>
      </w:r>
      <w:r w:rsidRPr="009F63DF">
        <w:t xml:space="preserve"> require the installation of efficient cookstoves in the geographic</w:t>
      </w:r>
      <w:r w:rsidR="002C427B" w:rsidRPr="009F63DF">
        <w:rPr>
          <w:lang w:eastAsia="ja-JP"/>
        </w:rPr>
        <w:t>al</w:t>
      </w:r>
      <w:r w:rsidRPr="009F63DF">
        <w:t xml:space="preserve"> boundary of the Article 6.4 activity where the project cookstoves are distributed;</w:t>
      </w:r>
      <w:r w:rsidR="005C4779" w:rsidRPr="009F63DF">
        <w:t xml:space="preserve"> and</w:t>
      </w:r>
    </w:p>
    <w:p w14:paraId="63F2D621" w14:textId="2F83E776" w:rsidR="00C77764" w:rsidRPr="009F63DF" w:rsidRDefault="00C77764" w:rsidP="00F44825">
      <w:pPr>
        <w:pStyle w:val="SDMSubPara2"/>
      </w:pPr>
      <w:bookmarkStart w:id="250" w:name="_Ref232966387"/>
      <w:r w:rsidRPr="009F63DF">
        <w:t>Public sector finance is not providing a subsidy for the adoption of efficient cookstoves or cooking fuels or energy sources cleaner (i.e.</w:t>
      </w:r>
      <w:r w:rsidR="007A68D2" w:rsidRPr="009F63DF">
        <w:t>,</w:t>
      </w:r>
      <w:r w:rsidRPr="009F63DF">
        <w:t xml:space="preserve"> less GHG intensive or lower in pollutant intensity including CO and PM2.5) than fuelwood or artisanal charcoal in the geographic boundary of the Article 6.4 activity where activity cookstoves are distributed.</w:t>
      </w:r>
      <w:bookmarkEnd w:id="250"/>
      <w:r w:rsidR="005E0B91" w:rsidRPr="009F63DF">
        <w:t xml:space="preserve"> If public sector finance exists</w:t>
      </w:r>
      <w:r w:rsidR="00052382" w:rsidRPr="009F63DF">
        <w:t>, then the activity participant shall apply</w:t>
      </w:r>
      <w:r w:rsidR="00E22EE5" w:rsidRPr="009F63DF">
        <w:t xml:space="preserve"> an investment analysis as described in</w:t>
      </w:r>
      <w:r w:rsidR="00AB6062" w:rsidRPr="009F63DF">
        <w:t xml:space="preserve"> paragraphs </w:t>
      </w:r>
      <w:r w:rsidR="00281C92" w:rsidRPr="009F63DF">
        <w:fldChar w:fldCharType="begin"/>
      </w:r>
      <w:r w:rsidR="00281C92" w:rsidRPr="009F63DF">
        <w:instrText xml:space="preserve"> REF _Ref233188394 \r \h </w:instrText>
      </w:r>
      <w:r w:rsidR="00281C92" w:rsidRPr="009F63DF">
        <w:fldChar w:fldCharType="separate"/>
      </w:r>
      <w:r w:rsidR="00831DAE">
        <w:rPr>
          <w:cs/>
        </w:rPr>
        <w:t>‎</w:t>
      </w:r>
      <w:r w:rsidR="00831DAE">
        <w:t>34</w:t>
      </w:r>
      <w:r w:rsidR="00281C92" w:rsidRPr="009F63DF">
        <w:fldChar w:fldCharType="end"/>
      </w:r>
      <w:r w:rsidR="00281C92" w:rsidRPr="009F63DF">
        <w:t xml:space="preserve"> and </w:t>
      </w:r>
      <w:r w:rsidR="00281C92" w:rsidRPr="009F63DF">
        <w:fldChar w:fldCharType="begin"/>
      </w:r>
      <w:r w:rsidR="00281C92" w:rsidRPr="009F63DF">
        <w:instrText xml:space="preserve"> REF _Ref233188403 \r \h </w:instrText>
      </w:r>
      <w:r w:rsidR="00281C92" w:rsidRPr="009F63DF">
        <w:fldChar w:fldCharType="separate"/>
      </w:r>
      <w:r w:rsidR="00831DAE">
        <w:rPr>
          <w:cs/>
        </w:rPr>
        <w:t>‎</w:t>
      </w:r>
      <w:r w:rsidR="00831DAE">
        <w:t>35</w:t>
      </w:r>
      <w:r w:rsidR="00281C92" w:rsidRPr="009F63DF">
        <w:fldChar w:fldCharType="end"/>
      </w:r>
      <w:r w:rsidR="00AB6062" w:rsidRPr="009F63DF">
        <w:t>.</w:t>
      </w:r>
    </w:p>
    <w:p w14:paraId="1E34278B" w14:textId="361D8CA7" w:rsidR="00EF7CA7" w:rsidRPr="009F63DF" w:rsidRDefault="00EF7CA7" w:rsidP="00E03E61">
      <w:pPr>
        <w:pStyle w:val="SDMPara"/>
      </w:pPr>
      <w:r w:rsidRPr="009F63DF">
        <w:t>The analysis shall be based on credible and current evidence and be justified.</w:t>
      </w:r>
    </w:p>
    <w:p w14:paraId="5A98790F" w14:textId="117A6991" w:rsidR="001C2394" w:rsidRPr="009F63DF" w:rsidRDefault="005C4779" w:rsidP="00E03E61">
      <w:pPr>
        <w:pStyle w:val="SDMPara"/>
      </w:pPr>
      <w:r w:rsidRPr="009F63DF">
        <w:t xml:space="preserve">Activity participants </w:t>
      </w:r>
      <w:r w:rsidR="001C2394" w:rsidRPr="009F63DF">
        <w:t xml:space="preserve">shall </w:t>
      </w:r>
      <w:r w:rsidR="00F012F8" w:rsidRPr="009F63DF">
        <w:t>further update</w:t>
      </w:r>
      <w:r w:rsidR="001C2394" w:rsidRPr="009F63DF">
        <w:t xml:space="preserve"> the regulatory analysis</w:t>
      </w:r>
      <w:r w:rsidR="006D2932" w:rsidRPr="009F63DF">
        <w:t xml:space="preserve"> </w:t>
      </w:r>
      <w:r w:rsidR="00A6255A" w:rsidRPr="009F63DF">
        <w:t>for each monitoring period</w:t>
      </w:r>
      <w:r w:rsidR="001C2394" w:rsidRPr="009F63DF">
        <w:t>.</w:t>
      </w:r>
    </w:p>
    <w:p w14:paraId="4836324C" w14:textId="1E6BDC15" w:rsidR="00994C14" w:rsidRPr="009F63DF" w:rsidRDefault="001C2394" w:rsidP="00E03E61">
      <w:pPr>
        <w:pStyle w:val="SDMPara"/>
      </w:pPr>
      <w:r w:rsidRPr="009F63DF">
        <w:t xml:space="preserve">If </w:t>
      </w:r>
      <w:r w:rsidR="00994C14" w:rsidRPr="009F63DF">
        <w:t>a relevant legal requirement</w:t>
      </w:r>
      <w:r w:rsidRPr="009F63DF">
        <w:t xml:space="preserve"> comes into effect during the crediting period, the </w:t>
      </w:r>
      <w:r w:rsidR="00EA0474" w:rsidRPr="009F63DF">
        <w:t xml:space="preserve">Article 6.4 activity </w:t>
      </w:r>
      <w:r w:rsidRPr="009F63DF">
        <w:t xml:space="preserve">may only continue </w:t>
      </w:r>
      <w:r w:rsidR="004A6D08" w:rsidRPr="009F63DF">
        <w:t>generating A6.4ERs</w:t>
      </w:r>
      <w:r w:rsidRPr="009F63DF">
        <w:t xml:space="preserve"> </w:t>
      </w:r>
      <w:r w:rsidR="00543885" w:rsidRPr="009F63DF">
        <w:t xml:space="preserve">for emission reductions </w:t>
      </w:r>
      <w:r w:rsidR="00AE60EE" w:rsidRPr="009F63DF">
        <w:t xml:space="preserve">occurring </w:t>
      </w:r>
      <w:r w:rsidRPr="009F63DF">
        <w:t xml:space="preserve">up to the date </w:t>
      </w:r>
      <w:r w:rsidR="0065116E" w:rsidRPr="009F63DF">
        <w:t>on which a new relevant legal requirement becomes applicable</w:t>
      </w:r>
      <w:r w:rsidR="00994C14" w:rsidRPr="009F63DF">
        <w:t>.</w:t>
      </w:r>
    </w:p>
    <w:p w14:paraId="0C12769C" w14:textId="23E1615F" w:rsidR="00FE5BE6" w:rsidRPr="009F63DF" w:rsidRDefault="00994C14" w:rsidP="00655F47">
      <w:pPr>
        <w:pStyle w:val="SDMPara"/>
        <w:keepNext/>
      </w:pPr>
      <w:bookmarkStart w:id="251" w:name="_Ref233188394"/>
      <w:r w:rsidRPr="009F63DF">
        <w:t xml:space="preserve">If relevant </w:t>
      </w:r>
      <w:r w:rsidR="00A07F68" w:rsidRPr="009F63DF">
        <w:t>public sector finance</w:t>
      </w:r>
      <w:r w:rsidRPr="009F63DF">
        <w:t xml:space="preserve"> comes into effect during the crediting period, the Article 6.4 activity may only continue </w:t>
      </w:r>
      <w:r w:rsidR="00882F19" w:rsidRPr="009F63DF">
        <w:t xml:space="preserve">generating A6.4ERs for emission reductions occurring </w:t>
      </w:r>
      <w:r w:rsidRPr="009F63DF">
        <w:t>up to the date that it becomes effective</w:t>
      </w:r>
      <w:r w:rsidR="00FE0EF4" w:rsidRPr="009F63DF">
        <w:t>, unless</w:t>
      </w:r>
      <w:r w:rsidR="00FE5BE6" w:rsidRPr="009F63DF">
        <w:t xml:space="preserve"> </w:t>
      </w:r>
      <w:r w:rsidR="00052382" w:rsidRPr="009F63DF">
        <w:t>activity participants</w:t>
      </w:r>
      <w:r w:rsidR="00FE5BE6" w:rsidRPr="009F63DF">
        <w:t xml:space="preserve"> apply an investment analysis in accordance with the </w:t>
      </w:r>
      <w:r w:rsidR="00EC4227" w:rsidRPr="009F63DF">
        <w:t xml:space="preserve">valid version of the </w:t>
      </w:r>
      <w:r w:rsidR="00DA3644" w:rsidRPr="009F63DF">
        <w:t>I</w:t>
      </w:r>
      <w:r w:rsidR="00231831" w:rsidRPr="009F63DF">
        <w:t xml:space="preserve">nvestment </w:t>
      </w:r>
      <w:r w:rsidR="00DA3644" w:rsidRPr="009F63DF">
        <w:t>A</w:t>
      </w:r>
      <w:r w:rsidR="00231831" w:rsidRPr="009F63DF">
        <w:t>nalysis tool</w:t>
      </w:r>
      <w:r w:rsidR="00950263" w:rsidRPr="009F63DF">
        <w:rPr>
          <w:rStyle w:val="FootnoteReference"/>
        </w:rPr>
        <w:t xml:space="preserve"> </w:t>
      </w:r>
      <w:r w:rsidR="00FE5BE6" w:rsidRPr="009F63DF">
        <w:t xml:space="preserve"> that demonstrates that:</w:t>
      </w:r>
      <w:bookmarkEnd w:id="251"/>
      <w:r w:rsidR="00B75887" w:rsidRPr="00B75887">
        <w:rPr>
          <w:rStyle w:val="FootnoteReference"/>
        </w:rPr>
        <w:t xml:space="preserve"> </w:t>
      </w:r>
      <w:r w:rsidR="00B75887" w:rsidRPr="009F63DF">
        <w:rPr>
          <w:rStyle w:val="FootnoteReference"/>
        </w:rPr>
        <w:footnoteReference w:id="24"/>
      </w:r>
    </w:p>
    <w:p w14:paraId="2C4ED4D5" w14:textId="77777777" w:rsidR="00615311" w:rsidRPr="009F63DF" w:rsidRDefault="00FE5BE6" w:rsidP="009311F1">
      <w:pPr>
        <w:pStyle w:val="SDMSubPara1"/>
      </w:pPr>
      <w:r w:rsidRPr="009F63DF">
        <w:t xml:space="preserve">The public support is insufficient to render the </w:t>
      </w:r>
      <w:r w:rsidR="00FC727D" w:rsidRPr="009F63DF">
        <w:t xml:space="preserve">activity </w:t>
      </w:r>
      <w:r w:rsidRPr="009F63DF">
        <w:t>financially viable; and</w:t>
      </w:r>
    </w:p>
    <w:p w14:paraId="78E7A048" w14:textId="3D562178" w:rsidR="00FE5BE6" w:rsidRPr="009F63DF" w:rsidRDefault="00FE5BE6" w:rsidP="009311F1">
      <w:pPr>
        <w:pStyle w:val="SDMSubPara1"/>
      </w:pPr>
      <w:r w:rsidRPr="009F63DF">
        <w:t xml:space="preserve">The </w:t>
      </w:r>
      <w:r w:rsidR="00E07590" w:rsidRPr="009F63DF">
        <w:t xml:space="preserve">activity </w:t>
      </w:r>
      <w:r w:rsidRPr="009F63DF">
        <w:t>would not be implemented in the absence of additional carbon finance.</w:t>
      </w:r>
    </w:p>
    <w:p w14:paraId="246ED586" w14:textId="2D80DC88" w:rsidR="00AF6A84" w:rsidRPr="009F63DF" w:rsidRDefault="00303A6E" w:rsidP="00E03E61">
      <w:pPr>
        <w:pStyle w:val="SDMPara"/>
      </w:pPr>
      <w:bookmarkStart w:id="252" w:name="_Ref233188403"/>
      <w:r w:rsidRPr="009F63DF">
        <w:t>P</w:t>
      </w:r>
      <w:r w:rsidR="00AF6A84" w:rsidRPr="009F63DF">
        <w:t xml:space="preserve">ublic sector finance </w:t>
      </w:r>
      <w:r w:rsidRPr="009F63DF">
        <w:t>may</w:t>
      </w:r>
      <w:r w:rsidR="00AF6A84" w:rsidRPr="009F63DF">
        <w:t xml:space="preserve"> includ</w:t>
      </w:r>
      <w:r w:rsidRPr="009F63DF">
        <w:t>e</w:t>
      </w:r>
      <w:r w:rsidR="00AF6A84" w:rsidRPr="009F63DF">
        <w:t xml:space="preserve"> fiscal incentives (e.g. tax or import duty exemptions) or blended finance for the installation or operation of cookstoves.</w:t>
      </w:r>
      <w:bookmarkEnd w:id="252"/>
    </w:p>
    <w:p w14:paraId="52FC9A1A" w14:textId="2998EB84" w:rsidR="00F37E01" w:rsidRPr="009F63DF" w:rsidRDefault="00F37E01" w:rsidP="00655F47">
      <w:pPr>
        <w:pStyle w:val="SDMPara"/>
        <w:keepNext/>
      </w:pPr>
      <w:r w:rsidRPr="009F63DF">
        <w:t xml:space="preserve">In applying the </w:t>
      </w:r>
      <w:r w:rsidR="00AC5976" w:rsidRPr="009F63DF">
        <w:t xml:space="preserve">Investment Analysis </w:t>
      </w:r>
      <w:r w:rsidRPr="009F63DF">
        <w:t>tool, activity participants shall:</w:t>
      </w:r>
    </w:p>
    <w:p w14:paraId="3FB0A90B" w14:textId="77777777" w:rsidR="00F37E01" w:rsidRPr="009F63DF" w:rsidRDefault="00F37E01" w:rsidP="00655F47">
      <w:pPr>
        <w:pStyle w:val="SDMSubPara1"/>
        <w:keepNext/>
      </w:pPr>
      <w:r w:rsidRPr="009F63DF">
        <w:t>Identify realistic and credible alternative scenarios to the proposed Article 6.4 activity, which shall include, but not be limited to, the following:</w:t>
      </w:r>
    </w:p>
    <w:p w14:paraId="7751DD6A" w14:textId="77777777" w:rsidR="00F37E01" w:rsidRPr="009F63DF" w:rsidRDefault="00F37E01" w:rsidP="00F44825">
      <w:pPr>
        <w:pStyle w:val="SDMSubPara2"/>
      </w:pPr>
      <w:r w:rsidRPr="009F63DF">
        <w:t>Continued use of existing baseline cooking practices;</w:t>
      </w:r>
    </w:p>
    <w:p w14:paraId="1AA82438" w14:textId="77777777" w:rsidR="00F37E01" w:rsidRPr="009F63DF" w:rsidRDefault="00F37E01" w:rsidP="00F44825">
      <w:pPr>
        <w:pStyle w:val="SDMSubPara2"/>
      </w:pPr>
      <w:r w:rsidRPr="009F63DF">
        <w:t>The Article 6.4 activity is implemented without being registered under the Article 6.4 mechanism.</w:t>
      </w:r>
    </w:p>
    <w:p w14:paraId="3F8243CC" w14:textId="77777777" w:rsidR="00F37E01" w:rsidRPr="009F63DF" w:rsidRDefault="00F37E01" w:rsidP="009311F1">
      <w:pPr>
        <w:pStyle w:val="SDMSubPara1"/>
      </w:pPr>
      <w:r w:rsidRPr="009F63DF">
        <w:t>Apply the simple cost analysis if the A6.4 activity does not generate any sources of revenue other than the sale of the A6.4ERs;</w:t>
      </w:r>
    </w:p>
    <w:p w14:paraId="036FBF95" w14:textId="77777777" w:rsidR="00F37E01" w:rsidRPr="009F63DF" w:rsidRDefault="00F37E01" w:rsidP="009311F1">
      <w:pPr>
        <w:pStyle w:val="SDMSubPara1"/>
      </w:pPr>
      <w:r w:rsidRPr="009F63DF">
        <w:t>Otherwise, apply the investment comparison analysis or, if the only alternative to the proposed Article 6.4 activity is the continuation of the current situation prior to the implementation of the Article 6.4 activity, use the benchmark analysis;</w:t>
      </w:r>
    </w:p>
    <w:p w14:paraId="71155BC4" w14:textId="77777777" w:rsidR="00F37E01" w:rsidRPr="009F63DF" w:rsidRDefault="00F37E01" w:rsidP="009311F1">
      <w:pPr>
        <w:pStyle w:val="SDMSubPara1"/>
      </w:pPr>
      <w:r w:rsidRPr="009F63DF">
        <w:t>Use the net present value (NPV) as financial indicator where the investment comparison analysis is applied and choose an appropriate indicator where the benchmark analysis is applied, such as internal rate of return (IRR) or NPV;</w:t>
      </w:r>
    </w:p>
    <w:p w14:paraId="5B6E6796" w14:textId="06510C45" w:rsidR="00F37E01" w:rsidRPr="009F63DF" w:rsidRDefault="00F37E01" w:rsidP="009311F1">
      <w:pPr>
        <w:pStyle w:val="SDMSubPara1"/>
      </w:pPr>
      <w:r w:rsidRPr="009F63DF">
        <w:t>Assume that the Article 6.4 activity could be implemented by either the activity participants or other entities, unless activity participants demonstrate that in the specific context of the proposed Article 6.4 activity</w:t>
      </w:r>
      <w:r w:rsidR="00B80629" w:rsidRPr="009F63DF">
        <w:t>,</w:t>
      </w:r>
      <w:r w:rsidRPr="009F63DF">
        <w:t xml:space="preserve"> it can only be implemented by the activity participants and not by any other entities;</w:t>
      </w:r>
    </w:p>
    <w:p w14:paraId="44D3B020" w14:textId="16E3ABB0" w:rsidR="00615311" w:rsidRPr="009F63DF" w:rsidRDefault="00F864D9" w:rsidP="009311F1">
      <w:pPr>
        <w:pStyle w:val="SDMSubPara1"/>
      </w:pPr>
      <w:r w:rsidRPr="009F63DF">
        <w:t>Incorporate</w:t>
      </w:r>
      <w:r w:rsidR="00F37E01" w:rsidRPr="009F63DF">
        <w:t xml:space="preserve"> </w:t>
      </w:r>
      <w:r w:rsidR="00714144" w:rsidRPr="009F63DF">
        <w:t xml:space="preserve">the public sector finance, including </w:t>
      </w:r>
      <w:r w:rsidR="00F37E01" w:rsidRPr="009F63DF">
        <w:t>fiscal incentives (e.g. tax or import duty exemptions) or blended finance for the installation or operation of cooking devices</w:t>
      </w:r>
      <w:r w:rsidR="0019165B" w:rsidRPr="009F63DF">
        <w:t>,</w:t>
      </w:r>
      <w:r w:rsidR="00F37E01" w:rsidRPr="009F63DF">
        <w:t xml:space="preserve"> in the calculation of the financial indicator</w:t>
      </w:r>
      <w:r w:rsidR="00B632C4" w:rsidRPr="009F63DF">
        <w:t>;</w:t>
      </w:r>
    </w:p>
    <w:p w14:paraId="77DFF29D" w14:textId="57251641" w:rsidR="00714144" w:rsidRPr="009F63DF" w:rsidRDefault="00714144" w:rsidP="009311F1">
      <w:pPr>
        <w:pStyle w:val="SDMSubPara1"/>
      </w:pPr>
      <w:r w:rsidRPr="009F63DF">
        <w:t>Accurately reflect the timing of project cookstove distribution under the Article 6.4 activity and the costs, revenues and potential to apply the public sector finance</w:t>
      </w:r>
      <w:r w:rsidR="0019165B" w:rsidRPr="009F63DF">
        <w:t xml:space="preserve"> to the project cookstove units.</w:t>
      </w:r>
    </w:p>
    <w:p w14:paraId="5B9C607A" w14:textId="77777777" w:rsidR="00F37E01" w:rsidRPr="009F63DF" w:rsidRDefault="00F37E01" w:rsidP="00E03E61">
      <w:pPr>
        <w:pStyle w:val="SDMPara"/>
      </w:pPr>
      <w:r w:rsidRPr="009F63DF">
        <w:t>In conducting the sensitivity analysis, apply a variation of at least +/- 10 per cent to the input values which constitute more than 20 per cent of the total costs or total revenues.</w:t>
      </w:r>
    </w:p>
    <w:p w14:paraId="5D22F55C" w14:textId="74F19336" w:rsidR="007833F6" w:rsidRPr="009F63DF" w:rsidRDefault="007833F6" w:rsidP="00B07AF7">
      <w:pPr>
        <w:pStyle w:val="SDMHead1"/>
      </w:pPr>
      <w:bookmarkStart w:id="253" w:name="_Toc233388617"/>
      <w:bookmarkStart w:id="254" w:name="_Toc233961424"/>
      <w:bookmarkStart w:id="255" w:name="_Toc233970233"/>
      <w:bookmarkStart w:id="256" w:name="_Toc240546563"/>
      <w:bookmarkStart w:id="257" w:name="_Toc240631964"/>
      <w:bookmarkStart w:id="258" w:name="_Toc242471149"/>
      <w:bookmarkEnd w:id="201"/>
      <w:bookmarkEnd w:id="202"/>
      <w:bookmarkEnd w:id="203"/>
      <w:bookmarkEnd w:id="204"/>
      <w:bookmarkEnd w:id="244"/>
      <w:bookmarkEnd w:id="245"/>
      <w:bookmarkEnd w:id="246"/>
      <w:bookmarkEnd w:id="247"/>
      <w:r w:rsidRPr="009F63DF">
        <w:t xml:space="preserve">Baseline </w:t>
      </w:r>
      <w:r w:rsidR="00AB6062" w:rsidRPr="009F63DF">
        <w:t>scenario</w:t>
      </w:r>
      <w:bookmarkEnd w:id="253"/>
      <w:bookmarkEnd w:id="254"/>
      <w:bookmarkEnd w:id="255"/>
      <w:bookmarkEnd w:id="256"/>
      <w:bookmarkEnd w:id="257"/>
      <w:bookmarkEnd w:id="258"/>
    </w:p>
    <w:p w14:paraId="53E29433" w14:textId="08A1005C" w:rsidR="00C87A4E" w:rsidRPr="009F63DF" w:rsidRDefault="00C87A4E" w:rsidP="00B07AF7">
      <w:pPr>
        <w:pStyle w:val="SDMHead2"/>
      </w:pPr>
      <w:bookmarkStart w:id="259" w:name="_Toc227677273"/>
      <w:bookmarkStart w:id="260" w:name="_Toc227694795"/>
      <w:bookmarkStart w:id="261" w:name="_Toc227920909"/>
      <w:bookmarkStart w:id="262" w:name="_Toc227938810"/>
      <w:bookmarkStart w:id="263" w:name="_Toc227948061"/>
      <w:bookmarkStart w:id="264" w:name="_Ref232176550"/>
      <w:bookmarkStart w:id="265" w:name="_Toc233388618"/>
      <w:bookmarkStart w:id="266" w:name="_Toc233961425"/>
      <w:bookmarkStart w:id="267" w:name="_Toc233970234"/>
      <w:bookmarkStart w:id="268" w:name="_Toc240546564"/>
      <w:bookmarkStart w:id="269" w:name="_Toc240631965"/>
      <w:bookmarkStart w:id="270" w:name="_Toc242471150"/>
      <w:r w:rsidRPr="009F63DF">
        <w:t>Description of the pre-activity scenario in the PDD</w:t>
      </w:r>
      <w:bookmarkEnd w:id="259"/>
      <w:bookmarkEnd w:id="260"/>
      <w:bookmarkEnd w:id="261"/>
      <w:bookmarkEnd w:id="262"/>
      <w:bookmarkEnd w:id="263"/>
      <w:bookmarkEnd w:id="264"/>
      <w:bookmarkEnd w:id="265"/>
      <w:bookmarkEnd w:id="266"/>
      <w:bookmarkEnd w:id="267"/>
      <w:bookmarkEnd w:id="268"/>
      <w:bookmarkEnd w:id="269"/>
      <w:bookmarkEnd w:id="270"/>
    </w:p>
    <w:p w14:paraId="5027117C" w14:textId="21952020" w:rsidR="00764F2A" w:rsidRPr="009F63DF" w:rsidRDefault="001C2394" w:rsidP="00E03E61">
      <w:pPr>
        <w:pStyle w:val="SDMPara"/>
      </w:pPr>
      <w:r w:rsidRPr="009F63DF">
        <w:t>The pre-</w:t>
      </w:r>
      <w:r w:rsidR="00B63A2F" w:rsidRPr="009F63DF">
        <w:t xml:space="preserve">activity </w:t>
      </w:r>
      <w:r w:rsidR="00990B80" w:rsidRPr="009F63DF">
        <w:t xml:space="preserve">scenario </w:t>
      </w:r>
      <w:r w:rsidRPr="009F63DF">
        <w:t>corresponds to the circumstances immediately prior to the implementation of the Article 6.4 activity.</w:t>
      </w:r>
    </w:p>
    <w:p w14:paraId="30AEC415" w14:textId="54272FFA" w:rsidR="00997CCF" w:rsidRPr="009F63DF" w:rsidDel="00803803" w:rsidRDefault="00997CCF" w:rsidP="00E03E61">
      <w:pPr>
        <w:pStyle w:val="SDMPara"/>
      </w:pPr>
      <w:r w:rsidRPr="009F63DF">
        <w:t>The pre-activity</w:t>
      </w:r>
      <w:r w:rsidRPr="009F63DF" w:rsidDel="00034CA8">
        <w:t xml:space="preserve"> </w:t>
      </w:r>
      <w:r w:rsidRPr="009F63DF">
        <w:t>scenario</w:t>
      </w:r>
      <w:r w:rsidRPr="009F63DF" w:rsidDel="00443F45">
        <w:t xml:space="preserve"> </w:t>
      </w:r>
      <w:r w:rsidRPr="009F63DF">
        <w:t xml:space="preserve">shall be identified and described through the application of a pre-activity survey to the target population that complies with the </w:t>
      </w:r>
      <w:r w:rsidR="00FE1763" w:rsidRPr="00FE1763">
        <w:t>Methodological tool: Sampling and surveys</w:t>
      </w:r>
      <w:r w:rsidR="00FE1763">
        <w:t xml:space="preserve"> (</w:t>
      </w:r>
      <w:r w:rsidR="00FE1763" w:rsidRPr="00FE1763">
        <w:t>A6.4-AMT-010</w:t>
      </w:r>
      <w:r w:rsidR="00FE1763">
        <w:t>)</w:t>
      </w:r>
      <w:r w:rsidR="00FE1763" w:rsidRPr="00FE1763">
        <w:t xml:space="preserve"> </w:t>
      </w:r>
      <w:r w:rsidRPr="009F63DF">
        <w:t xml:space="preserve">and the modes of data collection set out in the parameter tables of this mechanism methodology, complemented by </w:t>
      </w:r>
      <w:r w:rsidR="00A44C7D" w:rsidRPr="009F63DF">
        <w:t xml:space="preserve">the requirements set out in </w:t>
      </w:r>
      <w:r w:rsidRPr="009F63DF">
        <w:fldChar w:fldCharType="begin"/>
      </w:r>
      <w:r w:rsidRPr="009F63DF">
        <w:instrText xml:space="preserve"> REF _Ref226983827 \r \h </w:instrText>
      </w:r>
      <w:r w:rsidRPr="009F63DF">
        <w:fldChar w:fldCharType="separate"/>
      </w:r>
      <w:r w:rsidR="00831DAE">
        <w:rPr>
          <w:cs/>
        </w:rPr>
        <w:t>‎</w:t>
      </w:r>
      <w:r w:rsidR="00831DAE">
        <w:t>Appendix 2</w:t>
      </w:r>
      <w:r w:rsidRPr="009F63DF">
        <w:fldChar w:fldCharType="end"/>
      </w:r>
      <w:r w:rsidRPr="009F63DF">
        <w:t xml:space="preserve">, </w:t>
      </w:r>
      <w:r w:rsidRPr="009F63DF">
        <w:fldChar w:fldCharType="begin"/>
      </w:r>
      <w:r w:rsidRPr="009F63DF">
        <w:instrText xml:space="preserve"> REF _Ref227236808 \r \h </w:instrText>
      </w:r>
      <w:r w:rsidRPr="009F63DF">
        <w:fldChar w:fldCharType="separate"/>
      </w:r>
      <w:r w:rsidR="00831DAE">
        <w:rPr>
          <w:cs/>
        </w:rPr>
        <w:t>‎</w:t>
      </w:r>
      <w:r w:rsidR="00831DAE">
        <w:t>Appendix 3</w:t>
      </w:r>
      <w:r w:rsidRPr="009F63DF">
        <w:fldChar w:fldCharType="end"/>
      </w:r>
      <w:r w:rsidRPr="009F63DF">
        <w:t xml:space="preserve"> and </w:t>
      </w:r>
      <w:r w:rsidRPr="009F63DF">
        <w:fldChar w:fldCharType="begin"/>
      </w:r>
      <w:r w:rsidRPr="009F63DF">
        <w:instrText xml:space="preserve"> REF _Ref226983815 \r \h </w:instrText>
      </w:r>
      <w:r w:rsidRPr="009F63DF">
        <w:fldChar w:fldCharType="separate"/>
      </w:r>
      <w:r w:rsidR="00831DAE">
        <w:rPr>
          <w:cs/>
        </w:rPr>
        <w:t>‎</w:t>
      </w:r>
      <w:r w:rsidR="00831DAE">
        <w:t>Appendix 4</w:t>
      </w:r>
      <w:r w:rsidRPr="009F63DF">
        <w:fldChar w:fldCharType="end"/>
      </w:r>
      <w:r w:rsidRPr="009F63DF">
        <w:t xml:space="preserve">. The pre-activity survey </w:t>
      </w:r>
      <w:r w:rsidRPr="009F63DF" w:rsidDel="00803803">
        <w:t>shall be undertaken within the year prior to the start date of the first crediting period of the Article 6.4 activity</w:t>
      </w:r>
      <w:r w:rsidRPr="009F63DF">
        <w:t>.</w:t>
      </w:r>
    </w:p>
    <w:p w14:paraId="2A86FE02" w14:textId="394895FC" w:rsidR="00997CCF" w:rsidRPr="009F63DF" w:rsidRDefault="00997CCF" w:rsidP="00655F47">
      <w:pPr>
        <w:pStyle w:val="SDMPara"/>
        <w:keepNext/>
      </w:pPr>
      <w:bookmarkStart w:id="271" w:name="_Ref232179702"/>
      <w:r w:rsidRPr="009F63DF">
        <w:t>The following parameters shall be determined through the pre-activity survey:</w:t>
      </w:r>
      <w:bookmarkEnd w:id="271"/>
    </w:p>
    <w:p w14:paraId="2004FBE9" w14:textId="0D1879E7" w:rsidR="00997CCF" w:rsidRPr="009F63DF" w:rsidRDefault="00997CCF" w:rsidP="009311F1">
      <w:pPr>
        <w:pStyle w:val="SDMSubPara1"/>
      </w:pPr>
      <w:bookmarkStart w:id="272" w:name="_Ref232179704"/>
      <w:r w:rsidRPr="009F63DF">
        <w:t>The existing cooking technology-fuel type combinations in use and the frequency of their use (cooking events per day);</w:t>
      </w:r>
      <w:bookmarkEnd w:id="272"/>
      <w:r w:rsidRPr="009F63DF">
        <w:t xml:space="preserve"> and</w:t>
      </w:r>
    </w:p>
    <w:p w14:paraId="2C5BFDDA" w14:textId="40BFC363" w:rsidR="00997CCF" w:rsidRPr="009F63DF" w:rsidDel="00E54334" w:rsidRDefault="00997CCF" w:rsidP="009311F1">
      <w:pPr>
        <w:pStyle w:val="SDMSubPara1"/>
      </w:pPr>
      <w:r w:rsidRPr="009F63DF">
        <w:t>The household size (in</w:t>
      </w:r>
      <w:r w:rsidRPr="009F63DF">
        <w:rPr>
          <w:lang w:eastAsia="ja-JP"/>
        </w:rPr>
        <w:t xml:space="preserve"> number of </w:t>
      </w:r>
      <w:r w:rsidRPr="009F63DF">
        <w:t>persons per household).</w:t>
      </w:r>
    </w:p>
    <w:p w14:paraId="4B75715D" w14:textId="0F04203E" w:rsidR="004D46D7" w:rsidRPr="009F63DF" w:rsidRDefault="004D46D7" w:rsidP="00E03E61">
      <w:pPr>
        <w:pStyle w:val="SDMPara"/>
      </w:pPr>
      <w:r w:rsidRPr="009F63DF">
        <w:t>The pre-activity survey may also be used to assess the applicability condition of demonstrating that the activity has selected technologies and fuels that meet the cooking needs of the target population</w:t>
      </w:r>
      <w:r w:rsidR="002C36A7" w:rsidRPr="009F63DF">
        <w:t>.</w:t>
      </w:r>
      <w:r w:rsidRPr="009F63DF">
        <w:rPr>
          <w:rStyle w:val="FootnoteReference"/>
        </w:rPr>
        <w:footnoteReference w:id="25"/>
      </w:r>
    </w:p>
    <w:p w14:paraId="3DFAF39A" w14:textId="78F72EF4" w:rsidR="00C26C65" w:rsidRPr="009F63DF" w:rsidRDefault="00C26C65" w:rsidP="00E03E61">
      <w:pPr>
        <w:pStyle w:val="SDMPara"/>
      </w:pPr>
      <w:r w:rsidRPr="009F63DF">
        <w:t xml:space="preserve">The </w:t>
      </w:r>
      <w:r w:rsidR="00537644" w:rsidRPr="009F63DF">
        <w:t>proportion of each cooking technology</w:t>
      </w:r>
      <w:r w:rsidR="00014E42" w:rsidRPr="009F63DF">
        <w:t>-</w:t>
      </w:r>
      <w:r w:rsidR="00537644" w:rsidRPr="009F63DF">
        <w:t>fuel type combination</w:t>
      </w:r>
      <w:r w:rsidR="00632C46" w:rsidRPr="009F63DF">
        <w:t xml:space="preserve"> in the target population</w:t>
      </w:r>
      <w:r w:rsidR="00AF51AE" w:rsidRPr="009F63DF">
        <w:t xml:space="preserve">, determined using the </w:t>
      </w:r>
      <w:r w:rsidRPr="009F63DF">
        <w:t>pre-activity survey</w:t>
      </w:r>
      <w:r w:rsidR="00AF51AE" w:rsidRPr="009F63DF">
        <w:t>,</w:t>
      </w:r>
      <w:r w:rsidRPr="009F63DF">
        <w:t xml:space="preserve"> </w:t>
      </w:r>
      <w:r w:rsidR="00A94DE8" w:rsidRPr="009F63DF">
        <w:t xml:space="preserve">shall </w:t>
      </w:r>
      <w:r w:rsidRPr="009F63DF">
        <w:t>comply with the 95/10 reliability requirement</w:t>
      </w:r>
      <w:r w:rsidR="00A94DE8" w:rsidRPr="009F63DF">
        <w:t>.</w:t>
      </w:r>
    </w:p>
    <w:p w14:paraId="725E7DC3" w14:textId="77777777" w:rsidR="00615311" w:rsidRPr="009F63DF" w:rsidRDefault="0046317A" w:rsidP="00E03E61">
      <w:pPr>
        <w:pStyle w:val="SDMPara"/>
      </w:pPr>
      <w:bookmarkStart w:id="273" w:name="_Ref232969207"/>
      <w:r w:rsidRPr="009F63DF">
        <w:t>The findings from the pre-activity survey</w:t>
      </w:r>
      <w:r w:rsidR="001C2394" w:rsidRPr="009F63DF">
        <w:t xml:space="preserve"> </w:t>
      </w:r>
      <w:r w:rsidRPr="009F63DF">
        <w:t xml:space="preserve">shall </w:t>
      </w:r>
      <w:r w:rsidR="001C2394" w:rsidRPr="009F63DF">
        <w:t>be cross-checked with recent, appropriate (geographically and demographically comparable) information from nationally- or regionally-representative surveys or reputable literature.</w:t>
      </w:r>
      <w:r w:rsidR="001C2394" w:rsidRPr="009F63DF">
        <w:rPr>
          <w:vertAlign w:val="superscript"/>
        </w:rPr>
        <w:footnoteReference w:id="26"/>
      </w:r>
      <w:bookmarkEnd w:id="273"/>
    </w:p>
    <w:p w14:paraId="09CDA596" w14:textId="07ACC616" w:rsidR="00A46461" w:rsidRPr="009F63DF" w:rsidRDefault="00A46461" w:rsidP="009311F1">
      <w:pPr>
        <w:pStyle w:val="SDMSubPara1"/>
      </w:pPr>
      <w:r w:rsidRPr="009F63DF">
        <w:t>F</w:t>
      </w:r>
      <w:r w:rsidR="00ED7ADD" w:rsidRPr="009F63DF">
        <w:t xml:space="preserve">or </w:t>
      </w:r>
      <w:r w:rsidR="003F365D" w:rsidRPr="009F63DF">
        <w:t>parameters listed in paragraph</w:t>
      </w:r>
      <w:r w:rsidR="00615311" w:rsidRPr="009F63DF">
        <w:t xml:space="preserve"> </w:t>
      </w:r>
      <w:r w:rsidRPr="009F63DF">
        <w:fldChar w:fldCharType="begin"/>
      </w:r>
      <w:r w:rsidRPr="009F63DF">
        <w:instrText xml:space="preserve"> REF _Ref232179702 \r \h </w:instrText>
      </w:r>
      <w:r w:rsidRPr="009F63DF">
        <w:fldChar w:fldCharType="separate"/>
      </w:r>
      <w:r w:rsidR="00831DAE">
        <w:rPr>
          <w:cs/>
        </w:rPr>
        <w:t>‎</w:t>
      </w:r>
      <w:r w:rsidR="00831DAE">
        <w:t>40</w:t>
      </w:r>
      <w:r w:rsidRPr="009F63DF">
        <w:fldChar w:fldCharType="end"/>
      </w:r>
      <w:r w:rsidR="003F365D" w:rsidRPr="009F63DF">
        <w:t xml:space="preserve">(a) </w:t>
      </w:r>
      <w:r w:rsidR="00751F35" w:rsidRPr="009F63DF">
        <w:t>and (b</w:t>
      </w:r>
      <w:r w:rsidR="003F365D" w:rsidRPr="009F63DF">
        <w:t xml:space="preserve">) for which a discrepancy of no more than 10 per cent is identified, the </w:t>
      </w:r>
      <w:r w:rsidR="00A3648C" w:rsidRPr="009F63DF">
        <w:t>findings</w:t>
      </w:r>
      <w:r w:rsidR="00135311" w:rsidRPr="009F63DF">
        <w:t xml:space="preserve"> </w:t>
      </w:r>
      <w:r w:rsidR="00A3648C" w:rsidRPr="009F63DF">
        <w:t>of the pre-activity survey shall be used</w:t>
      </w:r>
      <w:r w:rsidR="00C25281" w:rsidRPr="009F63DF">
        <w:t>;</w:t>
      </w:r>
    </w:p>
    <w:p w14:paraId="26D62D1B" w14:textId="1D0B7860" w:rsidR="00A4079B" w:rsidRPr="009F63DF" w:rsidRDefault="00A3648C" w:rsidP="0016344B">
      <w:pPr>
        <w:pStyle w:val="SDMSubPara1"/>
      </w:pPr>
      <w:r w:rsidRPr="009F63DF">
        <w:t xml:space="preserve">For parameters listed in paragraph </w:t>
      </w:r>
      <w:r w:rsidRPr="009F63DF">
        <w:rPr>
          <w:cs/>
        </w:rPr>
        <w:t>‎</w:t>
      </w:r>
      <w:r w:rsidR="00B643A1" w:rsidRPr="009F63DF">
        <w:fldChar w:fldCharType="begin"/>
      </w:r>
      <w:r w:rsidR="00B643A1" w:rsidRPr="009F63DF">
        <w:instrText xml:space="preserve"> REF _Ref232179702 \r \h </w:instrText>
      </w:r>
      <w:r w:rsidR="00B643A1" w:rsidRPr="009F63DF">
        <w:fldChar w:fldCharType="separate"/>
      </w:r>
      <w:r w:rsidR="00831DAE">
        <w:rPr>
          <w:cs/>
        </w:rPr>
        <w:t>‎</w:t>
      </w:r>
      <w:r w:rsidR="00831DAE">
        <w:t>40</w:t>
      </w:r>
      <w:r w:rsidR="00B643A1" w:rsidRPr="009F63DF">
        <w:fldChar w:fldCharType="end"/>
      </w:r>
      <w:r w:rsidR="00B643A1" w:rsidRPr="009F63DF">
        <w:t>(</w:t>
      </w:r>
      <w:r w:rsidR="00751F35" w:rsidRPr="009F63DF">
        <w:t>a) and (b</w:t>
      </w:r>
      <w:r w:rsidR="00B643A1" w:rsidRPr="009F63DF">
        <w:t>)</w:t>
      </w:r>
      <w:r w:rsidRPr="009F63DF">
        <w:t xml:space="preserve"> for which a discrepancy of </w:t>
      </w:r>
      <w:r w:rsidR="003561BF" w:rsidRPr="009F63DF">
        <w:t>more</w:t>
      </w:r>
      <w:r w:rsidRPr="009F63DF">
        <w:t xml:space="preserve"> than 10 per cent is identified,</w:t>
      </w:r>
      <w:r w:rsidR="00E7695C" w:rsidRPr="009F63DF">
        <w:t xml:space="preserve"> both values shall be </w:t>
      </w:r>
      <w:r w:rsidR="00235060" w:rsidRPr="009F63DF">
        <w:t>reported,</w:t>
      </w:r>
      <w:r w:rsidR="00EB1BC6" w:rsidRPr="009F63DF">
        <w:t xml:space="preserve"> and</w:t>
      </w:r>
      <w:r w:rsidRPr="009F63DF">
        <w:t xml:space="preserve"> </w:t>
      </w:r>
      <w:r w:rsidR="00414993" w:rsidRPr="009F63DF">
        <w:t>t</w:t>
      </w:r>
      <w:r w:rsidRPr="009F63DF">
        <w:t>he</w:t>
      </w:r>
      <w:r w:rsidR="003561BF" w:rsidRPr="009F63DF">
        <w:t xml:space="preserve"> following shall be applied:</w:t>
      </w:r>
    </w:p>
    <w:p w14:paraId="22CD37A3" w14:textId="69EEEAF0" w:rsidR="00D93814" w:rsidRPr="009F63DF" w:rsidRDefault="00CA2CCA" w:rsidP="00F44825">
      <w:pPr>
        <w:pStyle w:val="SDMSubPara2"/>
      </w:pPr>
      <w:r w:rsidRPr="009F63DF">
        <w:t>The value supported by the stronger evidence base</w:t>
      </w:r>
      <w:r w:rsidR="003A15DA" w:rsidRPr="009F63DF">
        <w:t xml:space="preserve"> and with</w:t>
      </w:r>
      <w:r w:rsidR="001F3435" w:rsidRPr="009F63DF">
        <w:t xml:space="preserve"> highest relevance</w:t>
      </w:r>
      <w:r w:rsidRPr="009F63DF">
        <w:t xml:space="preserve"> for the </w:t>
      </w:r>
      <w:r w:rsidR="001F169E" w:rsidRPr="009F63DF">
        <w:t xml:space="preserve">target population </w:t>
      </w:r>
      <w:r w:rsidR="001F3435" w:rsidRPr="009F63DF">
        <w:t>shall be selected</w:t>
      </w:r>
      <w:r w:rsidR="000433B4" w:rsidRPr="009F63DF">
        <w:t xml:space="preserve"> and justified</w:t>
      </w:r>
      <w:r w:rsidR="002C36A7" w:rsidRPr="009F63DF">
        <w:t>;</w:t>
      </w:r>
      <w:r w:rsidR="0036303E" w:rsidRPr="009F63DF">
        <w:rPr>
          <w:rStyle w:val="FootnoteReference"/>
        </w:rPr>
        <w:footnoteReference w:id="27"/>
      </w:r>
      <w:r w:rsidR="00D5094A" w:rsidRPr="009F63DF">
        <w:t xml:space="preserve"> or</w:t>
      </w:r>
    </w:p>
    <w:p w14:paraId="6B378290" w14:textId="3FB655C4" w:rsidR="006D2932" w:rsidRPr="009F63DF" w:rsidRDefault="00D93814" w:rsidP="00F44825">
      <w:pPr>
        <w:pStyle w:val="SDMSubPara2"/>
      </w:pPr>
      <w:r w:rsidRPr="009F63DF">
        <w:t xml:space="preserve">If </w:t>
      </w:r>
      <w:r w:rsidR="00B3524E" w:rsidRPr="009F63DF">
        <w:t xml:space="preserve">the value </w:t>
      </w:r>
      <w:r w:rsidR="00611C4A" w:rsidRPr="009F63DF">
        <w:t xml:space="preserve">supported by the stronger evidence base and with highest relevance for the </w:t>
      </w:r>
      <w:r w:rsidR="00E45C57" w:rsidRPr="009F63DF">
        <w:t>target population</w:t>
      </w:r>
      <w:r w:rsidR="00611C4A" w:rsidRPr="009F63DF">
        <w:t xml:space="preserve"> cann</w:t>
      </w:r>
      <w:r w:rsidR="00494B9B" w:rsidRPr="009F63DF">
        <w:t xml:space="preserve">ot </w:t>
      </w:r>
      <w:r w:rsidR="00C728E4" w:rsidRPr="009F63DF">
        <w:t xml:space="preserve">clearly be decided, the most conservative value </w:t>
      </w:r>
      <w:r w:rsidR="009870C0" w:rsidRPr="009F63DF">
        <w:t xml:space="preserve">between the pre-activity survey and the </w:t>
      </w:r>
      <w:r w:rsidR="0096289A" w:rsidRPr="009F63DF">
        <w:t>values use</w:t>
      </w:r>
      <w:r w:rsidR="001A047D" w:rsidRPr="009F63DF">
        <w:t>d</w:t>
      </w:r>
      <w:r w:rsidR="0096289A" w:rsidRPr="009F63DF">
        <w:t xml:space="preserve"> for cross-check shall apply.</w:t>
      </w:r>
    </w:p>
    <w:p w14:paraId="27BF0440" w14:textId="2D2A5633" w:rsidR="00E44806" w:rsidRPr="009F63DF" w:rsidRDefault="00E44806" w:rsidP="00E03E61">
      <w:pPr>
        <w:pStyle w:val="SDMPara"/>
      </w:pPr>
      <w:bookmarkStart w:id="274" w:name="_Ref233362052"/>
      <w:r w:rsidRPr="009F63DF">
        <w:t xml:space="preserve">The findings from the pre-activity survey also shall be compared </w:t>
      </w:r>
      <w:r w:rsidR="007A5134" w:rsidRPr="009F63DF">
        <w:t xml:space="preserve">to the </w:t>
      </w:r>
      <w:r w:rsidR="00294D65" w:rsidRPr="009F63DF">
        <w:t>data source</w:t>
      </w:r>
      <w:r w:rsidR="00FF3F41" w:rsidRPr="009F63DF">
        <w:t xml:space="preserve">s utilized for the assessment of the presence of cooking technologies equivalent to the project cookstoves (see section </w:t>
      </w:r>
      <w:r w:rsidR="00FF3F41" w:rsidRPr="009F63DF">
        <w:fldChar w:fldCharType="begin"/>
      </w:r>
      <w:r w:rsidR="00FF3F41" w:rsidRPr="009F63DF">
        <w:instrText xml:space="preserve"> REF _Ref227013743 \r \h </w:instrText>
      </w:r>
      <w:r w:rsidR="00FF3F41" w:rsidRPr="009F63DF">
        <w:fldChar w:fldCharType="separate"/>
      </w:r>
      <w:r w:rsidR="00831DAE">
        <w:rPr>
          <w:cs/>
        </w:rPr>
        <w:t>‎</w:t>
      </w:r>
      <w:r w:rsidR="00831DAE">
        <w:t>7.1.1</w:t>
      </w:r>
      <w:r w:rsidR="00FF3F41" w:rsidRPr="009F63DF">
        <w:fldChar w:fldCharType="end"/>
      </w:r>
      <w:r w:rsidR="00FF3F41" w:rsidRPr="009F63DF">
        <w:t>)</w:t>
      </w:r>
      <w:r w:rsidR="00615730" w:rsidRPr="009F63DF">
        <w:t xml:space="preserve"> </w:t>
      </w:r>
      <w:r w:rsidR="00677F79" w:rsidRPr="009F63DF">
        <w:t>when</w:t>
      </w:r>
      <w:r w:rsidR="00615730" w:rsidRPr="009F63DF">
        <w:t xml:space="preserve"> these are different than the pre-activity survey itself (see paragraph </w:t>
      </w:r>
      <w:r w:rsidR="00592E11" w:rsidRPr="009F63DF">
        <w:fldChar w:fldCharType="begin"/>
      </w:r>
      <w:r w:rsidR="00592E11" w:rsidRPr="009F63DF">
        <w:instrText xml:space="preserve"> REF _Ref233361740 \r \h </w:instrText>
      </w:r>
      <w:r w:rsidR="00592E11" w:rsidRPr="009F63DF">
        <w:fldChar w:fldCharType="separate"/>
      </w:r>
      <w:r w:rsidR="00831DAE">
        <w:rPr>
          <w:cs/>
        </w:rPr>
        <w:t>‎</w:t>
      </w:r>
      <w:r w:rsidR="00831DAE">
        <w:t>47</w:t>
      </w:r>
      <w:r w:rsidR="00592E11" w:rsidRPr="009F63DF">
        <w:fldChar w:fldCharType="end"/>
      </w:r>
      <w:r w:rsidR="00615730" w:rsidRPr="009F63DF">
        <w:t>).</w:t>
      </w:r>
      <w:bookmarkEnd w:id="274"/>
      <w:r w:rsidR="00C849DE" w:rsidRPr="009F63DF">
        <w:t xml:space="preserve"> </w:t>
      </w:r>
      <w:r w:rsidR="00202EEA" w:rsidRPr="009F63DF">
        <w:t>If the</w:t>
      </w:r>
      <w:r w:rsidR="00452D67" w:rsidRPr="009F63DF">
        <w:t xml:space="preserve"> pre-activity survey results in a lower</w:t>
      </w:r>
      <w:r w:rsidR="00202EEA" w:rsidRPr="009F63DF">
        <w:t xml:space="preserve"> </w:t>
      </w:r>
      <w:r w:rsidR="00C52E00" w:rsidRPr="009F63DF">
        <w:t>percent</w:t>
      </w:r>
      <w:r w:rsidR="00C52E00" w:rsidRPr="009F63DF">
        <w:rPr>
          <w:lang w:eastAsia="ja-JP"/>
        </w:rPr>
        <w:t>age</w:t>
      </w:r>
      <w:r w:rsidR="00C52E00" w:rsidRPr="009F63DF">
        <w:t xml:space="preserve"> of households with a functional cooking technology that </w:t>
      </w:r>
      <w:r w:rsidR="00122EDD" w:rsidRPr="009F63DF">
        <w:t>has</w:t>
      </w:r>
      <w:r w:rsidR="00C52E00" w:rsidRPr="009F63DF">
        <w:t xml:space="preserve"> the same or a higher efficiency as the project cookstoves</w:t>
      </w:r>
      <w:r w:rsidR="00452D67" w:rsidRPr="009F63DF">
        <w:t>, compared to</w:t>
      </w:r>
      <w:r w:rsidR="0089037D" w:rsidRPr="009F63DF">
        <w:t xml:space="preserve"> the percentage used for demonstrating compliance with the applicability condition, then the</w:t>
      </w:r>
      <w:r w:rsidR="00202EEA" w:rsidRPr="009F63DF">
        <w:t xml:space="preserve"> </w:t>
      </w:r>
      <w:r w:rsidR="0089037D" w:rsidRPr="009F63DF">
        <w:t xml:space="preserve">higher percentage </w:t>
      </w:r>
      <w:r w:rsidR="00202EEA" w:rsidRPr="009F63DF">
        <w:t xml:space="preserve">shall </w:t>
      </w:r>
      <w:r w:rsidR="00A52F02" w:rsidRPr="009F63DF">
        <w:t>be applied.</w:t>
      </w:r>
    </w:p>
    <w:p w14:paraId="34242CAF" w14:textId="3F9FE5FE" w:rsidR="00690AC7" w:rsidRPr="009F63DF" w:rsidRDefault="00690AC7" w:rsidP="00B07AF7">
      <w:pPr>
        <w:pStyle w:val="SDMHead3"/>
      </w:pPr>
      <w:bookmarkStart w:id="275" w:name="_Ref227013743"/>
      <w:bookmarkStart w:id="276" w:name="_Toc227677274"/>
      <w:bookmarkStart w:id="277" w:name="_Toc227694796"/>
      <w:bookmarkStart w:id="278" w:name="_Toc227920910"/>
      <w:bookmarkStart w:id="279" w:name="_Toc227938811"/>
      <w:bookmarkStart w:id="280" w:name="_Toc227948062"/>
      <w:bookmarkStart w:id="281" w:name="_Toc233388619"/>
      <w:bookmarkStart w:id="282" w:name="_Toc233961426"/>
      <w:bookmarkStart w:id="283" w:name="_Toc233970235"/>
      <w:bookmarkStart w:id="284" w:name="_Toc240546565"/>
      <w:bookmarkStart w:id="285" w:name="_Toc240631966"/>
      <w:bookmarkStart w:id="286" w:name="_Toc242471151"/>
      <w:r w:rsidRPr="009F63DF">
        <w:t>Assessment of the presence of cooking technologies</w:t>
      </w:r>
      <w:r w:rsidR="004C4E14" w:rsidRPr="009F63DF">
        <w:t xml:space="preserve"> equivalent to the project cookstoves</w:t>
      </w:r>
      <w:bookmarkEnd w:id="275"/>
      <w:bookmarkEnd w:id="276"/>
      <w:bookmarkEnd w:id="277"/>
      <w:bookmarkEnd w:id="278"/>
      <w:bookmarkEnd w:id="279"/>
      <w:bookmarkEnd w:id="280"/>
      <w:bookmarkEnd w:id="281"/>
      <w:bookmarkEnd w:id="282"/>
      <w:bookmarkEnd w:id="283"/>
      <w:bookmarkEnd w:id="284"/>
      <w:bookmarkEnd w:id="285"/>
      <w:bookmarkEnd w:id="286"/>
    </w:p>
    <w:p w14:paraId="59B93B93" w14:textId="4A60B5B6" w:rsidR="001C2394" w:rsidRPr="004727D5" w:rsidRDefault="001C2394" w:rsidP="00E03E61">
      <w:pPr>
        <w:pStyle w:val="SDMPara"/>
      </w:pPr>
      <w:bookmarkStart w:id="287" w:name="_Ref226993357"/>
      <w:r w:rsidRPr="009F63DF">
        <w:t xml:space="preserve">Activity </w:t>
      </w:r>
      <w:r w:rsidRPr="004727D5">
        <w:t xml:space="preserve">participants shall </w:t>
      </w:r>
      <w:r w:rsidR="00F94E2F" w:rsidRPr="004727D5">
        <w:t>evaluate</w:t>
      </w:r>
      <w:r w:rsidRPr="004727D5">
        <w:t xml:space="preserve"> the percent</w:t>
      </w:r>
      <w:r w:rsidR="00DD4DB1" w:rsidRPr="004727D5">
        <w:rPr>
          <w:lang w:eastAsia="ja-JP"/>
        </w:rPr>
        <w:t>age</w:t>
      </w:r>
      <w:r w:rsidRPr="004727D5">
        <w:t xml:space="preserve"> of households in the target population with a functional </w:t>
      </w:r>
      <w:r w:rsidR="004D1095" w:rsidRPr="004727D5">
        <w:t xml:space="preserve">cooking </w:t>
      </w:r>
      <w:r w:rsidRPr="004727D5">
        <w:t xml:space="preserve">technology that </w:t>
      </w:r>
      <w:r w:rsidR="009D6FFB" w:rsidRPr="004727D5">
        <w:t>is assessed to</w:t>
      </w:r>
      <w:r w:rsidR="004351BA" w:rsidRPr="004727D5">
        <w:t xml:space="preserve"> </w:t>
      </w:r>
      <w:r w:rsidR="009D6FFB" w:rsidRPr="004727D5">
        <w:t xml:space="preserve">have </w:t>
      </w:r>
      <w:r w:rsidR="00CF5B24" w:rsidRPr="004727D5">
        <w:t>the same or a</w:t>
      </w:r>
      <w:r w:rsidR="004351BA" w:rsidRPr="004727D5">
        <w:t xml:space="preserve"> higher efficiency </w:t>
      </w:r>
      <w:r w:rsidR="009D6FFB" w:rsidRPr="004727D5">
        <w:t>a</w:t>
      </w:r>
      <w:r w:rsidR="009B5C17" w:rsidRPr="004727D5">
        <w:t>s</w:t>
      </w:r>
      <w:r w:rsidRPr="004727D5">
        <w:t xml:space="preserve"> the project </w:t>
      </w:r>
      <w:r w:rsidR="00A91E1B" w:rsidRPr="004727D5">
        <w:t>cookstoves</w:t>
      </w:r>
      <w:r w:rsidR="00A90793" w:rsidRPr="004727D5">
        <w:t xml:space="preserve"> (i.e.</w:t>
      </w:r>
      <w:r w:rsidR="00744114" w:rsidRPr="004727D5">
        <w:t>,</w:t>
      </w:r>
      <w:r w:rsidR="00A90793" w:rsidRPr="004727D5">
        <w:t xml:space="preserve"> </w:t>
      </w:r>
      <w:r w:rsidR="00744114" w:rsidRPr="004727D5">
        <w:t>equivalent to the project cookstoves)</w:t>
      </w:r>
      <w:r w:rsidRPr="004727D5">
        <w:t xml:space="preserve">. </w:t>
      </w:r>
      <w:bookmarkEnd w:id="287"/>
      <w:r w:rsidR="007546C4" w:rsidRPr="004727D5">
        <w:t xml:space="preserve">As set out in </w:t>
      </w:r>
      <w:r w:rsidR="00FD0D99" w:rsidRPr="004727D5">
        <w:t xml:space="preserve">paragraph </w:t>
      </w:r>
      <w:r w:rsidR="005E5B77" w:rsidRPr="004727D5">
        <w:fldChar w:fldCharType="begin"/>
      </w:r>
      <w:r w:rsidR="005E5B77" w:rsidRPr="004727D5">
        <w:instrText xml:space="preserve"> REF _Ref227589417 \r \h </w:instrText>
      </w:r>
      <w:r w:rsidR="004727D5">
        <w:instrText xml:space="preserve"> \* MERGEFORMAT </w:instrText>
      </w:r>
      <w:r w:rsidR="005E5B77" w:rsidRPr="004727D5">
        <w:fldChar w:fldCharType="separate"/>
      </w:r>
      <w:r w:rsidR="00831DAE">
        <w:rPr>
          <w:cs/>
        </w:rPr>
        <w:t>‎</w:t>
      </w:r>
      <w:r w:rsidR="00831DAE">
        <w:t>13(j)</w:t>
      </w:r>
      <w:r w:rsidR="005E5B77" w:rsidRPr="004727D5">
        <w:fldChar w:fldCharType="end"/>
      </w:r>
      <w:r w:rsidR="007546C4" w:rsidRPr="004727D5">
        <w:t xml:space="preserve"> in section </w:t>
      </w:r>
      <w:r w:rsidR="000F20B3" w:rsidRPr="004727D5">
        <w:fldChar w:fldCharType="begin"/>
      </w:r>
      <w:r w:rsidR="000F20B3" w:rsidRPr="004727D5">
        <w:instrText xml:space="preserve"> REF _Ref227266397 \r \h </w:instrText>
      </w:r>
      <w:r w:rsidR="004727D5">
        <w:instrText xml:space="preserve"> \* MERGEFORMAT </w:instrText>
      </w:r>
      <w:r w:rsidR="000F20B3" w:rsidRPr="004727D5">
        <w:fldChar w:fldCharType="separate"/>
      </w:r>
      <w:r w:rsidR="00831DAE">
        <w:rPr>
          <w:cs/>
        </w:rPr>
        <w:t>‎</w:t>
      </w:r>
      <w:r w:rsidR="00831DAE">
        <w:t>4</w:t>
      </w:r>
      <w:r w:rsidR="000F20B3" w:rsidRPr="004727D5">
        <w:fldChar w:fldCharType="end"/>
      </w:r>
      <w:r w:rsidR="007546C4" w:rsidRPr="004727D5">
        <w:t xml:space="preserve">, </w:t>
      </w:r>
      <w:r w:rsidR="00FA21A4" w:rsidRPr="004727D5">
        <w:t>this mechanism methodology is not applicable</w:t>
      </w:r>
      <w:r w:rsidR="007546C4" w:rsidRPr="004727D5">
        <w:t xml:space="preserve"> i</w:t>
      </w:r>
      <w:r w:rsidRPr="004727D5">
        <w:t xml:space="preserve">f </w:t>
      </w:r>
      <w:r w:rsidR="00164723" w:rsidRPr="004727D5">
        <w:t xml:space="preserve">this proportion is </w:t>
      </w:r>
      <w:r w:rsidRPr="004727D5">
        <w:t xml:space="preserve">greater than </w:t>
      </w:r>
      <w:r w:rsidR="00E32452" w:rsidRPr="004727D5">
        <w:t>7.5</w:t>
      </w:r>
      <w:r w:rsidR="006A3736" w:rsidRPr="004727D5">
        <w:t xml:space="preserve"> </w:t>
      </w:r>
      <w:r w:rsidR="00E14AC2" w:rsidRPr="004727D5">
        <w:t>per cent</w:t>
      </w:r>
      <w:r w:rsidRPr="004727D5">
        <w:t>.</w:t>
      </w:r>
    </w:p>
    <w:p w14:paraId="322F51AB" w14:textId="459D1547" w:rsidR="001C2394" w:rsidRPr="004727D5" w:rsidRDefault="001C2394" w:rsidP="00655F47">
      <w:pPr>
        <w:pStyle w:val="SDMPara"/>
        <w:keepNext/>
      </w:pPr>
      <w:r w:rsidRPr="004727D5">
        <w:t xml:space="preserve">This assessment </w:t>
      </w:r>
      <w:r w:rsidR="00640B48" w:rsidRPr="004727D5">
        <w:t xml:space="preserve">in paragraph </w:t>
      </w:r>
      <w:r w:rsidR="00737EA9" w:rsidRPr="004727D5">
        <w:fldChar w:fldCharType="begin"/>
      </w:r>
      <w:r w:rsidR="00737EA9" w:rsidRPr="004727D5">
        <w:instrText xml:space="preserve"> REF _Ref226993357 \r \h </w:instrText>
      </w:r>
      <w:r w:rsidR="00144C79" w:rsidRPr="004727D5">
        <w:instrText xml:space="preserve"> \* MERGEFORMAT </w:instrText>
      </w:r>
      <w:r w:rsidR="00737EA9" w:rsidRPr="004727D5">
        <w:fldChar w:fldCharType="separate"/>
      </w:r>
      <w:r w:rsidR="00831DAE">
        <w:rPr>
          <w:cs/>
        </w:rPr>
        <w:t>‎</w:t>
      </w:r>
      <w:r w:rsidR="00831DAE">
        <w:t>45</w:t>
      </w:r>
      <w:r w:rsidR="00737EA9" w:rsidRPr="004727D5">
        <w:fldChar w:fldCharType="end"/>
      </w:r>
      <w:r w:rsidR="00640B48" w:rsidRPr="004727D5">
        <w:t xml:space="preserve"> above </w:t>
      </w:r>
      <w:r w:rsidRPr="004727D5">
        <w:t>shall:</w:t>
      </w:r>
    </w:p>
    <w:p w14:paraId="4C93406E" w14:textId="11BE4747" w:rsidR="00DD3929" w:rsidRPr="004727D5" w:rsidRDefault="00DD3929" w:rsidP="00DD3929">
      <w:pPr>
        <w:pStyle w:val="SDMSubPara1"/>
      </w:pPr>
      <w:bookmarkStart w:id="288" w:name="_Ref232969326"/>
      <w:r w:rsidRPr="004727D5">
        <w:t>Be based on recent (no more than three years old) and credible data sources;</w:t>
      </w:r>
    </w:p>
    <w:p w14:paraId="481BA3E3" w14:textId="5946B457" w:rsidR="00DD3929" w:rsidRPr="004727D5" w:rsidRDefault="00DD3929" w:rsidP="00DD3929">
      <w:pPr>
        <w:pStyle w:val="SDMSubPara1"/>
      </w:pPr>
      <w:r w:rsidRPr="004727D5">
        <w:t>Include a documentation of data sources, reference years, and all calculations; and</w:t>
      </w:r>
    </w:p>
    <w:p w14:paraId="5C5CC9BD" w14:textId="5247CF5E" w:rsidR="001C2394" w:rsidRPr="004727D5" w:rsidRDefault="001C2394">
      <w:pPr>
        <w:pStyle w:val="SDMSubPara1"/>
      </w:pPr>
      <w:r w:rsidRPr="004727D5">
        <w:t xml:space="preserve">Exclude technologies installed </w:t>
      </w:r>
      <w:r w:rsidR="006B13D5" w:rsidRPr="004727D5">
        <w:t>as part of</w:t>
      </w:r>
      <w:r w:rsidR="00DD686F" w:rsidRPr="004727D5">
        <w:t xml:space="preserve"> </w:t>
      </w:r>
      <w:r w:rsidR="007327FA" w:rsidRPr="004727D5">
        <w:t>a</w:t>
      </w:r>
      <w:r w:rsidR="006B13D5" w:rsidRPr="004727D5">
        <w:t>n</w:t>
      </w:r>
      <w:r w:rsidR="007E1253" w:rsidRPr="004727D5">
        <w:t xml:space="preserve"> </w:t>
      </w:r>
      <w:r w:rsidR="00361EEE" w:rsidRPr="004727D5">
        <w:t>a</w:t>
      </w:r>
      <w:r w:rsidR="00D2366B" w:rsidRPr="004727D5">
        <w:t xml:space="preserve">ctivity registered </w:t>
      </w:r>
      <w:r w:rsidR="007E3931" w:rsidRPr="004727D5">
        <w:t>under the Article 6.4 mechanism</w:t>
      </w:r>
      <w:r w:rsidR="003E3BC1" w:rsidRPr="004727D5">
        <w:t xml:space="preserve"> or</w:t>
      </w:r>
      <w:r w:rsidR="007E3931" w:rsidRPr="004727D5">
        <w:t xml:space="preserve"> </w:t>
      </w:r>
      <w:r w:rsidR="00D2366B" w:rsidRPr="004727D5">
        <w:t xml:space="preserve">another carbon crediting </w:t>
      </w:r>
      <w:r w:rsidR="00A145E6" w:rsidRPr="004727D5">
        <w:t>programme</w:t>
      </w:r>
      <w:bookmarkEnd w:id="288"/>
      <w:r w:rsidRPr="004727D5">
        <w:t>;</w:t>
      </w:r>
    </w:p>
    <w:p w14:paraId="200A68D1" w14:textId="4A63D33F" w:rsidR="0057280E" w:rsidRPr="004727D5" w:rsidRDefault="0057280E">
      <w:pPr>
        <w:pStyle w:val="SDMPara"/>
      </w:pPr>
      <w:r w:rsidRPr="004727D5">
        <w:t xml:space="preserve">This assessment in paragraph </w:t>
      </w:r>
      <w:r w:rsidRPr="004727D5">
        <w:rPr>
          <w:cs/>
        </w:rPr>
        <w:t>‎</w:t>
      </w:r>
      <w:r w:rsidRPr="004727D5">
        <w:t>45 above may also exclude cooking technologies that were acquired by end users with support from government, aid, or philanthropic programmes where such support reduced or eliminated the financial cost of acquiring the cooking technology</w:t>
      </w:r>
      <w:r w:rsidRPr="004727D5">
        <w:rPr>
          <w:rStyle w:val="FootnoteReference"/>
        </w:rPr>
        <w:footnoteReference w:id="28"/>
      </w:r>
      <w:r w:rsidRPr="004727D5">
        <w:t>, including through the direct provision of cooking technologies or through subsidies, grants, vouchers, or concessional consumer financing.</w:t>
      </w:r>
      <w:bookmarkStart w:id="289" w:name="_Ref233361740"/>
    </w:p>
    <w:p w14:paraId="16EDBF67" w14:textId="3E92C7DE" w:rsidR="001C2394" w:rsidRPr="009F63DF" w:rsidRDefault="001C2394">
      <w:pPr>
        <w:pStyle w:val="SDMPara"/>
      </w:pPr>
      <w:r w:rsidRPr="009F63DF">
        <w:t xml:space="preserve">Acceptable data sources may include national household energy surveys, census data, or other representative market studies. Where no such sources are available, </w:t>
      </w:r>
      <w:r w:rsidR="00910D20" w:rsidRPr="009F63DF">
        <w:t xml:space="preserve">the </w:t>
      </w:r>
      <w:r w:rsidRPr="009F63DF">
        <w:t>pre-activity survey may be used.</w:t>
      </w:r>
      <w:bookmarkEnd w:id="289"/>
    </w:p>
    <w:p w14:paraId="39D49D7F" w14:textId="296CCD7F" w:rsidR="001C2394" w:rsidRPr="009F63DF" w:rsidRDefault="001C2394" w:rsidP="00E03E61">
      <w:pPr>
        <w:pStyle w:val="SDMPara"/>
      </w:pPr>
      <w:r w:rsidRPr="009F63DF">
        <w:t>Where the available data</w:t>
      </w:r>
      <w:r w:rsidR="00403D84" w:rsidRPr="009F63DF">
        <w:t xml:space="preserve"> source</w:t>
      </w:r>
      <w:r w:rsidRPr="009F63DF">
        <w:t xml:space="preserve">s report only fuel type and not cookstove technology, and the fuel type alone does not clearly indicate whether the </w:t>
      </w:r>
      <w:r w:rsidR="006A3194" w:rsidRPr="009F63DF">
        <w:t xml:space="preserve">related </w:t>
      </w:r>
      <w:r w:rsidRPr="009F63DF">
        <w:t xml:space="preserve">cookstove </w:t>
      </w:r>
      <w:r w:rsidR="00213D56" w:rsidRPr="009F63DF">
        <w:t>is equivalent to the project cookstoves</w:t>
      </w:r>
      <w:r w:rsidRPr="009F63DF">
        <w:t xml:space="preserve">, the </w:t>
      </w:r>
      <w:r w:rsidR="003E30ED" w:rsidRPr="009F63DF">
        <w:t>activity participants</w:t>
      </w:r>
      <w:r w:rsidRPr="009F63DF">
        <w:t xml:space="preserve"> shall use credible supplementary data sources to determine the proportion of users of that fuel who own and regularly use </w:t>
      </w:r>
      <w:r w:rsidR="000A10DF" w:rsidRPr="009F63DF">
        <w:t>a</w:t>
      </w:r>
      <w:r w:rsidRPr="009F63DF">
        <w:t xml:space="preserve"> </w:t>
      </w:r>
      <w:r w:rsidR="0081611F" w:rsidRPr="009F63DF">
        <w:t>cookstove</w:t>
      </w:r>
      <w:r w:rsidR="000A10DF" w:rsidRPr="009F63DF">
        <w:t xml:space="preserve"> </w:t>
      </w:r>
      <w:r w:rsidRPr="009F63DF">
        <w:t xml:space="preserve">equivalent </w:t>
      </w:r>
      <w:r w:rsidR="000A10DF" w:rsidRPr="009F63DF">
        <w:t xml:space="preserve">to the project </w:t>
      </w:r>
      <w:r w:rsidR="0081611F" w:rsidRPr="009F63DF">
        <w:t>cookstove</w:t>
      </w:r>
      <w:r w:rsidRPr="009F63DF">
        <w:t>. Where no such supplementary data are available, the proportion may be obtained from the pre-</w:t>
      </w:r>
      <w:r w:rsidR="008750F8" w:rsidRPr="009F63DF">
        <w:t>activity</w:t>
      </w:r>
      <w:r w:rsidRPr="009F63DF">
        <w:t xml:space="preserve"> survey.</w:t>
      </w:r>
    </w:p>
    <w:p w14:paraId="4220151A" w14:textId="347BEBC1" w:rsidR="006D2932" w:rsidRPr="009F63DF" w:rsidRDefault="001C2394" w:rsidP="00E03E61">
      <w:pPr>
        <w:pStyle w:val="SDMPara"/>
      </w:pPr>
      <w:r w:rsidRPr="009F63DF">
        <w:t>Where functional status or thermal efficiency data are not available</w:t>
      </w:r>
      <w:r w:rsidR="00E66A46" w:rsidRPr="009F63DF">
        <w:t xml:space="preserve"> from the data sources</w:t>
      </w:r>
      <w:r w:rsidRPr="009F63DF">
        <w:t xml:space="preserve">, </w:t>
      </w:r>
      <w:r w:rsidR="006A1D45" w:rsidRPr="009F63DF">
        <w:t xml:space="preserve">activity participants </w:t>
      </w:r>
      <w:r w:rsidRPr="009F63DF">
        <w:t xml:space="preserve">shall apply conservative assumptions to </w:t>
      </w:r>
      <w:r w:rsidR="005C1D95" w:rsidRPr="009F63DF">
        <w:t xml:space="preserve">identify </w:t>
      </w:r>
      <w:r w:rsidRPr="009F63DF">
        <w:t xml:space="preserve">equivalent technologies, with justification provided. Where only the primary cooking fuel or </w:t>
      </w:r>
      <w:r w:rsidR="005B2D41" w:rsidRPr="009F63DF">
        <w:t xml:space="preserve">technology </w:t>
      </w:r>
      <w:r w:rsidRPr="009F63DF">
        <w:t>is reported, this shall be interpreted as representing the main technology in regular use.</w:t>
      </w:r>
    </w:p>
    <w:p w14:paraId="340B0A3C" w14:textId="1A336E6D" w:rsidR="001C2394" w:rsidRPr="009F63DF" w:rsidRDefault="001C2394" w:rsidP="00B07AF7">
      <w:pPr>
        <w:pStyle w:val="SDMHead2"/>
      </w:pPr>
      <w:bookmarkStart w:id="290" w:name="_Toc226502275"/>
      <w:bookmarkStart w:id="291" w:name="_Toc226576228"/>
      <w:bookmarkStart w:id="292" w:name="_Toc226983078"/>
      <w:bookmarkStart w:id="293" w:name="_Toc227677275"/>
      <w:bookmarkStart w:id="294" w:name="_Toc227694797"/>
      <w:bookmarkStart w:id="295" w:name="_Toc227920911"/>
      <w:bookmarkStart w:id="296" w:name="_Toc227938812"/>
      <w:bookmarkStart w:id="297" w:name="_Toc227948063"/>
      <w:bookmarkStart w:id="298" w:name="_Toc233388620"/>
      <w:bookmarkStart w:id="299" w:name="_Toc233961427"/>
      <w:bookmarkStart w:id="300" w:name="_Toc233970236"/>
      <w:bookmarkStart w:id="301" w:name="_Toc240546566"/>
      <w:bookmarkStart w:id="302" w:name="_Toc240631967"/>
      <w:bookmarkStart w:id="303" w:name="_Toc242471152"/>
      <w:r w:rsidRPr="009F63DF">
        <w:t>Selection of the baseline approaches from paragraph 36 of the rules, modalities and procedures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6A02162E" w14:textId="77777777" w:rsidR="00EC77A2" w:rsidRPr="009F63DF" w:rsidRDefault="00EC77A2" w:rsidP="00E03E61">
      <w:pPr>
        <w:pStyle w:val="SDMPara"/>
      </w:pPr>
      <w:r w:rsidRPr="009F63DF">
        <w:t>The following approach from the Rules, Modalities and Procedures (RMPs), as per decision 3/CMA.3, is used to determine the baseline in this mechanism methodology:</w:t>
      </w:r>
      <w:r w:rsidRPr="009F63DF">
        <w:rPr>
          <w:rStyle w:val="FootnoteReference"/>
          <w:rFonts w:eastAsiaTheme="minorEastAsia"/>
        </w:rPr>
        <w:footnoteReference w:id="29"/>
      </w:r>
    </w:p>
    <w:p w14:paraId="6D19BFFF" w14:textId="4CC3FA40" w:rsidR="00EC77A2" w:rsidRPr="009F63DF" w:rsidRDefault="00A51C01" w:rsidP="00B07AF7">
      <w:pPr>
        <w:suppressAutoHyphens/>
        <w:spacing w:before="240" w:line="240" w:lineRule="exact"/>
        <w:ind w:left="1418" w:hanging="709"/>
        <w:rPr>
          <w:rFonts w:asciiTheme="minorBidi" w:hAnsiTheme="minorBidi" w:cstheme="minorBidi"/>
          <w:szCs w:val="22"/>
        </w:rPr>
      </w:pPr>
      <w:r w:rsidRPr="009F63DF">
        <w:rPr>
          <w:rFonts w:asciiTheme="minorBidi" w:hAnsiTheme="minorBidi" w:cstheme="minorBidi"/>
        </w:rPr>
        <w:fldChar w:fldCharType="begin">
          <w:ffData>
            <w:name w:val=""/>
            <w:enabled/>
            <w:calcOnExit w:val="0"/>
            <w:checkBox>
              <w:size w:val="20"/>
              <w:default w:val="0"/>
            </w:checkBox>
          </w:ffData>
        </w:fldChar>
      </w:r>
      <w:r w:rsidRPr="009F63DF">
        <w:rPr>
          <w:rFonts w:asciiTheme="minorBidi" w:hAnsiTheme="minorBidi" w:cstheme="minorBidi"/>
        </w:rPr>
        <w:instrText xml:space="preserve"> FORMCHECKBOX </w:instrText>
      </w:r>
      <w:r w:rsidRPr="009F63DF">
        <w:rPr>
          <w:rFonts w:asciiTheme="minorBidi" w:hAnsiTheme="minorBidi" w:cstheme="minorBidi"/>
        </w:rPr>
      </w:r>
      <w:r w:rsidRPr="009F63DF">
        <w:rPr>
          <w:rFonts w:asciiTheme="minorBidi" w:hAnsiTheme="minorBidi" w:cstheme="minorBidi"/>
        </w:rPr>
        <w:fldChar w:fldCharType="separate"/>
      </w:r>
      <w:r w:rsidRPr="009F63DF">
        <w:rPr>
          <w:rFonts w:asciiTheme="minorBidi" w:hAnsiTheme="minorBidi" w:cstheme="minorBidi"/>
        </w:rPr>
        <w:fldChar w:fldCharType="end"/>
      </w:r>
      <w:r w:rsidR="00EC77A2" w:rsidRPr="009F63DF">
        <w:rPr>
          <w:rFonts w:asciiTheme="minorBidi" w:hAnsiTheme="minorBidi" w:cstheme="minorBidi"/>
          <w:szCs w:val="22"/>
        </w:rPr>
        <w:tab/>
      </w:r>
      <w:r w:rsidR="00EC77A2" w:rsidRPr="009F63DF">
        <w:rPr>
          <w:szCs w:val="22"/>
        </w:rPr>
        <w:t>Best available technologies that represent an economically feasible and environmentally sound course of action, where appropriate.</w:t>
      </w:r>
    </w:p>
    <w:p w14:paraId="0FE778F3" w14:textId="23EF3753" w:rsidR="00EC77A2" w:rsidRPr="009F63DF" w:rsidRDefault="00BF195E" w:rsidP="00B07AF7">
      <w:pPr>
        <w:suppressAutoHyphens/>
        <w:spacing w:before="240" w:line="240" w:lineRule="exact"/>
        <w:ind w:left="1418" w:hanging="709"/>
        <w:rPr>
          <w:rFonts w:asciiTheme="minorBidi" w:hAnsiTheme="minorBidi" w:cstheme="minorBidi"/>
          <w:szCs w:val="22"/>
        </w:rPr>
      </w:pPr>
      <w:r w:rsidRPr="009F63DF">
        <w:rPr>
          <w:rFonts w:asciiTheme="minorBidi" w:hAnsiTheme="minorBidi" w:cstheme="minorBidi"/>
        </w:rPr>
        <w:fldChar w:fldCharType="begin">
          <w:ffData>
            <w:name w:val=""/>
            <w:enabled/>
            <w:calcOnExit w:val="0"/>
            <w:checkBox>
              <w:size w:val="20"/>
              <w:default w:val="1"/>
            </w:checkBox>
          </w:ffData>
        </w:fldChar>
      </w:r>
      <w:r w:rsidRPr="009F63DF">
        <w:rPr>
          <w:rFonts w:asciiTheme="minorBidi" w:hAnsiTheme="minorBidi" w:cstheme="minorBidi"/>
        </w:rPr>
        <w:instrText xml:space="preserve"> FORMCHECKBOX </w:instrText>
      </w:r>
      <w:r w:rsidRPr="009F63DF">
        <w:rPr>
          <w:rFonts w:asciiTheme="minorBidi" w:hAnsiTheme="minorBidi" w:cstheme="minorBidi"/>
        </w:rPr>
      </w:r>
      <w:r w:rsidRPr="009F63DF">
        <w:rPr>
          <w:rFonts w:asciiTheme="minorBidi" w:hAnsiTheme="minorBidi" w:cstheme="minorBidi"/>
        </w:rPr>
        <w:fldChar w:fldCharType="separate"/>
      </w:r>
      <w:r w:rsidRPr="009F63DF">
        <w:rPr>
          <w:rFonts w:asciiTheme="minorBidi" w:hAnsiTheme="minorBidi" w:cstheme="minorBidi"/>
        </w:rPr>
        <w:fldChar w:fldCharType="end"/>
      </w:r>
      <w:r w:rsidR="00EC77A2" w:rsidRPr="009F63DF">
        <w:rPr>
          <w:rFonts w:asciiTheme="minorBidi" w:hAnsiTheme="minorBidi" w:cstheme="minorBidi"/>
          <w:szCs w:val="22"/>
        </w:rPr>
        <w:tab/>
      </w:r>
      <w:r w:rsidR="00EC77A2" w:rsidRPr="009F63DF">
        <w:rPr>
          <w:szCs w:val="22"/>
        </w:rPr>
        <w:t>An ambitious benchmark approach where the baseline is set at least at the average emission level of the best performing comparable activities providing similar outputs and services in a defined scope in similar social, economic, environmental and technological circumstances.</w:t>
      </w:r>
    </w:p>
    <w:p w14:paraId="3E17B78D" w14:textId="77777777" w:rsidR="00EC77A2" w:rsidRPr="009F63DF" w:rsidRDefault="00EC77A2" w:rsidP="00B07AF7">
      <w:pPr>
        <w:suppressAutoHyphens/>
        <w:spacing w:before="240" w:line="240" w:lineRule="exact"/>
        <w:ind w:left="1418" w:hanging="709"/>
        <w:rPr>
          <w:rFonts w:asciiTheme="minorBidi" w:hAnsiTheme="minorBidi" w:cstheme="minorBidi"/>
          <w:szCs w:val="22"/>
        </w:rPr>
      </w:pPr>
      <w:r w:rsidRPr="009F63DF">
        <w:rPr>
          <w:rFonts w:asciiTheme="minorBidi" w:hAnsiTheme="minorBidi" w:cstheme="minorBidi"/>
        </w:rPr>
        <w:fldChar w:fldCharType="begin">
          <w:ffData>
            <w:name w:val="Check2"/>
            <w:enabled/>
            <w:calcOnExit w:val="0"/>
            <w:checkBox>
              <w:size w:val="20"/>
              <w:default w:val="0"/>
            </w:checkBox>
          </w:ffData>
        </w:fldChar>
      </w:r>
      <w:r w:rsidRPr="009F63DF">
        <w:rPr>
          <w:rFonts w:asciiTheme="minorBidi" w:hAnsiTheme="minorBidi" w:cstheme="minorBidi"/>
          <w:szCs w:val="22"/>
        </w:rPr>
        <w:instrText xml:space="preserve"> FORMCHECKBOX </w:instrText>
      </w:r>
      <w:r w:rsidRPr="009F63DF">
        <w:rPr>
          <w:rFonts w:asciiTheme="minorBidi" w:hAnsiTheme="minorBidi" w:cstheme="minorBidi"/>
          <w:szCs w:val="22"/>
        </w:rPr>
      </w:r>
      <w:r w:rsidRPr="009F63DF">
        <w:rPr>
          <w:rFonts w:asciiTheme="minorBidi" w:hAnsiTheme="minorBidi" w:cstheme="minorBidi"/>
          <w:szCs w:val="22"/>
        </w:rPr>
        <w:fldChar w:fldCharType="separate"/>
      </w:r>
      <w:r w:rsidRPr="009F63DF">
        <w:rPr>
          <w:rFonts w:asciiTheme="minorBidi" w:hAnsiTheme="minorBidi" w:cstheme="minorBidi"/>
          <w:szCs w:val="22"/>
        </w:rPr>
        <w:fldChar w:fldCharType="end"/>
      </w:r>
      <w:r w:rsidRPr="009F63DF">
        <w:rPr>
          <w:rFonts w:asciiTheme="minorBidi" w:hAnsiTheme="minorBidi" w:cstheme="minorBidi"/>
          <w:szCs w:val="22"/>
        </w:rPr>
        <w:tab/>
      </w:r>
      <w:r w:rsidRPr="009F63DF">
        <w:rPr>
          <w:szCs w:val="22"/>
        </w:rPr>
        <w:t xml:space="preserve">An </w:t>
      </w:r>
      <w:bookmarkStart w:id="304" w:name="_Hlk198909430"/>
      <w:r w:rsidRPr="009F63DF">
        <w:rPr>
          <w:szCs w:val="22"/>
        </w:rPr>
        <w:t>approach based on existing actual or historical emissions, adjusted downwards to ensure alignment with paragraph 33 of the RMP</w:t>
      </w:r>
      <w:bookmarkEnd w:id="304"/>
      <w:r w:rsidRPr="009F63DF">
        <w:rPr>
          <w:szCs w:val="22"/>
        </w:rPr>
        <w:t>.</w:t>
      </w:r>
    </w:p>
    <w:p w14:paraId="35EA698A" w14:textId="77777777" w:rsidR="001C2394" w:rsidRPr="009F63DF" w:rsidRDefault="001C2394" w:rsidP="00B07AF7">
      <w:pPr>
        <w:pStyle w:val="SDMHead2"/>
      </w:pPr>
      <w:bookmarkStart w:id="305" w:name="_Toc227233805"/>
      <w:bookmarkStart w:id="306" w:name="_Toc226502276"/>
      <w:bookmarkStart w:id="307" w:name="_Toc226576229"/>
      <w:bookmarkStart w:id="308" w:name="_Toc226983079"/>
      <w:bookmarkStart w:id="309" w:name="_Toc227677276"/>
      <w:bookmarkStart w:id="310" w:name="_Toc227694798"/>
      <w:bookmarkStart w:id="311" w:name="_Toc227920912"/>
      <w:bookmarkStart w:id="312" w:name="_Toc227938813"/>
      <w:bookmarkStart w:id="313" w:name="_Toc227948064"/>
      <w:bookmarkStart w:id="314" w:name="_Ref233211040"/>
      <w:bookmarkStart w:id="315" w:name="_Ref233366440"/>
      <w:bookmarkStart w:id="316" w:name="_Toc233388621"/>
      <w:bookmarkStart w:id="317" w:name="_Toc233961428"/>
      <w:bookmarkStart w:id="318" w:name="_Toc233970237"/>
      <w:bookmarkStart w:id="319" w:name="_Toc240546567"/>
      <w:bookmarkStart w:id="320" w:name="_Toc240631968"/>
      <w:bookmarkStart w:id="321" w:name="_Toc242471153"/>
      <w:bookmarkEnd w:id="305"/>
      <w:r w:rsidRPr="009F63DF">
        <w:t>Application of the selected approach, prior to implementation of a downward adjustment</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7CDF9C42" w14:textId="76F716B1" w:rsidR="001C2394" w:rsidRPr="009F63DF" w:rsidRDefault="001C2394" w:rsidP="00B07AF7">
      <w:pPr>
        <w:pStyle w:val="SDMHead3"/>
      </w:pPr>
      <w:bookmarkStart w:id="322" w:name="_Toc226502277"/>
      <w:bookmarkStart w:id="323" w:name="_Toc226576230"/>
      <w:bookmarkStart w:id="324" w:name="_Toc226983080"/>
      <w:bookmarkStart w:id="325" w:name="_Toc227677277"/>
      <w:bookmarkStart w:id="326" w:name="_Toc227694799"/>
      <w:bookmarkStart w:id="327" w:name="_Toc227920913"/>
      <w:bookmarkStart w:id="328" w:name="_Toc227938814"/>
      <w:bookmarkStart w:id="329" w:name="_Toc227948065"/>
      <w:bookmarkStart w:id="330" w:name="_Toc233388622"/>
      <w:bookmarkStart w:id="331" w:name="_Toc233961429"/>
      <w:bookmarkStart w:id="332" w:name="_Toc233970238"/>
      <w:bookmarkStart w:id="333" w:name="_Toc240546568"/>
      <w:bookmarkStart w:id="334" w:name="_Toc240631969"/>
      <w:bookmarkStart w:id="335" w:name="_Toc242471154"/>
      <w:r w:rsidRPr="009F63DF">
        <w:t>Procedure for the identification of the baseline scenario</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19039AF4" w14:textId="7F4DE42A" w:rsidR="00A65EB1" w:rsidRPr="009F63DF" w:rsidRDefault="00C6150B" w:rsidP="00E03E61">
      <w:pPr>
        <w:pStyle w:val="SDMPara"/>
      </w:pPr>
      <w:r w:rsidRPr="009F63DF">
        <w:t xml:space="preserve">For the amount of </w:t>
      </w:r>
      <w:r w:rsidR="00720E1A" w:rsidRPr="009F63DF">
        <w:t xml:space="preserve">useful energy </w:t>
      </w:r>
      <w:r w:rsidRPr="009F63DF">
        <w:t>delivered for cooking</w:t>
      </w:r>
      <w:r w:rsidR="00472F03" w:rsidRPr="009F63DF">
        <w:t xml:space="preserve">, </w:t>
      </w:r>
      <w:r w:rsidR="00720E1A" w:rsidRPr="009F63DF">
        <w:t>standardized value</w:t>
      </w:r>
      <w:r w:rsidR="00A80998" w:rsidRPr="009F63DF">
        <w:t>s</w:t>
      </w:r>
      <w:r w:rsidR="00720E1A" w:rsidRPr="009F63DF">
        <w:t xml:space="preserve"> </w:t>
      </w:r>
      <w:r w:rsidR="000110C5" w:rsidRPr="009F63DF">
        <w:t xml:space="preserve">of </w:t>
      </w:r>
      <w:r w:rsidR="00EB5397" w:rsidRPr="009F63DF">
        <w:t>0.001095</w:t>
      </w:r>
      <w:r w:rsidR="006B13D5" w:rsidRPr="009F63DF">
        <w:t> </w:t>
      </w:r>
      <w:r w:rsidR="00B10AF8" w:rsidRPr="009F63DF">
        <w:t xml:space="preserve">TJ per person per year </w:t>
      </w:r>
      <w:r w:rsidR="00A80998" w:rsidRPr="009F63DF">
        <w:t>for charcoal as the primary fuel and</w:t>
      </w:r>
      <w:r w:rsidR="00EB5397" w:rsidRPr="009F63DF">
        <w:t xml:space="preserve"> </w:t>
      </w:r>
      <w:r w:rsidR="00A80998" w:rsidRPr="009F63DF">
        <w:t>0.</w:t>
      </w:r>
      <w:r w:rsidR="00CD257E" w:rsidRPr="009F63DF">
        <w:t>001277 </w:t>
      </w:r>
      <w:r w:rsidR="000110C5" w:rsidRPr="009F63DF">
        <w:t xml:space="preserve">TJ </w:t>
      </w:r>
      <w:r w:rsidR="00720E1A" w:rsidRPr="009F63DF">
        <w:t xml:space="preserve">per person </w:t>
      </w:r>
      <w:r w:rsidR="00C232AC" w:rsidRPr="009F63DF">
        <w:t>per</w:t>
      </w:r>
      <w:r w:rsidR="00720E1A" w:rsidRPr="009F63DF">
        <w:t xml:space="preserve"> year</w:t>
      </w:r>
      <w:r w:rsidR="00472F03" w:rsidRPr="009F63DF">
        <w:t xml:space="preserve"> </w:t>
      </w:r>
      <w:r w:rsidR="00A80998" w:rsidRPr="009F63DF">
        <w:t xml:space="preserve">for fuelwood as the primary fuel are </w:t>
      </w:r>
      <w:r w:rsidR="00472F03" w:rsidRPr="009F63DF">
        <w:t xml:space="preserve">assumed. </w:t>
      </w:r>
      <w:r w:rsidR="00A80998" w:rsidRPr="009F63DF">
        <w:t>These</w:t>
      </w:r>
      <w:r w:rsidR="00A65EB1" w:rsidRPr="009F63DF">
        <w:t xml:space="preserve"> value</w:t>
      </w:r>
      <w:r w:rsidR="007B5D37" w:rsidRPr="009F63DF">
        <w:t>s</w:t>
      </w:r>
      <w:r w:rsidR="00A65EB1" w:rsidRPr="009F63DF">
        <w:t xml:space="preserve"> reflect the</w:t>
      </w:r>
      <w:r w:rsidRPr="009F63DF" w:rsidDel="00A65EB1">
        <w:t xml:space="preserve"> </w:t>
      </w:r>
      <w:r w:rsidR="00A65EB1" w:rsidRPr="009F63DF">
        <w:t>level of energy service required for household cooking in rural settings</w:t>
      </w:r>
      <w:r w:rsidR="002C36A7" w:rsidRPr="009F63DF">
        <w:t>.</w:t>
      </w:r>
      <w:r w:rsidR="00882E78" w:rsidRPr="009F63DF">
        <w:rPr>
          <w:rStyle w:val="FootnoteReference"/>
        </w:rPr>
        <w:footnoteReference w:id="30"/>
      </w:r>
    </w:p>
    <w:p w14:paraId="173474D4" w14:textId="5055D57C" w:rsidR="00AB3D81" w:rsidRPr="009F63DF" w:rsidRDefault="004708CC" w:rsidP="00E03E61">
      <w:pPr>
        <w:pStyle w:val="SDMPara"/>
      </w:pPr>
      <w:bookmarkStart w:id="336" w:name="_Ref232966511"/>
      <w:r w:rsidRPr="009F63DF">
        <w:t>Activity</w:t>
      </w:r>
      <w:r w:rsidR="00F5007C" w:rsidRPr="009F63DF">
        <w:t xml:space="preserve"> participant</w:t>
      </w:r>
      <w:r w:rsidRPr="009F63DF">
        <w:t>s</w:t>
      </w:r>
      <w:r w:rsidR="00F5007C" w:rsidRPr="009F63DF">
        <w:t xml:space="preserve"> shall identify the </w:t>
      </w:r>
      <w:r w:rsidR="00196C62" w:rsidRPr="009F63DF">
        <w:t xml:space="preserve">baseline scenario </w:t>
      </w:r>
      <w:bookmarkEnd w:id="336"/>
      <w:r w:rsidR="00942FC5" w:rsidRPr="009F63DF">
        <w:t>using an</w:t>
      </w:r>
      <w:r w:rsidR="00AB3D81" w:rsidRPr="009F63DF">
        <w:t xml:space="preserve"> ambitious benchmark set at the activity level by applying the following steps.</w:t>
      </w:r>
    </w:p>
    <w:p w14:paraId="5272A4CF" w14:textId="77777777" w:rsidR="00AB3D81" w:rsidRPr="009F63DF" w:rsidRDefault="00AB3D81" w:rsidP="00E03E61">
      <w:pPr>
        <w:pStyle w:val="SDMPara"/>
      </w:pPr>
      <w:r w:rsidRPr="009F63DF">
        <w:rPr>
          <w:b/>
          <w:bCs/>
        </w:rPr>
        <w:t>Step 1. Identify the baseline geographical reference area.</w:t>
      </w:r>
      <w:r w:rsidRPr="009F63DF">
        <w:t xml:space="preserve"> The baseline geographical reference area shall be the same as that of the location of the target population.</w:t>
      </w:r>
    </w:p>
    <w:p w14:paraId="7C46062F" w14:textId="31EC57CA" w:rsidR="00615311" w:rsidRPr="009F63DF" w:rsidRDefault="00AB3D81" w:rsidP="00E03E61">
      <w:pPr>
        <w:pStyle w:val="SDMPara"/>
      </w:pPr>
      <w:r w:rsidRPr="009F63DF">
        <w:rPr>
          <w:b/>
          <w:bCs/>
        </w:rPr>
        <w:t>Step 2: Identify comparable technologies.</w:t>
      </w:r>
      <w:r w:rsidRPr="009F63DF">
        <w:t xml:space="preserve"> Use the results of the pre-activity survey</w:t>
      </w:r>
      <w:r w:rsidR="00F25E58" w:rsidRPr="009F63DF">
        <w:t xml:space="preserve">, </w:t>
      </w:r>
      <w:r w:rsidR="005F5160" w:rsidRPr="009F63DF">
        <w:t>after applying any adjustments to the data in response to</w:t>
      </w:r>
      <w:r w:rsidR="00F25E58" w:rsidRPr="009F63DF">
        <w:t xml:space="preserve"> the cross-check set out in paragraph</w:t>
      </w:r>
      <w:r w:rsidR="00D62153" w:rsidRPr="009F63DF">
        <w:t>s</w:t>
      </w:r>
      <w:r w:rsidR="00F25E58" w:rsidRPr="009F63DF">
        <w:t xml:space="preserve"> </w:t>
      </w:r>
      <w:r w:rsidR="00F25E58" w:rsidRPr="009F63DF">
        <w:fldChar w:fldCharType="begin"/>
      </w:r>
      <w:r w:rsidR="00F25E58" w:rsidRPr="009F63DF">
        <w:instrText xml:space="preserve"> REF _Ref232969207 \r \h </w:instrText>
      </w:r>
      <w:r w:rsidR="00F25E58" w:rsidRPr="009F63DF">
        <w:fldChar w:fldCharType="separate"/>
      </w:r>
      <w:r w:rsidR="00831DAE">
        <w:rPr>
          <w:cs/>
        </w:rPr>
        <w:t>‎</w:t>
      </w:r>
      <w:r w:rsidR="00831DAE">
        <w:t>43</w:t>
      </w:r>
      <w:r w:rsidR="00F25E58" w:rsidRPr="009F63DF">
        <w:fldChar w:fldCharType="end"/>
      </w:r>
      <w:r w:rsidR="00D62153" w:rsidRPr="009F63DF">
        <w:t xml:space="preserve"> and </w:t>
      </w:r>
      <w:r w:rsidR="00D62153" w:rsidRPr="009F63DF">
        <w:fldChar w:fldCharType="begin"/>
      </w:r>
      <w:r w:rsidR="00D62153" w:rsidRPr="009F63DF">
        <w:instrText xml:space="preserve"> REF _Ref233362052 \r \h </w:instrText>
      </w:r>
      <w:r w:rsidR="00D62153" w:rsidRPr="009F63DF">
        <w:fldChar w:fldCharType="separate"/>
      </w:r>
      <w:r w:rsidR="00831DAE">
        <w:rPr>
          <w:cs/>
        </w:rPr>
        <w:t>‎</w:t>
      </w:r>
      <w:r w:rsidR="00831DAE">
        <w:t>44</w:t>
      </w:r>
      <w:r w:rsidR="00D62153" w:rsidRPr="009F63DF">
        <w:fldChar w:fldCharType="end"/>
      </w:r>
      <w:r w:rsidR="00F25E58" w:rsidRPr="009F63DF">
        <w:t>,</w:t>
      </w:r>
      <w:r w:rsidRPr="009F63DF">
        <w:t xml:space="preserve"> to provide the empirical data on comparable technologies providing similar output as the Article 6.4 activity in the appropriate time period</w:t>
      </w:r>
      <w:r w:rsidR="0034171E" w:rsidRPr="009F63DF">
        <w:t xml:space="preserve"> defined as </w:t>
      </w:r>
      <w:r w:rsidR="0034171E" w:rsidRPr="009F63DF" w:rsidDel="00803803">
        <w:t xml:space="preserve">within </w:t>
      </w:r>
      <w:r w:rsidR="0034171E" w:rsidRPr="009F63DF">
        <w:t xml:space="preserve">the </w:t>
      </w:r>
      <w:r w:rsidR="00D044B9" w:rsidRPr="009F63DF">
        <w:t>one</w:t>
      </w:r>
      <w:r w:rsidR="00D044B9" w:rsidRPr="009F63DF" w:rsidDel="00803803">
        <w:t xml:space="preserve"> </w:t>
      </w:r>
      <w:r w:rsidR="0034171E" w:rsidRPr="009F63DF" w:rsidDel="00803803">
        <w:t>year prior to the start date of the first crediting period of the Article 6.4 activity</w:t>
      </w:r>
      <w:r w:rsidRPr="009F63DF">
        <w:t xml:space="preserve">. Organize the collected data by classifying each </w:t>
      </w:r>
      <w:r w:rsidR="00874879" w:rsidRPr="009F63DF">
        <w:t>cooking technology-fuel type combination</w:t>
      </w:r>
      <w:r w:rsidR="00704143" w:rsidRPr="009F63DF">
        <w:t xml:space="preserve"> identified in the pre-activity survey</w:t>
      </w:r>
      <w:r w:rsidRPr="009F63DF">
        <w:t xml:space="preserve"> as a “comparable technology”.</w:t>
      </w:r>
      <w:r w:rsidR="0034171E" w:rsidRPr="009F63DF">
        <w:rPr>
          <w:rStyle w:val="FootnoteReference"/>
        </w:rPr>
        <w:footnoteReference w:id="31"/>
      </w:r>
      <w:r w:rsidRPr="009F63DF">
        <w:t xml:space="preserve"> Analyse the comparable technologies in the following steps.</w:t>
      </w:r>
    </w:p>
    <w:p w14:paraId="37E45BAB" w14:textId="7A3C7449" w:rsidR="00AB3D81" w:rsidRPr="009F63DF" w:rsidRDefault="00AB3D81" w:rsidP="00655F47">
      <w:pPr>
        <w:pStyle w:val="SDMPara"/>
        <w:keepNext/>
      </w:pPr>
      <w:r w:rsidRPr="009F63DF">
        <w:rPr>
          <w:b/>
          <w:bCs/>
        </w:rPr>
        <w:t xml:space="preserve">Step </w:t>
      </w:r>
      <w:r w:rsidRPr="009F63DF">
        <w:rPr>
          <w:b/>
        </w:rPr>
        <w:t>3</w:t>
      </w:r>
      <w:r w:rsidRPr="009F63DF">
        <w:rPr>
          <w:b/>
          <w:bCs/>
        </w:rPr>
        <w:t>. Identify the thermal efficiency of each comparable technology</w:t>
      </w:r>
      <w:r w:rsidRPr="009F63DF">
        <w:t>. This shall be determined as follows:</w:t>
      </w:r>
    </w:p>
    <w:p w14:paraId="4E9D8091" w14:textId="272592DC" w:rsidR="00AB3D81" w:rsidRPr="009F63DF" w:rsidRDefault="00AB3D81" w:rsidP="009311F1">
      <w:pPr>
        <w:pStyle w:val="SDMSubPara1"/>
      </w:pPr>
      <w:r w:rsidRPr="009F63DF">
        <w:t xml:space="preserve">Traditional cookstoves using fuelwood or charcoal fuel shall use the </w:t>
      </w:r>
      <w:r w:rsidR="003F37FB" w:rsidRPr="009F63DF">
        <w:t>BAU</w:t>
      </w:r>
      <w:r w:rsidR="00EF3057" w:rsidRPr="009F63DF">
        <w:t xml:space="preserve"> </w:t>
      </w:r>
      <w:r w:rsidRPr="009F63DF">
        <w:t>value of the corresponding efficiency in</w:t>
      </w:r>
      <w:r w:rsidR="009D3661" w:rsidRPr="009F63DF">
        <w:t xml:space="preserve"> </w:t>
      </w:r>
      <w:r w:rsidR="00D81689" w:rsidRPr="009F63DF">
        <w:fldChar w:fldCharType="begin"/>
      </w:r>
      <w:r w:rsidR="00D81689" w:rsidRPr="009F63DF">
        <w:instrText xml:space="preserve"> REF _Ref232969111 \h </w:instrText>
      </w:r>
      <w:r w:rsidR="00D81689" w:rsidRPr="009F63DF">
        <w:fldChar w:fldCharType="separate"/>
      </w:r>
      <w:r w:rsidR="00831DAE" w:rsidRPr="009F63DF">
        <w:t>Table </w:t>
      </w:r>
      <w:r w:rsidR="00831DAE">
        <w:rPr>
          <w:noProof/>
        </w:rPr>
        <w:t>4</w:t>
      </w:r>
      <w:r w:rsidR="00D81689" w:rsidRPr="009F63DF">
        <w:fldChar w:fldCharType="end"/>
      </w:r>
      <w:r w:rsidRPr="009F63DF">
        <w:t>;</w:t>
      </w:r>
    </w:p>
    <w:p w14:paraId="0B5A2587" w14:textId="77777777" w:rsidR="00AB3D81" w:rsidRPr="009F63DF" w:rsidRDefault="00AB3D81" w:rsidP="00655F47">
      <w:pPr>
        <w:pStyle w:val="SDMSubPara1"/>
        <w:keepNext/>
      </w:pPr>
      <w:r w:rsidRPr="009F63DF">
        <w:t>Improved fuelwood and charcoal cookstoves without external energy sources (e.g., for fans for forced draft) or without a gasifier-type combustion chamber shall use:</w:t>
      </w:r>
    </w:p>
    <w:p w14:paraId="1C5E6045" w14:textId="2E584270" w:rsidR="00AB3D81" w:rsidRPr="009F63DF" w:rsidRDefault="00AB3D81" w:rsidP="00F44825">
      <w:pPr>
        <w:pStyle w:val="SDMSubPara2"/>
      </w:pPr>
      <w:r w:rsidRPr="009F63DF">
        <w:t xml:space="preserve">The </w:t>
      </w:r>
      <w:r w:rsidR="00A51E9A" w:rsidRPr="009F63DF">
        <w:t xml:space="preserve">assumed </w:t>
      </w:r>
      <w:r w:rsidRPr="009F63DF">
        <w:t>values for Improved Cookstoves (ICS) in</w:t>
      </w:r>
      <w:r w:rsidR="00A51E9A" w:rsidRPr="009F63DF">
        <w:t xml:space="preserve"> </w:t>
      </w:r>
      <w:r w:rsidR="00AC0AC8" w:rsidRPr="009F63DF">
        <w:fldChar w:fldCharType="begin"/>
      </w:r>
      <w:r w:rsidR="00AC0AC8" w:rsidRPr="009F63DF">
        <w:instrText xml:space="preserve"> REF _Ref233363935 \r \h </w:instrText>
      </w:r>
      <w:r w:rsidR="00AC0AC8" w:rsidRPr="009F63DF">
        <w:fldChar w:fldCharType="separate"/>
      </w:r>
      <w:r w:rsidR="00831DAE">
        <w:rPr>
          <w:cs/>
        </w:rPr>
        <w:t>‎</w:t>
      </w:r>
      <w:r w:rsidR="00831DAE">
        <w:t>Appendix 7.2.2</w:t>
      </w:r>
      <w:r w:rsidR="00AC0AC8" w:rsidRPr="009F63DF">
        <w:fldChar w:fldCharType="end"/>
      </w:r>
      <w:r w:rsidRPr="009F63DF">
        <w:t>; or</w:t>
      </w:r>
    </w:p>
    <w:p w14:paraId="6BA001B1" w14:textId="77777777" w:rsidR="00AB3D81" w:rsidRPr="009F63DF" w:rsidRDefault="00AB3D81" w:rsidP="00F44825">
      <w:pPr>
        <w:pStyle w:val="SDMSubPara2"/>
      </w:pPr>
      <w:r w:rsidRPr="009F63DF">
        <w:t>The thermal efficiency values based on the manufacturer's specifications and operation manuals; or</w:t>
      </w:r>
    </w:p>
    <w:p w14:paraId="746DE034" w14:textId="624939EE" w:rsidR="00AB3D81" w:rsidRPr="009F63DF" w:rsidRDefault="00AB3D81" w:rsidP="00F44825">
      <w:pPr>
        <w:pStyle w:val="SDMSubPara2"/>
      </w:pPr>
      <w:r w:rsidRPr="009F63DF">
        <w:t xml:space="preserve">Test results for the thermal efficiency using the ISO Standard 19867-1:2018 (or any subsequent revision thereof) </w:t>
      </w:r>
      <w:r w:rsidR="00CD257E" w:rsidRPr="009F63DF">
        <w:t>or equivalent national standards where an accredited laboratory with this capacity is not available in the host country</w:t>
      </w:r>
      <w:r w:rsidRPr="009F63DF">
        <w:t>.</w:t>
      </w:r>
    </w:p>
    <w:p w14:paraId="363F234D" w14:textId="77777777" w:rsidR="00AB3D81" w:rsidRPr="009F63DF" w:rsidRDefault="00AB3D81" w:rsidP="00655F47">
      <w:pPr>
        <w:pStyle w:val="SDMSubPara1"/>
        <w:keepNext/>
      </w:pPr>
      <w:r w:rsidRPr="009F63DF">
        <w:t>Any</w:t>
      </w:r>
      <w:r w:rsidRPr="009F63DF" w:rsidDel="00080549">
        <w:t xml:space="preserve"> </w:t>
      </w:r>
      <w:r w:rsidRPr="009F63DF">
        <w:t>other improved fuelwood or charcoal cookstoves (e.g. gasifier, forced-draft) or fossil-fuel fired cookstoves (e.g. LPG) shall apply:</w:t>
      </w:r>
    </w:p>
    <w:p w14:paraId="2F3A16EB" w14:textId="77777777" w:rsidR="00AB3D81" w:rsidRPr="009F63DF" w:rsidRDefault="00AB3D81" w:rsidP="00F44825">
      <w:pPr>
        <w:pStyle w:val="SDMSubPara2"/>
      </w:pPr>
      <w:r w:rsidRPr="009F63DF">
        <w:t>A thermal efficiency values based on the manufacturer's specifications; or</w:t>
      </w:r>
    </w:p>
    <w:p w14:paraId="628DF5F5" w14:textId="67C0F7DF" w:rsidR="00AB3D81" w:rsidRPr="009F63DF" w:rsidRDefault="00AB3D81" w:rsidP="00F44825">
      <w:pPr>
        <w:pStyle w:val="SDMSubPara2"/>
      </w:pPr>
      <w:r w:rsidRPr="009F63DF">
        <w:t>A default value of 50</w:t>
      </w:r>
      <w:r w:rsidR="00DE7B9B" w:rsidRPr="009F63DF">
        <w:t xml:space="preserve"> per cent</w:t>
      </w:r>
      <w:r w:rsidRPr="009F63DF">
        <w:t>.</w:t>
      </w:r>
    </w:p>
    <w:p w14:paraId="42BE2AC9" w14:textId="77777777" w:rsidR="00DD40E6" w:rsidRDefault="00DD40E6" w:rsidP="00DD40E6">
      <w:pPr>
        <w:pStyle w:val="SDMPara"/>
      </w:pPr>
      <w:r w:rsidRPr="00D713CF">
        <w:rPr>
          <w:b/>
        </w:rPr>
        <w:t>Step 4. Prepare a performance distribution curve.</w:t>
      </w:r>
      <w:r>
        <w:t xml:space="preserve"> Plot, separately for each fuel (as applicable), the quantity of units of each comparable technology versus the thermal efficiency from lowest to highest efficiency. Identify the best performing comparable technologies as those units within the top 20</w:t>
      </w:r>
      <w:r w:rsidRPr="00B87798">
        <w:rPr>
          <w:vertAlign w:val="superscript"/>
        </w:rPr>
        <w:t>th</w:t>
      </w:r>
      <w:r>
        <w:t xml:space="preserve"> percentile.</w:t>
      </w:r>
    </w:p>
    <w:p w14:paraId="147C3877" w14:textId="77777777" w:rsidR="00DD40E6" w:rsidRPr="00BB110D" w:rsidRDefault="00DD40E6" w:rsidP="00655F47">
      <w:pPr>
        <w:pStyle w:val="SDMPara"/>
        <w:keepNext/>
      </w:pPr>
      <w:r w:rsidRPr="0018424E">
        <w:rPr>
          <w:b/>
          <w:bCs/>
        </w:rPr>
        <w:t>Step 5. Calculate the ambitious benchmark.</w:t>
      </w:r>
      <w:r>
        <w:t xml:space="preserve"> </w:t>
      </w:r>
      <w:r w:rsidRPr="00BB110D">
        <w:t>Apply the following sub-steps:</w:t>
      </w:r>
    </w:p>
    <w:p w14:paraId="7F360100" w14:textId="381A396D" w:rsidR="00615311" w:rsidRPr="009F63DF" w:rsidRDefault="00E8330A" w:rsidP="009311F1">
      <w:pPr>
        <w:pStyle w:val="SDMSubPara1"/>
      </w:pPr>
      <w:r w:rsidRPr="009F63DF">
        <w:rPr>
          <w:b/>
          <w:bCs/>
        </w:rPr>
        <w:t>Calculate the</w:t>
      </w:r>
      <w:r w:rsidR="00AB3D81" w:rsidRPr="009F63DF">
        <w:rPr>
          <w:b/>
          <w:bCs/>
        </w:rPr>
        <w:t xml:space="preserve"> performance of the best comparable activities.</w:t>
      </w:r>
      <w:r w:rsidR="00AB3D81" w:rsidRPr="009F63DF">
        <w:t xml:space="preserve"> Calculate, separately for </w:t>
      </w:r>
      <w:r w:rsidR="00286C8B" w:rsidRPr="009F63DF">
        <w:t>each fuel</w:t>
      </w:r>
      <w:r w:rsidR="00AB3D81" w:rsidRPr="009F63DF">
        <w:t xml:space="preserve">, the weighted average (by quantity of units) </w:t>
      </w:r>
      <w:r w:rsidR="0022092E" w:rsidRPr="009F63DF">
        <w:t xml:space="preserve">thermal efficiency </w:t>
      </w:r>
      <w:r w:rsidR="00AB3D81" w:rsidRPr="009F63DF">
        <w:t>performance of all the best performing comparable technologies within the top 20</w:t>
      </w:r>
      <w:r w:rsidR="00AB3D81" w:rsidRPr="009F63DF">
        <w:rPr>
          <w:vertAlign w:val="superscript"/>
        </w:rPr>
        <w:t>th</w:t>
      </w:r>
      <w:r w:rsidR="00AB3D81" w:rsidRPr="009F63DF">
        <w:t xml:space="preserve"> percentile</w:t>
      </w:r>
      <w:r w:rsidR="002C36A7" w:rsidRPr="009F63DF">
        <w:t>;</w:t>
      </w:r>
    </w:p>
    <w:p w14:paraId="55AFBC79" w14:textId="35CB577C" w:rsidR="00615311" w:rsidRPr="009F63DF" w:rsidRDefault="00B82B8A" w:rsidP="009311F1">
      <w:pPr>
        <w:pStyle w:val="SDMSubPara1"/>
        <w:rPr>
          <w:bCs/>
        </w:rPr>
      </w:pPr>
      <w:r w:rsidRPr="009F63DF">
        <w:rPr>
          <w:b/>
          <w:bCs/>
        </w:rPr>
        <w:t xml:space="preserve">Express the ambitious benchmark </w:t>
      </w:r>
      <w:r w:rsidR="00F6518A" w:rsidRPr="009F63DF">
        <w:rPr>
          <w:b/>
          <w:bCs/>
        </w:rPr>
        <w:t>as</w:t>
      </w:r>
      <w:r w:rsidR="007B2951" w:rsidRPr="009F63DF">
        <w:rPr>
          <w:b/>
          <w:bCs/>
        </w:rPr>
        <w:t xml:space="preserve"> the</w:t>
      </w:r>
      <w:r w:rsidR="00F6518A" w:rsidRPr="009F63DF">
        <w:rPr>
          <w:b/>
          <w:bCs/>
        </w:rPr>
        <w:t xml:space="preserve"> energy consumption</w:t>
      </w:r>
      <w:r w:rsidR="00F6518A" w:rsidRPr="009F63DF">
        <w:t xml:space="preserve"> </w:t>
      </w:r>
      <w:r w:rsidR="007B2951" w:rsidRPr="009F63DF">
        <w:t xml:space="preserve">from fuel use </w:t>
      </w:r>
      <w:r w:rsidR="009430BF" w:rsidRPr="009F63DF">
        <w:t xml:space="preserve">for cooking </w:t>
      </w:r>
      <w:r w:rsidR="00F6518A" w:rsidRPr="009F63DF">
        <w:t>per person and year</w:t>
      </w:r>
      <w:r w:rsidR="00B57AD0" w:rsidRPr="009F63DF">
        <w:t xml:space="preserve"> (TJ</w:t>
      </w:r>
      <w:r w:rsidR="008F30EE" w:rsidRPr="009F63DF">
        <w:t xml:space="preserve"> </w:t>
      </w:r>
      <w:r w:rsidR="00B57AD0" w:rsidRPr="009F63DF">
        <w:t>/</w:t>
      </w:r>
      <w:r w:rsidR="008F30EE" w:rsidRPr="009F63DF">
        <w:t xml:space="preserve"> </w:t>
      </w:r>
      <w:r w:rsidR="00B57AD0" w:rsidRPr="009F63DF">
        <w:t>(person</w:t>
      </w:r>
      <w:r w:rsidR="008F30EE" w:rsidRPr="009F63DF">
        <w:t xml:space="preserve"> x </w:t>
      </w:r>
      <w:r w:rsidR="00B57AD0" w:rsidRPr="009F63DF">
        <w:t>year)</w:t>
      </w:r>
      <w:r w:rsidR="00A762A2" w:rsidRPr="009F63DF">
        <w:t>)</w:t>
      </w:r>
      <w:r w:rsidR="00AB3D81" w:rsidRPr="009F63DF">
        <w:t xml:space="preserve">. </w:t>
      </w:r>
      <w:r w:rsidR="00B57AD0" w:rsidRPr="009F63DF">
        <w:t>To derive this value, t</w:t>
      </w:r>
      <w:r w:rsidR="00AB3D81" w:rsidRPr="009F63DF">
        <w:t xml:space="preserve">he standardized value for useful energy delivered for cooking </w:t>
      </w:r>
      <w:r w:rsidR="00BB6B35" w:rsidRPr="009F63DF">
        <w:t>(i.e., 0.001095 TJ per person per year for charcoal as the primary fuel and 0.001277 TJ per person per year</w:t>
      </w:r>
      <w:r w:rsidR="001767B9" w:rsidRPr="009F63DF">
        <w:t xml:space="preserve"> for fuelwood as the primary fuel are assumed</w:t>
      </w:r>
      <w:r w:rsidR="00BB6B35" w:rsidRPr="009F63DF">
        <w:t xml:space="preserve">) </w:t>
      </w:r>
      <w:r w:rsidR="00AB3D81" w:rsidRPr="009F63DF">
        <w:t>shall be divided by the resulting thermal efficiency</w:t>
      </w:r>
      <w:r w:rsidR="002C36A7" w:rsidRPr="009F63DF">
        <w:rPr>
          <w:bCs/>
        </w:rPr>
        <w:t>;</w:t>
      </w:r>
    </w:p>
    <w:p w14:paraId="5D0E120D" w14:textId="6C66B4A4" w:rsidR="00615311" w:rsidRPr="009F63DF" w:rsidRDefault="00BB79B6" w:rsidP="009311F1">
      <w:pPr>
        <w:pStyle w:val="SDMSubPara1"/>
        <w:rPr>
          <w:bCs/>
        </w:rPr>
      </w:pPr>
      <w:r w:rsidRPr="009F63DF">
        <w:rPr>
          <w:b/>
          <w:bCs/>
        </w:rPr>
        <w:t>Comparison with backstop value</w:t>
      </w:r>
      <w:r w:rsidR="006375DF" w:rsidRPr="009F63DF">
        <w:rPr>
          <w:b/>
          <w:bCs/>
        </w:rPr>
        <w:t>s</w:t>
      </w:r>
      <w:r w:rsidR="0033305B" w:rsidRPr="009F63DF">
        <w:rPr>
          <w:b/>
          <w:bCs/>
        </w:rPr>
        <w:t>.</w:t>
      </w:r>
      <w:r w:rsidRPr="009F63DF">
        <w:rPr>
          <w:b/>
          <w:bCs/>
        </w:rPr>
        <w:t xml:space="preserve"> </w:t>
      </w:r>
      <w:r w:rsidR="002C05A6" w:rsidRPr="009F63DF">
        <w:t>For fuelwood and artisanal charcoal, c</w:t>
      </w:r>
      <w:r w:rsidR="0033305B" w:rsidRPr="009F63DF">
        <w:t>ompare the value</w:t>
      </w:r>
      <w:r w:rsidR="006375DF" w:rsidRPr="009F63DF">
        <w:t>s</w:t>
      </w:r>
      <w:r w:rsidR="0033305B" w:rsidRPr="009F63DF">
        <w:t xml:space="preserve"> resulting from sub-paragraph (a) with the backstop values provided in </w:t>
      </w:r>
      <w:r w:rsidR="006375DF" w:rsidRPr="009F63DF" w:rsidDel="00606290">
        <w:rPr>
          <w:bCs/>
        </w:rPr>
        <w:t>in</w:t>
      </w:r>
      <w:r w:rsidR="006375DF" w:rsidRPr="009F63DF">
        <w:rPr>
          <w:bCs/>
        </w:rPr>
        <w:t xml:space="preserve"> </w:t>
      </w:r>
      <w:r w:rsidR="006375DF" w:rsidRPr="009F63DF">
        <w:rPr>
          <w:bCs/>
        </w:rPr>
        <w:fldChar w:fldCharType="begin"/>
      </w:r>
      <w:r w:rsidR="006375DF" w:rsidRPr="009F63DF">
        <w:rPr>
          <w:bCs/>
        </w:rPr>
        <w:instrText xml:space="preserve"> REF _Ref233191484 \h </w:instrText>
      </w:r>
      <w:r w:rsidR="006375DF" w:rsidRPr="009F63DF">
        <w:rPr>
          <w:bCs/>
        </w:rPr>
      </w:r>
      <w:r w:rsidR="006375DF" w:rsidRPr="009F63DF">
        <w:rPr>
          <w:bCs/>
        </w:rPr>
        <w:fldChar w:fldCharType="separate"/>
      </w:r>
      <w:r w:rsidR="00831DAE" w:rsidRPr="009F63DF">
        <w:t>Table </w:t>
      </w:r>
      <w:r w:rsidR="00831DAE">
        <w:rPr>
          <w:noProof/>
        </w:rPr>
        <w:t>3</w:t>
      </w:r>
      <w:r w:rsidR="006375DF" w:rsidRPr="009F63DF">
        <w:rPr>
          <w:bCs/>
        </w:rPr>
        <w:fldChar w:fldCharType="end"/>
      </w:r>
      <w:r w:rsidR="0033305B" w:rsidRPr="009F63DF">
        <w:t xml:space="preserve"> </w:t>
      </w:r>
      <w:r w:rsidR="006375DF" w:rsidRPr="009F63DF">
        <w:t>and use, as a conservative approach, for each fuel typ</w:t>
      </w:r>
      <w:r w:rsidR="00F1425B" w:rsidRPr="009F63DF">
        <w:t xml:space="preserve">e </w:t>
      </w:r>
      <w:r w:rsidR="006375DF" w:rsidRPr="009F63DF">
        <w:t xml:space="preserve">the lower </w:t>
      </w:r>
      <w:r w:rsidRPr="009F63DF">
        <w:t xml:space="preserve">value </w:t>
      </w:r>
      <w:r w:rsidR="006375DF" w:rsidRPr="009F63DF">
        <w:t xml:space="preserve">as </w:t>
      </w:r>
      <w:r w:rsidR="006375DF" w:rsidRPr="009F63DF">
        <w:rPr>
          <w:bCs/>
        </w:rPr>
        <w:t>t</w:t>
      </w:r>
      <w:r w:rsidR="008B62CB" w:rsidRPr="009F63DF">
        <w:rPr>
          <w:bCs/>
        </w:rPr>
        <w:t xml:space="preserve">he resulting ambitious benchmark </w:t>
      </w:r>
      <w:r w:rsidR="00F1425B" w:rsidRPr="009F63DF">
        <w:rPr>
          <w:bCs/>
        </w:rPr>
        <w:t>(</w:t>
      </w:r>
      <w:r w:rsidR="00F1425B" w:rsidRPr="009F63DF">
        <w:rPr>
          <w:bCs/>
          <w:i/>
          <w:iCs/>
        </w:rPr>
        <w:t>BM</w:t>
      </w:r>
      <w:r w:rsidR="00AB47EA" w:rsidRPr="009F63DF">
        <w:rPr>
          <w:bCs/>
          <w:i/>
          <w:iCs/>
          <w:vertAlign w:val="subscript"/>
        </w:rPr>
        <w:t>BL,I,y</w:t>
      </w:r>
      <w:r w:rsidR="00F1425B" w:rsidRPr="009F63DF">
        <w:rPr>
          <w:i/>
        </w:rPr>
        <w:t>)</w:t>
      </w:r>
      <w:r w:rsidR="002516A4" w:rsidRPr="009F63DF">
        <w:rPr>
          <w:i/>
        </w:rPr>
        <w:t>.</w:t>
      </w:r>
    </w:p>
    <w:p w14:paraId="78E22352" w14:textId="19A7FFD3" w:rsidR="00AB3D81" w:rsidRPr="009F63DF" w:rsidRDefault="00AB3D81" w:rsidP="00E03E61">
      <w:pPr>
        <w:pStyle w:val="SDMPara"/>
      </w:pPr>
      <w:r w:rsidRPr="009F63DF">
        <w:t xml:space="preserve">When fuels other than </w:t>
      </w:r>
      <w:r w:rsidR="0049464F" w:rsidRPr="009F63DF">
        <w:t xml:space="preserve">the primary fuel </w:t>
      </w:r>
      <w:r w:rsidRPr="009F63DF">
        <w:t xml:space="preserve">are used in the pre-activity scenario, their energy use must be accounted for </w:t>
      </w:r>
      <w:r w:rsidR="000A4F9B" w:rsidRPr="009F63DF">
        <w:t>with</w:t>
      </w:r>
      <w:r w:rsidRPr="009F63DF">
        <w:t>in the</w:t>
      </w:r>
      <w:r w:rsidR="000A4F9B" w:rsidRPr="009F63DF">
        <w:t xml:space="preserve"> total</w:t>
      </w:r>
      <w:r w:rsidR="006E0121" w:rsidRPr="009F63DF">
        <w:t xml:space="preserve"> default useful energy level associated with the primary fuel, i.e.</w:t>
      </w:r>
      <w:r w:rsidRPr="009F63DF">
        <w:t xml:space="preserve"> </w:t>
      </w:r>
      <w:r w:rsidR="00EB5397" w:rsidRPr="009F63DF">
        <w:t>0.001095</w:t>
      </w:r>
      <w:r w:rsidR="00706A13" w:rsidRPr="009F63DF">
        <w:t xml:space="preserve"> </w:t>
      </w:r>
      <w:r w:rsidR="00C86559" w:rsidRPr="009F63DF">
        <w:t>TJ</w:t>
      </w:r>
      <w:r w:rsidR="00706A13" w:rsidRPr="009F63DF">
        <w:t xml:space="preserve"> </w:t>
      </w:r>
      <w:r w:rsidR="00C86559" w:rsidRPr="009F63DF">
        <w:t xml:space="preserve">(for charcoal) </w:t>
      </w:r>
      <w:r w:rsidR="00706A13" w:rsidRPr="009F63DF">
        <w:t>or</w:t>
      </w:r>
      <w:r w:rsidR="00EB5397" w:rsidRPr="009F63DF">
        <w:t xml:space="preserve"> </w:t>
      </w:r>
      <w:r w:rsidR="00706A13" w:rsidRPr="009F63DF">
        <w:t>0.</w:t>
      </w:r>
      <w:r w:rsidR="00EB5397" w:rsidRPr="009F63DF" w:rsidDel="006762EA">
        <w:t>001</w:t>
      </w:r>
      <w:r w:rsidR="00EB5397" w:rsidRPr="009F63DF">
        <w:t>277</w:t>
      </w:r>
      <w:r w:rsidR="00EB5397" w:rsidRPr="009F63DF" w:rsidDel="006762EA">
        <w:t> </w:t>
      </w:r>
      <w:r w:rsidRPr="009F63DF">
        <w:t>TJ</w:t>
      </w:r>
      <w:r w:rsidR="00C86559" w:rsidRPr="009F63DF">
        <w:t xml:space="preserve"> (for fuelwood)</w:t>
      </w:r>
      <w:r w:rsidRPr="009F63DF">
        <w:t xml:space="preserve"> useful energy delivered</w:t>
      </w:r>
      <w:r w:rsidR="008F30EE" w:rsidRPr="009F63DF">
        <w:t xml:space="preserve"> </w:t>
      </w:r>
      <w:r w:rsidRPr="009F63DF">
        <w:t>/</w:t>
      </w:r>
      <w:r w:rsidR="008F30EE" w:rsidRPr="009F63DF">
        <w:t xml:space="preserve"> </w:t>
      </w:r>
      <w:r w:rsidRPr="009F63DF">
        <w:t>(person</w:t>
      </w:r>
      <w:r w:rsidR="008F30EE" w:rsidRPr="009F63DF">
        <w:t xml:space="preserve"> x </w:t>
      </w:r>
      <w:r w:rsidRPr="009F63DF">
        <w:t>year), respectively.</w:t>
      </w:r>
      <w:r w:rsidRPr="009F63DF">
        <w:rPr>
          <w:vertAlign w:val="superscript"/>
        </w:rPr>
        <w:footnoteReference w:id="32"/>
      </w:r>
    </w:p>
    <w:p w14:paraId="1671F06F" w14:textId="4481A03C" w:rsidR="00AB3D81" w:rsidRPr="009F63DF" w:rsidRDefault="00A57654" w:rsidP="00E03E61">
      <w:pPr>
        <w:pStyle w:val="SDMPara"/>
      </w:pPr>
      <w:bookmarkStart w:id="337" w:name="_Ref227319676"/>
      <w:r w:rsidRPr="009F63DF">
        <w:t xml:space="preserve">The identified ambitious benchmark </w:t>
      </w:r>
      <w:r w:rsidR="006870EE" w:rsidRPr="009F63DF">
        <w:t xml:space="preserve">thermal efficiency values resulting from Step 5(a) </w:t>
      </w:r>
      <w:r w:rsidR="003E2D68" w:rsidRPr="009F63DF">
        <w:t xml:space="preserve">shall be </w:t>
      </w:r>
      <w:r w:rsidRPr="009F63DF">
        <w:t xml:space="preserve">fixed for five years. </w:t>
      </w:r>
      <w:r w:rsidR="00AB3D81" w:rsidRPr="009F63DF">
        <w:t xml:space="preserve">The identification of the baseline scenario shall be </w:t>
      </w:r>
      <w:r w:rsidR="007A32EB" w:rsidRPr="009F63DF">
        <w:t>updated</w:t>
      </w:r>
      <w:r w:rsidR="00AB3D81" w:rsidRPr="009F63DF">
        <w:t xml:space="preserve"> at crediting period renewal or five years after the start date of the crediting period, whichever occurs first. This identification shall re-evaluate the amount of useful energy provided per person per year, the efficiency of baseline cookstoves, and the proportion of cooking technologies and fuel type combinations in the target population.</w:t>
      </w:r>
      <w:bookmarkEnd w:id="337"/>
    </w:p>
    <w:p w14:paraId="63A7C69D" w14:textId="721793FC" w:rsidR="00BD3482" w:rsidRPr="009F63DF" w:rsidRDefault="00BD3482" w:rsidP="00B07AF7">
      <w:pPr>
        <w:pStyle w:val="Caption"/>
        <w:suppressAutoHyphens/>
      </w:pPr>
      <w:bookmarkStart w:id="338" w:name="_Ref233191484"/>
      <w:r w:rsidRPr="009F63DF">
        <w:t>Table </w:t>
      </w:r>
      <w:r w:rsidRPr="009F63DF">
        <w:fldChar w:fldCharType="begin"/>
      </w:r>
      <w:r w:rsidRPr="009F63DF">
        <w:instrText>SEQ Table \* ARABIC</w:instrText>
      </w:r>
      <w:r w:rsidRPr="009F63DF">
        <w:fldChar w:fldCharType="separate"/>
      </w:r>
      <w:r w:rsidR="00831DAE">
        <w:rPr>
          <w:noProof/>
        </w:rPr>
        <w:t>3</w:t>
      </w:r>
      <w:r w:rsidRPr="009F63DF">
        <w:fldChar w:fldCharType="end"/>
      </w:r>
      <w:bookmarkEnd w:id="338"/>
      <w:r w:rsidRPr="009F63DF">
        <w:t>.</w:t>
      </w:r>
      <w:r w:rsidRPr="009F63DF">
        <w:tab/>
      </w:r>
      <w:r w:rsidR="00EE5A93" w:rsidRPr="009F63DF">
        <w:t>Backstop</w:t>
      </w:r>
      <w:r w:rsidR="00712B51" w:rsidRPr="009F63DF">
        <w:t xml:space="preserve"> </w:t>
      </w:r>
      <w:r w:rsidR="00D43D5C" w:rsidRPr="009F63DF">
        <w:t xml:space="preserve">values </w:t>
      </w:r>
      <w:r w:rsidR="00712B51" w:rsidRPr="009F63DF">
        <w:t>for the ambitious benchmark</w:t>
      </w:r>
      <w:r w:rsidRPr="009F63DF">
        <w:t xml:space="preserve"> for fuel types eligible under the mechanism methodology</w:t>
      </w:r>
      <w:r w:rsidR="00690104" w:rsidRPr="009F63DF">
        <w:rPr>
          <w:rStyle w:val="FootnoteReference"/>
        </w:rPr>
        <w:footnoteReference w:id="33"/>
      </w:r>
    </w:p>
    <w:tbl>
      <w:tblPr>
        <w:tblStyle w:val="TableGrid"/>
        <w:tblW w:w="8529" w:type="dxa"/>
        <w:tblInd w:w="822" w:type="dxa"/>
        <w:tblLook w:val="04A0" w:firstRow="1" w:lastRow="0" w:firstColumn="1" w:lastColumn="0" w:noHBand="0" w:noVBand="1"/>
      </w:tblPr>
      <w:tblGrid>
        <w:gridCol w:w="4362"/>
        <w:gridCol w:w="4167"/>
      </w:tblGrid>
      <w:tr w:rsidR="001C2394" w:rsidRPr="009F63DF" w14:paraId="331FB17D" w14:textId="77777777" w:rsidTr="00E53D71">
        <w:tc>
          <w:tcPr>
            <w:tcW w:w="2557" w:type="pct"/>
          </w:tcPr>
          <w:p w14:paraId="6372271E" w14:textId="5C1E7757" w:rsidR="001C2394" w:rsidRPr="009F63DF" w:rsidRDefault="00A860C4" w:rsidP="00E53D71">
            <w:pPr>
              <w:keepNext/>
              <w:suppressAutoHyphens/>
              <w:spacing w:before="60"/>
              <w:jc w:val="left"/>
              <w:rPr>
                <w:rFonts w:cs="Arial"/>
                <w:b/>
                <w:bCs/>
                <w:sz w:val="20"/>
                <w:szCs w:val="20"/>
                <w:lang w:val="en-GB"/>
              </w:rPr>
            </w:pPr>
            <w:r w:rsidRPr="009F63DF">
              <w:rPr>
                <w:rFonts w:cs="Arial"/>
                <w:b/>
                <w:bCs/>
                <w:sz w:val="20"/>
                <w:szCs w:val="20"/>
                <w:lang w:val="en-GB"/>
              </w:rPr>
              <w:t>Fuel types</w:t>
            </w:r>
          </w:p>
        </w:tc>
        <w:tc>
          <w:tcPr>
            <w:tcW w:w="2443" w:type="pct"/>
          </w:tcPr>
          <w:p w14:paraId="77EBFB96" w14:textId="7ED274E1" w:rsidR="001C2394" w:rsidRPr="009F63DF" w:rsidRDefault="008E1C75" w:rsidP="00E53D71">
            <w:pPr>
              <w:keepNext/>
              <w:suppressAutoHyphens/>
              <w:spacing w:before="60"/>
              <w:jc w:val="left"/>
              <w:rPr>
                <w:rFonts w:cs="Arial"/>
                <w:b/>
                <w:bCs/>
                <w:sz w:val="20"/>
                <w:szCs w:val="20"/>
                <w:lang w:val="en-GB"/>
              </w:rPr>
            </w:pPr>
            <w:r w:rsidRPr="009F63DF">
              <w:rPr>
                <w:rFonts w:cs="Arial"/>
                <w:b/>
                <w:bCs/>
                <w:sz w:val="20"/>
                <w:szCs w:val="20"/>
                <w:lang w:val="en-GB"/>
              </w:rPr>
              <w:t>Backstop</w:t>
            </w:r>
            <w:r w:rsidR="00D87047" w:rsidRPr="009F63DF">
              <w:rPr>
                <w:rFonts w:cs="Arial"/>
                <w:b/>
                <w:bCs/>
                <w:sz w:val="20"/>
                <w:szCs w:val="20"/>
                <w:lang w:val="en-GB"/>
              </w:rPr>
              <w:t xml:space="preserve"> </w:t>
            </w:r>
            <w:r w:rsidR="0066467E" w:rsidRPr="009F63DF">
              <w:rPr>
                <w:rFonts w:cs="Arial"/>
                <w:b/>
                <w:bCs/>
                <w:sz w:val="20"/>
                <w:szCs w:val="20"/>
                <w:lang w:val="en-GB"/>
              </w:rPr>
              <w:t xml:space="preserve">value </w:t>
            </w:r>
            <w:r w:rsidR="00D87047" w:rsidRPr="009F63DF">
              <w:rPr>
                <w:rFonts w:cs="Arial"/>
                <w:b/>
                <w:bCs/>
                <w:sz w:val="20"/>
                <w:szCs w:val="20"/>
                <w:lang w:val="en-GB"/>
              </w:rPr>
              <w:t>for the ambitious benchmark</w:t>
            </w:r>
          </w:p>
        </w:tc>
      </w:tr>
      <w:tr w:rsidR="001C2394" w:rsidRPr="009F63DF" w14:paraId="0E58459A" w14:textId="77777777" w:rsidTr="00E53D71">
        <w:tc>
          <w:tcPr>
            <w:tcW w:w="2557" w:type="pct"/>
          </w:tcPr>
          <w:p w14:paraId="61E8D5F6" w14:textId="5B9B24B1" w:rsidR="001C2394" w:rsidRPr="009F63DF" w:rsidRDefault="0097321F" w:rsidP="00E53D71">
            <w:pPr>
              <w:keepNext/>
              <w:suppressAutoHyphens/>
              <w:spacing w:before="60"/>
              <w:jc w:val="left"/>
              <w:rPr>
                <w:rFonts w:cs="Arial"/>
                <w:sz w:val="20"/>
                <w:szCs w:val="20"/>
                <w:lang w:val="en-GB"/>
              </w:rPr>
            </w:pPr>
            <w:r w:rsidRPr="009F63DF">
              <w:rPr>
                <w:rFonts w:cs="Arial"/>
                <w:sz w:val="20"/>
                <w:szCs w:val="20"/>
                <w:lang w:val="en-GB"/>
              </w:rPr>
              <w:t>Fuelwood is the primary fuel</w:t>
            </w:r>
          </w:p>
        </w:tc>
        <w:tc>
          <w:tcPr>
            <w:tcW w:w="2443" w:type="pct"/>
          </w:tcPr>
          <w:p w14:paraId="0D5B9B0F" w14:textId="3576B5E5" w:rsidR="001C2394" w:rsidRPr="00EB5ADF" w:rsidRDefault="000804DE" w:rsidP="00E53D71">
            <w:pPr>
              <w:keepNext/>
              <w:suppressAutoHyphens/>
              <w:spacing w:before="60"/>
              <w:jc w:val="left"/>
              <w:rPr>
                <w:rFonts w:cs="Arial"/>
                <w:sz w:val="20"/>
                <w:szCs w:val="20"/>
                <w:lang w:val="en-GB"/>
              </w:rPr>
            </w:pPr>
            <w:r w:rsidRPr="00EB5ADF">
              <w:rPr>
                <w:rFonts w:cs="Arial"/>
                <w:sz w:val="20"/>
                <w:szCs w:val="20"/>
                <w:lang w:val="en-GB"/>
              </w:rPr>
              <w:t>0.0077</w:t>
            </w:r>
            <w:r w:rsidR="00F0781B" w:rsidRPr="00EB5ADF">
              <w:rPr>
                <w:rFonts w:cs="Arial"/>
                <w:sz w:val="20"/>
                <w:szCs w:val="20"/>
                <w:lang w:val="en-GB"/>
              </w:rPr>
              <w:t xml:space="preserve"> TJ / (person</w:t>
            </w:r>
            <w:r w:rsidR="008F30EE" w:rsidRPr="00EB5ADF">
              <w:rPr>
                <w:rFonts w:cs="Arial"/>
                <w:sz w:val="20"/>
                <w:szCs w:val="20"/>
                <w:lang w:val="en-GB"/>
              </w:rPr>
              <w:t xml:space="preserve"> x </w:t>
            </w:r>
            <w:r w:rsidR="00F0781B" w:rsidRPr="00EB5ADF">
              <w:rPr>
                <w:rFonts w:cs="Arial"/>
                <w:sz w:val="20"/>
                <w:szCs w:val="20"/>
                <w:lang w:val="en-GB"/>
              </w:rPr>
              <w:t>year), equivalent to 0.49 tonnes of fuelwood / (person</w:t>
            </w:r>
            <w:r w:rsidR="008F30EE" w:rsidRPr="00EB5ADF">
              <w:rPr>
                <w:rFonts w:cs="Arial"/>
                <w:sz w:val="20"/>
                <w:szCs w:val="20"/>
                <w:lang w:val="en-GB"/>
              </w:rPr>
              <w:t xml:space="preserve"> x </w:t>
            </w:r>
            <w:r w:rsidR="00F0781B" w:rsidRPr="00EB5ADF">
              <w:rPr>
                <w:rFonts w:cs="Arial"/>
                <w:sz w:val="20"/>
                <w:szCs w:val="20"/>
                <w:lang w:val="en-GB"/>
              </w:rPr>
              <w:t>year)</w:t>
            </w:r>
            <w:r w:rsidR="00A63C13" w:rsidRPr="00EB5ADF">
              <w:rPr>
                <w:rFonts w:cs="Arial"/>
                <w:sz w:val="20"/>
                <w:szCs w:val="20"/>
                <w:lang w:val="en-GB"/>
              </w:rPr>
              <w:t>.</w:t>
            </w:r>
            <w:r w:rsidR="002C36A7" w:rsidRPr="00EB5ADF">
              <w:rPr>
                <w:rFonts w:cs="Arial"/>
                <w:sz w:val="20"/>
                <w:szCs w:val="20"/>
                <w:lang w:val="en-GB"/>
              </w:rPr>
              <w:br/>
            </w:r>
            <w:r w:rsidR="00A63C13" w:rsidRPr="00EB5ADF">
              <w:rPr>
                <w:rFonts w:cs="Arial"/>
                <w:sz w:val="20"/>
                <w:szCs w:val="20"/>
                <w:lang w:val="en-GB"/>
              </w:rPr>
              <w:t xml:space="preserve">This </w:t>
            </w:r>
            <w:r w:rsidR="00B468A6" w:rsidRPr="00EB5ADF">
              <w:rPr>
                <w:rFonts w:cs="Arial"/>
                <w:sz w:val="20"/>
                <w:szCs w:val="20"/>
                <w:lang w:val="en-GB"/>
              </w:rPr>
              <w:t>value</w:t>
            </w:r>
            <w:r w:rsidR="00A63C13" w:rsidRPr="00EB5ADF">
              <w:rPr>
                <w:rFonts w:cs="Arial"/>
                <w:sz w:val="20"/>
                <w:szCs w:val="20"/>
                <w:lang w:val="en-GB"/>
              </w:rPr>
              <w:t xml:space="preserve"> has been calculated based on a thermal efficiency of 16.6 percent</w:t>
            </w:r>
            <w:r w:rsidR="00A03C49" w:rsidRPr="00EB5ADF">
              <w:rPr>
                <w:rFonts w:cs="Arial"/>
                <w:sz w:val="20"/>
                <w:szCs w:val="20"/>
                <w:lang w:val="en-GB"/>
              </w:rPr>
              <w:t xml:space="preserve"> and</w:t>
            </w:r>
            <w:r w:rsidR="009A27E7" w:rsidRPr="00EB5ADF">
              <w:rPr>
                <w:rFonts w:cs="Arial"/>
                <w:sz w:val="20"/>
                <w:szCs w:val="20"/>
                <w:lang w:val="en-GB"/>
              </w:rPr>
              <w:t xml:space="preserve"> the standardized value for </w:t>
            </w:r>
            <w:r w:rsidR="002013A3" w:rsidRPr="00EB5ADF">
              <w:rPr>
                <w:rFonts w:cs="Arial"/>
                <w:sz w:val="20"/>
                <w:szCs w:val="20"/>
                <w:lang w:val="en-GB"/>
              </w:rPr>
              <w:t>the amount of useful energy delivered for cooking</w:t>
            </w:r>
            <w:r w:rsidR="00053706" w:rsidRPr="00EB5ADF">
              <w:rPr>
                <w:rFonts w:cs="Arial"/>
                <w:sz w:val="20"/>
                <w:szCs w:val="20"/>
                <w:lang w:val="en-GB"/>
              </w:rPr>
              <w:t xml:space="preserve"> of </w:t>
            </w:r>
            <w:r w:rsidR="002013A3" w:rsidRPr="00EB5ADF">
              <w:rPr>
                <w:rFonts w:cs="Arial"/>
                <w:sz w:val="20"/>
                <w:szCs w:val="20"/>
                <w:lang w:val="en-GB"/>
              </w:rPr>
              <w:t>0.001277 TJ per person per year for fuelwood</w:t>
            </w:r>
            <w:r w:rsidR="00053706" w:rsidRPr="00EB5ADF">
              <w:rPr>
                <w:rFonts w:cs="Arial"/>
                <w:sz w:val="20"/>
                <w:szCs w:val="20"/>
                <w:lang w:val="en-GB"/>
              </w:rPr>
              <w:t xml:space="preserve">. See </w:t>
            </w:r>
            <w:r w:rsidR="00F53581" w:rsidRPr="00EB5ADF">
              <w:rPr>
                <w:sz w:val="20"/>
                <w:szCs w:val="20"/>
              </w:rPr>
              <w:t>Appendix 7</w:t>
            </w:r>
            <w:r w:rsidR="00053706" w:rsidRPr="00EB5ADF">
              <w:rPr>
                <w:rFonts w:cs="Arial"/>
                <w:sz w:val="20"/>
                <w:szCs w:val="20"/>
                <w:lang w:val="en-GB"/>
              </w:rPr>
              <w:t xml:space="preserve"> for more details</w:t>
            </w:r>
          </w:p>
        </w:tc>
      </w:tr>
      <w:tr w:rsidR="001C2394" w:rsidRPr="009F63DF" w14:paraId="09D77503" w14:textId="77777777" w:rsidTr="00E53D71">
        <w:tc>
          <w:tcPr>
            <w:tcW w:w="2557" w:type="pct"/>
          </w:tcPr>
          <w:p w14:paraId="6B72CC6E" w14:textId="32545423" w:rsidR="001C2394" w:rsidRPr="009F63DF" w:rsidRDefault="0097321F" w:rsidP="00E53D71">
            <w:pPr>
              <w:keepNext/>
              <w:suppressAutoHyphens/>
              <w:spacing w:before="60"/>
              <w:jc w:val="left"/>
              <w:rPr>
                <w:rFonts w:cs="Arial"/>
                <w:sz w:val="20"/>
                <w:szCs w:val="20"/>
                <w:lang w:val="en-GB"/>
              </w:rPr>
            </w:pPr>
            <w:r w:rsidRPr="009F63DF">
              <w:rPr>
                <w:rFonts w:cs="Arial"/>
                <w:sz w:val="20"/>
                <w:szCs w:val="20"/>
                <w:lang w:val="en-GB"/>
              </w:rPr>
              <w:t>A</w:t>
            </w:r>
            <w:r w:rsidR="00F504B1" w:rsidRPr="009F63DF">
              <w:rPr>
                <w:rFonts w:cs="Arial"/>
                <w:sz w:val="20"/>
                <w:szCs w:val="20"/>
                <w:lang w:val="en-GB"/>
              </w:rPr>
              <w:t xml:space="preserve">rtisanal </w:t>
            </w:r>
            <w:r w:rsidR="001C2394" w:rsidRPr="009F63DF">
              <w:rPr>
                <w:rFonts w:cs="Arial"/>
                <w:sz w:val="20"/>
                <w:szCs w:val="20"/>
                <w:lang w:val="en-GB"/>
              </w:rPr>
              <w:t>charcoal</w:t>
            </w:r>
            <w:r w:rsidRPr="009F63DF">
              <w:rPr>
                <w:rFonts w:cs="Arial"/>
                <w:sz w:val="20"/>
                <w:szCs w:val="20"/>
                <w:lang w:val="en-GB"/>
              </w:rPr>
              <w:t xml:space="preserve"> is the primary fuel</w:t>
            </w:r>
          </w:p>
        </w:tc>
        <w:tc>
          <w:tcPr>
            <w:tcW w:w="2443" w:type="pct"/>
          </w:tcPr>
          <w:p w14:paraId="255A0751" w14:textId="780D91A3" w:rsidR="001C2394" w:rsidRPr="00EB5ADF" w:rsidRDefault="00053706" w:rsidP="00E53D71">
            <w:pPr>
              <w:keepNext/>
              <w:suppressAutoHyphens/>
              <w:spacing w:before="60"/>
              <w:jc w:val="left"/>
              <w:rPr>
                <w:rFonts w:cs="Arial"/>
                <w:sz w:val="20"/>
                <w:szCs w:val="20"/>
                <w:lang w:val="en-GB"/>
              </w:rPr>
            </w:pPr>
            <w:r w:rsidRPr="00EB5ADF">
              <w:rPr>
                <w:rFonts w:cs="Arial"/>
                <w:sz w:val="20"/>
                <w:szCs w:val="20"/>
                <w:lang w:val="en-GB"/>
              </w:rPr>
              <w:t>0.0040 TJ / (person</w:t>
            </w:r>
            <w:r w:rsidR="00CB743C" w:rsidRPr="00EB5ADF">
              <w:rPr>
                <w:rFonts w:cs="Arial"/>
                <w:sz w:val="20"/>
                <w:szCs w:val="20"/>
                <w:lang w:val="en-GB"/>
              </w:rPr>
              <w:t xml:space="preserve"> x </w:t>
            </w:r>
            <w:r w:rsidRPr="00EB5ADF">
              <w:rPr>
                <w:rFonts w:cs="Arial"/>
                <w:sz w:val="20"/>
                <w:szCs w:val="20"/>
                <w:lang w:val="en-GB"/>
              </w:rPr>
              <w:t>year), equivalent to 0.14 tonnes of charcoal / (person</w:t>
            </w:r>
            <w:r w:rsidR="00CB743C" w:rsidRPr="00EB5ADF">
              <w:rPr>
                <w:rFonts w:cs="Arial"/>
                <w:sz w:val="20"/>
                <w:szCs w:val="20"/>
                <w:lang w:val="en-GB"/>
              </w:rPr>
              <w:t xml:space="preserve"> x </w:t>
            </w:r>
            <w:r w:rsidRPr="00EB5ADF">
              <w:rPr>
                <w:rFonts w:cs="Arial"/>
                <w:sz w:val="20"/>
                <w:szCs w:val="20"/>
                <w:lang w:val="en-GB"/>
              </w:rPr>
              <w:t>year).</w:t>
            </w:r>
            <w:r w:rsidR="002C36A7" w:rsidRPr="00EB5ADF">
              <w:rPr>
                <w:rFonts w:cs="Arial"/>
                <w:sz w:val="20"/>
                <w:szCs w:val="20"/>
                <w:lang w:val="en-GB"/>
              </w:rPr>
              <w:br/>
            </w:r>
            <w:r w:rsidRPr="00EB5ADF">
              <w:rPr>
                <w:rFonts w:cs="Arial"/>
                <w:sz w:val="20"/>
                <w:szCs w:val="20"/>
                <w:lang w:val="en-GB"/>
              </w:rPr>
              <w:t xml:space="preserve">This value has been calculated based on a thermal efficiency of 27.46 percent and the standardized value for the amount of useful energy delivered for cooking of </w:t>
            </w:r>
            <w:r w:rsidR="001151A3" w:rsidRPr="00EB5ADF">
              <w:rPr>
                <w:sz w:val="20"/>
                <w:szCs w:val="20"/>
                <w:lang w:val="en-GB"/>
              </w:rPr>
              <w:t>0.001095</w:t>
            </w:r>
            <w:r w:rsidRPr="00EB5ADF">
              <w:rPr>
                <w:rFonts w:cs="Arial"/>
                <w:sz w:val="20"/>
                <w:szCs w:val="20"/>
                <w:lang w:val="en-GB"/>
              </w:rPr>
              <w:t xml:space="preserve"> TJ per person per year for charcoal. </w:t>
            </w:r>
            <w:r w:rsidR="00A43BE9" w:rsidRPr="00EB5ADF">
              <w:rPr>
                <w:rFonts w:cs="Arial"/>
                <w:sz w:val="20"/>
                <w:szCs w:val="20"/>
                <w:lang w:val="en-GB"/>
              </w:rPr>
              <w:t xml:space="preserve">See </w:t>
            </w:r>
            <w:r w:rsidR="00A43BE9" w:rsidRPr="00EB5ADF">
              <w:rPr>
                <w:sz w:val="20"/>
                <w:szCs w:val="20"/>
              </w:rPr>
              <w:t>Appendix 7</w:t>
            </w:r>
            <w:r w:rsidR="00A43BE9" w:rsidRPr="00EB5ADF">
              <w:rPr>
                <w:rFonts w:cs="Arial"/>
                <w:sz w:val="20"/>
                <w:szCs w:val="20"/>
                <w:lang w:val="en-GB"/>
              </w:rPr>
              <w:t xml:space="preserve"> for more details</w:t>
            </w:r>
          </w:p>
        </w:tc>
      </w:tr>
    </w:tbl>
    <w:p w14:paraId="1A4780D2" w14:textId="6073785B" w:rsidR="001C2394" w:rsidRPr="009F63DF" w:rsidRDefault="001C2394" w:rsidP="00B07AF7">
      <w:pPr>
        <w:pStyle w:val="SDMHead2"/>
      </w:pPr>
      <w:bookmarkStart w:id="339" w:name="_Toc219446929"/>
      <w:bookmarkStart w:id="340" w:name="_Toc219711064"/>
      <w:bookmarkStart w:id="341" w:name="_Toc219711167"/>
      <w:bookmarkStart w:id="342" w:name="_Toc219711344"/>
      <w:bookmarkStart w:id="343" w:name="_Ref226381192"/>
      <w:bookmarkStart w:id="344" w:name="_Toc226502278"/>
      <w:bookmarkStart w:id="345" w:name="_Toc226576231"/>
      <w:bookmarkStart w:id="346" w:name="_Toc226983081"/>
      <w:bookmarkStart w:id="347" w:name="_Toc227677278"/>
      <w:bookmarkStart w:id="348" w:name="_Toc227694800"/>
      <w:bookmarkStart w:id="349" w:name="_Toc227920914"/>
      <w:bookmarkStart w:id="350" w:name="_Toc227938815"/>
      <w:bookmarkStart w:id="351" w:name="_Toc227948066"/>
      <w:bookmarkStart w:id="352" w:name="_Toc233388623"/>
      <w:bookmarkStart w:id="353" w:name="_Toc233961430"/>
      <w:bookmarkStart w:id="354" w:name="_Toc233970239"/>
      <w:bookmarkStart w:id="355" w:name="_Toc240546569"/>
      <w:bookmarkStart w:id="356" w:name="_Toc240631970"/>
      <w:bookmarkStart w:id="357" w:name="_Toc242471155"/>
      <w:r w:rsidRPr="009F63DF">
        <w:t xml:space="preserve">Calculation of </w:t>
      </w:r>
      <w:bookmarkEnd w:id="339"/>
      <w:bookmarkEnd w:id="340"/>
      <w:bookmarkEnd w:id="341"/>
      <w:bookmarkEnd w:id="342"/>
      <w:r w:rsidR="00781C6E" w:rsidRPr="009F63DF">
        <w:t xml:space="preserve">unadjusted </w:t>
      </w:r>
      <w:r w:rsidRPr="009F63DF">
        <w:t>baseline emissions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78831241" w14:textId="1E0293B1" w:rsidR="006D2932" w:rsidRPr="009F63DF" w:rsidRDefault="005A5999" w:rsidP="00E03E61">
      <w:pPr>
        <w:pStyle w:val="SDMPara"/>
      </w:pPr>
      <w:bookmarkStart w:id="358" w:name="_Toc193924632"/>
      <w:bookmarkStart w:id="359" w:name="_Toc219446938"/>
      <w:bookmarkStart w:id="360" w:name="_Toc219711073"/>
      <w:bookmarkStart w:id="361" w:name="_Toc219711176"/>
      <w:bookmarkStart w:id="362" w:name="_Toc219711353"/>
      <w:bookmarkStart w:id="363" w:name="_Toc226502279"/>
      <w:bookmarkStart w:id="364" w:name="_Toc226576232"/>
      <w:bookmarkStart w:id="365" w:name="_Toc226983082"/>
      <w:r w:rsidRPr="009F63DF">
        <w:t xml:space="preserve">The </w:t>
      </w:r>
      <w:r w:rsidR="006A47FA" w:rsidRPr="009F63DF">
        <w:t>unadjusted</w:t>
      </w:r>
      <w:r w:rsidRPr="009F63DF">
        <w:t xml:space="preserve"> </w:t>
      </w:r>
      <w:r w:rsidR="00E97449" w:rsidRPr="009F63DF">
        <w:t>baseline emissions are calculated</w:t>
      </w:r>
      <w:r w:rsidR="006B2DF3" w:rsidRPr="009F63DF">
        <w:t xml:space="preserve"> separately for th</w:t>
      </w:r>
      <w:r w:rsidR="00FD612D" w:rsidRPr="009F63DF">
        <w:t>e</w:t>
      </w:r>
      <w:r w:rsidR="006B2DF3" w:rsidRPr="009F63DF">
        <w:t xml:space="preserve"> CO</w:t>
      </w:r>
      <w:r w:rsidR="006B2DF3" w:rsidRPr="009F63DF">
        <w:rPr>
          <w:b/>
          <w:vertAlign w:val="subscript"/>
        </w:rPr>
        <w:t>2</w:t>
      </w:r>
      <w:r w:rsidR="006B2DF3" w:rsidRPr="009F63DF">
        <w:t xml:space="preserve"> emissions subject to reversal risk</w:t>
      </w:r>
      <w:r w:rsidR="00D56D6A" w:rsidRPr="009F63DF">
        <w:t xml:space="preserve"> from the combustion of fuelwood or </w:t>
      </w:r>
      <w:r w:rsidR="00B61433" w:rsidRPr="009F63DF">
        <w:t xml:space="preserve">artisanal </w:t>
      </w:r>
      <w:r w:rsidR="00D56D6A" w:rsidRPr="009F63DF">
        <w:t>charcoal</w:t>
      </w:r>
      <w:r w:rsidR="00FD612D" w:rsidRPr="009F63DF">
        <w:t xml:space="preserve"> (</w:t>
      </w:r>
      <m:oMath>
        <m:sSub>
          <m:sSubPr>
            <m:ctrlPr>
              <w:rPr>
                <w:rFonts w:ascii="Cambria Math" w:hAnsi="Cambria Math"/>
              </w:rPr>
            </m:ctrlPr>
          </m:sSubPr>
          <m:e>
            <m:r>
              <w:rPr>
                <w:rFonts w:ascii="Cambria Math" w:hAnsi="Cambria Math"/>
              </w:rPr>
              <m:t>BE</m:t>
            </m:r>
          </m:e>
          <m:sub>
            <m:r>
              <w:rPr>
                <w:rFonts w:ascii="Cambria Math" w:hAnsi="Cambria Math"/>
              </w:rPr>
              <m:t>CO2,rr,i,y</m:t>
            </m:r>
          </m:sub>
        </m:sSub>
      </m:oMath>
      <w:r w:rsidR="00FD612D" w:rsidRPr="009F63DF">
        <w:t>)</w:t>
      </w:r>
      <w:r w:rsidR="00366153" w:rsidRPr="009F63DF">
        <w:t>, any CO</w:t>
      </w:r>
      <w:r w:rsidR="00366153" w:rsidRPr="009F63DF">
        <w:rPr>
          <w:vertAlign w:val="subscript"/>
        </w:rPr>
        <w:t>2</w:t>
      </w:r>
      <w:r w:rsidR="00366153" w:rsidRPr="009F63DF">
        <w:t xml:space="preserve"> emissions not subject to reversal risk from the combustion of secondary fuels</w:t>
      </w:r>
      <w:r w:rsidR="003F1354" w:rsidRPr="009F63DF">
        <w:t xml:space="preserve"> (i.e.</w:t>
      </w:r>
      <w:r w:rsidR="00505F95" w:rsidRPr="009F63DF">
        <w:t>,</w:t>
      </w:r>
      <w:r w:rsidR="003F1354" w:rsidRPr="009F63DF">
        <w:t xml:space="preserve"> any fuels other than fuelwood or artisanal charcoal)</w:t>
      </w:r>
      <w:r w:rsidR="00366153" w:rsidRPr="009F63DF">
        <w:t>, and non-CO</w:t>
      </w:r>
      <w:r w:rsidR="00366153" w:rsidRPr="009F63DF">
        <w:rPr>
          <w:b/>
          <w:vertAlign w:val="subscript"/>
        </w:rPr>
        <w:t>2</w:t>
      </w:r>
      <w:r w:rsidR="00366153" w:rsidRPr="009F63DF">
        <w:t xml:space="preserve"> (CH</w:t>
      </w:r>
      <w:r w:rsidR="00366153" w:rsidRPr="009F63DF">
        <w:rPr>
          <w:b/>
          <w:vertAlign w:val="subscript"/>
        </w:rPr>
        <w:t>4</w:t>
      </w:r>
      <w:r w:rsidR="00366153" w:rsidRPr="009F63DF">
        <w:t xml:space="preserve"> and N</w:t>
      </w:r>
      <w:r w:rsidR="00366153" w:rsidRPr="009F63DF">
        <w:rPr>
          <w:b/>
          <w:vertAlign w:val="subscript"/>
        </w:rPr>
        <w:t>2</w:t>
      </w:r>
      <w:r w:rsidR="00366153" w:rsidRPr="009F63DF">
        <w:t>O)</w:t>
      </w:r>
      <w:r w:rsidR="00C948A5" w:rsidRPr="009F63DF">
        <w:t xml:space="preserve"> emissions </w:t>
      </w:r>
      <w:r w:rsidR="00892E5B" w:rsidRPr="009F63DF">
        <w:t xml:space="preserve">that are not subject to reversal risk </w:t>
      </w:r>
      <w:r w:rsidR="00B81E46" w:rsidRPr="009F63DF">
        <w:t xml:space="preserve">from </w:t>
      </w:r>
      <w:r w:rsidR="003352B0" w:rsidRPr="009F63DF">
        <w:t>direct combustion</w:t>
      </w:r>
      <w:r w:rsidR="00B81E46" w:rsidRPr="009F63DF">
        <w:t xml:space="preserve"> of fuelwood and </w:t>
      </w:r>
      <w:r w:rsidR="003352B0" w:rsidRPr="009F63DF">
        <w:t xml:space="preserve">artisanal </w:t>
      </w:r>
      <w:r w:rsidR="00B81E46" w:rsidRPr="009F63DF">
        <w:t>charcoal</w:t>
      </w:r>
      <w:r w:rsidR="00C739D4" w:rsidRPr="009F63DF">
        <w:t>,</w:t>
      </w:r>
      <w:r w:rsidR="00B81E46" w:rsidRPr="009F63DF">
        <w:t xml:space="preserve"> </w:t>
      </w:r>
      <w:r w:rsidR="00892E5B" w:rsidRPr="009F63DF">
        <w:t xml:space="preserve">from </w:t>
      </w:r>
      <w:r w:rsidR="00B81E46" w:rsidRPr="009F63DF">
        <w:t>upstream production of artisanal charcoal</w:t>
      </w:r>
      <w:r w:rsidR="0021481E" w:rsidRPr="009F63DF">
        <w:t xml:space="preserve"> and also from the combustion of secondary fuels</w:t>
      </w:r>
      <w:r w:rsidRPr="009F63DF">
        <w:t>.</w:t>
      </w:r>
    </w:p>
    <w:p w14:paraId="166E8ECD" w14:textId="5D11E08A" w:rsidR="005A5999" w:rsidRPr="009F63DF" w:rsidRDefault="00EE08CB" w:rsidP="00E03E61">
      <w:pPr>
        <w:pStyle w:val="SDMPara"/>
      </w:pPr>
      <w:r w:rsidRPr="009F63DF">
        <w:t>The calculations rely on the</w:t>
      </w:r>
      <w:r w:rsidR="0067296E" w:rsidRPr="009F63DF">
        <w:t xml:space="preserve"> energy use from fuels in the baseline</w:t>
      </w:r>
      <w:r w:rsidR="00713589" w:rsidRPr="009F63DF">
        <w:t>, fNRB values</w:t>
      </w:r>
      <w:r w:rsidR="00107669" w:rsidRPr="009F63DF">
        <w:t xml:space="preserve"> for fuelwood and charcoal fuels, and emission factors for </w:t>
      </w:r>
      <w:r w:rsidR="00C60CF3" w:rsidRPr="009F63DF">
        <w:t xml:space="preserve">direct </w:t>
      </w:r>
      <w:r w:rsidR="00CD6954" w:rsidRPr="009F63DF">
        <w:t>use of fuels in residential</w:t>
      </w:r>
      <w:r w:rsidR="00B916C5" w:rsidRPr="009F63DF">
        <w:t xml:space="preserve"> settings as well as related to artisanal charcoal production</w:t>
      </w:r>
      <w:r w:rsidR="00423F14" w:rsidRPr="009F63DF">
        <w:t>.</w:t>
      </w:r>
    </w:p>
    <w:p w14:paraId="4425B475" w14:textId="0454000C" w:rsidR="001C2394" w:rsidRPr="009F63DF" w:rsidRDefault="001C2394" w:rsidP="00B07AF7">
      <w:pPr>
        <w:pStyle w:val="SDMHead3"/>
      </w:pPr>
      <w:bookmarkStart w:id="366" w:name="_Toc227677279"/>
      <w:bookmarkStart w:id="367" w:name="_Toc227694801"/>
      <w:bookmarkStart w:id="368" w:name="_Toc227920915"/>
      <w:bookmarkStart w:id="369" w:name="_Toc227938816"/>
      <w:bookmarkStart w:id="370" w:name="_Toc227948067"/>
      <w:bookmarkStart w:id="371" w:name="_Ref232068000"/>
      <w:bookmarkStart w:id="372" w:name="_Ref232415053"/>
      <w:bookmarkStart w:id="373" w:name="_Toc233388624"/>
      <w:bookmarkStart w:id="374" w:name="_Toc233961431"/>
      <w:bookmarkStart w:id="375" w:name="_Toc233970240"/>
      <w:bookmarkStart w:id="376" w:name="_Toc240546570"/>
      <w:bookmarkStart w:id="377" w:name="_Toc240631971"/>
      <w:bookmarkStart w:id="378" w:name="_Toc242471156"/>
      <w:r w:rsidRPr="009F63DF">
        <w:rPr>
          <w:rFonts w:eastAsia="Montserrat"/>
        </w:rPr>
        <w:t>Baseline emissions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4EA35C74" w14:textId="3A5AFBF1" w:rsidR="001C2394" w:rsidRPr="009F63DF" w:rsidRDefault="001C2394" w:rsidP="00E03E61">
      <w:pPr>
        <w:pStyle w:val="SDMPara"/>
      </w:pPr>
      <w:r w:rsidRPr="009F63DF">
        <w:rPr>
          <w:rFonts w:eastAsia="Montserrat"/>
        </w:rPr>
        <w:t xml:space="preserve">Baseline emissions are calculated using </w:t>
      </w:r>
      <w:r w:rsidR="00563FF6" w:rsidRPr="009F63DF">
        <w:rPr>
          <w:rFonts w:eastAsia="Montserrat"/>
        </w:rPr>
        <w:t>e</w:t>
      </w:r>
      <w:r w:rsidRPr="009F63DF">
        <w:rPr>
          <w:rFonts w:eastAsia="Montserrat"/>
        </w:rPr>
        <w:t>quation (1).</w:t>
      </w:r>
    </w:p>
    <w:tbl>
      <w:tblPr>
        <w:tblStyle w:val="SDMMethTableEquation"/>
        <w:tblW w:w="8760" w:type="dxa"/>
        <w:tblLook w:val="0600" w:firstRow="0" w:lastRow="0" w:firstColumn="0" w:lastColumn="0" w:noHBand="1" w:noVBand="1"/>
      </w:tblPr>
      <w:tblGrid>
        <w:gridCol w:w="7092"/>
        <w:gridCol w:w="1668"/>
      </w:tblGrid>
      <w:tr w:rsidR="00191320" w:rsidRPr="009F63DF" w14:paraId="597B9F67" w14:textId="77777777" w:rsidTr="00C5477B">
        <w:tc>
          <w:tcPr>
            <w:tcW w:w="7224" w:type="dxa"/>
          </w:tcPr>
          <w:p w14:paraId="72419040" w14:textId="461BE4D7" w:rsidR="00191320" w:rsidRPr="009F63DF" w:rsidRDefault="001549D8" w:rsidP="00B07AF7">
            <w:pPr>
              <w:pStyle w:val="SDMMethEquation"/>
              <w:suppressAutoHyphens/>
            </w:pPr>
            <m:oMathPara>
              <m:oMathParaPr>
                <m:jc m:val="left"/>
              </m:oMathParaPr>
              <m:oMath>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y</m:t>
                    </m:r>
                  </m:sub>
                </m:sSub>
                <m:r>
                  <w:rPr>
                    <w:rFonts w:ascii="Cambria Math" w:eastAsia="Cambria Math" w:hAnsi="Cambria Math" w:cs="Cambria Math"/>
                    <w:sz w:val="20"/>
                    <w:lang w:eastAsia="en-US"/>
                  </w:rPr>
                  <m:t xml:space="preserve"> = </m:t>
                </m:r>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CO2,rr,i,y</m:t>
                    </m:r>
                  </m:sub>
                </m:sSub>
                <m:r>
                  <w:rPr>
                    <w:rFonts w:ascii="Cambria Math" w:eastAsia="Cambria Math" w:hAnsi="Cambria Math" w:cs="Cambria Math"/>
                    <w:sz w:val="20"/>
                    <w:lang w:eastAsia="en-US"/>
                  </w:rPr>
                  <m:t>+</m:t>
                </m:r>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nonCO2,i,y</m:t>
                    </m:r>
                  </m:sub>
                </m:sSub>
                <m:r>
                  <w:rPr>
                    <w:rFonts w:ascii="Cambria Math" w:eastAsia="Cambria Math" w:hAnsi="Cambria Math" w:cs="Cambria Math"/>
                    <w:sz w:val="20"/>
                    <w:lang w:eastAsia="en-US"/>
                  </w:rPr>
                  <m:t>+</m:t>
                </m:r>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CO2,j,y</m:t>
                    </m:r>
                  </m:sub>
                </m:sSub>
                <m:r>
                  <w:rPr>
                    <w:rFonts w:ascii="Cambria Math" w:eastAsia="Cambria Math" w:hAnsi="Cambria Math" w:cs="Cambria Math"/>
                    <w:sz w:val="20"/>
                    <w:lang w:eastAsia="en-US"/>
                  </w:rPr>
                  <m:t>+</m:t>
                </m:r>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nonCO2,j,y</m:t>
                    </m:r>
                  </m:sub>
                </m:sSub>
              </m:oMath>
            </m:oMathPara>
          </w:p>
        </w:tc>
        <w:tc>
          <w:tcPr>
            <w:tcW w:w="1701" w:type="dxa"/>
          </w:tcPr>
          <w:p w14:paraId="5847E727" w14:textId="77777777" w:rsidR="00191320" w:rsidRPr="009F63DF" w:rsidRDefault="00191320" w:rsidP="00AF1AC1">
            <w:pPr>
              <w:pStyle w:val="SDMMethEquationNr"/>
              <w:numPr>
                <w:ilvl w:val="0"/>
                <w:numId w:val="29"/>
              </w:numPr>
              <w:suppressAutoHyphens/>
            </w:pPr>
          </w:p>
        </w:tc>
      </w:tr>
    </w:tbl>
    <w:p w14:paraId="769F2342" w14:textId="77777777" w:rsidR="00191320" w:rsidRPr="009F63DF" w:rsidRDefault="00191320" w:rsidP="00655F47">
      <w:pPr>
        <w:pStyle w:val="SDMMethCaptionEquationParametersTable"/>
        <w:suppressAutoHyphens/>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191320" w:rsidRPr="009F63DF" w14:paraId="18F99509" w14:textId="77777777" w:rsidTr="00DF4EAF">
        <w:tc>
          <w:tcPr>
            <w:tcW w:w="1701" w:type="dxa"/>
            <w:vAlign w:val="top"/>
          </w:tcPr>
          <w:p w14:paraId="3F0A63C7" w14:textId="513F016C" w:rsidR="00191320" w:rsidRPr="009F63DF" w:rsidRDefault="001549D8" w:rsidP="00B07AF7">
            <w:pPr>
              <w:pStyle w:val="SDMTableBoxParaNotNumbered"/>
              <w:suppressAutoHyphens/>
            </w:pPr>
            <m:oMathPara>
              <m:oMathParaPr>
                <m:jc m:val="left"/>
              </m:oMathParaPr>
              <m:oMath>
                <m:sSub>
                  <m:sSubPr>
                    <m:ctrlPr>
                      <w:rPr>
                        <w:rFonts w:ascii="Cambria Math" w:hAnsi="Cambria Math" w:cstheme="minorBidi"/>
                      </w:rPr>
                    </m:ctrlPr>
                  </m:sSubPr>
                  <m:e>
                    <m:r>
                      <w:rPr>
                        <w:rFonts w:ascii="Cambria Math" w:hAnsi="Cambria Math" w:cstheme="minorBidi"/>
                      </w:rPr>
                      <m:t>BE</m:t>
                    </m:r>
                  </m:e>
                  <m:sub>
                    <m:r>
                      <w:rPr>
                        <w:rFonts w:ascii="Cambria Math" w:hAnsi="Cambria Math" w:cstheme="minorBidi"/>
                      </w:rPr>
                      <m:t>y</m:t>
                    </m:r>
                  </m:sub>
                </m:sSub>
              </m:oMath>
            </m:oMathPara>
          </w:p>
        </w:tc>
        <w:tc>
          <w:tcPr>
            <w:tcW w:w="345" w:type="dxa"/>
            <w:vAlign w:val="top"/>
          </w:tcPr>
          <w:p w14:paraId="0CA29A98" w14:textId="77777777" w:rsidR="00191320" w:rsidRPr="009F63DF" w:rsidRDefault="00191320" w:rsidP="00B07AF7">
            <w:pPr>
              <w:pStyle w:val="SDMTableBoxParaNotNumbered"/>
              <w:suppressAutoHyphens/>
            </w:pPr>
            <w:r w:rsidRPr="009F63DF">
              <w:t>=</w:t>
            </w:r>
          </w:p>
        </w:tc>
        <w:tc>
          <w:tcPr>
            <w:tcW w:w="0" w:type="auto"/>
            <w:vAlign w:val="top"/>
          </w:tcPr>
          <w:p w14:paraId="55116FC4" w14:textId="25D8D2A4" w:rsidR="00191320" w:rsidRPr="009F63DF" w:rsidRDefault="00191320" w:rsidP="00B07AF7">
            <w:pPr>
              <w:pStyle w:val="SDMTableBoxParaNotNumbered"/>
              <w:suppressAutoHyphens/>
            </w:pPr>
            <w:r w:rsidRPr="009F63DF">
              <w:t xml:space="preserve">Unadjusted baseline emissions during year </w:t>
            </w:r>
            <w:r w:rsidRPr="009F63DF">
              <w:rPr>
                <w:i/>
              </w:rPr>
              <w:t>y</w:t>
            </w:r>
            <w:r w:rsidRPr="009F63DF">
              <w:t xml:space="preserve"> (t</w:t>
            </w:r>
            <w:r w:rsidR="006D5F34">
              <w:t xml:space="preserve"> </w:t>
            </w:r>
            <w:r w:rsidRPr="009F63DF">
              <w:t>CO</w:t>
            </w:r>
            <w:r w:rsidRPr="006D5F34">
              <w:rPr>
                <w:vertAlign w:val="subscript"/>
              </w:rPr>
              <w:t>2</w:t>
            </w:r>
            <w:r w:rsidR="006D5F34" w:rsidRPr="006D5F34">
              <w:t xml:space="preserve"> </w:t>
            </w:r>
            <w:r w:rsidRPr="009F63DF">
              <w:t>eq)</w:t>
            </w:r>
          </w:p>
        </w:tc>
      </w:tr>
      <w:tr w:rsidR="00191320" w:rsidRPr="009F63DF" w14:paraId="35AE73CC" w14:textId="77777777" w:rsidTr="00DF4EAF">
        <w:tc>
          <w:tcPr>
            <w:tcW w:w="1701" w:type="dxa"/>
            <w:vAlign w:val="top"/>
          </w:tcPr>
          <w:p w14:paraId="08900216" w14:textId="7B4602E3" w:rsidR="00191320" w:rsidRPr="009F63DF" w:rsidRDefault="001549D8" w:rsidP="00B07AF7">
            <w:pPr>
              <w:pStyle w:val="SDMTableBoxParaNotNumbered"/>
              <w:suppressAutoHyphens/>
            </w:pPr>
            <m:oMathPara>
              <m:oMathParaPr>
                <m:jc m:val="left"/>
              </m:oMathParaPr>
              <m:oMath>
                <m:sSub>
                  <m:sSubPr>
                    <m:ctrlPr>
                      <w:rPr>
                        <w:rFonts w:ascii="Cambria Math" w:hAnsi="Cambria Math" w:cstheme="minorBidi"/>
                      </w:rPr>
                    </m:ctrlPr>
                  </m:sSubPr>
                  <m:e>
                    <m:r>
                      <w:rPr>
                        <w:rFonts w:ascii="Cambria Math" w:hAnsi="Cambria Math" w:cstheme="minorBidi"/>
                      </w:rPr>
                      <m:t>BE</m:t>
                    </m:r>
                  </m:e>
                  <m:sub>
                    <m:r>
                      <w:rPr>
                        <w:rFonts w:ascii="Cambria Math" w:hAnsi="Cambria Math" w:cstheme="minorBidi"/>
                      </w:rPr>
                      <m:t>CO2,rr,i,y</m:t>
                    </m:r>
                  </m:sub>
                </m:sSub>
              </m:oMath>
            </m:oMathPara>
          </w:p>
        </w:tc>
        <w:tc>
          <w:tcPr>
            <w:tcW w:w="345" w:type="dxa"/>
            <w:vAlign w:val="top"/>
          </w:tcPr>
          <w:p w14:paraId="17ACBB0B" w14:textId="7F309D0A" w:rsidR="00191320" w:rsidRPr="009F63DF" w:rsidRDefault="00191320" w:rsidP="00B07AF7">
            <w:pPr>
              <w:pStyle w:val="SDMTableBoxParaNotNumbered"/>
              <w:suppressAutoHyphens/>
            </w:pPr>
            <w:r w:rsidRPr="009F63DF">
              <w:t>=</w:t>
            </w:r>
          </w:p>
        </w:tc>
        <w:tc>
          <w:tcPr>
            <w:tcW w:w="0" w:type="auto"/>
            <w:vAlign w:val="top"/>
          </w:tcPr>
          <w:p w14:paraId="58905F8C" w14:textId="2C6BDB85" w:rsidR="00191320" w:rsidRPr="009F63DF" w:rsidRDefault="00191320" w:rsidP="00B07AF7">
            <w:pPr>
              <w:pStyle w:val="SDMTableBoxParaNotNumbered"/>
              <w:suppressAutoHyphens/>
            </w:pPr>
            <w:r w:rsidRPr="009F63DF">
              <w:t>Unadjusted baseline emissions of CO</w:t>
            </w:r>
            <w:r w:rsidRPr="009F63DF">
              <w:rPr>
                <w:vertAlign w:val="subscript"/>
              </w:rPr>
              <w:t>2</w:t>
            </w:r>
            <w:r w:rsidRPr="009F63DF">
              <w:t xml:space="preserve"> from </w:t>
            </w:r>
            <w:r w:rsidR="00427F5A" w:rsidRPr="009F63DF">
              <w:t>GHG</w:t>
            </w:r>
            <w:r w:rsidRPr="009F63DF">
              <w:t xml:space="preserve"> reservoirs that are subject to reversal risk for fuel type </w:t>
            </w:r>
            <w:r w:rsidRPr="009F63DF">
              <w:rPr>
                <w:i/>
              </w:rPr>
              <w:t xml:space="preserve">i </w:t>
            </w:r>
            <w:r w:rsidRPr="009F63DF">
              <w:t xml:space="preserve">in year </w:t>
            </w:r>
            <w:r w:rsidRPr="009F63DF">
              <w:rPr>
                <w:i/>
              </w:rPr>
              <w:t>y</w:t>
            </w:r>
            <w:r w:rsidRPr="009F63DF">
              <w:t xml:space="preserve"> (</w:t>
            </w:r>
            <w:r w:rsidR="008725FE" w:rsidRPr="009F63DF">
              <w:t>t</w:t>
            </w:r>
            <w:r w:rsidR="008725FE">
              <w:t xml:space="preserve"> </w:t>
            </w:r>
            <w:r w:rsidR="008725FE" w:rsidRPr="009F63DF">
              <w:t>CO</w:t>
            </w:r>
            <w:r w:rsidR="008725FE" w:rsidRPr="006D5F34">
              <w:rPr>
                <w:vertAlign w:val="subscript"/>
              </w:rPr>
              <w:t>2</w:t>
            </w:r>
            <w:r w:rsidR="008725FE" w:rsidRPr="006D5F34">
              <w:t xml:space="preserve"> </w:t>
            </w:r>
            <w:r w:rsidR="008725FE" w:rsidRPr="009F63DF">
              <w:t>eq</w:t>
            </w:r>
            <w:r w:rsidRPr="009F63DF">
              <w:t>)</w:t>
            </w:r>
          </w:p>
        </w:tc>
      </w:tr>
      <w:tr w:rsidR="00191320" w:rsidRPr="009F63DF" w14:paraId="47774BC3" w14:textId="77777777" w:rsidTr="00DF4EAF">
        <w:tc>
          <w:tcPr>
            <w:tcW w:w="1701" w:type="dxa"/>
            <w:vAlign w:val="top"/>
          </w:tcPr>
          <w:p w14:paraId="13D05258" w14:textId="64285C38" w:rsidR="00191320" w:rsidRPr="009F63DF" w:rsidRDefault="001549D8" w:rsidP="00B07AF7">
            <w:pPr>
              <w:pStyle w:val="SDMTableBoxParaNotNumbered"/>
              <w:suppressAutoHyphens/>
            </w:pPr>
            <m:oMathPara>
              <m:oMathParaPr>
                <m:jc m:val="left"/>
              </m:oMathParaPr>
              <m:oMath>
                <m:sSub>
                  <m:sSubPr>
                    <m:ctrlPr>
                      <w:rPr>
                        <w:rFonts w:ascii="Cambria Math" w:hAnsi="Cambria Math" w:cstheme="minorBidi"/>
                      </w:rPr>
                    </m:ctrlPr>
                  </m:sSubPr>
                  <m:e>
                    <m:r>
                      <w:rPr>
                        <w:rFonts w:ascii="Cambria Math" w:hAnsi="Cambria Math" w:cstheme="minorBidi"/>
                      </w:rPr>
                      <m:t>BE</m:t>
                    </m:r>
                  </m:e>
                  <m:sub>
                    <m:r>
                      <w:rPr>
                        <w:rFonts w:ascii="Cambria Math" w:hAnsi="Cambria Math" w:cstheme="minorBidi"/>
                      </w:rPr>
                      <m:t>nonCO2,i,y</m:t>
                    </m:r>
                  </m:sub>
                </m:sSub>
              </m:oMath>
            </m:oMathPara>
          </w:p>
        </w:tc>
        <w:tc>
          <w:tcPr>
            <w:tcW w:w="345" w:type="dxa"/>
            <w:vAlign w:val="top"/>
          </w:tcPr>
          <w:p w14:paraId="39F3B40A" w14:textId="0EF0D117" w:rsidR="00191320" w:rsidRPr="009F63DF" w:rsidRDefault="00191320" w:rsidP="00B07AF7">
            <w:pPr>
              <w:pStyle w:val="SDMTableBoxParaNotNumbered"/>
              <w:suppressAutoHyphens/>
            </w:pPr>
            <w:r w:rsidRPr="009F63DF">
              <w:t>=</w:t>
            </w:r>
          </w:p>
        </w:tc>
        <w:tc>
          <w:tcPr>
            <w:tcW w:w="0" w:type="auto"/>
            <w:vAlign w:val="top"/>
          </w:tcPr>
          <w:p w14:paraId="554EB4B4" w14:textId="3879DD2E" w:rsidR="00191320" w:rsidRPr="009F63DF" w:rsidRDefault="00DF4EAF" w:rsidP="00B07AF7">
            <w:pPr>
              <w:pStyle w:val="SDMTableBoxParaNotNumbered"/>
              <w:suppressAutoHyphens/>
            </w:pPr>
            <w:r w:rsidRPr="009F63DF">
              <w:t>Unadjusted non-CO</w:t>
            </w:r>
            <w:r w:rsidRPr="009F63DF">
              <w:rPr>
                <w:vertAlign w:val="subscript"/>
              </w:rPr>
              <w:t>2</w:t>
            </w:r>
            <w:r w:rsidRPr="009F63DF">
              <w:t xml:space="preserve"> baseline emissions not subject to reversal risk for fuel type </w:t>
            </w:r>
            <w:r w:rsidRPr="009F63DF">
              <w:rPr>
                <w:i/>
              </w:rPr>
              <w:t>i</w:t>
            </w:r>
            <w:r w:rsidRPr="009F63DF">
              <w:t xml:space="preserve"> in year </w:t>
            </w:r>
            <w:r w:rsidRPr="009F63DF">
              <w:rPr>
                <w:i/>
              </w:rPr>
              <w:t>y</w:t>
            </w:r>
            <w:r w:rsidRPr="009F63DF">
              <w:t xml:space="preserve"> (</w:t>
            </w:r>
            <w:r w:rsidR="008725FE" w:rsidRPr="009F63DF">
              <w:t>t</w:t>
            </w:r>
            <w:r w:rsidR="008725FE">
              <w:t xml:space="preserve"> </w:t>
            </w:r>
            <w:r w:rsidR="008725FE" w:rsidRPr="009F63DF">
              <w:t>CO</w:t>
            </w:r>
            <w:r w:rsidR="008725FE" w:rsidRPr="006D5F34">
              <w:rPr>
                <w:vertAlign w:val="subscript"/>
              </w:rPr>
              <w:t>2</w:t>
            </w:r>
            <w:r w:rsidR="008725FE" w:rsidRPr="006D5F34">
              <w:t xml:space="preserve"> </w:t>
            </w:r>
            <w:r w:rsidR="008725FE" w:rsidRPr="009F63DF">
              <w:t>eq</w:t>
            </w:r>
            <w:r w:rsidRPr="009F63DF">
              <w:t>)</w:t>
            </w:r>
          </w:p>
        </w:tc>
      </w:tr>
      <w:tr w:rsidR="00061169" w:rsidRPr="009F63DF" w14:paraId="40F50F44" w14:textId="77777777" w:rsidTr="00DF4EAF">
        <w:tc>
          <w:tcPr>
            <w:tcW w:w="1701" w:type="dxa"/>
            <w:vAlign w:val="top"/>
          </w:tcPr>
          <w:p w14:paraId="6411AE9A" w14:textId="30CFE5AA" w:rsidR="00061169" w:rsidRPr="009F63DF" w:rsidRDefault="001549D8" w:rsidP="00061169">
            <w:pPr>
              <w:pStyle w:val="SDMTableBoxParaNotNumbered"/>
              <w:suppressAutoHyphens/>
              <w:rPr>
                <w:rFonts w:eastAsia="MS Mincho"/>
              </w:rPr>
            </w:pPr>
            <m:oMathPara>
              <m:oMathParaPr>
                <m:jc m:val="left"/>
              </m:oMathParaPr>
              <m:oMath>
                <m:sSub>
                  <m:sSubPr>
                    <m:ctrlPr>
                      <w:rPr>
                        <w:rFonts w:ascii="Cambria Math" w:hAnsi="Cambria Math" w:cstheme="minorBidi"/>
                      </w:rPr>
                    </m:ctrlPr>
                  </m:sSubPr>
                  <m:e>
                    <m:r>
                      <w:rPr>
                        <w:rFonts w:ascii="Cambria Math" w:hAnsi="Cambria Math" w:cstheme="minorBidi"/>
                      </w:rPr>
                      <m:t>BE</m:t>
                    </m:r>
                  </m:e>
                  <m:sub>
                    <m:r>
                      <w:rPr>
                        <w:rFonts w:ascii="Cambria Math" w:hAnsi="Cambria Math" w:cstheme="minorBidi"/>
                      </w:rPr>
                      <m:t>CO2,j,y</m:t>
                    </m:r>
                  </m:sub>
                </m:sSub>
              </m:oMath>
            </m:oMathPara>
          </w:p>
        </w:tc>
        <w:tc>
          <w:tcPr>
            <w:tcW w:w="345" w:type="dxa"/>
            <w:vAlign w:val="top"/>
          </w:tcPr>
          <w:p w14:paraId="15643C10" w14:textId="32AA7E01" w:rsidR="00061169" w:rsidRPr="009F63DF" w:rsidRDefault="00061169" w:rsidP="00061169">
            <w:pPr>
              <w:pStyle w:val="SDMTableBoxParaNotNumbered"/>
              <w:suppressAutoHyphens/>
            </w:pPr>
            <w:r w:rsidRPr="009F63DF">
              <w:t>=</w:t>
            </w:r>
          </w:p>
        </w:tc>
        <w:tc>
          <w:tcPr>
            <w:tcW w:w="0" w:type="auto"/>
            <w:vAlign w:val="top"/>
          </w:tcPr>
          <w:p w14:paraId="4160FDCA" w14:textId="11E3A333" w:rsidR="00061169" w:rsidRPr="009F63DF" w:rsidRDefault="00061169" w:rsidP="00061169">
            <w:pPr>
              <w:pStyle w:val="SDMTableBoxParaNotNumbered"/>
              <w:suppressAutoHyphens/>
            </w:pPr>
            <w:r w:rsidRPr="009F63DF">
              <w:t>Unadjusted baseline emissions of CO</w:t>
            </w:r>
            <w:r w:rsidRPr="009F63DF">
              <w:rPr>
                <w:vertAlign w:val="subscript"/>
              </w:rPr>
              <w:t>2</w:t>
            </w:r>
            <w:r w:rsidRPr="009F63DF">
              <w:t xml:space="preserve"> that are not subject to reversal risk from the combustion of secondary fuel type </w:t>
            </w:r>
            <w:r w:rsidRPr="009F63DF">
              <w:rPr>
                <w:i/>
              </w:rPr>
              <w:t xml:space="preserve">j </w:t>
            </w:r>
            <w:r w:rsidRPr="009F63DF">
              <w:t xml:space="preserve">in year </w:t>
            </w:r>
            <w:r w:rsidRPr="009F63DF">
              <w:rPr>
                <w:i/>
              </w:rPr>
              <w:t>y</w:t>
            </w:r>
            <w:r w:rsidRPr="009F63DF">
              <w:t xml:space="preserve"> (</w:t>
            </w:r>
            <w:r w:rsidR="008725FE" w:rsidRPr="009F63DF">
              <w:t>t</w:t>
            </w:r>
            <w:r w:rsidR="008725FE">
              <w:t xml:space="preserve"> </w:t>
            </w:r>
            <w:r w:rsidR="008725FE" w:rsidRPr="009F63DF">
              <w:t>CO</w:t>
            </w:r>
            <w:r w:rsidR="008725FE" w:rsidRPr="006D5F34">
              <w:rPr>
                <w:vertAlign w:val="subscript"/>
              </w:rPr>
              <w:t>2</w:t>
            </w:r>
            <w:r w:rsidR="008725FE" w:rsidRPr="006D5F34">
              <w:t xml:space="preserve"> </w:t>
            </w:r>
            <w:r w:rsidR="008725FE" w:rsidRPr="009F63DF">
              <w:t>eq</w:t>
            </w:r>
            <w:r w:rsidRPr="009F63DF">
              <w:t>)</w:t>
            </w:r>
          </w:p>
        </w:tc>
      </w:tr>
      <w:tr w:rsidR="00061169" w:rsidRPr="009F63DF" w14:paraId="484B6F9B" w14:textId="77777777" w:rsidTr="00DF4EAF">
        <w:tc>
          <w:tcPr>
            <w:tcW w:w="1701" w:type="dxa"/>
            <w:vAlign w:val="top"/>
          </w:tcPr>
          <w:p w14:paraId="08FDD0D6" w14:textId="36A3E490" w:rsidR="00061169" w:rsidRPr="009F63DF" w:rsidRDefault="001549D8" w:rsidP="00061169">
            <w:pPr>
              <w:pStyle w:val="SDMTableBoxParaNotNumbered"/>
              <w:suppressAutoHyphens/>
            </w:pPr>
            <m:oMathPara>
              <m:oMathParaPr>
                <m:jc m:val="left"/>
              </m:oMathParaPr>
              <m:oMath>
                <m:sSub>
                  <m:sSubPr>
                    <m:ctrlPr>
                      <w:rPr>
                        <w:rFonts w:ascii="Cambria Math" w:hAnsi="Cambria Math" w:cstheme="minorBidi"/>
                      </w:rPr>
                    </m:ctrlPr>
                  </m:sSubPr>
                  <m:e>
                    <m:r>
                      <w:rPr>
                        <w:rFonts w:ascii="Cambria Math" w:hAnsi="Cambria Math" w:cstheme="minorBidi"/>
                      </w:rPr>
                      <m:t>BE</m:t>
                    </m:r>
                  </m:e>
                  <m:sub>
                    <m:r>
                      <w:rPr>
                        <w:rFonts w:ascii="Cambria Math" w:hAnsi="Cambria Math" w:cstheme="minorBidi"/>
                      </w:rPr>
                      <m:t>nonCO2,j,y</m:t>
                    </m:r>
                  </m:sub>
                </m:sSub>
              </m:oMath>
            </m:oMathPara>
          </w:p>
        </w:tc>
        <w:tc>
          <w:tcPr>
            <w:tcW w:w="345" w:type="dxa"/>
            <w:vAlign w:val="top"/>
          </w:tcPr>
          <w:p w14:paraId="0C414FE7" w14:textId="479220FE" w:rsidR="00061169" w:rsidRPr="009F63DF" w:rsidRDefault="00061169" w:rsidP="00061169">
            <w:pPr>
              <w:pStyle w:val="SDMTableBoxParaNotNumbered"/>
              <w:suppressAutoHyphens/>
            </w:pPr>
            <w:r w:rsidRPr="009F63DF">
              <w:t>=</w:t>
            </w:r>
          </w:p>
        </w:tc>
        <w:tc>
          <w:tcPr>
            <w:tcW w:w="0" w:type="auto"/>
            <w:vAlign w:val="top"/>
          </w:tcPr>
          <w:p w14:paraId="40A30033" w14:textId="30D4B10B" w:rsidR="00061169" w:rsidRPr="009F63DF" w:rsidRDefault="00061169" w:rsidP="00061169">
            <w:pPr>
              <w:pStyle w:val="SDMTableBoxParaNotNumbered"/>
              <w:suppressAutoHyphens/>
            </w:pPr>
            <w:r w:rsidRPr="009F63DF">
              <w:t>Unadjusted non-CO</w:t>
            </w:r>
            <w:r w:rsidRPr="009F63DF">
              <w:rPr>
                <w:vertAlign w:val="subscript"/>
              </w:rPr>
              <w:t>2</w:t>
            </w:r>
            <w:r w:rsidRPr="009F63DF">
              <w:t xml:space="preserve"> baseline emissions not subject to reversal risk for fuel type </w:t>
            </w:r>
            <w:r w:rsidRPr="009F63DF">
              <w:rPr>
                <w:i/>
              </w:rPr>
              <w:t xml:space="preserve">j </w:t>
            </w:r>
            <w:r w:rsidRPr="009F63DF">
              <w:t xml:space="preserve">in year </w:t>
            </w:r>
            <w:r w:rsidRPr="009F63DF">
              <w:rPr>
                <w:i/>
              </w:rPr>
              <w:t>y</w:t>
            </w:r>
            <w:r w:rsidRPr="009F63DF">
              <w:t xml:space="preserve"> (</w:t>
            </w:r>
            <w:r w:rsidR="008725FE" w:rsidRPr="009F63DF">
              <w:t>t</w:t>
            </w:r>
            <w:r w:rsidR="008725FE">
              <w:t xml:space="preserve"> </w:t>
            </w:r>
            <w:r w:rsidR="008725FE" w:rsidRPr="009F63DF">
              <w:t>CO</w:t>
            </w:r>
            <w:r w:rsidR="008725FE" w:rsidRPr="006D5F34">
              <w:rPr>
                <w:vertAlign w:val="subscript"/>
              </w:rPr>
              <w:t>2</w:t>
            </w:r>
            <w:r w:rsidR="008725FE" w:rsidRPr="006D5F34">
              <w:t xml:space="preserve"> </w:t>
            </w:r>
            <w:r w:rsidR="008725FE" w:rsidRPr="009F63DF">
              <w:t>eq</w:t>
            </w:r>
            <w:r w:rsidRPr="009F63DF">
              <w:t>)</w:t>
            </w:r>
          </w:p>
        </w:tc>
      </w:tr>
      <w:tr w:rsidR="00061169" w:rsidRPr="009F63DF" w14:paraId="7FF4B586" w14:textId="77777777" w:rsidTr="00DF4EAF">
        <w:tc>
          <w:tcPr>
            <w:tcW w:w="1701" w:type="dxa"/>
            <w:vAlign w:val="top"/>
          </w:tcPr>
          <w:p w14:paraId="7729160A" w14:textId="4FDDCC81" w:rsidR="00061169" w:rsidRPr="009F63DF" w:rsidRDefault="00061169" w:rsidP="00061169">
            <w:pPr>
              <w:pStyle w:val="SDMTableBoxParaNotNumbered"/>
              <w:suppressAutoHyphens/>
            </w:pPr>
            <w:r w:rsidRPr="009F63DF">
              <w:rPr>
                <w:rFonts w:ascii="Cambria Math" w:hAnsi="Cambria Math" w:cstheme="minorBidi"/>
                <w:i/>
              </w:rPr>
              <w:t>i</w:t>
            </w:r>
          </w:p>
        </w:tc>
        <w:tc>
          <w:tcPr>
            <w:tcW w:w="345" w:type="dxa"/>
            <w:vAlign w:val="top"/>
          </w:tcPr>
          <w:p w14:paraId="7E3F79EF" w14:textId="4C088E9C" w:rsidR="00061169" w:rsidRPr="009F63DF" w:rsidRDefault="00061169" w:rsidP="00061169">
            <w:pPr>
              <w:pStyle w:val="SDMTableBoxParaNotNumbered"/>
              <w:suppressAutoHyphens/>
            </w:pPr>
            <w:r w:rsidRPr="009F63DF">
              <w:t>=</w:t>
            </w:r>
          </w:p>
        </w:tc>
        <w:tc>
          <w:tcPr>
            <w:tcW w:w="0" w:type="auto"/>
            <w:vAlign w:val="top"/>
          </w:tcPr>
          <w:p w14:paraId="6435D336" w14:textId="16298066" w:rsidR="00061169" w:rsidRPr="009F63DF" w:rsidRDefault="00061169" w:rsidP="00061169">
            <w:pPr>
              <w:pStyle w:val="SDMTableBoxParaNotNumbered"/>
              <w:suppressAutoHyphens/>
            </w:pPr>
            <w:r w:rsidRPr="009F63DF">
              <w:t>Primary fuel types (fuelwood or charcoal)</w:t>
            </w:r>
          </w:p>
        </w:tc>
      </w:tr>
      <w:tr w:rsidR="00061169" w:rsidRPr="009F63DF" w14:paraId="1965ADF6" w14:textId="77777777" w:rsidTr="00DF4EAF">
        <w:tc>
          <w:tcPr>
            <w:tcW w:w="1701" w:type="dxa"/>
            <w:vAlign w:val="top"/>
          </w:tcPr>
          <w:p w14:paraId="52FB3962" w14:textId="36F9341B" w:rsidR="00061169" w:rsidRPr="009F63DF" w:rsidRDefault="00061169" w:rsidP="00061169">
            <w:pPr>
              <w:pStyle w:val="SDMTableBoxParaNotNumbered"/>
              <w:suppressAutoHyphens/>
            </w:pPr>
            <w:r w:rsidRPr="009F63DF">
              <w:rPr>
                <w:rFonts w:ascii="Cambria Math" w:hAnsi="Cambria Math" w:cstheme="minorBidi"/>
                <w:i/>
              </w:rPr>
              <w:t>j</w:t>
            </w:r>
          </w:p>
        </w:tc>
        <w:tc>
          <w:tcPr>
            <w:tcW w:w="345" w:type="dxa"/>
            <w:vAlign w:val="top"/>
          </w:tcPr>
          <w:p w14:paraId="0AD5445D" w14:textId="374F3E03" w:rsidR="00061169" w:rsidRPr="009F63DF" w:rsidRDefault="00061169" w:rsidP="00061169">
            <w:pPr>
              <w:pStyle w:val="SDMTableBoxParaNotNumbered"/>
              <w:suppressAutoHyphens/>
            </w:pPr>
            <w:r w:rsidRPr="009F63DF">
              <w:t>=</w:t>
            </w:r>
          </w:p>
        </w:tc>
        <w:tc>
          <w:tcPr>
            <w:tcW w:w="0" w:type="auto"/>
            <w:vAlign w:val="top"/>
          </w:tcPr>
          <w:p w14:paraId="32AC5C82" w14:textId="5B6A6E7C" w:rsidR="00061169" w:rsidRPr="009F63DF" w:rsidRDefault="00061169" w:rsidP="00061169">
            <w:pPr>
              <w:pStyle w:val="SDMTableBoxParaNotNumbered"/>
              <w:suppressAutoHyphens/>
            </w:pPr>
            <w:r w:rsidRPr="009F63DF">
              <w:t>Secondary fuel types (e.g. fossil fuels or dung)</w:t>
            </w:r>
          </w:p>
        </w:tc>
      </w:tr>
      <w:tr w:rsidR="00061169" w:rsidRPr="009F63DF" w14:paraId="5EA60801" w14:textId="77777777" w:rsidTr="00DF4EAF">
        <w:tc>
          <w:tcPr>
            <w:tcW w:w="1701" w:type="dxa"/>
            <w:vAlign w:val="top"/>
          </w:tcPr>
          <w:p w14:paraId="5D58684B" w14:textId="5B2A660A" w:rsidR="00061169" w:rsidRPr="009F63DF" w:rsidRDefault="00061169" w:rsidP="00061169">
            <w:pPr>
              <w:pStyle w:val="SDMTableBoxParaNotNumbered"/>
              <w:suppressAutoHyphens/>
            </w:pPr>
            <w:r w:rsidRPr="009F63DF">
              <w:rPr>
                <w:rFonts w:ascii="Cambria Math" w:hAnsi="Cambria Math" w:cstheme="minorBidi"/>
                <w:i/>
              </w:rPr>
              <w:t>y</w:t>
            </w:r>
          </w:p>
        </w:tc>
        <w:tc>
          <w:tcPr>
            <w:tcW w:w="345" w:type="dxa"/>
            <w:vAlign w:val="top"/>
          </w:tcPr>
          <w:p w14:paraId="23A5F9E9" w14:textId="7F53C472" w:rsidR="00061169" w:rsidRPr="009F63DF" w:rsidRDefault="00061169" w:rsidP="00061169">
            <w:pPr>
              <w:pStyle w:val="SDMTableBoxParaNotNumbered"/>
              <w:suppressAutoHyphens/>
            </w:pPr>
            <w:r w:rsidRPr="009F63DF">
              <w:t>=</w:t>
            </w:r>
          </w:p>
        </w:tc>
        <w:tc>
          <w:tcPr>
            <w:tcW w:w="0" w:type="auto"/>
            <w:vAlign w:val="top"/>
          </w:tcPr>
          <w:p w14:paraId="3171325E" w14:textId="2A5C4F12" w:rsidR="00061169" w:rsidRPr="009F63DF" w:rsidRDefault="00061169" w:rsidP="00061169">
            <w:pPr>
              <w:pStyle w:val="SDMTableBoxParaNotNumbered"/>
              <w:suppressAutoHyphens/>
            </w:pPr>
            <w:r w:rsidRPr="009F63DF">
              <w:t>Calendar year of the crediting period</w:t>
            </w:r>
          </w:p>
        </w:tc>
      </w:tr>
    </w:tbl>
    <w:tbl>
      <w:tblPr>
        <w:tblStyle w:val="SDMMethTableEquation"/>
        <w:tblW w:w="8760" w:type="dxa"/>
        <w:tblLook w:val="0600" w:firstRow="0" w:lastRow="0" w:firstColumn="0" w:lastColumn="0" w:noHBand="1" w:noVBand="1"/>
      </w:tblPr>
      <w:tblGrid>
        <w:gridCol w:w="7095"/>
        <w:gridCol w:w="1665"/>
      </w:tblGrid>
      <w:tr w:rsidR="00DF4EAF" w:rsidRPr="009F63DF" w14:paraId="7696B778" w14:textId="77777777" w:rsidTr="00E53D71">
        <w:tc>
          <w:tcPr>
            <w:tcW w:w="7095" w:type="dxa"/>
          </w:tcPr>
          <w:p w14:paraId="5D5BCE0F" w14:textId="5224D544" w:rsidR="00DF4EAF" w:rsidRPr="009F63DF" w:rsidRDefault="001549D8" w:rsidP="00B07AF7">
            <w:pPr>
              <w:pStyle w:val="SDMMethEquation"/>
              <w:suppressAutoHyphens/>
            </w:pPr>
            <m:oMathPara>
              <m:oMathParaPr>
                <m:jc m:val="left"/>
              </m:oMathParaPr>
              <m:oMath>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CO2,rr,i,y</m:t>
                    </m:r>
                  </m:sub>
                </m:sSub>
                <m:r>
                  <w:rPr>
                    <w:rFonts w:ascii="Cambria Math" w:eastAsia="Cambria Math" w:hAnsi="Cambria Math" w:cs="Cambria Math"/>
                    <w:sz w:val="20"/>
                    <w:lang w:eastAsia="en-US"/>
                  </w:rPr>
                  <m:t xml:space="preserve"> = </m:t>
                </m:r>
                <m:nary>
                  <m:naryPr>
                    <m:chr m:val="∑"/>
                    <m:supHide m:val="1"/>
                    <m:ctrlPr>
                      <w:rPr>
                        <w:rFonts w:ascii="Cambria Math" w:eastAsia="Cambria Math" w:hAnsi="Cambria Math" w:cs="Cambria Math"/>
                        <w:i/>
                        <w:sz w:val="20"/>
                        <w:lang w:eastAsia="en-US"/>
                      </w:rPr>
                    </m:ctrlPr>
                  </m:naryPr>
                  <m:sub>
                    <m:r>
                      <w:rPr>
                        <w:rFonts w:ascii="Cambria Math" w:eastAsia="Cambria Math" w:hAnsi="Cambria Math" w:cs="Cambria Math"/>
                        <w:sz w:val="20"/>
                        <w:lang w:eastAsia="en-US"/>
                      </w:rPr>
                      <m:t>i</m:t>
                    </m:r>
                  </m:sub>
                  <m:sup/>
                  <m:e>
                    <m:r>
                      <w:rPr>
                        <w:rFonts w:ascii="Cambria Math" w:eastAsia="Cambria Math" w:hAnsi="Cambria Math" w:cs="Cambria Math"/>
                        <w:sz w:val="20"/>
                        <w:lang w:eastAsia="en-US"/>
                      </w:rPr>
                      <m:t xml:space="preserve"> </m:t>
                    </m:r>
                  </m:e>
                </m:nary>
                <m:d>
                  <m:dPr>
                    <m:endChr m:val=""/>
                    <m:ctrlPr>
                      <w:rPr>
                        <w:rFonts w:ascii="Cambria Math" w:eastAsia="Cambria Math" w:hAnsi="Cambria Math" w:cs="Cambria Math"/>
                        <w:i/>
                        <w:sz w:val="20"/>
                        <w:lang w:eastAsia="en-US"/>
                      </w:rPr>
                    </m:ctrlPr>
                  </m:dPr>
                  <m:e>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EC</m:t>
                        </m:r>
                      </m:e>
                      <m:sub>
                        <m:r>
                          <w:rPr>
                            <w:rFonts w:ascii="Cambria Math" w:eastAsia="Cambria Math" w:hAnsi="Cambria Math" w:cs="Cambria Math"/>
                            <w:sz w:val="20"/>
                            <w:lang w:eastAsia="en-US"/>
                          </w:rPr>
                          <m:t>BL,i,y</m:t>
                        </m:r>
                      </m:sub>
                    </m:sSub>
                    <m:r>
                      <w:rPr>
                        <w:rFonts w:ascii="Cambria Math" w:eastAsia="Cambria Math" w:hAnsi="Cambria Math" w:cs="Cambria Math"/>
                        <w:sz w:val="20"/>
                        <w:lang w:eastAsia="en-US"/>
                      </w:rPr>
                      <m:t>×</m:t>
                    </m:r>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fNRB</m:t>
                        </m:r>
                      </m:e>
                      <m:sub>
                        <m:r>
                          <w:rPr>
                            <w:rFonts w:ascii="Cambria Math" w:eastAsia="Cambria Math" w:hAnsi="Cambria Math" w:cs="Cambria Math"/>
                            <w:sz w:val="20"/>
                            <w:lang w:eastAsia="en-US"/>
                          </w:rPr>
                          <m:t>i,y</m:t>
                        </m:r>
                      </m:sub>
                    </m:sSub>
                    <m:r>
                      <w:rPr>
                        <w:rFonts w:ascii="Cambria Math" w:eastAsia="Cambria Math" w:hAnsi="Cambria Math" w:cs="Cambria Math"/>
                        <w:sz w:val="20"/>
                        <w:lang w:eastAsia="en-US"/>
                      </w:rPr>
                      <m:t>×</m:t>
                    </m:r>
                    <m:d>
                      <m:dPr>
                        <m:ctrlPr>
                          <w:rPr>
                            <w:rFonts w:ascii="Cambria Math" w:eastAsia="Cambria Math" w:hAnsi="Cambria Math" w:cs="Cambria Math"/>
                            <w:i/>
                            <w:sz w:val="20"/>
                            <w:lang w:eastAsia="en-US"/>
                          </w:rPr>
                        </m:ctrlPr>
                      </m:dPr>
                      <m:e>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EF</m:t>
                            </m:r>
                          </m:e>
                          <m:sub>
                            <m:r>
                              <w:rPr>
                                <w:rFonts w:ascii="Cambria Math" w:eastAsia="Cambria Math" w:hAnsi="Cambria Math" w:cs="Cambria Math"/>
                                <w:sz w:val="20"/>
                                <w:lang w:eastAsia="en-US"/>
                              </w:rPr>
                              <m:t>i,CO2</m:t>
                            </m:r>
                          </m:sub>
                        </m:sSub>
                        <m:r>
                          <w:rPr>
                            <w:rFonts w:ascii="Cambria Math" w:eastAsia="Cambria Math" w:hAnsi="Cambria Math" w:cs="Cambria Math"/>
                            <w:sz w:val="20"/>
                            <w:lang w:eastAsia="en-US"/>
                          </w:rPr>
                          <m:t>+</m:t>
                        </m:r>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EF</m:t>
                            </m:r>
                          </m:e>
                          <m:sub>
                            <m:r>
                              <w:rPr>
                                <w:rFonts w:ascii="Cambria Math" w:eastAsia="Cambria Math" w:hAnsi="Cambria Math" w:cs="Cambria Math"/>
                                <w:sz w:val="20"/>
                                <w:lang w:eastAsia="en-US"/>
                              </w:rPr>
                              <m:t>i,CO2,upstream</m:t>
                            </m:r>
                          </m:sub>
                        </m:sSub>
                        <m:r>
                          <w:rPr>
                            <w:rFonts w:ascii="Cambria Math" w:eastAsia="Cambria Math" w:hAnsi="Cambria Math" w:cs="Cambria Math"/>
                            <w:sz w:val="20"/>
                            <w:lang w:eastAsia="en-US"/>
                          </w:rPr>
                          <m:t>)</m:t>
                        </m:r>
                      </m:e>
                    </m:d>
                  </m:e>
                </m:d>
              </m:oMath>
            </m:oMathPara>
          </w:p>
        </w:tc>
        <w:tc>
          <w:tcPr>
            <w:tcW w:w="1665" w:type="dxa"/>
          </w:tcPr>
          <w:p w14:paraId="25FD0432" w14:textId="77777777" w:rsidR="00DF4EAF" w:rsidRPr="009F63DF" w:rsidRDefault="00DF4EAF" w:rsidP="00AF1AC1">
            <w:pPr>
              <w:pStyle w:val="SDMMethEquationNr"/>
              <w:numPr>
                <w:ilvl w:val="0"/>
                <w:numId w:val="29"/>
              </w:numPr>
              <w:suppressAutoHyphens/>
            </w:pPr>
          </w:p>
        </w:tc>
      </w:tr>
    </w:tbl>
    <w:p w14:paraId="0F097779" w14:textId="77777777" w:rsidR="00DF4EAF" w:rsidRPr="009F63DF" w:rsidRDefault="00DF4EAF" w:rsidP="00655F47">
      <w:pPr>
        <w:pStyle w:val="SDMMethCaptionEquationParametersTable"/>
        <w:suppressAutoHyphens/>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DF4EAF" w:rsidRPr="009F63DF" w14:paraId="5107B14E" w14:textId="77777777" w:rsidTr="26CCAC22">
        <w:tc>
          <w:tcPr>
            <w:tcW w:w="1701" w:type="dxa"/>
            <w:vAlign w:val="top"/>
          </w:tcPr>
          <w:p w14:paraId="7939209D" w14:textId="6709D0CF" w:rsidR="00DF4EAF" w:rsidRPr="009F63DF" w:rsidRDefault="001549D8" w:rsidP="00B07AF7">
            <w:pPr>
              <w:pStyle w:val="SDMTableBoxParaNotNumbered"/>
              <w:suppressAutoHyphens/>
            </w:pPr>
            <m:oMathPara>
              <m:oMathParaPr>
                <m:jc m:val="left"/>
              </m:oMathParaPr>
              <m:oMath>
                <m:sSub>
                  <m:sSubPr>
                    <m:ctrlPr>
                      <w:rPr>
                        <w:rFonts w:ascii="Cambria Math" w:hAnsi="Cambria Math" w:cs="Arial"/>
                      </w:rPr>
                    </m:ctrlPr>
                  </m:sSubPr>
                  <m:e>
                    <m:r>
                      <w:rPr>
                        <w:rFonts w:ascii="Cambria Math" w:hAnsi="Cambria Math" w:cs="Arial"/>
                      </w:rPr>
                      <m:t>BE</m:t>
                    </m:r>
                  </m:e>
                  <m:sub>
                    <m:r>
                      <w:rPr>
                        <w:rFonts w:ascii="Cambria Math" w:hAnsi="Cambria Math" w:cs="Arial"/>
                      </w:rPr>
                      <m:t>CO2,rr,i,y</m:t>
                    </m:r>
                  </m:sub>
                </m:sSub>
              </m:oMath>
            </m:oMathPara>
          </w:p>
        </w:tc>
        <w:tc>
          <w:tcPr>
            <w:tcW w:w="345" w:type="dxa"/>
            <w:vAlign w:val="top"/>
          </w:tcPr>
          <w:p w14:paraId="1FA52810" w14:textId="77777777" w:rsidR="00DF4EAF" w:rsidRPr="009F63DF" w:rsidRDefault="00DF4EAF" w:rsidP="00B07AF7">
            <w:pPr>
              <w:pStyle w:val="SDMTableBoxParaNotNumbered"/>
              <w:suppressAutoHyphens/>
            </w:pPr>
            <w:r w:rsidRPr="009F63DF">
              <w:t>=</w:t>
            </w:r>
          </w:p>
        </w:tc>
        <w:tc>
          <w:tcPr>
            <w:tcW w:w="0" w:type="auto"/>
            <w:vAlign w:val="top"/>
          </w:tcPr>
          <w:p w14:paraId="1DFEBF90" w14:textId="7F7EC75F" w:rsidR="00DF4EAF" w:rsidRPr="009F63DF" w:rsidRDefault="00DF4EAF" w:rsidP="00B07AF7">
            <w:pPr>
              <w:pStyle w:val="SDMTableBoxParaNotNumbered"/>
              <w:suppressAutoHyphens/>
            </w:pPr>
            <w:r w:rsidRPr="009F63DF">
              <w:t>Unadjusted baseline emissions of CO</w:t>
            </w:r>
            <w:r w:rsidRPr="009F63DF">
              <w:rPr>
                <w:vertAlign w:val="subscript"/>
              </w:rPr>
              <w:t>2</w:t>
            </w:r>
            <w:r w:rsidRPr="009F63DF">
              <w:t xml:space="preserve"> from </w:t>
            </w:r>
            <w:r w:rsidR="00427F5A" w:rsidRPr="009F63DF">
              <w:t>GHG</w:t>
            </w:r>
            <w:r w:rsidRPr="009F63DF">
              <w:t xml:space="preserve"> reservoirs that are subject to reversal risk for primary fuel types</w:t>
            </w:r>
            <w:r w:rsidRPr="009F63DF">
              <w:rPr>
                <w:i/>
              </w:rPr>
              <w:t xml:space="preserve"> i</w:t>
            </w:r>
            <w:r w:rsidRPr="009F63DF">
              <w:t xml:space="preserve"> in year </w:t>
            </w:r>
            <w:r w:rsidRPr="009F63DF">
              <w:rPr>
                <w:i/>
              </w:rPr>
              <w:t>y</w:t>
            </w:r>
            <w:r w:rsidRPr="009F63DF">
              <w:t xml:space="preserve"> (</w:t>
            </w:r>
            <w:r w:rsidR="008725FE" w:rsidRPr="009F63DF">
              <w:t>t</w:t>
            </w:r>
            <w:r w:rsidR="008725FE">
              <w:t xml:space="preserve"> </w:t>
            </w:r>
            <w:r w:rsidR="008725FE" w:rsidRPr="009F63DF">
              <w:t>CO</w:t>
            </w:r>
            <w:r w:rsidR="008725FE" w:rsidRPr="006D5F34">
              <w:rPr>
                <w:vertAlign w:val="subscript"/>
              </w:rPr>
              <w:t>2</w:t>
            </w:r>
            <w:r w:rsidR="008725FE" w:rsidRPr="006D5F34">
              <w:t xml:space="preserve"> </w:t>
            </w:r>
            <w:r w:rsidR="008725FE" w:rsidRPr="009F63DF">
              <w:t>eq</w:t>
            </w:r>
            <w:r w:rsidRPr="009F63DF">
              <w:t>)</w:t>
            </w:r>
          </w:p>
        </w:tc>
      </w:tr>
      <w:tr w:rsidR="00DF4EAF" w:rsidRPr="009F63DF" w14:paraId="4C3734CA" w14:textId="77777777" w:rsidTr="26CCAC22">
        <w:tc>
          <w:tcPr>
            <w:tcW w:w="1701" w:type="dxa"/>
            <w:vAlign w:val="top"/>
          </w:tcPr>
          <w:p w14:paraId="2F29EDCE" w14:textId="693E809A" w:rsidR="00DF4EAF" w:rsidRPr="009F63DF" w:rsidRDefault="001549D8" w:rsidP="00B07AF7">
            <w:pPr>
              <w:pStyle w:val="SDMTableBoxParaNotNumbered"/>
              <w:suppressAutoHyphens/>
            </w:pPr>
            <m:oMathPara>
              <m:oMathParaPr>
                <m:jc m:val="left"/>
              </m:oMathParaPr>
              <m:oMath>
                <m:sSub>
                  <m:sSubPr>
                    <m:ctrlPr>
                      <w:rPr>
                        <w:rFonts w:ascii="Cambria Math" w:hAnsi="Cambria Math" w:cs="Arial"/>
                      </w:rPr>
                    </m:ctrlPr>
                  </m:sSubPr>
                  <m:e>
                    <m:r>
                      <w:rPr>
                        <w:rFonts w:ascii="Cambria Math" w:hAnsi="Cambria Math" w:cs="Arial"/>
                      </w:rPr>
                      <m:t>EC</m:t>
                    </m:r>
                  </m:e>
                  <m:sub>
                    <m:r>
                      <w:rPr>
                        <w:rFonts w:ascii="Cambria Math" w:hAnsi="Cambria Math" w:cs="Arial"/>
                      </w:rPr>
                      <m:t>BL,i,y</m:t>
                    </m:r>
                  </m:sub>
                </m:sSub>
              </m:oMath>
            </m:oMathPara>
          </w:p>
        </w:tc>
        <w:tc>
          <w:tcPr>
            <w:tcW w:w="345" w:type="dxa"/>
            <w:vAlign w:val="top"/>
          </w:tcPr>
          <w:p w14:paraId="7694C3F6" w14:textId="77777777" w:rsidR="00DF4EAF" w:rsidRPr="009F63DF" w:rsidRDefault="00DF4EAF" w:rsidP="00B07AF7">
            <w:pPr>
              <w:pStyle w:val="SDMTableBoxParaNotNumbered"/>
              <w:suppressAutoHyphens/>
            </w:pPr>
            <w:r w:rsidRPr="009F63DF">
              <w:t>=</w:t>
            </w:r>
          </w:p>
        </w:tc>
        <w:tc>
          <w:tcPr>
            <w:tcW w:w="0" w:type="auto"/>
            <w:vAlign w:val="top"/>
          </w:tcPr>
          <w:p w14:paraId="442EA330" w14:textId="3ABDB402" w:rsidR="00DF4EAF" w:rsidRPr="009F63DF" w:rsidRDefault="6F0A7156" w:rsidP="00B07AF7">
            <w:pPr>
              <w:pStyle w:val="SDMTableBoxParaNotNumbered"/>
              <w:suppressAutoHyphens/>
            </w:pPr>
            <w:r w:rsidRPr="009F63DF">
              <w:t xml:space="preserve">Energy </w:t>
            </w:r>
            <w:r w:rsidR="00DF4EAF" w:rsidRPr="009F63DF">
              <w:t xml:space="preserve">Consumption of primary fuel types </w:t>
            </w:r>
            <w:r w:rsidR="00DF4EAF" w:rsidRPr="009F63DF">
              <w:rPr>
                <w:i/>
                <w:iCs/>
              </w:rPr>
              <w:t xml:space="preserve">i </w:t>
            </w:r>
            <w:r w:rsidR="00DF4EAF" w:rsidRPr="009F63DF">
              <w:t xml:space="preserve">in baseline scenario in year </w:t>
            </w:r>
            <w:r w:rsidR="00DF4EAF" w:rsidRPr="009F63DF">
              <w:rPr>
                <w:i/>
                <w:iCs/>
              </w:rPr>
              <w:t>y</w:t>
            </w:r>
            <w:r w:rsidR="00DF4EAF" w:rsidRPr="009F63DF">
              <w:t xml:space="preserve"> (TJ)</w:t>
            </w:r>
          </w:p>
        </w:tc>
      </w:tr>
      <w:tr w:rsidR="00DF4EAF" w:rsidRPr="009F63DF" w14:paraId="325E51B0" w14:textId="77777777" w:rsidTr="26CCAC22">
        <w:tc>
          <w:tcPr>
            <w:tcW w:w="1701" w:type="dxa"/>
            <w:vAlign w:val="top"/>
          </w:tcPr>
          <w:p w14:paraId="1E3C2CD6" w14:textId="0AF23E45" w:rsidR="00DF4EAF" w:rsidRPr="009F63DF" w:rsidRDefault="001549D8" w:rsidP="00B07AF7">
            <w:pPr>
              <w:pStyle w:val="SDMTableBoxParaNotNumbered"/>
              <w:suppressAutoHyphens/>
            </w:pPr>
            <m:oMathPara>
              <m:oMathParaPr>
                <m:jc m:val="left"/>
              </m:oMathParaPr>
              <m:oMath>
                <m:sSub>
                  <m:sSubPr>
                    <m:ctrlPr>
                      <w:rPr>
                        <w:rFonts w:ascii="Cambria Math" w:hAnsi="Cambria Math" w:cs="Arial"/>
                      </w:rPr>
                    </m:ctrlPr>
                  </m:sSubPr>
                  <m:e>
                    <m:r>
                      <w:rPr>
                        <w:rFonts w:ascii="Cambria Math" w:hAnsi="Cambria Math" w:cs="Arial"/>
                      </w:rPr>
                      <m:t>fNRB</m:t>
                    </m:r>
                  </m:e>
                  <m:sub>
                    <m:r>
                      <w:rPr>
                        <w:rFonts w:ascii="Cambria Math" w:hAnsi="Cambria Math" w:cs="Arial"/>
                      </w:rPr>
                      <m:t>i,y</m:t>
                    </m:r>
                  </m:sub>
                </m:sSub>
              </m:oMath>
            </m:oMathPara>
          </w:p>
        </w:tc>
        <w:tc>
          <w:tcPr>
            <w:tcW w:w="345" w:type="dxa"/>
            <w:vAlign w:val="top"/>
          </w:tcPr>
          <w:p w14:paraId="0590C412" w14:textId="39F259B4" w:rsidR="00DF4EAF" w:rsidRPr="009F63DF" w:rsidRDefault="00DF4EAF" w:rsidP="00B07AF7">
            <w:pPr>
              <w:pStyle w:val="SDMTableBoxParaNotNumbered"/>
              <w:suppressAutoHyphens/>
            </w:pPr>
            <w:r w:rsidRPr="009F63DF">
              <w:t>=</w:t>
            </w:r>
          </w:p>
        </w:tc>
        <w:tc>
          <w:tcPr>
            <w:tcW w:w="0" w:type="auto"/>
            <w:vAlign w:val="top"/>
          </w:tcPr>
          <w:p w14:paraId="1DBE8E1B" w14:textId="78795E5D" w:rsidR="00DF4EAF" w:rsidRPr="009F63DF" w:rsidRDefault="00DF4EAF" w:rsidP="00B07AF7">
            <w:pPr>
              <w:pStyle w:val="SDMTableBoxParaNotNumbered"/>
              <w:suppressAutoHyphens/>
            </w:pPr>
            <w:r w:rsidRPr="009F63DF">
              <w:t xml:space="preserve">Fraction of non-renewable biomass of primary fuel types i consumed in year </w:t>
            </w:r>
            <w:r w:rsidRPr="009F63DF">
              <w:rPr>
                <w:i/>
              </w:rPr>
              <w:t>y</w:t>
            </w:r>
            <w:r w:rsidRPr="009F63DF">
              <w:t xml:space="preserve"> (</w:t>
            </w:r>
            <w:r w:rsidR="00DE7B9B" w:rsidRPr="009F63DF">
              <w:t>per cent</w:t>
            </w:r>
            <w:r w:rsidRPr="009F63DF">
              <w:t>)</w:t>
            </w:r>
          </w:p>
        </w:tc>
      </w:tr>
      <w:tr w:rsidR="00DF4EAF" w:rsidRPr="009F63DF" w14:paraId="5E3470C6" w14:textId="77777777" w:rsidTr="26CCAC22">
        <w:tc>
          <w:tcPr>
            <w:tcW w:w="1701" w:type="dxa"/>
            <w:vAlign w:val="top"/>
          </w:tcPr>
          <w:p w14:paraId="52FBDC18" w14:textId="7AAB877D" w:rsidR="00DF4EAF" w:rsidRPr="009F63DF" w:rsidRDefault="001549D8" w:rsidP="00B07AF7">
            <w:pPr>
              <w:pStyle w:val="SDMTableBoxParaNotNumbered"/>
              <w:suppressAutoHyphens/>
            </w:pPr>
            <m:oMathPara>
              <m:oMathParaPr>
                <m:jc m:val="left"/>
              </m:oMathParaPr>
              <m:oMath>
                <m:sSub>
                  <m:sSubPr>
                    <m:ctrlPr>
                      <w:rPr>
                        <w:rFonts w:ascii="Cambria Math" w:hAnsi="Cambria Math" w:cs="Arial"/>
                      </w:rPr>
                    </m:ctrlPr>
                  </m:sSubPr>
                  <m:e>
                    <m:r>
                      <w:rPr>
                        <w:rFonts w:ascii="Cambria Math" w:hAnsi="Cambria Math" w:cs="Arial"/>
                      </w:rPr>
                      <m:t>EF</m:t>
                    </m:r>
                  </m:e>
                  <m:sub>
                    <m:r>
                      <w:rPr>
                        <w:rFonts w:ascii="Cambria Math" w:hAnsi="Cambria Math" w:cs="Arial"/>
                      </w:rPr>
                      <m:t>i,CO2</m:t>
                    </m:r>
                  </m:sub>
                </m:sSub>
              </m:oMath>
            </m:oMathPara>
          </w:p>
        </w:tc>
        <w:tc>
          <w:tcPr>
            <w:tcW w:w="345" w:type="dxa"/>
            <w:vAlign w:val="top"/>
          </w:tcPr>
          <w:p w14:paraId="23375CC3" w14:textId="2168174C" w:rsidR="00DF4EAF" w:rsidRPr="009F63DF" w:rsidRDefault="00DF4EAF" w:rsidP="00B07AF7">
            <w:pPr>
              <w:pStyle w:val="SDMTableBoxParaNotNumbered"/>
              <w:suppressAutoHyphens/>
            </w:pPr>
            <w:r w:rsidRPr="009F63DF">
              <w:t>=</w:t>
            </w:r>
          </w:p>
        </w:tc>
        <w:tc>
          <w:tcPr>
            <w:tcW w:w="0" w:type="auto"/>
            <w:vAlign w:val="top"/>
          </w:tcPr>
          <w:p w14:paraId="1DEE68BA" w14:textId="757395EF" w:rsidR="00DF4EAF" w:rsidRPr="009F63DF" w:rsidRDefault="00DF4EAF" w:rsidP="00B07AF7">
            <w:pPr>
              <w:pStyle w:val="SDMTableBoxParaNotNumbered"/>
              <w:suppressAutoHyphens/>
            </w:pPr>
            <w:r w:rsidRPr="009F63DF">
              <w:t>CO</w:t>
            </w:r>
            <w:r w:rsidRPr="009F63DF">
              <w:rPr>
                <w:vertAlign w:val="subscript"/>
              </w:rPr>
              <w:t>2</w:t>
            </w:r>
            <w:r w:rsidRPr="009F63DF">
              <w:t xml:space="preserve"> emission factor for fuel types </w:t>
            </w:r>
            <w:r w:rsidRPr="009F63DF">
              <w:rPr>
                <w:i/>
              </w:rPr>
              <w:t xml:space="preserve">i </w:t>
            </w:r>
            <w:r w:rsidRPr="009F63DF">
              <w:t>(t CO</w:t>
            </w:r>
            <w:r w:rsidRPr="009F63DF">
              <w:rPr>
                <w:vertAlign w:val="subscript"/>
              </w:rPr>
              <w:t>2</w:t>
            </w:r>
            <w:r w:rsidR="00940A29" w:rsidRPr="009F63DF">
              <w:t xml:space="preserve"> </w:t>
            </w:r>
            <w:r w:rsidRPr="009F63DF">
              <w:t>/</w:t>
            </w:r>
            <w:r w:rsidR="00940A29" w:rsidRPr="009F63DF">
              <w:t xml:space="preserve"> </w:t>
            </w:r>
            <w:r w:rsidRPr="009F63DF">
              <w:t>TJ)</w:t>
            </w:r>
          </w:p>
        </w:tc>
      </w:tr>
      <w:tr w:rsidR="00DF4EAF" w:rsidRPr="009F63DF" w14:paraId="3A9FB397" w14:textId="77777777" w:rsidTr="26CCAC22">
        <w:tc>
          <w:tcPr>
            <w:tcW w:w="1701" w:type="dxa"/>
            <w:vAlign w:val="top"/>
          </w:tcPr>
          <w:p w14:paraId="4E076D9F" w14:textId="1D354BF4" w:rsidR="00DF4EAF" w:rsidRPr="009F63DF" w:rsidRDefault="001549D8" w:rsidP="00B07AF7">
            <w:pPr>
              <w:pStyle w:val="SDMTableBoxParaNotNumbered"/>
              <w:suppressAutoHyphens/>
            </w:pPr>
            <m:oMathPara>
              <m:oMathParaPr>
                <m:jc m:val="left"/>
              </m:oMathParaPr>
              <m:oMath>
                <m:sSub>
                  <m:sSubPr>
                    <m:ctrlPr>
                      <w:rPr>
                        <w:rFonts w:ascii="Cambria Math" w:hAnsi="Cambria Math" w:cs="Arial"/>
                      </w:rPr>
                    </m:ctrlPr>
                  </m:sSubPr>
                  <m:e>
                    <m:r>
                      <w:rPr>
                        <w:rFonts w:ascii="Cambria Math" w:hAnsi="Cambria Math" w:cs="Arial"/>
                      </w:rPr>
                      <m:t>EF</m:t>
                    </m:r>
                  </m:e>
                  <m:sub>
                    <m:r>
                      <w:rPr>
                        <w:rFonts w:ascii="Cambria Math" w:hAnsi="Cambria Math" w:cs="Arial"/>
                      </w:rPr>
                      <m:t>i,CO2,upstream</m:t>
                    </m:r>
                  </m:sub>
                </m:sSub>
              </m:oMath>
            </m:oMathPara>
          </w:p>
        </w:tc>
        <w:tc>
          <w:tcPr>
            <w:tcW w:w="345" w:type="dxa"/>
            <w:vAlign w:val="top"/>
          </w:tcPr>
          <w:p w14:paraId="0E054C39" w14:textId="31528E56" w:rsidR="00DF4EAF" w:rsidRPr="009F63DF" w:rsidRDefault="00DF4EAF" w:rsidP="00B07AF7">
            <w:pPr>
              <w:pStyle w:val="SDMTableBoxParaNotNumbered"/>
              <w:suppressAutoHyphens/>
            </w:pPr>
            <w:r w:rsidRPr="009F63DF">
              <w:t>=</w:t>
            </w:r>
          </w:p>
        </w:tc>
        <w:tc>
          <w:tcPr>
            <w:tcW w:w="0" w:type="auto"/>
            <w:vAlign w:val="top"/>
          </w:tcPr>
          <w:p w14:paraId="7C49E9EA" w14:textId="3A71DFD9" w:rsidR="00DF4EAF" w:rsidRPr="009F63DF" w:rsidRDefault="00DF4EAF" w:rsidP="00B07AF7">
            <w:pPr>
              <w:pStyle w:val="SDMTableBoxParaNotNumbered"/>
              <w:suppressAutoHyphens/>
            </w:pPr>
            <w:r w:rsidRPr="009F63DF">
              <w:t>CO</w:t>
            </w:r>
            <w:r w:rsidRPr="009F63DF">
              <w:rPr>
                <w:vertAlign w:val="subscript"/>
              </w:rPr>
              <w:t>2</w:t>
            </w:r>
            <w:r w:rsidRPr="009F63DF">
              <w:t xml:space="preserve"> emission factor for upstream emissions for primary fuel types </w:t>
            </w:r>
            <w:r w:rsidRPr="009F63DF">
              <w:rPr>
                <w:i/>
              </w:rPr>
              <w:t>i</w:t>
            </w:r>
            <w:r w:rsidRPr="009F63DF">
              <w:t xml:space="preserve"> (t CO</w:t>
            </w:r>
            <w:r w:rsidRPr="009F63DF">
              <w:rPr>
                <w:vertAlign w:val="subscript"/>
              </w:rPr>
              <w:t>2</w:t>
            </w:r>
            <w:r w:rsidR="00940A29" w:rsidRPr="009F63DF">
              <w:t xml:space="preserve"> </w:t>
            </w:r>
            <w:r w:rsidRPr="009F63DF">
              <w:t>/</w:t>
            </w:r>
            <w:r w:rsidR="00940A29" w:rsidRPr="009F63DF">
              <w:t xml:space="preserve"> </w:t>
            </w:r>
            <w:r w:rsidRPr="009F63DF">
              <w:t>TJ)</w:t>
            </w:r>
          </w:p>
        </w:tc>
      </w:tr>
      <w:tr w:rsidR="00DF4EAF" w:rsidRPr="009F63DF" w14:paraId="45B8B026" w14:textId="77777777" w:rsidTr="26CCAC22">
        <w:tc>
          <w:tcPr>
            <w:tcW w:w="1701" w:type="dxa"/>
            <w:vAlign w:val="top"/>
          </w:tcPr>
          <w:p w14:paraId="3D514883" w14:textId="6816593E" w:rsidR="00DF4EAF" w:rsidRPr="009F63DF" w:rsidRDefault="00DF4EAF" w:rsidP="00B07AF7">
            <w:pPr>
              <w:pStyle w:val="SDMTableBoxParaNotNumbered"/>
              <w:suppressAutoHyphens/>
            </w:pPr>
            <w:r w:rsidRPr="009F63DF">
              <w:rPr>
                <w:rFonts w:cs="Arial"/>
                <w:i/>
              </w:rPr>
              <w:t>i</w:t>
            </w:r>
          </w:p>
        </w:tc>
        <w:tc>
          <w:tcPr>
            <w:tcW w:w="345" w:type="dxa"/>
            <w:vAlign w:val="top"/>
          </w:tcPr>
          <w:p w14:paraId="7257A8F9" w14:textId="472B36E8" w:rsidR="00DF4EAF" w:rsidRPr="009F63DF" w:rsidRDefault="00DF4EAF" w:rsidP="00B07AF7">
            <w:pPr>
              <w:pStyle w:val="SDMTableBoxParaNotNumbered"/>
              <w:suppressAutoHyphens/>
            </w:pPr>
            <w:r w:rsidRPr="009F63DF">
              <w:t>=</w:t>
            </w:r>
          </w:p>
        </w:tc>
        <w:tc>
          <w:tcPr>
            <w:tcW w:w="0" w:type="auto"/>
            <w:vAlign w:val="top"/>
          </w:tcPr>
          <w:p w14:paraId="27FA3B11" w14:textId="3A393566" w:rsidR="00DF4EAF" w:rsidRPr="009F63DF" w:rsidRDefault="00DF4EAF" w:rsidP="00B07AF7">
            <w:pPr>
              <w:pStyle w:val="SDMTableBoxParaNotNumbered"/>
              <w:suppressAutoHyphens/>
            </w:pPr>
            <w:r w:rsidRPr="009F63DF">
              <w:t>Primary fuel types (fuelwood or charcoal)</w:t>
            </w:r>
          </w:p>
        </w:tc>
      </w:tr>
      <w:tr w:rsidR="00DF4EAF" w:rsidRPr="009F63DF" w14:paraId="00676D1E" w14:textId="77777777" w:rsidTr="26CCAC22">
        <w:tc>
          <w:tcPr>
            <w:tcW w:w="1701" w:type="dxa"/>
            <w:vAlign w:val="top"/>
          </w:tcPr>
          <w:p w14:paraId="7CF106BD" w14:textId="22968932" w:rsidR="00DF4EAF" w:rsidRPr="009F63DF" w:rsidRDefault="00DF4EAF" w:rsidP="00B07AF7">
            <w:pPr>
              <w:pStyle w:val="SDMTableBoxParaNotNumbered"/>
              <w:suppressAutoHyphens/>
            </w:pPr>
            <w:r w:rsidRPr="009F63DF">
              <w:rPr>
                <w:rFonts w:ascii="Cambria Math" w:hAnsi="Cambria Math" w:cs="Arial"/>
                <w:i/>
              </w:rPr>
              <w:t>y</w:t>
            </w:r>
          </w:p>
        </w:tc>
        <w:tc>
          <w:tcPr>
            <w:tcW w:w="345" w:type="dxa"/>
            <w:vAlign w:val="top"/>
          </w:tcPr>
          <w:p w14:paraId="459C8D4D" w14:textId="77777777" w:rsidR="00DF4EAF" w:rsidRPr="009F63DF" w:rsidRDefault="00DF4EAF" w:rsidP="00B07AF7">
            <w:pPr>
              <w:pStyle w:val="SDMTableBoxParaNotNumbered"/>
              <w:suppressAutoHyphens/>
            </w:pPr>
            <w:r w:rsidRPr="009F63DF">
              <w:t>=</w:t>
            </w:r>
          </w:p>
        </w:tc>
        <w:tc>
          <w:tcPr>
            <w:tcW w:w="0" w:type="auto"/>
            <w:vAlign w:val="top"/>
          </w:tcPr>
          <w:p w14:paraId="21E59A91" w14:textId="4A0441FA" w:rsidR="00DF4EAF" w:rsidRPr="009F63DF" w:rsidRDefault="00DF4EAF" w:rsidP="00B07AF7">
            <w:pPr>
              <w:pStyle w:val="SDMTableBoxParaNotNumbered"/>
              <w:suppressAutoHyphens/>
            </w:pPr>
            <w:r w:rsidRPr="009F63DF">
              <w:t>Calendar year of the crediting period</w:t>
            </w:r>
          </w:p>
        </w:tc>
      </w:tr>
    </w:tbl>
    <w:p w14:paraId="68AD2292" w14:textId="17B89499" w:rsidR="004717A5" w:rsidRPr="009F63DF" w:rsidRDefault="00CC7851" w:rsidP="00E03E61">
      <w:pPr>
        <w:pStyle w:val="SDMPara"/>
      </w:pPr>
      <w:r w:rsidRPr="009F63DF">
        <w:rPr>
          <w:rFonts w:asciiTheme="minorBidi" w:hAnsiTheme="minorBidi" w:cstheme="minorBidi"/>
        </w:rPr>
        <w:t xml:space="preserve">Unadjusted </w:t>
      </w:r>
      <w:r w:rsidRPr="009F63DF">
        <w:rPr>
          <w:lang w:eastAsia="ja-JP"/>
        </w:rPr>
        <w:t>b</w:t>
      </w:r>
      <w:r w:rsidR="004717A5" w:rsidRPr="009F63DF">
        <w:rPr>
          <w:rFonts w:eastAsia="Montserrat"/>
        </w:rPr>
        <w:t xml:space="preserve">aseline emissions </w:t>
      </w:r>
      <w:r w:rsidR="004717A5" w:rsidRPr="009F63DF">
        <w:t>of CO</w:t>
      </w:r>
      <w:r w:rsidR="004717A5" w:rsidRPr="009F63DF">
        <w:rPr>
          <w:vertAlign w:val="subscript"/>
        </w:rPr>
        <w:t>2</w:t>
      </w:r>
      <w:r w:rsidR="004717A5" w:rsidRPr="009F63DF">
        <w:t xml:space="preserve"> </w:t>
      </w:r>
      <w:r w:rsidR="00022071" w:rsidRPr="009F63DF">
        <w:t>from</w:t>
      </w:r>
      <w:r w:rsidR="00272B36" w:rsidRPr="009F63DF">
        <w:t xml:space="preserve"> the combustion of secondary fuel types</w:t>
      </w:r>
      <w:r w:rsidR="00272B36" w:rsidRPr="009F63DF">
        <w:rPr>
          <w:i/>
        </w:rPr>
        <w:t xml:space="preserve"> </w:t>
      </w:r>
      <w:r w:rsidR="00F533E6" w:rsidRPr="009F63DF">
        <w:rPr>
          <w:i/>
        </w:rPr>
        <w:t>j</w:t>
      </w:r>
      <w:r w:rsidR="004057C5" w:rsidRPr="009F63DF">
        <w:rPr>
          <w:lang w:eastAsia="ja-JP"/>
        </w:rPr>
        <w:t xml:space="preserve"> </w:t>
      </w:r>
      <w:r w:rsidR="008E04CD" w:rsidRPr="009F63DF">
        <w:rPr>
          <w:rFonts w:eastAsia="Montserrat"/>
        </w:rPr>
        <w:t xml:space="preserve">are </w:t>
      </w:r>
      <w:r w:rsidR="008E04CD" w:rsidRPr="009F63DF">
        <w:rPr>
          <w:lang w:eastAsia="ja-JP"/>
        </w:rPr>
        <w:t xml:space="preserve">not subject to reversal risk </w:t>
      </w:r>
      <w:r w:rsidR="00272B36" w:rsidRPr="009F63DF">
        <w:t xml:space="preserve">and </w:t>
      </w:r>
      <w:r w:rsidR="004717A5" w:rsidRPr="009F63DF">
        <w:rPr>
          <w:lang w:eastAsia="ja-JP"/>
        </w:rPr>
        <w:t xml:space="preserve">are </w:t>
      </w:r>
      <w:r w:rsidR="004717A5" w:rsidRPr="009F63DF">
        <w:rPr>
          <w:rFonts w:eastAsia="Montserrat"/>
        </w:rPr>
        <w:t xml:space="preserve">calculated using </w:t>
      </w:r>
      <w:r w:rsidR="00DD5F73" w:rsidRPr="009F63DF">
        <w:rPr>
          <w:rFonts w:eastAsia="Montserrat"/>
        </w:rPr>
        <w:t>e</w:t>
      </w:r>
      <w:r w:rsidR="003C0602" w:rsidRPr="009F63DF">
        <w:rPr>
          <w:rFonts w:eastAsia="Montserrat"/>
        </w:rPr>
        <w:t xml:space="preserve">quation </w:t>
      </w:r>
      <w:r w:rsidR="00F22125" w:rsidRPr="009F63DF">
        <w:rPr>
          <w:rFonts w:eastAsia="Montserrat"/>
        </w:rPr>
        <w:t>(</w:t>
      </w:r>
      <w:r w:rsidR="003C0602" w:rsidRPr="009F63DF">
        <w:rPr>
          <w:rFonts w:eastAsia="Montserrat"/>
        </w:rPr>
        <w:t>3</w:t>
      </w:r>
      <w:r w:rsidR="00F22125" w:rsidRPr="009F63DF">
        <w:rPr>
          <w:rFonts w:eastAsia="Montserrat"/>
        </w:rPr>
        <w:t>)</w:t>
      </w:r>
      <w:r w:rsidR="004717A5" w:rsidRPr="009F63DF">
        <w:rPr>
          <w:rFonts w:eastAsia="Montserrat"/>
        </w:rPr>
        <w:t xml:space="preserve">. This equation shall only be applied when </w:t>
      </w:r>
      <w:r w:rsidR="00A25E9C" w:rsidRPr="009F63DF">
        <w:rPr>
          <w:rFonts w:eastAsia="Montserrat"/>
        </w:rPr>
        <w:t xml:space="preserve">secondary </w:t>
      </w:r>
      <w:r w:rsidR="00022071" w:rsidRPr="009F63DF">
        <w:rPr>
          <w:rFonts w:eastAsia="Montserrat"/>
        </w:rPr>
        <w:t>fuel</w:t>
      </w:r>
      <w:r w:rsidR="004717A5" w:rsidRPr="009F63DF">
        <w:rPr>
          <w:rFonts w:eastAsia="Montserrat"/>
        </w:rPr>
        <w:t xml:space="preserve"> </w:t>
      </w:r>
      <w:r w:rsidR="008E04CD" w:rsidRPr="009F63DF">
        <w:rPr>
          <w:rFonts w:eastAsia="Montserrat"/>
        </w:rPr>
        <w:t>types are</w:t>
      </w:r>
      <w:r w:rsidR="004717A5" w:rsidRPr="009F63DF">
        <w:rPr>
          <w:rFonts w:eastAsia="Montserrat"/>
        </w:rPr>
        <w:t xml:space="preserve"> identified in the pre-activity survey and incorporated proportionally in the baseline benchmark.</w:t>
      </w:r>
    </w:p>
    <w:tbl>
      <w:tblPr>
        <w:tblStyle w:val="SDMMethTableEquation"/>
        <w:tblW w:w="8760" w:type="dxa"/>
        <w:tblLook w:val="0600" w:firstRow="0" w:lastRow="0" w:firstColumn="0" w:lastColumn="0" w:noHBand="1" w:noVBand="1"/>
      </w:tblPr>
      <w:tblGrid>
        <w:gridCol w:w="7093"/>
        <w:gridCol w:w="1667"/>
      </w:tblGrid>
      <w:tr w:rsidR="00646A05" w:rsidRPr="009F63DF" w14:paraId="4B453827" w14:textId="77777777" w:rsidTr="00C5477B">
        <w:tc>
          <w:tcPr>
            <w:tcW w:w="7224" w:type="dxa"/>
          </w:tcPr>
          <w:p w14:paraId="0A865F06" w14:textId="42FCB6DA" w:rsidR="00646A05" w:rsidRPr="009F63DF" w:rsidRDefault="001549D8" w:rsidP="00B07AF7">
            <w:pPr>
              <w:pStyle w:val="SDMMethEquation"/>
              <w:suppressAutoHyphens/>
            </w:pPr>
            <m:oMathPara>
              <m:oMathParaPr>
                <m:jc m:val="left"/>
              </m:oMathParaPr>
              <m:oMath>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CO2j,y</m:t>
                    </m:r>
                  </m:sub>
                </m:sSub>
                <m:r>
                  <w:rPr>
                    <w:rFonts w:ascii="Cambria Math" w:eastAsia="Cambria Math" w:hAnsi="Cambria Math" w:cs="Cambria Math"/>
                    <w:sz w:val="20"/>
                    <w:lang w:eastAsia="en-US"/>
                  </w:rPr>
                  <m:t xml:space="preserve"> = </m:t>
                </m:r>
                <m:nary>
                  <m:naryPr>
                    <m:chr m:val="∑"/>
                    <m:supHide m:val="1"/>
                    <m:ctrlPr>
                      <w:rPr>
                        <w:rFonts w:ascii="Cambria Math" w:eastAsia="Cambria Math" w:hAnsi="Cambria Math" w:cs="Cambria Math"/>
                        <w:i/>
                        <w:sz w:val="20"/>
                        <w:lang w:eastAsia="en-US"/>
                      </w:rPr>
                    </m:ctrlPr>
                  </m:naryPr>
                  <m:sub>
                    <m:r>
                      <w:rPr>
                        <w:rFonts w:ascii="Cambria Math" w:eastAsia="Cambria Math" w:hAnsi="Cambria Math" w:cs="Cambria Math"/>
                        <w:sz w:val="20"/>
                        <w:lang w:eastAsia="en-US"/>
                      </w:rPr>
                      <m:t>j</m:t>
                    </m:r>
                  </m:sub>
                  <m:sup/>
                  <m:e>
                    <m:r>
                      <w:rPr>
                        <w:rFonts w:ascii="Cambria Math" w:eastAsia="Cambria Math" w:hAnsi="Cambria Math" w:cs="Cambria Math"/>
                        <w:sz w:val="20"/>
                        <w:lang w:eastAsia="en-US"/>
                      </w:rPr>
                      <m:t xml:space="preserve"> </m:t>
                    </m:r>
                  </m:e>
                </m:nary>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(EC</m:t>
                    </m:r>
                  </m:e>
                  <m:sub>
                    <m:r>
                      <w:rPr>
                        <w:rFonts w:ascii="Cambria Math" w:eastAsia="Cambria Math" w:hAnsi="Cambria Math" w:cs="Cambria Math"/>
                        <w:sz w:val="20"/>
                        <w:lang w:eastAsia="en-US"/>
                      </w:rPr>
                      <m:t>BL,j,y</m:t>
                    </m:r>
                  </m:sub>
                </m:sSub>
                <m:r>
                  <w:rPr>
                    <w:rFonts w:ascii="Cambria Math" w:eastAsia="Cambria Math" w:hAnsi="Cambria Math" w:cs="Cambria Math"/>
                    <w:sz w:val="20"/>
                    <w:lang w:eastAsia="en-US"/>
                  </w:rPr>
                  <m:t>×</m:t>
                </m:r>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EF</m:t>
                    </m:r>
                  </m:e>
                  <m:sub>
                    <m:r>
                      <w:rPr>
                        <w:rFonts w:ascii="Cambria Math" w:eastAsia="Cambria Math" w:hAnsi="Cambria Math" w:cs="Cambria Math"/>
                        <w:sz w:val="20"/>
                        <w:lang w:eastAsia="en-US"/>
                      </w:rPr>
                      <m:t>j,CO2</m:t>
                    </m:r>
                  </m:sub>
                </m:sSub>
                <m:r>
                  <w:rPr>
                    <w:rFonts w:ascii="Cambria Math" w:eastAsia="Cambria Math" w:hAnsi="Cambria Math" w:cs="Cambria Math"/>
                    <w:sz w:val="20"/>
                    <w:lang w:eastAsia="en-US"/>
                  </w:rPr>
                  <m:t>)</m:t>
                </m:r>
              </m:oMath>
            </m:oMathPara>
          </w:p>
        </w:tc>
        <w:tc>
          <w:tcPr>
            <w:tcW w:w="1701" w:type="dxa"/>
          </w:tcPr>
          <w:p w14:paraId="5FF814DC" w14:textId="77777777" w:rsidR="00646A05" w:rsidRPr="009F63DF" w:rsidRDefault="00646A05" w:rsidP="00AF1AC1">
            <w:pPr>
              <w:pStyle w:val="SDMMethEquationNr"/>
              <w:numPr>
                <w:ilvl w:val="0"/>
                <w:numId w:val="29"/>
              </w:numPr>
              <w:suppressAutoHyphens/>
            </w:pPr>
          </w:p>
        </w:tc>
      </w:tr>
    </w:tbl>
    <w:p w14:paraId="39881027" w14:textId="77777777" w:rsidR="00646A05" w:rsidRPr="009F63DF" w:rsidRDefault="00646A05" w:rsidP="00655F47">
      <w:pPr>
        <w:pStyle w:val="SDMMethCaptionEquationParametersTable"/>
        <w:suppressAutoHyphens/>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646A05" w:rsidRPr="009F63DF" w14:paraId="65304496" w14:textId="77777777" w:rsidTr="00646A05">
        <w:tc>
          <w:tcPr>
            <w:tcW w:w="1701" w:type="dxa"/>
            <w:vAlign w:val="top"/>
          </w:tcPr>
          <w:p w14:paraId="33E075CB" w14:textId="2669B4C3" w:rsidR="00646A05" w:rsidRPr="009F63DF" w:rsidRDefault="001549D8" w:rsidP="00B07AF7">
            <w:pPr>
              <w:pStyle w:val="SDMTableBoxParaNotNumbered"/>
              <w:suppressAutoHyphens/>
            </w:pPr>
            <m:oMathPara>
              <m:oMathParaPr>
                <m:jc m:val="left"/>
              </m:oMathParaPr>
              <m:oMath>
                <m:sSub>
                  <m:sSubPr>
                    <m:ctrlPr>
                      <w:rPr>
                        <w:rFonts w:ascii="Cambria Math" w:hAnsi="Cambria Math"/>
                      </w:rPr>
                    </m:ctrlPr>
                  </m:sSubPr>
                  <m:e>
                    <m:r>
                      <w:rPr>
                        <w:rFonts w:ascii="Cambria Math" w:hAnsi="Cambria Math"/>
                      </w:rPr>
                      <m:t>BE</m:t>
                    </m:r>
                  </m:e>
                  <m:sub>
                    <m:r>
                      <w:rPr>
                        <w:rFonts w:ascii="Cambria Math" w:hAnsi="Cambria Math"/>
                      </w:rPr>
                      <m:t>CO2,j,y</m:t>
                    </m:r>
                  </m:sub>
                </m:sSub>
              </m:oMath>
            </m:oMathPara>
          </w:p>
        </w:tc>
        <w:tc>
          <w:tcPr>
            <w:tcW w:w="345" w:type="dxa"/>
            <w:vAlign w:val="top"/>
          </w:tcPr>
          <w:p w14:paraId="4513CD7B" w14:textId="77777777" w:rsidR="00646A05" w:rsidRPr="009F63DF" w:rsidRDefault="00646A05" w:rsidP="00B07AF7">
            <w:pPr>
              <w:pStyle w:val="SDMTableBoxParaNotNumbered"/>
              <w:suppressAutoHyphens/>
            </w:pPr>
            <w:r w:rsidRPr="009F63DF">
              <w:t>=</w:t>
            </w:r>
          </w:p>
        </w:tc>
        <w:tc>
          <w:tcPr>
            <w:tcW w:w="0" w:type="auto"/>
            <w:vAlign w:val="top"/>
          </w:tcPr>
          <w:p w14:paraId="23BEAE45" w14:textId="135652E9" w:rsidR="00646A05" w:rsidRPr="009F63DF" w:rsidRDefault="00646A05" w:rsidP="00B07AF7">
            <w:pPr>
              <w:pStyle w:val="SDMTableBoxParaNotNumbered"/>
              <w:suppressAutoHyphens/>
            </w:pPr>
            <w:r w:rsidRPr="009F63DF">
              <w:t xml:space="preserve">Unadjusted baseline emissions not subject to reversal risk for secondary fuel types </w:t>
            </w:r>
            <w:r w:rsidRPr="009F63DF">
              <w:rPr>
                <w:i/>
              </w:rPr>
              <w:t>j</w:t>
            </w:r>
            <w:r w:rsidRPr="009F63DF">
              <w:t xml:space="preserve"> in year </w:t>
            </w:r>
            <w:r w:rsidRPr="009F63DF">
              <w:rPr>
                <w:i/>
              </w:rPr>
              <w:t>y</w:t>
            </w:r>
            <w:r w:rsidRPr="009F63DF">
              <w:t xml:space="preserve"> (t CO</w:t>
            </w:r>
            <w:r w:rsidRPr="009F63DF">
              <w:rPr>
                <w:vertAlign w:val="subscript"/>
              </w:rPr>
              <w:t>2</w:t>
            </w:r>
            <w:r w:rsidRPr="009F63DF">
              <w:t>eq)</w:t>
            </w:r>
          </w:p>
        </w:tc>
      </w:tr>
      <w:tr w:rsidR="00646A05" w:rsidRPr="009F63DF" w14:paraId="7723DA58" w14:textId="77777777" w:rsidTr="00646A05">
        <w:tc>
          <w:tcPr>
            <w:tcW w:w="1701" w:type="dxa"/>
            <w:vAlign w:val="top"/>
          </w:tcPr>
          <w:p w14:paraId="5A8B3362" w14:textId="1CAE6CD9" w:rsidR="00646A05" w:rsidRPr="009F63DF" w:rsidRDefault="001549D8" w:rsidP="00B07AF7">
            <w:pPr>
              <w:pStyle w:val="SDMTableBoxParaNotNumbered"/>
              <w:suppressAutoHyphens/>
            </w:pPr>
            <m:oMathPara>
              <m:oMathParaPr>
                <m:jc m:val="left"/>
              </m:oMathParaPr>
              <m:oMath>
                <m:sSub>
                  <m:sSubPr>
                    <m:ctrlPr>
                      <w:rPr>
                        <w:rFonts w:ascii="Cambria Math" w:hAnsi="Cambria Math"/>
                      </w:rPr>
                    </m:ctrlPr>
                  </m:sSubPr>
                  <m:e>
                    <m:r>
                      <w:rPr>
                        <w:rFonts w:ascii="Cambria Math" w:hAnsi="Cambria Math"/>
                      </w:rPr>
                      <m:t>EC</m:t>
                    </m:r>
                  </m:e>
                  <m:sub>
                    <m:r>
                      <w:rPr>
                        <w:rFonts w:ascii="Cambria Math" w:hAnsi="Cambria Math"/>
                      </w:rPr>
                      <m:t>BL,j,y</m:t>
                    </m:r>
                  </m:sub>
                </m:sSub>
              </m:oMath>
            </m:oMathPara>
          </w:p>
        </w:tc>
        <w:tc>
          <w:tcPr>
            <w:tcW w:w="345" w:type="dxa"/>
            <w:vAlign w:val="top"/>
          </w:tcPr>
          <w:p w14:paraId="293F3023" w14:textId="535E8BC6" w:rsidR="00646A05" w:rsidRPr="009F63DF" w:rsidRDefault="00646A05" w:rsidP="00B07AF7">
            <w:pPr>
              <w:pStyle w:val="SDMTableBoxParaNotNumbered"/>
              <w:suppressAutoHyphens/>
            </w:pPr>
            <w:r w:rsidRPr="009F63DF">
              <w:t>=</w:t>
            </w:r>
          </w:p>
        </w:tc>
        <w:tc>
          <w:tcPr>
            <w:tcW w:w="0" w:type="auto"/>
            <w:vAlign w:val="top"/>
          </w:tcPr>
          <w:p w14:paraId="78267A04" w14:textId="4D014274" w:rsidR="00646A05" w:rsidRPr="009F63DF" w:rsidRDefault="00646A05" w:rsidP="00B07AF7">
            <w:pPr>
              <w:pStyle w:val="SDMTableBoxParaNotNumbered"/>
              <w:suppressAutoHyphens/>
            </w:pPr>
            <w:r w:rsidRPr="009F63DF">
              <w:t xml:space="preserve">Consumption of secondary fuel types </w:t>
            </w:r>
            <w:r w:rsidRPr="009F63DF">
              <w:rPr>
                <w:i/>
              </w:rPr>
              <w:t>j</w:t>
            </w:r>
            <w:r w:rsidRPr="009F63DF">
              <w:t xml:space="preserve"> in baseline scenario in year </w:t>
            </w:r>
            <w:r w:rsidRPr="009F63DF">
              <w:rPr>
                <w:i/>
              </w:rPr>
              <w:t>y</w:t>
            </w:r>
            <w:r w:rsidRPr="009F63DF">
              <w:t xml:space="preserve"> (TJ)</w:t>
            </w:r>
          </w:p>
        </w:tc>
      </w:tr>
      <w:tr w:rsidR="00646A05" w:rsidRPr="009F63DF" w14:paraId="5E8F2018" w14:textId="77777777" w:rsidTr="00646A05">
        <w:tc>
          <w:tcPr>
            <w:tcW w:w="1701" w:type="dxa"/>
            <w:vAlign w:val="top"/>
          </w:tcPr>
          <w:p w14:paraId="473ADA1F" w14:textId="0524FEFD" w:rsidR="00646A05" w:rsidRPr="009F63DF" w:rsidRDefault="001549D8" w:rsidP="00B07AF7">
            <w:pPr>
              <w:pStyle w:val="SDMTableBoxParaNotNumbered"/>
              <w:suppressAutoHyphens/>
            </w:pPr>
            <m:oMathPara>
              <m:oMathParaPr>
                <m:jc m:val="left"/>
              </m:oMathParaPr>
              <m:oMath>
                <m:sSub>
                  <m:sSubPr>
                    <m:ctrlPr>
                      <w:rPr>
                        <w:rFonts w:ascii="Cambria Math" w:hAnsi="Cambria Math"/>
                      </w:rPr>
                    </m:ctrlPr>
                  </m:sSubPr>
                  <m:e>
                    <m:r>
                      <w:rPr>
                        <w:rFonts w:ascii="Cambria Math" w:hAnsi="Cambria Math"/>
                      </w:rPr>
                      <m:t>EF</m:t>
                    </m:r>
                  </m:e>
                  <m:sub>
                    <m:r>
                      <w:rPr>
                        <w:rFonts w:ascii="Cambria Math" w:hAnsi="Cambria Math"/>
                      </w:rPr>
                      <m:t>j,CO2</m:t>
                    </m:r>
                  </m:sub>
                </m:sSub>
              </m:oMath>
            </m:oMathPara>
          </w:p>
        </w:tc>
        <w:tc>
          <w:tcPr>
            <w:tcW w:w="345" w:type="dxa"/>
            <w:vAlign w:val="top"/>
          </w:tcPr>
          <w:p w14:paraId="37CEA902" w14:textId="2FDD5374" w:rsidR="00646A05" w:rsidRPr="009F63DF" w:rsidRDefault="00646A05" w:rsidP="00B07AF7">
            <w:pPr>
              <w:pStyle w:val="SDMTableBoxParaNotNumbered"/>
              <w:suppressAutoHyphens/>
            </w:pPr>
            <w:r w:rsidRPr="009F63DF">
              <w:t>=</w:t>
            </w:r>
          </w:p>
        </w:tc>
        <w:tc>
          <w:tcPr>
            <w:tcW w:w="0" w:type="auto"/>
            <w:vAlign w:val="top"/>
          </w:tcPr>
          <w:p w14:paraId="0E369216" w14:textId="1ED2045D" w:rsidR="00646A05" w:rsidRPr="009F63DF" w:rsidRDefault="00646A05" w:rsidP="00B07AF7">
            <w:pPr>
              <w:pStyle w:val="SDMTableBoxParaNotNumbered"/>
              <w:suppressAutoHyphens/>
            </w:pPr>
            <w:r w:rsidRPr="009F63DF">
              <w:t>CO</w:t>
            </w:r>
            <w:r w:rsidRPr="009F63DF">
              <w:rPr>
                <w:vertAlign w:val="subscript"/>
              </w:rPr>
              <w:t xml:space="preserve">2 </w:t>
            </w:r>
            <w:r w:rsidRPr="009F63DF">
              <w:t xml:space="preserve">emission factor for secondary fuel types </w:t>
            </w:r>
            <w:r w:rsidRPr="009F63DF">
              <w:rPr>
                <w:i/>
              </w:rPr>
              <w:t>j</w:t>
            </w:r>
            <w:r w:rsidRPr="009F63DF">
              <w:t xml:space="preserve"> (t CO</w:t>
            </w:r>
            <w:r w:rsidRPr="009F63DF">
              <w:rPr>
                <w:vertAlign w:val="subscript"/>
              </w:rPr>
              <w:t>2</w:t>
            </w:r>
            <w:r w:rsidR="00940A29" w:rsidRPr="009F63DF">
              <w:t xml:space="preserve"> </w:t>
            </w:r>
            <w:r w:rsidRPr="009F63DF">
              <w:t>/</w:t>
            </w:r>
            <w:r w:rsidR="00940A29" w:rsidRPr="009F63DF">
              <w:t xml:space="preserve"> </w:t>
            </w:r>
            <w:r w:rsidRPr="009F63DF">
              <w:t>TJ)</w:t>
            </w:r>
          </w:p>
        </w:tc>
      </w:tr>
      <w:tr w:rsidR="00646A05" w:rsidRPr="009F63DF" w14:paraId="6B7E5B1A" w14:textId="77777777" w:rsidTr="00646A05">
        <w:tc>
          <w:tcPr>
            <w:tcW w:w="1701" w:type="dxa"/>
            <w:vAlign w:val="top"/>
          </w:tcPr>
          <w:p w14:paraId="07C41F30" w14:textId="5CF1B2B8" w:rsidR="00646A05" w:rsidRPr="009F63DF" w:rsidRDefault="00646A05" w:rsidP="00B07AF7">
            <w:pPr>
              <w:pStyle w:val="SDMTableBoxParaNotNumbered"/>
              <w:suppressAutoHyphens/>
            </w:pPr>
            <w:r w:rsidRPr="009F63DF">
              <w:rPr>
                <w:rFonts w:ascii="Cambria Math" w:hAnsi="Cambria Math"/>
                <w:i/>
              </w:rPr>
              <w:t>j</w:t>
            </w:r>
          </w:p>
        </w:tc>
        <w:tc>
          <w:tcPr>
            <w:tcW w:w="345" w:type="dxa"/>
            <w:vAlign w:val="top"/>
          </w:tcPr>
          <w:p w14:paraId="09ED2F1C" w14:textId="77777777" w:rsidR="00646A05" w:rsidRPr="009F63DF" w:rsidRDefault="00646A05" w:rsidP="00B07AF7">
            <w:pPr>
              <w:pStyle w:val="SDMTableBoxParaNotNumbered"/>
              <w:suppressAutoHyphens/>
            </w:pPr>
            <w:r w:rsidRPr="009F63DF">
              <w:t>=</w:t>
            </w:r>
          </w:p>
        </w:tc>
        <w:tc>
          <w:tcPr>
            <w:tcW w:w="0" w:type="auto"/>
            <w:vAlign w:val="top"/>
          </w:tcPr>
          <w:p w14:paraId="6B350143" w14:textId="5C42C501" w:rsidR="00646A05" w:rsidRPr="009F63DF" w:rsidRDefault="00646A05" w:rsidP="00B07AF7">
            <w:pPr>
              <w:pStyle w:val="SDMTableBoxParaNotNumbered"/>
              <w:suppressAutoHyphens/>
            </w:pPr>
            <w:r w:rsidRPr="009F63DF">
              <w:t>Secondary fuel types (e.g. fossil fuels or dung)</w:t>
            </w:r>
          </w:p>
        </w:tc>
      </w:tr>
      <w:tr w:rsidR="00646A05" w:rsidRPr="009F63DF" w14:paraId="2256D705" w14:textId="77777777" w:rsidTr="00646A05">
        <w:tc>
          <w:tcPr>
            <w:tcW w:w="1701" w:type="dxa"/>
            <w:vAlign w:val="top"/>
          </w:tcPr>
          <w:p w14:paraId="6979E6B5" w14:textId="0E0DB1F0" w:rsidR="00646A05" w:rsidRPr="009F63DF" w:rsidRDefault="00646A05" w:rsidP="00B07AF7">
            <w:pPr>
              <w:pStyle w:val="SDMTableBoxParaNotNumbered"/>
              <w:suppressAutoHyphens/>
            </w:pPr>
            <w:r w:rsidRPr="009F63DF">
              <w:rPr>
                <w:rFonts w:ascii="Cambria Math" w:hAnsi="Cambria Math"/>
                <w:i/>
              </w:rPr>
              <w:t>y</w:t>
            </w:r>
          </w:p>
        </w:tc>
        <w:tc>
          <w:tcPr>
            <w:tcW w:w="345" w:type="dxa"/>
            <w:vAlign w:val="top"/>
          </w:tcPr>
          <w:p w14:paraId="0494AE1C" w14:textId="77777777" w:rsidR="00646A05" w:rsidRPr="009F63DF" w:rsidRDefault="00646A05" w:rsidP="00B07AF7">
            <w:pPr>
              <w:pStyle w:val="SDMTableBoxParaNotNumbered"/>
              <w:suppressAutoHyphens/>
            </w:pPr>
            <w:r w:rsidRPr="009F63DF">
              <w:t>=</w:t>
            </w:r>
          </w:p>
        </w:tc>
        <w:tc>
          <w:tcPr>
            <w:tcW w:w="0" w:type="auto"/>
            <w:vAlign w:val="top"/>
          </w:tcPr>
          <w:p w14:paraId="56E8216B" w14:textId="3EF447EA" w:rsidR="00646A05" w:rsidRPr="009F63DF" w:rsidRDefault="00646A05" w:rsidP="00B07AF7">
            <w:pPr>
              <w:pStyle w:val="SDMTableBoxParaNotNumbered"/>
              <w:suppressAutoHyphens/>
            </w:pPr>
            <w:r w:rsidRPr="009F63DF">
              <w:t>Calendar year of the crediting period (number)</w:t>
            </w:r>
          </w:p>
        </w:tc>
      </w:tr>
    </w:tbl>
    <w:p w14:paraId="52A01AD3" w14:textId="14622F3F" w:rsidR="00D8142D" w:rsidRPr="009F63DF" w:rsidRDefault="00B06142" w:rsidP="00E03E61">
      <w:pPr>
        <w:pStyle w:val="SDMPara"/>
      </w:pPr>
      <w:r w:rsidRPr="009F63DF">
        <w:rPr>
          <w:rFonts w:asciiTheme="minorBidi" w:hAnsiTheme="minorBidi" w:cstheme="minorBidi"/>
        </w:rPr>
        <w:t xml:space="preserve">Unadjusted </w:t>
      </w:r>
      <w:r w:rsidRPr="009F63DF">
        <w:rPr>
          <w:rFonts w:eastAsia="Montserrat"/>
        </w:rPr>
        <w:t>n</w:t>
      </w:r>
      <w:r w:rsidR="00D8142D" w:rsidRPr="009F63DF">
        <w:rPr>
          <w:rFonts w:eastAsia="Montserrat"/>
        </w:rPr>
        <w:t>on-</w:t>
      </w:r>
      <w:r w:rsidR="00D8142D" w:rsidRPr="009F63DF">
        <w:t>CO</w:t>
      </w:r>
      <w:r w:rsidR="00D8142D" w:rsidRPr="009F63DF">
        <w:rPr>
          <w:vertAlign w:val="subscript"/>
        </w:rPr>
        <w:t>2</w:t>
      </w:r>
      <w:r w:rsidR="00D8142D" w:rsidRPr="009F63DF">
        <w:rPr>
          <w:rFonts w:eastAsia="Montserrat"/>
        </w:rPr>
        <w:t xml:space="preserve"> baseline emissions are calculated using </w:t>
      </w:r>
      <w:r w:rsidR="00F22125" w:rsidRPr="009F63DF">
        <w:rPr>
          <w:rFonts w:eastAsia="Montserrat"/>
        </w:rPr>
        <w:t>equation</w:t>
      </w:r>
      <w:r w:rsidR="006F6BE8" w:rsidRPr="009F63DF">
        <w:rPr>
          <w:rFonts w:eastAsia="Montserrat"/>
        </w:rPr>
        <w:t>s</w:t>
      </w:r>
      <w:r w:rsidR="00F22125" w:rsidRPr="009F63DF">
        <w:rPr>
          <w:rFonts w:eastAsia="Montserrat"/>
        </w:rPr>
        <w:t xml:space="preserve"> (4)</w:t>
      </w:r>
      <w:r w:rsidR="009E55B5" w:rsidRPr="009F63DF">
        <w:rPr>
          <w:rFonts w:eastAsia="Montserrat"/>
        </w:rPr>
        <w:t xml:space="preserve"> and (5)</w:t>
      </w:r>
      <w:r w:rsidR="00D8142D" w:rsidRPr="009F63DF">
        <w:rPr>
          <w:rFonts w:eastAsia="Montserrat"/>
        </w:rPr>
        <w:t xml:space="preserve">. Upstream emissions shall not be calculated for </w:t>
      </w:r>
      <w:r w:rsidR="00BF570A" w:rsidRPr="009F63DF">
        <w:rPr>
          <w:rFonts w:eastAsia="Montserrat"/>
        </w:rPr>
        <w:t>secondary</w:t>
      </w:r>
      <w:r w:rsidR="00D8142D" w:rsidRPr="009F63DF">
        <w:rPr>
          <w:rFonts w:eastAsia="Montserrat"/>
        </w:rPr>
        <w:t xml:space="preserve"> fossil </w:t>
      </w:r>
      <w:r w:rsidR="00BF570A" w:rsidRPr="009F63DF">
        <w:rPr>
          <w:rFonts w:eastAsia="Montserrat"/>
        </w:rPr>
        <w:t>fuel</w:t>
      </w:r>
      <w:r w:rsidR="00A67F44" w:rsidRPr="009F63DF">
        <w:rPr>
          <w:rFonts w:eastAsia="Montserrat"/>
        </w:rPr>
        <w:t xml:space="preserve"> type</w:t>
      </w:r>
      <w:r w:rsidR="009E55B5" w:rsidRPr="009F63DF">
        <w:rPr>
          <w:rFonts w:eastAsia="Montserrat"/>
        </w:rPr>
        <w:t>s</w:t>
      </w:r>
      <w:r w:rsidR="00A67F44" w:rsidRPr="009F63DF">
        <w:rPr>
          <w:rFonts w:eastAsia="Montserrat"/>
        </w:rPr>
        <w:t xml:space="preserve"> </w:t>
      </w:r>
      <w:r w:rsidR="00A67F44" w:rsidRPr="009F63DF">
        <w:rPr>
          <w:rFonts w:eastAsia="Montserrat"/>
          <w:i/>
          <w:iCs/>
        </w:rPr>
        <w:t>j</w:t>
      </w:r>
      <w:r w:rsidR="00D8142D" w:rsidRPr="009F63DF">
        <w:rPr>
          <w:rFonts w:eastAsia="Montserrat"/>
        </w:rPr>
        <w:t xml:space="preserve">, </w:t>
      </w:r>
      <w:r w:rsidR="00B359B5" w:rsidRPr="009F63DF">
        <w:rPr>
          <w:rFonts w:eastAsia="Montserrat"/>
        </w:rPr>
        <w:t>which</w:t>
      </w:r>
      <w:r w:rsidR="00D8142D" w:rsidRPr="009F63DF">
        <w:rPr>
          <w:rFonts w:eastAsia="Montserrat"/>
        </w:rPr>
        <w:t xml:space="preserve"> </w:t>
      </w:r>
      <w:r w:rsidR="00172C90" w:rsidRPr="009F63DF">
        <w:rPr>
          <w:rFonts w:eastAsia="Montserrat"/>
        </w:rPr>
        <w:t>is</w:t>
      </w:r>
      <w:r w:rsidR="00D8142D" w:rsidRPr="009F63DF">
        <w:rPr>
          <w:rFonts w:eastAsia="Montserrat"/>
        </w:rPr>
        <w:t xml:space="preserve"> conservative.</w:t>
      </w:r>
    </w:p>
    <w:tbl>
      <w:tblPr>
        <w:tblStyle w:val="SDMMethTableEquation"/>
        <w:tblW w:w="8760" w:type="dxa"/>
        <w:tblLook w:val="0600" w:firstRow="0" w:lastRow="0" w:firstColumn="0" w:lastColumn="0" w:noHBand="1" w:noVBand="1"/>
      </w:tblPr>
      <w:tblGrid>
        <w:gridCol w:w="7016"/>
        <w:gridCol w:w="1640"/>
        <w:gridCol w:w="104"/>
      </w:tblGrid>
      <w:tr w:rsidR="00646A05" w:rsidRPr="009F63DF" w14:paraId="644BE934" w14:textId="77777777" w:rsidTr="00C5477B">
        <w:tc>
          <w:tcPr>
            <w:tcW w:w="7224" w:type="dxa"/>
          </w:tcPr>
          <w:p w14:paraId="0E39EECB" w14:textId="710600E2" w:rsidR="00646A05" w:rsidRPr="009F63DF" w:rsidRDefault="001549D8" w:rsidP="00B07AF7">
            <w:pPr>
              <w:pStyle w:val="SDMMethEquation"/>
              <w:suppressAutoHyphens/>
            </w:pPr>
            <m:oMathPara>
              <m:oMathParaPr>
                <m:jc m:val="left"/>
              </m:oMathParaPr>
              <m:oMath>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nonCO2,i,y</m:t>
                    </m:r>
                  </m:sub>
                </m:sSub>
                <m:r>
                  <w:rPr>
                    <w:rFonts w:ascii="Cambria Math" w:eastAsia="Cambria Math" w:hAnsi="Cambria Math" w:cs="Cambria Math"/>
                    <w:sz w:val="20"/>
                    <w:lang w:eastAsia="en-US"/>
                  </w:rPr>
                  <m:t xml:space="preserve"> = </m:t>
                </m:r>
                <m:nary>
                  <m:naryPr>
                    <m:chr m:val="∑"/>
                    <m:supHide m:val="1"/>
                    <m:ctrlPr>
                      <w:rPr>
                        <w:rFonts w:ascii="Cambria Math" w:eastAsia="Cambria Math" w:hAnsi="Cambria Math" w:cs="Cambria Math"/>
                        <w:i/>
                        <w:sz w:val="20"/>
                        <w:lang w:eastAsia="en-US"/>
                      </w:rPr>
                    </m:ctrlPr>
                  </m:naryPr>
                  <m:sub>
                    <m:r>
                      <w:rPr>
                        <w:rFonts w:ascii="Cambria Math" w:eastAsia="Cambria Math" w:hAnsi="Cambria Math" w:cs="Cambria Math"/>
                        <w:sz w:val="20"/>
                        <w:lang w:eastAsia="en-US"/>
                      </w:rPr>
                      <m:t>i</m:t>
                    </m:r>
                  </m:sub>
                  <m:sup/>
                  <m:e>
                    <m:r>
                      <w:rPr>
                        <w:rFonts w:ascii="Cambria Math" w:eastAsia="Cambria Math" w:hAnsi="Cambria Math" w:cs="Cambria Math"/>
                        <w:sz w:val="20"/>
                        <w:lang w:eastAsia="en-US"/>
                      </w:rPr>
                      <m:t xml:space="preserve"> </m:t>
                    </m:r>
                  </m:e>
                </m:nary>
                <m:d>
                  <m:dPr>
                    <m:endChr m:val=""/>
                    <m:ctrlPr>
                      <w:rPr>
                        <w:rFonts w:ascii="Cambria Math" w:eastAsia="Cambria Math" w:hAnsi="Cambria Math" w:cs="Cambria Math"/>
                        <w:i/>
                        <w:sz w:val="20"/>
                        <w:lang w:eastAsia="en-US"/>
                      </w:rPr>
                    </m:ctrlPr>
                  </m:dPr>
                  <m:e>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EC</m:t>
                        </m:r>
                      </m:e>
                      <m:sub>
                        <m:r>
                          <w:rPr>
                            <w:rFonts w:ascii="Cambria Math" w:eastAsia="Cambria Math" w:hAnsi="Cambria Math" w:cs="Cambria Math"/>
                            <w:sz w:val="20"/>
                            <w:lang w:eastAsia="en-US"/>
                          </w:rPr>
                          <m:t>BL,i,y</m:t>
                        </m:r>
                      </m:sub>
                    </m:sSub>
                    <m:r>
                      <w:rPr>
                        <w:rFonts w:ascii="Cambria Math" w:eastAsia="Cambria Math" w:hAnsi="Cambria Math" w:cs="Cambria Math"/>
                        <w:sz w:val="20"/>
                        <w:lang w:eastAsia="en-US"/>
                      </w:rPr>
                      <m:t>×</m:t>
                    </m:r>
                    <m:d>
                      <m:dPr>
                        <m:ctrlPr>
                          <w:rPr>
                            <w:rFonts w:ascii="Cambria Math" w:eastAsia="Cambria Math" w:hAnsi="Cambria Math" w:cs="Cambria Math"/>
                            <w:i/>
                            <w:sz w:val="20"/>
                            <w:lang w:eastAsia="en-US"/>
                          </w:rPr>
                        </m:ctrlPr>
                      </m:dPr>
                      <m:e>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EF</m:t>
                            </m:r>
                          </m:e>
                          <m:sub>
                            <m:r>
                              <w:rPr>
                                <w:rFonts w:ascii="Cambria Math" w:eastAsia="Cambria Math" w:hAnsi="Cambria Math" w:cs="Cambria Math"/>
                                <w:sz w:val="20"/>
                                <w:lang w:eastAsia="en-US"/>
                              </w:rPr>
                              <m:t>i,nonCO2</m:t>
                            </m:r>
                          </m:sub>
                        </m:sSub>
                        <m:r>
                          <w:rPr>
                            <w:rFonts w:ascii="Cambria Math" w:eastAsia="Cambria Math" w:hAnsi="Cambria Math" w:cs="Cambria Math"/>
                            <w:sz w:val="20"/>
                            <w:lang w:eastAsia="en-US"/>
                          </w:rPr>
                          <m:t>+</m:t>
                        </m:r>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EF</m:t>
                            </m:r>
                          </m:e>
                          <m:sub>
                            <m:r>
                              <w:rPr>
                                <w:rFonts w:ascii="Cambria Math" w:eastAsia="Cambria Math" w:hAnsi="Cambria Math" w:cs="Cambria Math"/>
                                <w:sz w:val="20"/>
                                <w:lang w:eastAsia="en-US"/>
                              </w:rPr>
                              <m:t>i,nonCO2,upstream</m:t>
                            </m:r>
                          </m:sub>
                        </m:sSub>
                        <m:r>
                          <w:rPr>
                            <w:rFonts w:ascii="Cambria Math" w:eastAsia="Cambria Math" w:hAnsi="Cambria Math" w:cs="Cambria Math"/>
                            <w:sz w:val="20"/>
                            <w:lang w:eastAsia="en-US"/>
                          </w:rPr>
                          <m:t>)</m:t>
                        </m:r>
                      </m:e>
                    </m:d>
                  </m:e>
                </m:d>
              </m:oMath>
            </m:oMathPara>
          </w:p>
        </w:tc>
        <w:tc>
          <w:tcPr>
            <w:tcW w:w="1701" w:type="dxa"/>
            <w:gridSpan w:val="2"/>
          </w:tcPr>
          <w:p w14:paraId="5F8AA0E9" w14:textId="77777777" w:rsidR="00646A05" w:rsidRPr="009F63DF" w:rsidRDefault="00646A05" w:rsidP="00AF1AC1">
            <w:pPr>
              <w:pStyle w:val="SDMMethEquationNr"/>
              <w:numPr>
                <w:ilvl w:val="0"/>
                <w:numId w:val="29"/>
              </w:numPr>
              <w:suppressAutoHyphens/>
              <w:ind w:right="113"/>
            </w:pPr>
          </w:p>
        </w:tc>
      </w:tr>
      <w:tr w:rsidR="00646A05" w:rsidRPr="009F63DF" w14:paraId="4577EB52" w14:textId="77777777" w:rsidTr="00C5477B">
        <w:trPr>
          <w:gridAfter w:val="1"/>
          <w:wAfter w:w="108" w:type="dxa"/>
        </w:trPr>
        <w:tc>
          <w:tcPr>
            <w:tcW w:w="7224" w:type="dxa"/>
          </w:tcPr>
          <w:p w14:paraId="54E9CB78" w14:textId="267B8305" w:rsidR="00646A05" w:rsidRPr="009F63DF" w:rsidRDefault="001549D8" w:rsidP="00B07AF7">
            <w:pPr>
              <w:pStyle w:val="SDMMethEquation"/>
              <w:suppressAutoHyphens/>
            </w:pPr>
            <m:oMathPara>
              <m:oMathParaPr>
                <m:jc m:val="left"/>
              </m:oMathParaPr>
              <m:oMath>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BE</m:t>
                    </m:r>
                  </m:e>
                  <m:sub>
                    <m:r>
                      <w:rPr>
                        <w:rFonts w:ascii="Cambria Math" w:eastAsia="Cambria Math" w:hAnsi="Cambria Math" w:cs="Cambria Math"/>
                        <w:sz w:val="20"/>
                        <w:lang w:eastAsia="en-US"/>
                      </w:rPr>
                      <m:t>nonCO2,j,y</m:t>
                    </m:r>
                  </m:sub>
                </m:sSub>
                <m:r>
                  <w:rPr>
                    <w:rFonts w:ascii="Cambria Math" w:eastAsia="Cambria Math" w:hAnsi="Cambria Math" w:cs="Cambria Math"/>
                    <w:sz w:val="20"/>
                    <w:lang w:eastAsia="en-US"/>
                  </w:rPr>
                  <m:t xml:space="preserve"> =</m:t>
                </m:r>
                <m:nary>
                  <m:naryPr>
                    <m:chr m:val="∑"/>
                    <m:limLoc m:val="undOvr"/>
                    <m:supHide m:val="1"/>
                    <m:ctrlPr>
                      <w:rPr>
                        <w:rFonts w:ascii="Cambria Math" w:hAnsi="Cambria Math"/>
                        <w:i/>
                        <w:sz w:val="20"/>
                        <w:lang w:eastAsia="en-US"/>
                      </w:rPr>
                    </m:ctrlPr>
                  </m:naryPr>
                  <m:sub>
                    <m:r>
                      <w:rPr>
                        <w:rFonts w:ascii="Cambria Math" w:hAnsi="Cambria Math"/>
                        <w:sz w:val="20"/>
                        <w:lang w:eastAsia="en-US"/>
                      </w:rPr>
                      <m:t>j</m:t>
                    </m:r>
                  </m:sub>
                  <m:sup/>
                  <m:e>
                    <m:d>
                      <m:dPr>
                        <m:ctrlPr>
                          <w:rPr>
                            <w:rFonts w:ascii="Cambria Math" w:hAnsi="Cambria Math"/>
                            <w:i/>
                            <w:sz w:val="20"/>
                            <w:lang w:eastAsia="en-US"/>
                          </w:rPr>
                        </m:ctrlPr>
                      </m:dPr>
                      <m:e>
                        <m:sSub>
                          <m:sSubPr>
                            <m:ctrlPr>
                              <w:rPr>
                                <w:rFonts w:ascii="Cambria Math" w:hAnsi="Cambria Math"/>
                                <w:i/>
                                <w:sz w:val="20"/>
                                <w:lang w:eastAsia="en-US"/>
                              </w:rPr>
                            </m:ctrlPr>
                          </m:sSubPr>
                          <m:e>
                            <m:r>
                              <w:rPr>
                                <w:rFonts w:ascii="Cambria Math" w:hAnsi="Cambria Math"/>
                                <w:sz w:val="20"/>
                                <w:lang w:eastAsia="en-US"/>
                              </w:rPr>
                              <m:t>EC</m:t>
                            </m:r>
                          </m:e>
                          <m:sub>
                            <m:r>
                              <w:rPr>
                                <w:rFonts w:ascii="Cambria Math" w:hAnsi="Cambria Math"/>
                                <w:sz w:val="20"/>
                                <w:lang w:eastAsia="en-US"/>
                              </w:rPr>
                              <m:t>BL,j,y</m:t>
                            </m:r>
                          </m:sub>
                        </m:sSub>
                        <m:r>
                          <w:rPr>
                            <w:rFonts w:ascii="Cambria Math" w:eastAsia="Cambria Math" w:hAnsi="Cambria Math" w:cs="Cambria Math"/>
                            <w:sz w:val="20"/>
                            <w:lang w:eastAsia="en-US"/>
                          </w:rPr>
                          <m:t>×</m:t>
                        </m:r>
                        <m:sSub>
                          <m:sSubPr>
                            <m:ctrlPr>
                              <w:rPr>
                                <w:rFonts w:ascii="Cambria Math" w:hAnsi="Cambria Math"/>
                                <w:i/>
                                <w:sz w:val="20"/>
                                <w:lang w:eastAsia="en-US"/>
                              </w:rPr>
                            </m:ctrlPr>
                          </m:sSubPr>
                          <m:e>
                            <m:r>
                              <w:rPr>
                                <w:rFonts w:ascii="Cambria Math" w:hAnsi="Cambria Math"/>
                                <w:sz w:val="20"/>
                                <w:lang w:eastAsia="en-US"/>
                              </w:rPr>
                              <m:t>EF</m:t>
                            </m:r>
                          </m:e>
                          <m:sub>
                            <m:r>
                              <w:rPr>
                                <w:rFonts w:ascii="Cambria Math" w:hAnsi="Cambria Math"/>
                                <w:sz w:val="20"/>
                                <w:lang w:eastAsia="en-US"/>
                              </w:rPr>
                              <m:t>j,nonCO2</m:t>
                            </m:r>
                          </m:sub>
                        </m:sSub>
                      </m:e>
                    </m:d>
                  </m:e>
                </m:nary>
                <m:r>
                  <w:rPr>
                    <w:rFonts w:ascii="Cambria Math" w:hAnsi="Cambria Math"/>
                    <w:sz w:val="20"/>
                    <w:lang w:eastAsia="en-US"/>
                  </w:rPr>
                  <m:t xml:space="preserve"> </m:t>
                </m:r>
              </m:oMath>
            </m:oMathPara>
          </w:p>
        </w:tc>
        <w:tc>
          <w:tcPr>
            <w:tcW w:w="1701" w:type="dxa"/>
          </w:tcPr>
          <w:p w14:paraId="282F9BC7" w14:textId="77777777" w:rsidR="00646A05" w:rsidRPr="009F63DF" w:rsidRDefault="00646A05" w:rsidP="00AF1AC1">
            <w:pPr>
              <w:pStyle w:val="SDMMethEquationNr"/>
              <w:numPr>
                <w:ilvl w:val="0"/>
                <w:numId w:val="29"/>
              </w:numPr>
              <w:suppressAutoHyphens/>
            </w:pPr>
          </w:p>
        </w:tc>
      </w:tr>
    </w:tbl>
    <w:p w14:paraId="248B9450" w14:textId="77777777" w:rsidR="00646A05" w:rsidRPr="009F63DF" w:rsidRDefault="00646A05" w:rsidP="00655F47">
      <w:pPr>
        <w:pStyle w:val="SDMMethCaptionEquationParametersTable"/>
        <w:suppressAutoHyphens/>
      </w:pPr>
      <w:r w:rsidRPr="009F63DF">
        <w:t>Where:</w:t>
      </w:r>
    </w:p>
    <w:tbl>
      <w:tblPr>
        <w:tblStyle w:val="SDMMethTableEquationParameters"/>
        <w:tblW w:w="8760" w:type="dxa"/>
        <w:tblLook w:val="04A0" w:firstRow="1" w:lastRow="0" w:firstColumn="1" w:lastColumn="0" w:noHBand="0" w:noVBand="1"/>
      </w:tblPr>
      <w:tblGrid>
        <w:gridCol w:w="1768"/>
        <w:gridCol w:w="345"/>
        <w:gridCol w:w="6647"/>
      </w:tblGrid>
      <w:tr w:rsidR="00646A05" w:rsidRPr="009F63DF" w14:paraId="70AF4638" w14:textId="77777777" w:rsidTr="00BA2CAC">
        <w:tc>
          <w:tcPr>
            <w:tcW w:w="1768" w:type="dxa"/>
            <w:vAlign w:val="top"/>
          </w:tcPr>
          <w:p w14:paraId="19C58DA4" w14:textId="1822B65C" w:rsidR="00646A05"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i/>
                        <w:lang w:eastAsia="en-US"/>
                      </w:rPr>
                    </m:ctrlPr>
                  </m:sSubPr>
                  <m:e>
                    <m:r>
                      <w:rPr>
                        <w:rFonts w:ascii="Cambria Math" w:eastAsia="Cambria Math" w:hAnsi="Cambria Math" w:cstheme="minorBidi"/>
                        <w:lang w:eastAsia="en-US"/>
                      </w:rPr>
                      <m:t>BE</m:t>
                    </m:r>
                  </m:e>
                  <m:sub>
                    <m:r>
                      <w:rPr>
                        <w:rFonts w:ascii="Cambria Math" w:eastAsia="Cambria Math" w:hAnsi="Cambria Math" w:cstheme="minorBidi"/>
                        <w:lang w:eastAsia="en-US"/>
                      </w:rPr>
                      <m:t>nonCO2,i,y</m:t>
                    </m:r>
                  </m:sub>
                </m:sSub>
              </m:oMath>
            </m:oMathPara>
          </w:p>
        </w:tc>
        <w:tc>
          <w:tcPr>
            <w:tcW w:w="345" w:type="dxa"/>
            <w:vAlign w:val="top"/>
          </w:tcPr>
          <w:p w14:paraId="4AD7987B" w14:textId="77777777" w:rsidR="00646A05" w:rsidRPr="009F63DF" w:rsidRDefault="00646A05" w:rsidP="00B07AF7">
            <w:pPr>
              <w:pStyle w:val="SDMTableBoxParaNotNumbered"/>
              <w:suppressAutoHyphens/>
            </w:pPr>
            <w:r w:rsidRPr="009F63DF">
              <w:t>=</w:t>
            </w:r>
          </w:p>
        </w:tc>
        <w:tc>
          <w:tcPr>
            <w:tcW w:w="0" w:type="auto"/>
            <w:vAlign w:val="top"/>
          </w:tcPr>
          <w:p w14:paraId="4C018099" w14:textId="1D98C343" w:rsidR="00646A05" w:rsidRPr="009F63DF" w:rsidRDefault="00BA2CAC" w:rsidP="00B07AF7">
            <w:pPr>
              <w:pStyle w:val="SDMTableBoxParaNotNumbered"/>
              <w:suppressAutoHyphens/>
            </w:pPr>
            <w:r w:rsidRPr="009F63DF">
              <w:t>Unadjusted non-CO</w:t>
            </w:r>
            <w:r w:rsidRPr="009F63DF">
              <w:rPr>
                <w:vertAlign w:val="subscript"/>
              </w:rPr>
              <w:t>2</w:t>
            </w:r>
            <w:r w:rsidRPr="009F63DF">
              <w:t xml:space="preserve"> baseline emissions for primary fuel types </w:t>
            </w:r>
            <w:r w:rsidRPr="009F63DF">
              <w:rPr>
                <w:i/>
              </w:rPr>
              <w:t>i</w:t>
            </w:r>
            <w:r w:rsidRPr="009F63DF">
              <w:t xml:space="preserve"> in year </w:t>
            </w:r>
            <w:r w:rsidRPr="009F63DF">
              <w:rPr>
                <w:i/>
              </w:rPr>
              <w:t>y</w:t>
            </w:r>
            <w:r w:rsidRPr="009F63DF">
              <w:t xml:space="preserve"> (t CO</w:t>
            </w:r>
            <w:r w:rsidRPr="009F63DF">
              <w:rPr>
                <w:vertAlign w:val="subscript"/>
              </w:rPr>
              <w:t>2</w:t>
            </w:r>
            <w:r w:rsidRPr="009F63DF">
              <w:t>eq)</w:t>
            </w:r>
          </w:p>
        </w:tc>
      </w:tr>
      <w:tr w:rsidR="00646A05" w:rsidRPr="009F63DF" w14:paraId="5B296FBF" w14:textId="77777777" w:rsidTr="00BA2CAC">
        <w:tc>
          <w:tcPr>
            <w:tcW w:w="1768" w:type="dxa"/>
            <w:vAlign w:val="top"/>
          </w:tcPr>
          <w:p w14:paraId="0F25CDFB" w14:textId="640916AD" w:rsidR="00646A05" w:rsidRPr="009F63DF" w:rsidRDefault="001549D8" w:rsidP="00B07AF7">
            <w:pPr>
              <w:pStyle w:val="SDMTableBoxParaNotNumbered"/>
              <w:suppressAutoHyphens/>
            </w:pPr>
            <m:oMathPara>
              <m:oMathParaPr>
                <m:jc m:val="left"/>
              </m:oMathParaPr>
              <m:oMath>
                <m:sSub>
                  <m:sSubPr>
                    <m:ctrlPr>
                      <w:rPr>
                        <w:rFonts w:ascii="Cambria Math" w:hAnsi="Cambria Math" w:cstheme="minorBidi"/>
                      </w:rPr>
                    </m:ctrlPr>
                  </m:sSubPr>
                  <m:e>
                    <m:r>
                      <w:rPr>
                        <w:rFonts w:ascii="Cambria Math" w:hAnsi="Cambria Math" w:cstheme="minorBidi"/>
                      </w:rPr>
                      <m:t>EC</m:t>
                    </m:r>
                  </m:e>
                  <m:sub>
                    <m:r>
                      <w:rPr>
                        <w:rFonts w:ascii="Cambria Math" w:hAnsi="Cambria Math" w:cstheme="minorBidi"/>
                      </w:rPr>
                      <m:t>BL,i,y</m:t>
                    </m:r>
                  </m:sub>
                </m:sSub>
              </m:oMath>
            </m:oMathPara>
          </w:p>
        </w:tc>
        <w:tc>
          <w:tcPr>
            <w:tcW w:w="345" w:type="dxa"/>
            <w:vAlign w:val="top"/>
          </w:tcPr>
          <w:p w14:paraId="385BBE92" w14:textId="77777777" w:rsidR="00646A05" w:rsidRPr="009F63DF" w:rsidRDefault="00646A05" w:rsidP="00B07AF7">
            <w:pPr>
              <w:pStyle w:val="SDMTableBoxParaNotNumbered"/>
              <w:suppressAutoHyphens/>
            </w:pPr>
            <w:r w:rsidRPr="009F63DF">
              <w:t>=</w:t>
            </w:r>
          </w:p>
        </w:tc>
        <w:tc>
          <w:tcPr>
            <w:tcW w:w="0" w:type="auto"/>
            <w:vAlign w:val="top"/>
          </w:tcPr>
          <w:p w14:paraId="32AABD35" w14:textId="2E3CB00B" w:rsidR="00646A05" w:rsidRPr="009F63DF" w:rsidRDefault="00BA2CAC" w:rsidP="00B07AF7">
            <w:pPr>
              <w:pStyle w:val="SDMTableBoxParaNotNumbered"/>
              <w:suppressAutoHyphens/>
            </w:pPr>
            <w:r w:rsidRPr="009F63DF">
              <w:t xml:space="preserve">Consumption of primary fuel types </w:t>
            </w:r>
            <w:r w:rsidRPr="009F63DF">
              <w:rPr>
                <w:i/>
              </w:rPr>
              <w:t>i</w:t>
            </w:r>
            <w:r w:rsidRPr="009F63DF">
              <w:t xml:space="preserve"> in baseline scenario in year </w:t>
            </w:r>
            <w:r w:rsidRPr="009F63DF">
              <w:rPr>
                <w:i/>
              </w:rPr>
              <w:t xml:space="preserve">y </w:t>
            </w:r>
            <w:r w:rsidRPr="009F63DF">
              <w:t>(TJ)</w:t>
            </w:r>
          </w:p>
        </w:tc>
      </w:tr>
      <w:tr w:rsidR="00646A05" w:rsidRPr="009F63DF" w14:paraId="0970F2E5" w14:textId="77777777" w:rsidTr="00BA2CAC">
        <w:tc>
          <w:tcPr>
            <w:tcW w:w="1768" w:type="dxa"/>
            <w:vAlign w:val="top"/>
          </w:tcPr>
          <w:p w14:paraId="5FB0D5E4" w14:textId="74AC4594" w:rsidR="00646A05" w:rsidRPr="009F63DF" w:rsidRDefault="001549D8" w:rsidP="00B07AF7">
            <w:pPr>
              <w:pStyle w:val="SDMTableBoxParaNotNumbered"/>
              <w:suppressAutoHyphens/>
            </w:pPr>
            <m:oMathPara>
              <m:oMathParaPr>
                <m:jc m:val="left"/>
              </m:oMathParaPr>
              <m:oMath>
                <m:sSub>
                  <m:sSubPr>
                    <m:ctrlPr>
                      <w:rPr>
                        <w:rFonts w:ascii="Cambria Math" w:hAnsi="Cambria Math" w:cstheme="minorBidi"/>
                      </w:rPr>
                    </m:ctrlPr>
                  </m:sSubPr>
                  <m:e>
                    <m:r>
                      <w:rPr>
                        <w:rFonts w:ascii="Cambria Math" w:hAnsi="Cambria Math" w:cstheme="minorBidi"/>
                      </w:rPr>
                      <m:t>EF</m:t>
                    </m:r>
                  </m:e>
                  <m:sub>
                    <m:r>
                      <w:rPr>
                        <w:rFonts w:ascii="Cambria Math" w:hAnsi="Cambria Math" w:cstheme="minorBidi"/>
                      </w:rPr>
                      <m:t>i,nonCO2</m:t>
                    </m:r>
                  </m:sub>
                </m:sSub>
              </m:oMath>
            </m:oMathPara>
          </w:p>
        </w:tc>
        <w:tc>
          <w:tcPr>
            <w:tcW w:w="345" w:type="dxa"/>
            <w:vAlign w:val="top"/>
          </w:tcPr>
          <w:p w14:paraId="1E0A6E10" w14:textId="77777777" w:rsidR="00646A05" w:rsidRPr="009F63DF" w:rsidRDefault="00646A05" w:rsidP="00B07AF7">
            <w:pPr>
              <w:pStyle w:val="SDMTableBoxParaNotNumbered"/>
              <w:suppressAutoHyphens/>
            </w:pPr>
            <w:r w:rsidRPr="009F63DF">
              <w:t>=</w:t>
            </w:r>
          </w:p>
        </w:tc>
        <w:tc>
          <w:tcPr>
            <w:tcW w:w="0" w:type="auto"/>
            <w:vAlign w:val="top"/>
          </w:tcPr>
          <w:p w14:paraId="112D1450" w14:textId="3719AE64" w:rsidR="00646A05" w:rsidRPr="009F63DF" w:rsidRDefault="00BA2CAC" w:rsidP="00B07AF7">
            <w:pPr>
              <w:pStyle w:val="SDMTableBoxParaNotNumbered"/>
              <w:suppressAutoHyphens/>
            </w:pPr>
            <w:r w:rsidRPr="009F63DF">
              <w:t>Non-CO</w:t>
            </w:r>
            <w:r w:rsidRPr="009F63DF">
              <w:rPr>
                <w:vertAlign w:val="subscript"/>
              </w:rPr>
              <w:t>2</w:t>
            </w:r>
            <w:r w:rsidRPr="009F63DF">
              <w:t xml:space="preserve"> emission factor for primary fuel types </w:t>
            </w:r>
            <w:r w:rsidRPr="009F63DF">
              <w:rPr>
                <w:i/>
              </w:rPr>
              <w:t>i</w:t>
            </w:r>
            <w:r w:rsidRPr="009F63DF">
              <w:t xml:space="preserve"> (</w:t>
            </w:r>
            <w:r w:rsidR="008725FE" w:rsidRPr="009F63DF">
              <w:t>t</w:t>
            </w:r>
            <w:r w:rsidR="008725FE">
              <w:t xml:space="preserve"> </w:t>
            </w:r>
            <w:r w:rsidR="008725FE" w:rsidRPr="009F63DF">
              <w:t>CO</w:t>
            </w:r>
            <w:r w:rsidR="008725FE" w:rsidRPr="006D5F34">
              <w:rPr>
                <w:vertAlign w:val="subscript"/>
              </w:rPr>
              <w:t>2</w:t>
            </w:r>
            <w:r w:rsidR="008725FE" w:rsidRPr="006D5F34">
              <w:t xml:space="preserve"> </w:t>
            </w:r>
            <w:r w:rsidR="008725FE" w:rsidRPr="009F63DF">
              <w:t xml:space="preserve">eq </w:t>
            </w:r>
            <w:r w:rsidRPr="009F63DF">
              <w:t>/TJ)</w:t>
            </w:r>
          </w:p>
        </w:tc>
      </w:tr>
      <w:tr w:rsidR="00BA2CAC" w:rsidRPr="009F63DF" w14:paraId="04671239" w14:textId="77777777" w:rsidTr="00BA2CAC">
        <w:tc>
          <w:tcPr>
            <w:tcW w:w="1768" w:type="dxa"/>
            <w:vAlign w:val="top"/>
          </w:tcPr>
          <w:p w14:paraId="51EDBD9A" w14:textId="49BA4101" w:rsidR="00BA2CAC" w:rsidRPr="009F63DF" w:rsidRDefault="001549D8" w:rsidP="00B07AF7">
            <w:pPr>
              <w:pStyle w:val="SDMTableBoxParaNotNumbered"/>
              <w:suppressAutoHyphens/>
            </w:pPr>
            <m:oMathPara>
              <m:oMathParaPr>
                <m:jc m:val="left"/>
              </m:oMathParaPr>
              <m:oMath>
                <m:sSub>
                  <m:sSubPr>
                    <m:ctrlPr>
                      <w:rPr>
                        <w:rFonts w:ascii="Cambria Math" w:hAnsi="Cambria Math" w:cstheme="minorBidi"/>
                      </w:rPr>
                    </m:ctrlPr>
                  </m:sSubPr>
                  <m:e>
                    <m:r>
                      <w:rPr>
                        <w:rFonts w:ascii="Cambria Math" w:hAnsi="Cambria Math" w:cstheme="minorBidi"/>
                      </w:rPr>
                      <m:t>EF</m:t>
                    </m:r>
                  </m:e>
                  <m:sub>
                    <m:r>
                      <w:rPr>
                        <w:rFonts w:ascii="Cambria Math" w:hAnsi="Cambria Math" w:cstheme="minorBidi"/>
                      </w:rPr>
                      <m:t>i,nonCO2,upstream</m:t>
                    </m:r>
                  </m:sub>
                </m:sSub>
              </m:oMath>
            </m:oMathPara>
          </w:p>
        </w:tc>
        <w:tc>
          <w:tcPr>
            <w:tcW w:w="345" w:type="dxa"/>
            <w:vAlign w:val="top"/>
          </w:tcPr>
          <w:p w14:paraId="288F90F1" w14:textId="2A5BD611" w:rsidR="00BA2CAC" w:rsidRPr="009F63DF" w:rsidRDefault="00BA2CAC" w:rsidP="00B07AF7">
            <w:pPr>
              <w:pStyle w:val="SDMTableBoxParaNotNumbered"/>
              <w:suppressAutoHyphens/>
            </w:pPr>
            <w:r w:rsidRPr="009F63DF">
              <w:t>=</w:t>
            </w:r>
          </w:p>
        </w:tc>
        <w:tc>
          <w:tcPr>
            <w:tcW w:w="0" w:type="auto"/>
            <w:vAlign w:val="top"/>
          </w:tcPr>
          <w:p w14:paraId="26B838C8" w14:textId="422C03A8" w:rsidR="00BA2CAC" w:rsidRPr="009F63DF" w:rsidRDefault="00BA2CAC" w:rsidP="00B07AF7">
            <w:pPr>
              <w:pStyle w:val="SDMTableBoxParaNotNumbered"/>
              <w:suppressAutoHyphens/>
            </w:pPr>
            <w:r w:rsidRPr="009F63DF">
              <w:t>Non-CO</w:t>
            </w:r>
            <w:r w:rsidRPr="009F63DF">
              <w:rPr>
                <w:vertAlign w:val="subscript"/>
              </w:rPr>
              <w:t>2</w:t>
            </w:r>
            <w:r w:rsidRPr="009F63DF">
              <w:t xml:space="preserve"> emission factor for upstream emissions for primary fuel types </w:t>
            </w:r>
            <w:r w:rsidRPr="009F63DF">
              <w:rPr>
                <w:i/>
              </w:rPr>
              <w:t>i</w:t>
            </w:r>
            <w:r w:rsidRPr="009F63DF">
              <w:t xml:space="preserve"> (t CO</w:t>
            </w:r>
            <w:r w:rsidRPr="009F63DF">
              <w:rPr>
                <w:vertAlign w:val="subscript"/>
              </w:rPr>
              <w:t>2</w:t>
            </w:r>
            <w:r w:rsidRPr="009F63DF">
              <w:t>eq /</w:t>
            </w:r>
            <w:r w:rsidR="00B90DC4" w:rsidRPr="009F63DF">
              <w:t xml:space="preserve"> </w:t>
            </w:r>
            <w:r w:rsidRPr="009F63DF">
              <w:t>TJ) (only applicable to charcoal)</w:t>
            </w:r>
          </w:p>
        </w:tc>
      </w:tr>
      <w:tr w:rsidR="00BA2CAC" w:rsidRPr="009F63DF" w14:paraId="65471E5F" w14:textId="77777777" w:rsidTr="00BA2CAC">
        <w:tc>
          <w:tcPr>
            <w:tcW w:w="1768" w:type="dxa"/>
            <w:vAlign w:val="top"/>
          </w:tcPr>
          <w:p w14:paraId="073C3029" w14:textId="46D34CA4" w:rsidR="00BA2CAC"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i/>
                        <w:lang w:eastAsia="en-US"/>
                      </w:rPr>
                    </m:ctrlPr>
                  </m:sSubPr>
                  <m:e>
                    <m:r>
                      <w:rPr>
                        <w:rFonts w:ascii="Cambria Math" w:eastAsia="Cambria Math" w:hAnsi="Cambria Math" w:cstheme="minorBidi"/>
                        <w:lang w:eastAsia="en-US"/>
                      </w:rPr>
                      <m:t>BE</m:t>
                    </m:r>
                  </m:e>
                  <m:sub>
                    <m:r>
                      <w:rPr>
                        <w:rFonts w:ascii="Cambria Math" w:eastAsia="Cambria Math" w:hAnsi="Cambria Math" w:cstheme="minorBidi"/>
                        <w:lang w:eastAsia="en-US"/>
                      </w:rPr>
                      <m:t>nonCO2,j,y</m:t>
                    </m:r>
                  </m:sub>
                </m:sSub>
              </m:oMath>
            </m:oMathPara>
          </w:p>
        </w:tc>
        <w:tc>
          <w:tcPr>
            <w:tcW w:w="345" w:type="dxa"/>
            <w:vAlign w:val="top"/>
          </w:tcPr>
          <w:p w14:paraId="2B104DEB" w14:textId="20301EFF" w:rsidR="00BA2CAC" w:rsidRPr="009F63DF" w:rsidRDefault="00BA2CAC" w:rsidP="00B07AF7">
            <w:pPr>
              <w:pStyle w:val="SDMTableBoxParaNotNumbered"/>
              <w:suppressAutoHyphens/>
            </w:pPr>
            <w:r w:rsidRPr="009F63DF">
              <w:t>=</w:t>
            </w:r>
          </w:p>
        </w:tc>
        <w:tc>
          <w:tcPr>
            <w:tcW w:w="0" w:type="auto"/>
            <w:vAlign w:val="top"/>
          </w:tcPr>
          <w:p w14:paraId="2B89EC9D" w14:textId="310031CD" w:rsidR="00BA2CAC" w:rsidRPr="009F63DF" w:rsidRDefault="00BA2CAC" w:rsidP="00B07AF7">
            <w:pPr>
              <w:pStyle w:val="SDMTableBoxParaNotNumbered"/>
              <w:suppressAutoHyphens/>
            </w:pPr>
            <w:r w:rsidRPr="009F63DF">
              <w:t>Unadjusted non-CO</w:t>
            </w:r>
            <w:r w:rsidRPr="009F63DF">
              <w:rPr>
                <w:vertAlign w:val="subscript"/>
              </w:rPr>
              <w:t>2</w:t>
            </w:r>
            <w:r w:rsidRPr="009F63DF">
              <w:t xml:space="preserve"> baseline emissions for secondary fuel types </w:t>
            </w:r>
            <w:r w:rsidRPr="009F63DF">
              <w:rPr>
                <w:i/>
              </w:rPr>
              <w:t>j</w:t>
            </w:r>
            <w:r w:rsidRPr="009F63DF">
              <w:t xml:space="preserve"> in year </w:t>
            </w:r>
            <w:r w:rsidRPr="009F63DF">
              <w:rPr>
                <w:i/>
              </w:rPr>
              <w:t>y</w:t>
            </w:r>
            <w:r w:rsidRPr="009F63DF">
              <w:t xml:space="preserve"> (</w:t>
            </w:r>
            <w:r w:rsidR="00E1503C" w:rsidRPr="009F63DF">
              <w:t>t</w:t>
            </w:r>
            <w:r w:rsidR="00E1503C">
              <w:t xml:space="preserve"> </w:t>
            </w:r>
            <w:r w:rsidR="00E1503C" w:rsidRPr="009F63DF">
              <w:t>CO</w:t>
            </w:r>
            <w:r w:rsidR="00E1503C" w:rsidRPr="006D5F34">
              <w:rPr>
                <w:vertAlign w:val="subscript"/>
              </w:rPr>
              <w:t>2</w:t>
            </w:r>
            <w:r w:rsidR="00E1503C" w:rsidRPr="006D5F34">
              <w:t xml:space="preserve"> </w:t>
            </w:r>
            <w:r w:rsidR="00E1503C" w:rsidRPr="009F63DF">
              <w:t>eq</w:t>
            </w:r>
            <w:r w:rsidRPr="009F63DF">
              <w:t>)</w:t>
            </w:r>
          </w:p>
        </w:tc>
      </w:tr>
      <w:tr w:rsidR="00BA2CAC" w:rsidRPr="009F63DF" w14:paraId="2A93EA1D" w14:textId="77777777" w:rsidTr="00BA2CAC">
        <w:tc>
          <w:tcPr>
            <w:tcW w:w="1768" w:type="dxa"/>
            <w:vAlign w:val="top"/>
          </w:tcPr>
          <w:p w14:paraId="64025359" w14:textId="71FDBC93" w:rsidR="00BA2CAC" w:rsidRPr="009F63DF" w:rsidRDefault="001549D8" w:rsidP="00B07AF7">
            <w:pPr>
              <w:pStyle w:val="SDMTableBoxParaNotNumbered"/>
              <w:suppressAutoHyphens/>
            </w:pPr>
            <m:oMathPara>
              <m:oMathParaPr>
                <m:jc m:val="left"/>
              </m:oMathParaPr>
              <m:oMath>
                <m:sSub>
                  <m:sSubPr>
                    <m:ctrlPr>
                      <w:rPr>
                        <w:rFonts w:ascii="Cambria Math" w:hAnsi="Cambria Math" w:cstheme="minorBidi"/>
                        <w:i/>
                        <w:lang w:eastAsia="en-US"/>
                      </w:rPr>
                    </m:ctrlPr>
                  </m:sSubPr>
                  <m:e>
                    <m:r>
                      <w:rPr>
                        <w:rFonts w:ascii="Cambria Math" w:hAnsi="Cambria Math" w:cstheme="minorBidi"/>
                        <w:lang w:eastAsia="en-US"/>
                      </w:rPr>
                      <m:t>EC</m:t>
                    </m:r>
                  </m:e>
                  <m:sub>
                    <m:r>
                      <w:rPr>
                        <w:rFonts w:ascii="Cambria Math" w:hAnsi="Cambria Math" w:cstheme="minorBidi"/>
                        <w:lang w:eastAsia="en-US"/>
                      </w:rPr>
                      <m:t>BL,j,y</m:t>
                    </m:r>
                  </m:sub>
                </m:sSub>
              </m:oMath>
            </m:oMathPara>
          </w:p>
        </w:tc>
        <w:tc>
          <w:tcPr>
            <w:tcW w:w="345" w:type="dxa"/>
            <w:vAlign w:val="top"/>
          </w:tcPr>
          <w:p w14:paraId="48445CDE" w14:textId="7121E7CA" w:rsidR="00BA2CAC" w:rsidRPr="009F63DF" w:rsidRDefault="00BA2CAC" w:rsidP="00B07AF7">
            <w:pPr>
              <w:pStyle w:val="SDMTableBoxParaNotNumbered"/>
              <w:suppressAutoHyphens/>
            </w:pPr>
            <w:r w:rsidRPr="009F63DF">
              <w:t>=</w:t>
            </w:r>
          </w:p>
        </w:tc>
        <w:tc>
          <w:tcPr>
            <w:tcW w:w="0" w:type="auto"/>
            <w:vAlign w:val="top"/>
          </w:tcPr>
          <w:p w14:paraId="01AB7AD5" w14:textId="46689FB4" w:rsidR="00BA2CAC" w:rsidRPr="009F63DF" w:rsidRDefault="00BA2CAC" w:rsidP="00B07AF7">
            <w:pPr>
              <w:pStyle w:val="SDMTableBoxParaNotNumbered"/>
              <w:suppressAutoHyphens/>
            </w:pPr>
            <w:r w:rsidRPr="009F63DF">
              <w:t xml:space="preserve">Consumption of secondary fuel types </w:t>
            </w:r>
            <w:r w:rsidRPr="009F63DF">
              <w:rPr>
                <w:i/>
              </w:rPr>
              <w:t>j</w:t>
            </w:r>
            <w:r w:rsidRPr="009F63DF">
              <w:t xml:space="preserve"> in baseline scenario in year </w:t>
            </w:r>
            <w:r w:rsidRPr="009F63DF">
              <w:rPr>
                <w:i/>
              </w:rPr>
              <w:t>y</w:t>
            </w:r>
            <w:r w:rsidRPr="009F63DF">
              <w:t xml:space="preserve"> (TJ)</w:t>
            </w:r>
          </w:p>
        </w:tc>
      </w:tr>
      <w:tr w:rsidR="00BA2CAC" w:rsidRPr="009F63DF" w14:paraId="515680BD" w14:textId="77777777" w:rsidTr="00BA2CAC">
        <w:tc>
          <w:tcPr>
            <w:tcW w:w="1768" w:type="dxa"/>
            <w:vAlign w:val="top"/>
          </w:tcPr>
          <w:p w14:paraId="24F1FDB7" w14:textId="4BB26326" w:rsidR="00BA2CAC" w:rsidRPr="009F63DF" w:rsidRDefault="001549D8" w:rsidP="00B07AF7">
            <w:pPr>
              <w:pStyle w:val="SDMTableBoxParaNotNumbered"/>
              <w:suppressAutoHyphens/>
            </w:pPr>
            <m:oMathPara>
              <m:oMathParaPr>
                <m:jc m:val="left"/>
              </m:oMathParaPr>
              <m:oMath>
                <m:sSub>
                  <m:sSubPr>
                    <m:ctrlPr>
                      <w:rPr>
                        <w:rFonts w:ascii="Cambria Math" w:hAnsi="Cambria Math" w:cstheme="minorBidi"/>
                        <w:i/>
                        <w:lang w:eastAsia="en-US"/>
                      </w:rPr>
                    </m:ctrlPr>
                  </m:sSubPr>
                  <m:e>
                    <m:r>
                      <w:rPr>
                        <w:rFonts w:ascii="Cambria Math" w:hAnsi="Cambria Math" w:cstheme="minorBidi"/>
                        <w:lang w:eastAsia="en-US"/>
                      </w:rPr>
                      <m:t>EF</m:t>
                    </m:r>
                  </m:e>
                  <m:sub>
                    <m:r>
                      <w:rPr>
                        <w:rFonts w:ascii="Cambria Math" w:hAnsi="Cambria Math" w:cstheme="minorBidi"/>
                        <w:lang w:eastAsia="en-US"/>
                      </w:rPr>
                      <m:t>j,nonCO2</m:t>
                    </m:r>
                  </m:sub>
                </m:sSub>
              </m:oMath>
            </m:oMathPara>
          </w:p>
        </w:tc>
        <w:tc>
          <w:tcPr>
            <w:tcW w:w="345" w:type="dxa"/>
            <w:vAlign w:val="top"/>
          </w:tcPr>
          <w:p w14:paraId="729F165E" w14:textId="3CC61157" w:rsidR="00BA2CAC" w:rsidRPr="009F63DF" w:rsidRDefault="00BA2CAC" w:rsidP="00B07AF7">
            <w:pPr>
              <w:pStyle w:val="SDMTableBoxParaNotNumbered"/>
              <w:suppressAutoHyphens/>
            </w:pPr>
            <w:r w:rsidRPr="009F63DF">
              <w:t>=</w:t>
            </w:r>
          </w:p>
        </w:tc>
        <w:tc>
          <w:tcPr>
            <w:tcW w:w="0" w:type="auto"/>
            <w:vAlign w:val="top"/>
          </w:tcPr>
          <w:p w14:paraId="5C29F986" w14:textId="336282F8" w:rsidR="00BA2CAC" w:rsidRPr="009F63DF" w:rsidRDefault="00BA2CAC" w:rsidP="00B07AF7">
            <w:pPr>
              <w:pStyle w:val="SDMTableBoxParaNotNumbered"/>
              <w:suppressAutoHyphens/>
            </w:pPr>
            <w:r w:rsidRPr="009F63DF">
              <w:t>Non-CO</w:t>
            </w:r>
            <w:r w:rsidRPr="009F63DF">
              <w:rPr>
                <w:vertAlign w:val="subscript"/>
              </w:rPr>
              <w:t>2</w:t>
            </w:r>
            <w:r w:rsidRPr="009F63DF">
              <w:t xml:space="preserve"> emission factor for secondary fuel types </w:t>
            </w:r>
            <w:r w:rsidRPr="009F63DF">
              <w:rPr>
                <w:i/>
              </w:rPr>
              <w:t xml:space="preserve">j </w:t>
            </w:r>
            <w:r w:rsidRPr="009F63DF">
              <w:t>(</w:t>
            </w:r>
            <w:r w:rsidR="00E1503C" w:rsidRPr="009F63DF">
              <w:t>t</w:t>
            </w:r>
            <w:r w:rsidR="00E1503C">
              <w:t xml:space="preserve"> </w:t>
            </w:r>
            <w:r w:rsidR="00E1503C" w:rsidRPr="009F63DF">
              <w:t>CO</w:t>
            </w:r>
            <w:r w:rsidR="00E1503C" w:rsidRPr="006D5F34">
              <w:rPr>
                <w:vertAlign w:val="subscript"/>
              </w:rPr>
              <w:t>2</w:t>
            </w:r>
            <w:r w:rsidR="00E1503C" w:rsidRPr="006D5F34">
              <w:t xml:space="preserve"> </w:t>
            </w:r>
            <w:r w:rsidR="00E1503C" w:rsidRPr="009F63DF">
              <w:t>eq</w:t>
            </w:r>
            <w:r w:rsidRPr="009F63DF">
              <w:t xml:space="preserve"> /</w:t>
            </w:r>
            <w:r w:rsidR="00EC469C" w:rsidRPr="009F63DF">
              <w:t xml:space="preserve"> </w:t>
            </w:r>
            <w:r w:rsidRPr="009F63DF">
              <w:t>TJ)</w:t>
            </w:r>
          </w:p>
        </w:tc>
      </w:tr>
      <w:tr w:rsidR="00BA2CAC" w:rsidRPr="009F63DF" w14:paraId="6EB66FE6" w14:textId="77777777" w:rsidTr="00BA2CAC">
        <w:tc>
          <w:tcPr>
            <w:tcW w:w="1768" w:type="dxa"/>
            <w:vAlign w:val="top"/>
          </w:tcPr>
          <w:p w14:paraId="07BAE79A" w14:textId="51BD2FE3" w:rsidR="00BA2CAC" w:rsidRPr="009F63DF" w:rsidRDefault="00BA2CAC" w:rsidP="00B07AF7">
            <w:pPr>
              <w:pStyle w:val="SDMTableBoxParaNotNumbered"/>
              <w:suppressAutoHyphens/>
            </w:pPr>
            <w:r w:rsidRPr="009F63DF">
              <w:rPr>
                <w:rFonts w:ascii="Cambria Math" w:hAnsi="Cambria Math" w:cstheme="minorBidi"/>
                <w:i/>
              </w:rPr>
              <w:t>i</w:t>
            </w:r>
          </w:p>
        </w:tc>
        <w:tc>
          <w:tcPr>
            <w:tcW w:w="345" w:type="dxa"/>
            <w:vAlign w:val="top"/>
          </w:tcPr>
          <w:p w14:paraId="2853C574" w14:textId="1594123F" w:rsidR="00BA2CAC" w:rsidRPr="009F63DF" w:rsidRDefault="00BA2CAC" w:rsidP="00B07AF7">
            <w:pPr>
              <w:pStyle w:val="SDMTableBoxParaNotNumbered"/>
              <w:suppressAutoHyphens/>
            </w:pPr>
            <w:r w:rsidRPr="009F63DF">
              <w:t>=</w:t>
            </w:r>
          </w:p>
        </w:tc>
        <w:tc>
          <w:tcPr>
            <w:tcW w:w="0" w:type="auto"/>
            <w:vAlign w:val="top"/>
          </w:tcPr>
          <w:p w14:paraId="30CACA0F" w14:textId="453E418E" w:rsidR="00BA2CAC" w:rsidRPr="009F63DF" w:rsidRDefault="00BA2CAC" w:rsidP="00B07AF7">
            <w:pPr>
              <w:pStyle w:val="SDMTableBoxParaNotNumbered"/>
              <w:suppressAutoHyphens/>
            </w:pPr>
            <w:r w:rsidRPr="009F63DF">
              <w:rPr>
                <w:rFonts w:asciiTheme="minorBidi" w:hAnsiTheme="minorBidi" w:cstheme="minorBidi"/>
              </w:rPr>
              <w:t>Primary fuel types (fuelwood and charcoal)</w:t>
            </w:r>
          </w:p>
        </w:tc>
      </w:tr>
      <w:tr w:rsidR="00BA2CAC" w:rsidRPr="009F63DF" w14:paraId="74D604B4" w14:textId="77777777" w:rsidTr="00BA2CAC">
        <w:tc>
          <w:tcPr>
            <w:tcW w:w="1768" w:type="dxa"/>
            <w:vAlign w:val="top"/>
          </w:tcPr>
          <w:p w14:paraId="4B946C7A" w14:textId="6D420D07" w:rsidR="00BA2CAC" w:rsidRPr="009F63DF" w:rsidRDefault="00BA2CAC" w:rsidP="00B07AF7">
            <w:pPr>
              <w:pStyle w:val="SDMTableBoxParaNotNumbered"/>
              <w:suppressAutoHyphens/>
            </w:pPr>
            <w:r w:rsidRPr="009F63DF">
              <w:rPr>
                <w:rFonts w:ascii="Cambria Math" w:hAnsi="Cambria Math" w:cstheme="minorBidi"/>
                <w:i/>
              </w:rPr>
              <w:t>j</w:t>
            </w:r>
          </w:p>
        </w:tc>
        <w:tc>
          <w:tcPr>
            <w:tcW w:w="345" w:type="dxa"/>
            <w:vAlign w:val="top"/>
          </w:tcPr>
          <w:p w14:paraId="181261D5" w14:textId="6C8CB3FB" w:rsidR="00BA2CAC" w:rsidRPr="009F63DF" w:rsidRDefault="00BA2CAC" w:rsidP="00B07AF7">
            <w:pPr>
              <w:pStyle w:val="SDMTableBoxParaNotNumbered"/>
              <w:suppressAutoHyphens/>
            </w:pPr>
            <w:r w:rsidRPr="009F63DF">
              <w:t>=</w:t>
            </w:r>
          </w:p>
        </w:tc>
        <w:tc>
          <w:tcPr>
            <w:tcW w:w="0" w:type="auto"/>
            <w:vAlign w:val="top"/>
          </w:tcPr>
          <w:p w14:paraId="143FF63B" w14:textId="3D1C808D" w:rsidR="00BA2CAC" w:rsidRPr="009F63DF" w:rsidRDefault="00BA2CAC" w:rsidP="00B07AF7">
            <w:pPr>
              <w:pStyle w:val="SDMTableBoxParaNotNumbered"/>
              <w:suppressAutoHyphens/>
            </w:pPr>
            <w:r w:rsidRPr="009F63DF">
              <w:t>Secondary fuel types (fossil fuels or dung)</w:t>
            </w:r>
          </w:p>
        </w:tc>
      </w:tr>
      <w:tr w:rsidR="00BA2CAC" w:rsidRPr="009F63DF" w14:paraId="1AAAFDB3" w14:textId="77777777" w:rsidTr="00BA2CAC">
        <w:tc>
          <w:tcPr>
            <w:tcW w:w="1768" w:type="dxa"/>
            <w:vAlign w:val="top"/>
          </w:tcPr>
          <w:p w14:paraId="071A8D0B" w14:textId="32989134" w:rsidR="00BA2CAC" w:rsidRPr="009F63DF" w:rsidRDefault="00BA2CAC" w:rsidP="00B07AF7">
            <w:pPr>
              <w:pStyle w:val="SDMTableBoxParaNotNumbered"/>
              <w:suppressAutoHyphens/>
            </w:pPr>
            <w:r w:rsidRPr="009F63DF">
              <w:rPr>
                <w:rFonts w:ascii="Cambria Math" w:hAnsi="Cambria Math" w:cstheme="minorBidi"/>
                <w:i/>
              </w:rPr>
              <w:t>y</w:t>
            </w:r>
          </w:p>
        </w:tc>
        <w:tc>
          <w:tcPr>
            <w:tcW w:w="345" w:type="dxa"/>
            <w:vAlign w:val="top"/>
          </w:tcPr>
          <w:p w14:paraId="20A18177" w14:textId="6CE18DC1" w:rsidR="00BA2CAC" w:rsidRPr="009F63DF" w:rsidRDefault="00BA2CAC" w:rsidP="00B07AF7">
            <w:pPr>
              <w:pStyle w:val="SDMTableBoxParaNotNumbered"/>
              <w:suppressAutoHyphens/>
            </w:pPr>
            <w:r w:rsidRPr="009F63DF">
              <w:t>=</w:t>
            </w:r>
          </w:p>
        </w:tc>
        <w:tc>
          <w:tcPr>
            <w:tcW w:w="0" w:type="auto"/>
            <w:vAlign w:val="top"/>
          </w:tcPr>
          <w:p w14:paraId="6EF07AFC" w14:textId="712241F7" w:rsidR="00BA2CAC" w:rsidRPr="009F63DF" w:rsidRDefault="00BA2CAC" w:rsidP="00B07AF7">
            <w:pPr>
              <w:pStyle w:val="SDMTableBoxParaNotNumbered"/>
              <w:suppressAutoHyphens/>
            </w:pPr>
            <w:r w:rsidRPr="009F63DF">
              <w:t>Calendar year of the crediting period (number)</w:t>
            </w:r>
          </w:p>
        </w:tc>
      </w:tr>
    </w:tbl>
    <w:p w14:paraId="7D43D786" w14:textId="39643CDF" w:rsidR="001C2394" w:rsidRPr="009F63DF" w:rsidRDefault="006A1D45" w:rsidP="00655F47">
      <w:pPr>
        <w:pStyle w:val="SDMPara"/>
        <w:keepNext/>
      </w:pPr>
      <w:r w:rsidRPr="009F63DF">
        <w:rPr>
          <w:rFonts w:eastAsia="Montserrat"/>
        </w:rPr>
        <w:t xml:space="preserve">Activity participants </w:t>
      </w:r>
      <w:r w:rsidR="001C2394" w:rsidRPr="009F63DF">
        <w:rPr>
          <w:rFonts w:eastAsia="Montserrat"/>
        </w:rPr>
        <w:t xml:space="preserve">shall determine </w:t>
      </w:r>
      <w:r w:rsidR="0033445E" w:rsidRPr="009F63DF">
        <w:rPr>
          <w:rFonts w:eastAsia="Montserrat"/>
        </w:rPr>
        <w:t xml:space="preserve">the total </w:t>
      </w:r>
      <w:r w:rsidR="001C2394" w:rsidRPr="009F63DF">
        <w:rPr>
          <w:rFonts w:eastAsia="Montserrat"/>
        </w:rPr>
        <w:t xml:space="preserve">energy consumption in the baseline scenario for </w:t>
      </w:r>
      <w:r w:rsidR="007C0B5B" w:rsidRPr="009F63DF">
        <w:rPr>
          <w:rFonts w:eastAsia="Montserrat"/>
        </w:rPr>
        <w:t xml:space="preserve">primary and secondary </w:t>
      </w:r>
      <w:r w:rsidR="00A05ACF" w:rsidRPr="009F63DF">
        <w:rPr>
          <w:rFonts w:eastAsia="Montserrat"/>
        </w:rPr>
        <w:t xml:space="preserve">fuel types </w:t>
      </w:r>
      <w:r w:rsidR="00A05ACF" w:rsidRPr="009F63DF">
        <w:rPr>
          <w:rFonts w:eastAsia="Montserrat"/>
          <w:i/>
        </w:rPr>
        <w:t xml:space="preserve">i </w:t>
      </w:r>
      <w:r w:rsidR="00A05ACF" w:rsidRPr="009F63DF">
        <w:rPr>
          <w:rFonts w:eastAsia="Montserrat"/>
        </w:rPr>
        <w:t>and</w:t>
      </w:r>
      <w:r w:rsidR="00A05ACF" w:rsidRPr="009F63DF">
        <w:rPr>
          <w:rFonts w:eastAsia="Montserrat"/>
          <w:i/>
        </w:rPr>
        <w:t xml:space="preserve"> j </w:t>
      </w:r>
      <w:r w:rsidR="00B87E90" w:rsidRPr="009F63DF">
        <w:rPr>
          <w:rFonts w:eastAsia="Montserrat"/>
          <w:iCs/>
        </w:rPr>
        <w:t>for the sum all households</w:t>
      </w:r>
      <w:r w:rsidR="00B87E90" w:rsidRPr="009F63DF">
        <w:rPr>
          <w:rFonts w:eastAsia="Montserrat"/>
          <w:i/>
        </w:rPr>
        <w:t xml:space="preserve"> </w:t>
      </w:r>
      <w:r w:rsidR="00F215BD" w:rsidRPr="009F63DF">
        <w:rPr>
          <w:rFonts w:eastAsia="Montserrat"/>
          <w:iCs/>
        </w:rPr>
        <w:t>as indicated in</w:t>
      </w:r>
      <w:r w:rsidR="00FA2994" w:rsidRPr="009F63DF">
        <w:rPr>
          <w:rFonts w:eastAsia="Montserrat"/>
          <w:iCs/>
        </w:rPr>
        <w:t xml:space="preserve"> equation</w:t>
      </w:r>
      <w:r w:rsidR="005F16FA" w:rsidRPr="009F63DF">
        <w:rPr>
          <w:rFonts w:eastAsia="Montserrat"/>
          <w:iCs/>
        </w:rPr>
        <w:t>s</w:t>
      </w:r>
      <w:r w:rsidR="00FA2994" w:rsidRPr="009F63DF">
        <w:rPr>
          <w:rFonts w:eastAsia="Montserrat"/>
          <w:iCs/>
        </w:rPr>
        <w:t xml:space="preserve"> (</w:t>
      </w:r>
      <w:r w:rsidR="00B278BE" w:rsidRPr="009F63DF">
        <w:rPr>
          <w:rFonts w:eastAsia="Montserrat"/>
          <w:iCs/>
        </w:rPr>
        <w:t>6</w:t>
      </w:r>
      <w:r w:rsidR="00FA2994" w:rsidRPr="009F63DF">
        <w:rPr>
          <w:rFonts w:eastAsia="Montserrat"/>
          <w:iCs/>
        </w:rPr>
        <w:t>) and (</w:t>
      </w:r>
      <w:r w:rsidR="00B278BE" w:rsidRPr="009F63DF">
        <w:rPr>
          <w:rFonts w:eastAsia="Montserrat"/>
          <w:iCs/>
        </w:rPr>
        <w:t>7</w:t>
      </w:r>
      <w:r w:rsidR="00FA2994" w:rsidRPr="009F63DF">
        <w:rPr>
          <w:rFonts w:eastAsia="Montserrat"/>
          <w:iCs/>
        </w:rPr>
        <w:t>)</w:t>
      </w:r>
      <w:r w:rsidR="003D4B13" w:rsidRPr="009F63DF">
        <w:rPr>
          <w:rFonts w:eastAsia="Montserrat"/>
          <w:iCs/>
        </w:rPr>
        <w:t xml:space="preserve"> on the basis of each </w:t>
      </w:r>
      <w:r w:rsidR="003D4B13" w:rsidRPr="009F63DF">
        <w:t>calendar year (or partial calendar year) of the crediting period</w:t>
      </w:r>
      <w:r w:rsidR="001C2394" w:rsidRPr="009F63DF">
        <w:rPr>
          <w:rFonts w:eastAsia="Montserrat"/>
          <w:iCs/>
        </w:rPr>
        <w:t>:</w:t>
      </w:r>
    </w:p>
    <w:tbl>
      <w:tblPr>
        <w:tblStyle w:val="SDMMethTableEquation"/>
        <w:tblW w:w="8656" w:type="dxa"/>
        <w:tblLook w:val="0600" w:firstRow="0" w:lastRow="0" w:firstColumn="0" w:lastColumn="0" w:noHBand="1" w:noVBand="1"/>
      </w:tblPr>
      <w:tblGrid>
        <w:gridCol w:w="7013"/>
        <w:gridCol w:w="1643"/>
      </w:tblGrid>
      <w:tr w:rsidR="00BA2CAC" w:rsidRPr="009F63DF" w14:paraId="08DDD4EA" w14:textId="77777777" w:rsidTr="00C1484E">
        <w:tc>
          <w:tcPr>
            <w:tcW w:w="7013" w:type="dxa"/>
          </w:tcPr>
          <w:p w14:paraId="60ED9917" w14:textId="52A11EC7" w:rsidR="00BA2CAC" w:rsidRPr="009F63DF" w:rsidRDefault="001549D8" w:rsidP="00B07AF7">
            <w:pPr>
              <w:pStyle w:val="SDMMethEquation"/>
              <w:suppressAutoHyphens/>
            </w:pPr>
            <m:oMathPara>
              <m:oMathParaPr>
                <m:jc m:val="left"/>
              </m:oMathParaPr>
              <m:oMath>
                <m:sSub>
                  <m:sSubPr>
                    <m:ctrlPr>
                      <w:rPr>
                        <w:rFonts w:ascii="Cambria Math" w:eastAsia="Cambria Math" w:hAnsi="Cambria Math" w:cs="Cambria Math"/>
                        <w:sz w:val="20"/>
                        <w:lang w:eastAsia="en-US"/>
                      </w:rPr>
                    </m:ctrlPr>
                  </m:sSubPr>
                  <m:e>
                    <m:r>
                      <w:rPr>
                        <w:rFonts w:ascii="Cambria Math" w:eastAsia="Cambria Math" w:hAnsi="Cambria Math" w:cs="Cambria Math"/>
                        <w:sz w:val="20"/>
                        <w:lang w:eastAsia="en-US"/>
                      </w:rPr>
                      <m:t>EC</m:t>
                    </m:r>
                  </m:e>
                  <m:sub>
                    <m:r>
                      <w:rPr>
                        <w:rFonts w:ascii="Cambria Math" w:eastAsia="Cambria Math" w:hAnsi="Cambria Math" w:cs="Cambria Math"/>
                        <w:sz w:val="20"/>
                        <w:lang w:eastAsia="en-US"/>
                      </w:rPr>
                      <m:t>BL,i,y</m:t>
                    </m:r>
                  </m:sub>
                </m:sSub>
                <m:r>
                  <w:rPr>
                    <w:rFonts w:ascii="Cambria Math" w:eastAsia="Cambria Math" w:hAnsi="Cambria Math" w:cs="Cambria Math"/>
                    <w:sz w:val="20"/>
                    <w:lang w:eastAsia="en-US"/>
                  </w:rPr>
                  <m:t>=</m:t>
                </m:r>
                <m:sSub>
                  <m:sSubPr>
                    <m:ctrlPr>
                      <w:rPr>
                        <w:rFonts w:ascii="Cambria Math" w:eastAsia="Cambria Math" w:hAnsi="Cambria Math" w:cs="Cambria Math"/>
                        <w:sz w:val="20"/>
                        <w:lang w:eastAsia="en-US"/>
                      </w:rPr>
                    </m:ctrlPr>
                  </m:sSubPr>
                  <m:e>
                    <m:r>
                      <w:rPr>
                        <w:rFonts w:ascii="Cambria Math" w:eastAsia="Cambria Math" w:hAnsi="Cambria Math" w:cs="Cambria Math"/>
                        <w:sz w:val="20"/>
                        <w:lang w:eastAsia="en-US"/>
                      </w:rPr>
                      <m:t>H</m:t>
                    </m:r>
                  </m:e>
                  <m:sub>
                    <m:r>
                      <w:rPr>
                        <w:rFonts w:ascii="Cambria Math" w:eastAsia="Cambria Math" w:hAnsi="Cambria Math" w:cs="Cambria Math"/>
                        <w:sz w:val="20"/>
                        <w:lang w:eastAsia="en-US"/>
                      </w:rPr>
                      <m:t>y</m:t>
                    </m:r>
                  </m:sub>
                </m:sSub>
                <m:r>
                  <w:rPr>
                    <w:rFonts w:ascii="Cambria Math" w:eastAsia="Cambria Math" w:hAnsi="Cambria Math" w:cs="Cambria Math"/>
                    <w:sz w:val="20"/>
                    <w:lang w:eastAsia="en-US"/>
                  </w:rPr>
                  <m:t>×</m:t>
                </m:r>
                <m:sSub>
                  <m:sSubPr>
                    <m:ctrlPr>
                      <w:rPr>
                        <w:rFonts w:ascii="Cambria Math" w:eastAsia="Cambria Math" w:hAnsi="Cambria Math" w:cs="Cambria Math"/>
                        <w:sz w:val="20"/>
                        <w:lang w:eastAsia="en-US"/>
                      </w:rPr>
                    </m:ctrlPr>
                  </m:sSubPr>
                  <m:e>
                    <m:r>
                      <w:rPr>
                        <w:rFonts w:ascii="Cambria Math" w:eastAsia="Cambria Math" w:hAnsi="Cambria Math" w:cs="Cambria Math"/>
                        <w:sz w:val="20"/>
                        <w:lang w:eastAsia="en-US"/>
                      </w:rPr>
                      <m:t>BM</m:t>
                    </m:r>
                  </m:e>
                  <m:sub>
                    <m:r>
                      <w:rPr>
                        <w:rFonts w:ascii="Cambria Math" w:eastAsia="Cambria Math" w:hAnsi="Cambria Math" w:cs="Cambria Math"/>
                        <w:sz w:val="20"/>
                        <w:lang w:eastAsia="en-US"/>
                      </w:rPr>
                      <m:t>BL,i,y</m:t>
                    </m:r>
                  </m:sub>
                </m:sSub>
                <m:r>
                  <w:rPr>
                    <w:rFonts w:ascii="Cambria Math" w:eastAsia="Cambria Math" w:hAnsi="Cambria Math" w:cs="Cambria Math"/>
                    <w:sz w:val="20"/>
                    <w:lang w:eastAsia="en-US"/>
                  </w:rPr>
                  <m:t>×</m:t>
                </m:r>
                <m:f>
                  <m:fPr>
                    <m:ctrlPr>
                      <w:rPr>
                        <w:rFonts w:ascii="Cambria Math" w:eastAsia="Cambria Math" w:hAnsi="Cambria Math" w:cs="Cambria Math"/>
                        <w:i/>
                        <w:sz w:val="20"/>
                        <w:lang w:eastAsia="en-US"/>
                      </w:rPr>
                    </m:ctrlPr>
                  </m:fPr>
                  <m:num>
                    <m:sSub>
                      <m:sSubPr>
                        <m:ctrlPr>
                          <w:rPr>
                            <w:rFonts w:ascii="Cambria Math" w:eastAsia="Cambria Math" w:hAnsi="Cambria Math" w:cs="Cambria Math"/>
                            <w:sz w:val="20"/>
                            <w:lang w:eastAsia="en-US"/>
                          </w:rPr>
                        </m:ctrlPr>
                      </m:sSubPr>
                      <m:e>
                        <m:r>
                          <w:rPr>
                            <w:rFonts w:ascii="Cambria Math" w:eastAsia="Roboto" w:hAnsi="Cambria Math" w:cs="Roboto"/>
                            <w:color w:val="040C28"/>
                            <w:sz w:val="20"/>
                            <w:lang w:eastAsia="en-US"/>
                          </w:rPr>
                          <m:t>Ψ</m:t>
                        </m:r>
                      </m:e>
                      <m:sub>
                        <m:r>
                          <w:rPr>
                            <w:rFonts w:ascii="Cambria Math" w:eastAsia="Cambria Math" w:hAnsi="Cambria Math" w:cs="Cambria Math"/>
                            <w:sz w:val="20"/>
                            <w:lang w:eastAsia="en-US"/>
                          </w:rPr>
                          <m:t>y</m:t>
                        </m:r>
                      </m:sub>
                    </m:sSub>
                    <m:r>
                      <w:rPr>
                        <w:rFonts w:ascii="Cambria Math" w:eastAsia="Cambria Math" w:hAnsi="Cambria Math" w:cs="Cambria Math"/>
                        <w:sz w:val="20"/>
                        <w:lang w:eastAsia="en-US"/>
                      </w:rPr>
                      <m:t>×</m:t>
                    </m:r>
                    <m:nary>
                      <m:naryPr>
                        <m:chr m:val="∑"/>
                        <m:limLoc m:val="subSup"/>
                        <m:supHide m:val="1"/>
                        <m:ctrlPr>
                          <w:rPr>
                            <w:rFonts w:ascii="Cambria Math" w:eastAsia="Cambria Math" w:hAnsi="Cambria Math" w:cs="Cambria Math"/>
                            <w:i/>
                            <w:sz w:val="20"/>
                            <w:lang w:eastAsia="en-US"/>
                          </w:rPr>
                        </m:ctrlPr>
                      </m:naryPr>
                      <m:sub>
                        <m:r>
                          <w:rPr>
                            <w:rFonts w:ascii="Cambria Math" w:eastAsia="Cambria Math" w:hAnsi="Cambria Math" w:cs="Cambria Math"/>
                            <w:sz w:val="20"/>
                            <w:lang w:eastAsia="en-US"/>
                          </w:rPr>
                          <m:t>h</m:t>
                        </m:r>
                      </m:sub>
                      <m:sup/>
                      <m:e>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Days</m:t>
                            </m:r>
                          </m:e>
                          <m:sub>
                            <m:r>
                              <w:rPr>
                                <w:rFonts w:ascii="Cambria Math" w:eastAsia="Cambria Math" w:hAnsi="Cambria Math" w:cs="Cambria Math"/>
                                <w:sz w:val="20"/>
                                <w:lang w:eastAsia="en-US"/>
                              </w:rPr>
                              <m:t>y,h</m:t>
                            </m:r>
                          </m:sub>
                        </m:sSub>
                      </m:e>
                    </m:nary>
                  </m:num>
                  <m:den>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C</m:t>
                        </m:r>
                        <m:r>
                          <w:rPr>
                            <w:rFonts w:ascii="Cambria Math" w:hAnsi="Cambria Math" w:cs="Cambria Math"/>
                            <w:sz w:val="20"/>
                            <w:lang w:eastAsia="ja-JP"/>
                          </w:rPr>
                          <m:t>D</m:t>
                        </m:r>
                      </m:e>
                      <m:sub>
                        <m:r>
                          <w:rPr>
                            <w:rFonts w:ascii="Cambria Math" w:eastAsia="Cambria Math" w:hAnsi="Cambria Math" w:cs="Cambria Math"/>
                            <w:sz w:val="20"/>
                            <w:lang w:eastAsia="en-US"/>
                          </w:rPr>
                          <m:t>y</m:t>
                        </m:r>
                      </m:sub>
                    </m:sSub>
                  </m:den>
                </m:f>
              </m:oMath>
            </m:oMathPara>
          </w:p>
        </w:tc>
        <w:tc>
          <w:tcPr>
            <w:tcW w:w="1643" w:type="dxa"/>
          </w:tcPr>
          <w:p w14:paraId="1616EF0F" w14:textId="77777777" w:rsidR="00BA2CAC" w:rsidRPr="009F63DF" w:rsidRDefault="00BA2CAC" w:rsidP="00AF1AC1">
            <w:pPr>
              <w:pStyle w:val="SDMMethEquationNr"/>
              <w:numPr>
                <w:ilvl w:val="0"/>
                <w:numId w:val="29"/>
              </w:numPr>
              <w:suppressAutoHyphens/>
            </w:pPr>
          </w:p>
        </w:tc>
      </w:tr>
      <w:tr w:rsidR="00BA2CAC" w:rsidRPr="009F63DF" w14:paraId="51C58B77" w14:textId="77777777" w:rsidTr="00C1484E">
        <w:tc>
          <w:tcPr>
            <w:tcW w:w="7013" w:type="dxa"/>
          </w:tcPr>
          <w:p w14:paraId="783902C8" w14:textId="695A9D92" w:rsidR="00BA2CAC" w:rsidRPr="009F63DF" w:rsidRDefault="001549D8" w:rsidP="00B07AF7">
            <w:pPr>
              <w:pStyle w:val="SDMMethEquation"/>
              <w:suppressAutoHyphens/>
            </w:pPr>
            <m:oMathPara>
              <m:oMathParaPr>
                <m:jc m:val="left"/>
              </m:oMathParaPr>
              <m:oMath>
                <m:sSub>
                  <m:sSubPr>
                    <m:ctrlPr>
                      <w:rPr>
                        <w:rFonts w:ascii="Cambria Math" w:eastAsia="Cambria Math" w:hAnsi="Cambria Math" w:cs="Cambria Math"/>
                        <w:sz w:val="20"/>
                        <w:lang w:eastAsia="en-US"/>
                      </w:rPr>
                    </m:ctrlPr>
                  </m:sSubPr>
                  <m:e>
                    <m:r>
                      <w:rPr>
                        <w:rFonts w:ascii="Cambria Math" w:eastAsia="Cambria Math" w:hAnsi="Cambria Math" w:cs="Cambria Math"/>
                        <w:sz w:val="20"/>
                        <w:lang w:eastAsia="en-US"/>
                      </w:rPr>
                      <m:t>EC</m:t>
                    </m:r>
                  </m:e>
                  <m:sub>
                    <m:r>
                      <w:rPr>
                        <w:rFonts w:ascii="Cambria Math" w:eastAsia="Cambria Math" w:hAnsi="Cambria Math" w:cs="Cambria Math"/>
                        <w:sz w:val="20"/>
                        <w:lang w:eastAsia="en-US"/>
                      </w:rPr>
                      <m:t>BL,j,y</m:t>
                    </m:r>
                  </m:sub>
                </m:sSub>
                <m:r>
                  <w:rPr>
                    <w:rFonts w:ascii="Cambria Math" w:eastAsia="Cambria Math" w:hAnsi="Cambria Math" w:cs="Cambria Math"/>
                    <w:sz w:val="20"/>
                    <w:lang w:eastAsia="en-US"/>
                  </w:rPr>
                  <m:t>=</m:t>
                </m:r>
                <m:sSub>
                  <m:sSubPr>
                    <m:ctrlPr>
                      <w:rPr>
                        <w:rFonts w:ascii="Cambria Math" w:eastAsia="Cambria Math" w:hAnsi="Cambria Math" w:cs="Cambria Math"/>
                        <w:sz w:val="20"/>
                        <w:lang w:eastAsia="en-US"/>
                      </w:rPr>
                    </m:ctrlPr>
                  </m:sSubPr>
                  <m:e>
                    <m:r>
                      <w:rPr>
                        <w:rFonts w:ascii="Cambria Math" w:eastAsia="Cambria Math" w:hAnsi="Cambria Math" w:cs="Cambria Math"/>
                        <w:sz w:val="20"/>
                        <w:lang w:eastAsia="en-US"/>
                      </w:rPr>
                      <m:t>H</m:t>
                    </m:r>
                  </m:e>
                  <m:sub>
                    <m:r>
                      <w:rPr>
                        <w:rFonts w:ascii="Cambria Math" w:eastAsia="Cambria Math" w:hAnsi="Cambria Math" w:cs="Cambria Math"/>
                        <w:sz w:val="20"/>
                        <w:lang w:eastAsia="en-US"/>
                      </w:rPr>
                      <m:t>y</m:t>
                    </m:r>
                  </m:sub>
                </m:sSub>
                <m:r>
                  <w:rPr>
                    <w:rFonts w:ascii="Cambria Math" w:eastAsia="Cambria Math" w:hAnsi="Cambria Math" w:cs="Cambria Math"/>
                    <w:sz w:val="20"/>
                    <w:lang w:eastAsia="en-US"/>
                  </w:rPr>
                  <m:t>×</m:t>
                </m:r>
                <m:sSub>
                  <m:sSubPr>
                    <m:ctrlPr>
                      <w:rPr>
                        <w:rFonts w:ascii="Cambria Math" w:eastAsia="Cambria Math" w:hAnsi="Cambria Math" w:cs="Cambria Math"/>
                        <w:sz w:val="20"/>
                        <w:lang w:eastAsia="en-US"/>
                      </w:rPr>
                    </m:ctrlPr>
                  </m:sSubPr>
                  <m:e>
                    <m:r>
                      <w:rPr>
                        <w:rFonts w:ascii="Cambria Math" w:eastAsia="Cambria Math" w:hAnsi="Cambria Math" w:cs="Cambria Math"/>
                        <w:sz w:val="20"/>
                        <w:lang w:eastAsia="en-US"/>
                      </w:rPr>
                      <m:t>BM</m:t>
                    </m:r>
                  </m:e>
                  <m:sub>
                    <m:r>
                      <w:rPr>
                        <w:rFonts w:ascii="Cambria Math" w:eastAsia="Cambria Math" w:hAnsi="Cambria Math" w:cs="Cambria Math"/>
                        <w:sz w:val="20"/>
                        <w:lang w:eastAsia="en-US"/>
                      </w:rPr>
                      <m:t>BL,j,y</m:t>
                    </m:r>
                  </m:sub>
                </m:sSub>
                <m:r>
                  <w:rPr>
                    <w:rFonts w:ascii="Cambria Math" w:eastAsia="Cambria Math" w:hAnsi="Cambria Math" w:cs="Cambria Math"/>
                    <w:sz w:val="20"/>
                    <w:lang w:eastAsia="en-US"/>
                  </w:rPr>
                  <m:t>×</m:t>
                </m:r>
                <m:f>
                  <m:fPr>
                    <m:ctrlPr>
                      <w:rPr>
                        <w:rFonts w:ascii="Cambria Math" w:eastAsia="Cambria Math" w:hAnsi="Cambria Math" w:cs="Cambria Math"/>
                        <w:i/>
                        <w:sz w:val="20"/>
                        <w:lang w:eastAsia="en-US"/>
                      </w:rPr>
                    </m:ctrlPr>
                  </m:fPr>
                  <m:num>
                    <m:sSub>
                      <m:sSubPr>
                        <m:ctrlPr>
                          <w:rPr>
                            <w:rFonts w:ascii="Cambria Math" w:eastAsia="Cambria Math" w:hAnsi="Cambria Math" w:cs="Cambria Math"/>
                            <w:sz w:val="20"/>
                            <w:lang w:eastAsia="en-US"/>
                          </w:rPr>
                        </m:ctrlPr>
                      </m:sSubPr>
                      <m:e>
                        <m:r>
                          <w:rPr>
                            <w:rFonts w:ascii="Cambria Math" w:eastAsia="Roboto" w:hAnsi="Cambria Math" w:cs="Roboto"/>
                            <w:color w:val="040C28"/>
                            <w:sz w:val="20"/>
                            <w:lang w:eastAsia="en-US"/>
                          </w:rPr>
                          <m:t>Ψ</m:t>
                        </m:r>
                      </m:e>
                      <m:sub>
                        <m:r>
                          <w:rPr>
                            <w:rFonts w:ascii="Cambria Math" w:eastAsia="Cambria Math" w:hAnsi="Cambria Math" w:cs="Cambria Math"/>
                            <w:sz w:val="20"/>
                            <w:lang w:eastAsia="en-US"/>
                          </w:rPr>
                          <m:t>y</m:t>
                        </m:r>
                      </m:sub>
                    </m:sSub>
                    <m:r>
                      <w:rPr>
                        <w:rFonts w:ascii="Cambria Math" w:eastAsia="Cambria Math" w:hAnsi="Cambria Math" w:cs="Cambria Math"/>
                        <w:sz w:val="20"/>
                        <w:lang w:eastAsia="en-US"/>
                      </w:rPr>
                      <m:t>×</m:t>
                    </m:r>
                    <m:nary>
                      <m:naryPr>
                        <m:chr m:val="∑"/>
                        <m:limLoc m:val="subSup"/>
                        <m:supHide m:val="1"/>
                        <m:ctrlPr>
                          <w:rPr>
                            <w:rFonts w:ascii="Cambria Math" w:eastAsia="Cambria Math" w:hAnsi="Cambria Math" w:cs="Cambria Math"/>
                            <w:i/>
                            <w:sz w:val="20"/>
                            <w:lang w:eastAsia="en-US"/>
                          </w:rPr>
                        </m:ctrlPr>
                      </m:naryPr>
                      <m:sub>
                        <m:r>
                          <w:rPr>
                            <w:rFonts w:ascii="Cambria Math" w:eastAsia="Cambria Math" w:hAnsi="Cambria Math" w:cs="Cambria Math"/>
                            <w:sz w:val="20"/>
                            <w:lang w:eastAsia="en-US"/>
                          </w:rPr>
                          <m:t>h</m:t>
                        </m:r>
                      </m:sub>
                      <m:sup/>
                      <m:e>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Days</m:t>
                            </m:r>
                          </m:e>
                          <m:sub>
                            <m:r>
                              <w:rPr>
                                <w:rFonts w:ascii="Cambria Math" w:eastAsia="Cambria Math" w:hAnsi="Cambria Math" w:cs="Cambria Math"/>
                                <w:sz w:val="20"/>
                                <w:lang w:eastAsia="en-US"/>
                              </w:rPr>
                              <m:t>y,h</m:t>
                            </m:r>
                          </m:sub>
                        </m:sSub>
                      </m:e>
                    </m:nary>
                  </m:num>
                  <m:den>
                    <m:sSub>
                      <m:sSubPr>
                        <m:ctrlPr>
                          <w:rPr>
                            <w:rFonts w:ascii="Cambria Math" w:eastAsia="Cambria Math" w:hAnsi="Cambria Math" w:cs="Cambria Math"/>
                            <w:i/>
                            <w:sz w:val="20"/>
                            <w:lang w:eastAsia="en-US"/>
                          </w:rPr>
                        </m:ctrlPr>
                      </m:sSubPr>
                      <m:e>
                        <m:r>
                          <w:rPr>
                            <w:rFonts w:ascii="Cambria Math" w:eastAsia="Cambria Math" w:hAnsi="Cambria Math" w:cs="Cambria Math"/>
                            <w:sz w:val="20"/>
                            <w:lang w:eastAsia="en-US"/>
                          </w:rPr>
                          <m:t>C</m:t>
                        </m:r>
                        <m:r>
                          <w:rPr>
                            <w:rFonts w:ascii="Cambria Math" w:hAnsi="Cambria Math" w:cs="Cambria Math"/>
                            <w:sz w:val="20"/>
                            <w:lang w:eastAsia="ja-JP"/>
                          </w:rPr>
                          <m:t>D</m:t>
                        </m:r>
                      </m:e>
                      <m:sub>
                        <m:r>
                          <w:rPr>
                            <w:rFonts w:ascii="Cambria Math" w:eastAsia="Cambria Math" w:hAnsi="Cambria Math" w:cs="Cambria Math"/>
                            <w:sz w:val="20"/>
                            <w:lang w:eastAsia="en-US"/>
                          </w:rPr>
                          <m:t>y</m:t>
                        </m:r>
                      </m:sub>
                    </m:sSub>
                  </m:den>
                </m:f>
              </m:oMath>
            </m:oMathPara>
          </w:p>
        </w:tc>
        <w:tc>
          <w:tcPr>
            <w:tcW w:w="1643" w:type="dxa"/>
          </w:tcPr>
          <w:p w14:paraId="3E2CA512" w14:textId="77777777" w:rsidR="00BA2CAC" w:rsidRPr="009F63DF" w:rsidRDefault="00BA2CAC" w:rsidP="00AF1AC1">
            <w:pPr>
              <w:pStyle w:val="SDMMethEquationNr"/>
              <w:numPr>
                <w:ilvl w:val="0"/>
                <w:numId w:val="29"/>
              </w:numPr>
              <w:suppressAutoHyphens/>
            </w:pPr>
          </w:p>
        </w:tc>
      </w:tr>
    </w:tbl>
    <w:p w14:paraId="22842B99" w14:textId="77777777" w:rsidR="00BA2CAC" w:rsidRPr="009F63DF" w:rsidRDefault="00BA2CAC" w:rsidP="00655F47">
      <w:pPr>
        <w:pStyle w:val="SDMMethCaptionEquationParametersTable"/>
        <w:suppressAutoHyphens/>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BA2CAC" w:rsidRPr="009F63DF" w14:paraId="1D4B6638" w14:textId="77777777" w:rsidTr="00EE4C95">
        <w:tc>
          <w:tcPr>
            <w:tcW w:w="1701" w:type="dxa"/>
            <w:vAlign w:val="top"/>
          </w:tcPr>
          <w:p w14:paraId="43895E7B" w14:textId="510BD865" w:rsidR="00BA2CAC"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EC</m:t>
                    </m:r>
                  </m:e>
                  <m:sub>
                    <m:r>
                      <w:rPr>
                        <w:rFonts w:ascii="Cambria Math" w:eastAsia="Cambria Math" w:hAnsi="Cambria Math" w:cstheme="minorBidi"/>
                      </w:rPr>
                      <m:t>BL,i,y</m:t>
                    </m:r>
                  </m:sub>
                </m:sSub>
              </m:oMath>
            </m:oMathPara>
          </w:p>
        </w:tc>
        <w:tc>
          <w:tcPr>
            <w:tcW w:w="345" w:type="dxa"/>
            <w:vAlign w:val="top"/>
          </w:tcPr>
          <w:p w14:paraId="07FA5C9E" w14:textId="77777777" w:rsidR="00BA2CAC" w:rsidRPr="009F63DF" w:rsidRDefault="00BA2CAC" w:rsidP="00B07AF7">
            <w:pPr>
              <w:pStyle w:val="SDMTableBoxParaNotNumbered"/>
              <w:suppressAutoHyphens/>
            </w:pPr>
            <w:r w:rsidRPr="009F63DF">
              <w:t>=</w:t>
            </w:r>
          </w:p>
        </w:tc>
        <w:tc>
          <w:tcPr>
            <w:tcW w:w="0" w:type="auto"/>
            <w:vAlign w:val="top"/>
          </w:tcPr>
          <w:p w14:paraId="2ABFDB43" w14:textId="624600B4" w:rsidR="00BA2CAC" w:rsidRPr="009F63DF" w:rsidRDefault="00DB3CEA" w:rsidP="00B07AF7">
            <w:pPr>
              <w:pStyle w:val="SDMTableBoxParaNotNumbered"/>
              <w:suppressAutoHyphens/>
            </w:pPr>
            <w:r w:rsidRPr="009F63DF">
              <w:t xml:space="preserve">Consumption of primary fuel types </w:t>
            </w:r>
            <w:r w:rsidRPr="009F63DF">
              <w:rPr>
                <w:i/>
              </w:rPr>
              <w:t xml:space="preserve">i </w:t>
            </w:r>
            <w:r w:rsidRPr="009F63DF">
              <w:t xml:space="preserve">in baseline scenario in year </w:t>
            </w:r>
            <w:r w:rsidRPr="009F63DF">
              <w:rPr>
                <w:i/>
              </w:rPr>
              <w:t>y</w:t>
            </w:r>
            <w:r w:rsidRPr="009F63DF">
              <w:t xml:space="preserve"> (TJ)</w:t>
            </w:r>
          </w:p>
        </w:tc>
      </w:tr>
      <w:tr w:rsidR="00BA2CAC" w:rsidRPr="009F63DF" w14:paraId="0221B4F7" w14:textId="77777777" w:rsidTr="00EE4C95">
        <w:tc>
          <w:tcPr>
            <w:tcW w:w="1701" w:type="dxa"/>
            <w:vAlign w:val="top"/>
          </w:tcPr>
          <w:p w14:paraId="5B0D9B47" w14:textId="78765D54" w:rsidR="00BA2CAC"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EC</m:t>
                    </m:r>
                  </m:e>
                  <m:sub>
                    <m:r>
                      <w:rPr>
                        <w:rFonts w:ascii="Cambria Math" w:eastAsia="Cambria Math" w:hAnsi="Cambria Math" w:cstheme="minorBidi"/>
                      </w:rPr>
                      <m:t>BL,j,y</m:t>
                    </m:r>
                  </m:sub>
                </m:sSub>
              </m:oMath>
            </m:oMathPara>
          </w:p>
        </w:tc>
        <w:tc>
          <w:tcPr>
            <w:tcW w:w="345" w:type="dxa"/>
            <w:vAlign w:val="top"/>
          </w:tcPr>
          <w:p w14:paraId="340AD181" w14:textId="18B8ADF4" w:rsidR="00BA2CAC" w:rsidRPr="009F63DF" w:rsidRDefault="00BA2CAC" w:rsidP="00B07AF7">
            <w:pPr>
              <w:pStyle w:val="SDMTableBoxParaNotNumbered"/>
              <w:suppressAutoHyphens/>
            </w:pPr>
            <w:r w:rsidRPr="009F63DF">
              <w:t>=</w:t>
            </w:r>
          </w:p>
        </w:tc>
        <w:tc>
          <w:tcPr>
            <w:tcW w:w="0" w:type="auto"/>
            <w:vAlign w:val="top"/>
          </w:tcPr>
          <w:p w14:paraId="1E140C1F" w14:textId="5945C554" w:rsidR="00BA2CAC" w:rsidRPr="009F63DF" w:rsidRDefault="00DB3CEA" w:rsidP="00B07AF7">
            <w:pPr>
              <w:pStyle w:val="SDMTableBoxParaNotNumbered"/>
              <w:suppressAutoHyphens/>
            </w:pPr>
            <w:r w:rsidRPr="009F63DF">
              <w:t xml:space="preserve">Consumption of secondary fuel types </w:t>
            </w:r>
            <w:r w:rsidRPr="009F63DF">
              <w:rPr>
                <w:i/>
              </w:rPr>
              <w:t>j</w:t>
            </w:r>
            <w:r w:rsidRPr="009F63DF">
              <w:t xml:space="preserve"> in baseline scenario in year </w:t>
            </w:r>
            <w:r w:rsidRPr="009F63DF">
              <w:rPr>
                <w:i/>
              </w:rPr>
              <w:t>y</w:t>
            </w:r>
            <w:r w:rsidRPr="009F63DF">
              <w:t xml:space="preserve"> (TJ)</w:t>
            </w:r>
          </w:p>
        </w:tc>
      </w:tr>
      <w:tr w:rsidR="00BA2CAC" w:rsidRPr="009F63DF" w14:paraId="5BB6C2A9" w14:textId="77777777" w:rsidTr="00EE4C95">
        <w:tc>
          <w:tcPr>
            <w:tcW w:w="1701" w:type="dxa"/>
            <w:vAlign w:val="top"/>
          </w:tcPr>
          <w:p w14:paraId="16FA77A9" w14:textId="66B71E97" w:rsidR="00BA2CAC"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H</m:t>
                    </m:r>
                  </m:e>
                  <m:sub>
                    <m:r>
                      <w:rPr>
                        <w:rFonts w:ascii="Cambria Math" w:eastAsia="Cambria Math" w:hAnsi="Cambria Math" w:cstheme="minorBidi"/>
                      </w:rPr>
                      <m:t>y</m:t>
                    </m:r>
                  </m:sub>
                </m:sSub>
              </m:oMath>
            </m:oMathPara>
          </w:p>
        </w:tc>
        <w:tc>
          <w:tcPr>
            <w:tcW w:w="345" w:type="dxa"/>
            <w:vAlign w:val="top"/>
          </w:tcPr>
          <w:p w14:paraId="21CD55F4" w14:textId="7FF638B0" w:rsidR="00BA2CAC" w:rsidRPr="009F63DF" w:rsidRDefault="00BA2CAC" w:rsidP="00B07AF7">
            <w:pPr>
              <w:pStyle w:val="SDMTableBoxParaNotNumbered"/>
              <w:suppressAutoHyphens/>
            </w:pPr>
            <w:r w:rsidRPr="009F63DF">
              <w:t>=</w:t>
            </w:r>
          </w:p>
        </w:tc>
        <w:tc>
          <w:tcPr>
            <w:tcW w:w="0" w:type="auto"/>
            <w:vAlign w:val="top"/>
          </w:tcPr>
          <w:p w14:paraId="5D673706" w14:textId="576F9F03" w:rsidR="00BA2CAC" w:rsidRPr="009F63DF" w:rsidRDefault="00DB3CEA" w:rsidP="00B07AF7">
            <w:pPr>
              <w:pStyle w:val="SDMTableBoxParaNotNumbered"/>
              <w:suppressAutoHyphens/>
            </w:pPr>
            <w:r w:rsidRPr="009F63DF">
              <w:rPr>
                <w:rFonts w:asciiTheme="minorBidi" w:eastAsia="Montserrat" w:hAnsiTheme="minorBidi" w:cstheme="minorBidi"/>
              </w:rPr>
              <w:t xml:space="preserve">Average household size in year </w:t>
            </w:r>
            <w:r w:rsidRPr="009F63DF">
              <w:rPr>
                <w:rFonts w:asciiTheme="minorBidi" w:eastAsia="Montserrat" w:hAnsiTheme="minorBidi" w:cstheme="minorBidi"/>
                <w:i/>
              </w:rPr>
              <w:t xml:space="preserve">y </w:t>
            </w:r>
            <w:r w:rsidRPr="009F63DF">
              <w:rPr>
                <w:rFonts w:asciiTheme="minorBidi" w:eastAsia="Montserrat" w:hAnsiTheme="minorBidi" w:cstheme="minorBidi"/>
              </w:rPr>
              <w:t>(number of persons per household)</w:t>
            </w:r>
          </w:p>
        </w:tc>
      </w:tr>
      <w:tr w:rsidR="00BA2CAC" w:rsidRPr="009F63DF" w14:paraId="7D715EEA" w14:textId="77777777" w:rsidTr="00EE4C95">
        <w:tc>
          <w:tcPr>
            <w:tcW w:w="1701" w:type="dxa"/>
            <w:vAlign w:val="top"/>
          </w:tcPr>
          <w:p w14:paraId="4FA50FDE" w14:textId="084E40FF" w:rsidR="00BA2CAC"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BM</m:t>
                    </m:r>
                  </m:e>
                  <m:sub>
                    <m:r>
                      <w:rPr>
                        <w:rFonts w:ascii="Cambria Math" w:eastAsia="Cambria Math" w:hAnsi="Cambria Math" w:cstheme="minorBidi"/>
                      </w:rPr>
                      <m:t>BL,i,y</m:t>
                    </m:r>
                  </m:sub>
                </m:sSub>
              </m:oMath>
            </m:oMathPara>
          </w:p>
        </w:tc>
        <w:tc>
          <w:tcPr>
            <w:tcW w:w="345" w:type="dxa"/>
            <w:vAlign w:val="top"/>
          </w:tcPr>
          <w:p w14:paraId="0A5EA4BF" w14:textId="23E9A9FB" w:rsidR="00BA2CAC" w:rsidRPr="009F63DF" w:rsidRDefault="00BA2CAC" w:rsidP="00B07AF7">
            <w:pPr>
              <w:pStyle w:val="SDMTableBoxParaNotNumbered"/>
              <w:suppressAutoHyphens/>
            </w:pPr>
            <w:r w:rsidRPr="009F63DF">
              <w:t>=</w:t>
            </w:r>
          </w:p>
        </w:tc>
        <w:tc>
          <w:tcPr>
            <w:tcW w:w="0" w:type="auto"/>
            <w:vAlign w:val="top"/>
          </w:tcPr>
          <w:p w14:paraId="6BE2F8D8" w14:textId="76D069FC" w:rsidR="00BA2CAC" w:rsidRPr="009F63DF" w:rsidRDefault="00CC6028" w:rsidP="00B07AF7">
            <w:pPr>
              <w:pStyle w:val="SDMTableBoxParaNotNumbered"/>
              <w:suppressAutoHyphens/>
            </w:pPr>
            <w:r w:rsidRPr="009F63DF">
              <w:t>Ambitious benchmark</w:t>
            </w:r>
            <w:r w:rsidR="003A7B04" w:rsidRPr="009F63DF">
              <w:t xml:space="preserve">-based energy </w:t>
            </w:r>
            <w:r w:rsidR="00DB3CEA" w:rsidRPr="009F63DF">
              <w:t xml:space="preserve">consumption of baseline primary fuel types </w:t>
            </w:r>
            <w:r w:rsidR="00DB3CEA" w:rsidRPr="009F63DF">
              <w:rPr>
                <w:i/>
              </w:rPr>
              <w:t>i</w:t>
            </w:r>
            <w:r w:rsidR="00615311" w:rsidRPr="009F63DF">
              <w:t xml:space="preserve"> </w:t>
            </w:r>
            <w:r w:rsidR="00DB3CEA" w:rsidRPr="009F63DF">
              <w:t>(TJ</w:t>
            </w:r>
            <w:r w:rsidR="00FD2C66" w:rsidRPr="009F63DF">
              <w:t xml:space="preserve"> </w:t>
            </w:r>
            <w:r w:rsidR="00DB3CEA" w:rsidRPr="009F63DF">
              <w:t>/</w:t>
            </w:r>
            <w:r w:rsidR="00FD2C66" w:rsidRPr="009F63DF">
              <w:t xml:space="preserve"> </w:t>
            </w:r>
            <w:r w:rsidR="00DB3CEA" w:rsidRPr="009F63DF">
              <w:t>(person</w:t>
            </w:r>
            <w:r w:rsidR="008F30EE" w:rsidRPr="009F63DF">
              <w:t xml:space="preserve"> x </w:t>
            </w:r>
            <w:r w:rsidR="00DB3CEA" w:rsidRPr="009F63DF">
              <w:t>year))</w:t>
            </w:r>
          </w:p>
        </w:tc>
      </w:tr>
      <w:tr w:rsidR="00BA2CAC" w:rsidRPr="009F63DF" w14:paraId="33408E17" w14:textId="77777777" w:rsidTr="00EE4C95">
        <w:tc>
          <w:tcPr>
            <w:tcW w:w="1701" w:type="dxa"/>
            <w:vAlign w:val="top"/>
          </w:tcPr>
          <w:p w14:paraId="73A565DC" w14:textId="5C3A34C0" w:rsidR="00BA2CAC"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BM</m:t>
                    </m:r>
                  </m:e>
                  <m:sub>
                    <m:r>
                      <w:rPr>
                        <w:rFonts w:ascii="Cambria Math" w:eastAsia="Cambria Math" w:hAnsi="Cambria Math" w:cstheme="minorBidi"/>
                      </w:rPr>
                      <m:t>BL,j,y</m:t>
                    </m:r>
                  </m:sub>
                </m:sSub>
              </m:oMath>
            </m:oMathPara>
          </w:p>
        </w:tc>
        <w:tc>
          <w:tcPr>
            <w:tcW w:w="345" w:type="dxa"/>
            <w:vAlign w:val="top"/>
          </w:tcPr>
          <w:p w14:paraId="2B419246" w14:textId="562AC757" w:rsidR="00BA2CAC" w:rsidRPr="009F63DF" w:rsidRDefault="00BA2CAC" w:rsidP="00B07AF7">
            <w:pPr>
              <w:pStyle w:val="SDMTableBoxParaNotNumbered"/>
              <w:suppressAutoHyphens/>
            </w:pPr>
            <w:r w:rsidRPr="009F63DF">
              <w:t>=</w:t>
            </w:r>
          </w:p>
        </w:tc>
        <w:tc>
          <w:tcPr>
            <w:tcW w:w="0" w:type="auto"/>
            <w:vAlign w:val="top"/>
          </w:tcPr>
          <w:p w14:paraId="0D9549E5" w14:textId="61EF7E32" w:rsidR="00BA2CAC" w:rsidRPr="009F63DF" w:rsidRDefault="00063117" w:rsidP="00B07AF7">
            <w:pPr>
              <w:pStyle w:val="SDMTableBoxParaNotNumbered"/>
              <w:suppressAutoHyphens/>
            </w:pPr>
            <w:r w:rsidRPr="009F63DF">
              <w:t xml:space="preserve">Ambitious benchmark </w:t>
            </w:r>
            <w:r w:rsidR="003A7B04" w:rsidRPr="009F63DF">
              <w:t>-based e</w:t>
            </w:r>
            <w:r w:rsidR="00DB3CEA" w:rsidRPr="009F63DF">
              <w:t>nergy consumption of baseline secondary fuel types j (TJ</w:t>
            </w:r>
            <w:r w:rsidR="00FD2C66" w:rsidRPr="009F63DF">
              <w:t xml:space="preserve"> </w:t>
            </w:r>
            <w:r w:rsidR="00DB3CEA" w:rsidRPr="009F63DF">
              <w:t>/</w:t>
            </w:r>
            <w:r w:rsidR="00FD2C66" w:rsidRPr="009F63DF">
              <w:t xml:space="preserve"> </w:t>
            </w:r>
            <w:r w:rsidR="00DB3CEA" w:rsidRPr="009F63DF">
              <w:t>(person</w:t>
            </w:r>
            <w:r w:rsidR="008F30EE" w:rsidRPr="009F63DF">
              <w:t xml:space="preserve"> x </w:t>
            </w:r>
            <w:r w:rsidR="00DB3CEA" w:rsidRPr="009F63DF">
              <w:t>year))</w:t>
            </w:r>
          </w:p>
        </w:tc>
      </w:tr>
      <w:tr w:rsidR="00BA2CAC" w:rsidRPr="009F63DF" w14:paraId="174A4C81" w14:textId="77777777" w:rsidTr="00EE4C95">
        <w:tc>
          <w:tcPr>
            <w:tcW w:w="1701" w:type="dxa"/>
            <w:vAlign w:val="top"/>
          </w:tcPr>
          <w:p w14:paraId="55747568" w14:textId="659E426C" w:rsidR="00BA2CAC"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rPr>
                    </m:ctrlPr>
                  </m:sSubPr>
                  <m:e>
                    <m:r>
                      <w:rPr>
                        <w:rFonts w:ascii="Cambria Math" w:eastAsia="Roboto" w:hAnsi="Cambria Math" w:cstheme="minorBidi"/>
                        <w:color w:val="040C28"/>
                      </w:rPr>
                      <m:t>Ψ</m:t>
                    </m:r>
                  </m:e>
                  <m:sub>
                    <m:r>
                      <w:rPr>
                        <w:rFonts w:ascii="Cambria Math" w:eastAsia="Cambria Math" w:hAnsi="Cambria Math" w:cstheme="minorBidi"/>
                      </w:rPr>
                      <m:t>y</m:t>
                    </m:r>
                  </m:sub>
                </m:sSub>
              </m:oMath>
            </m:oMathPara>
          </w:p>
        </w:tc>
        <w:tc>
          <w:tcPr>
            <w:tcW w:w="345" w:type="dxa"/>
            <w:vAlign w:val="top"/>
          </w:tcPr>
          <w:p w14:paraId="6FC906CC" w14:textId="422E478C" w:rsidR="00BA2CAC" w:rsidRPr="009F63DF" w:rsidRDefault="00BA2CAC" w:rsidP="00B07AF7">
            <w:pPr>
              <w:pStyle w:val="SDMTableBoxParaNotNumbered"/>
              <w:suppressAutoHyphens/>
            </w:pPr>
            <w:r w:rsidRPr="009F63DF">
              <w:t>=</w:t>
            </w:r>
          </w:p>
        </w:tc>
        <w:tc>
          <w:tcPr>
            <w:tcW w:w="0" w:type="auto"/>
            <w:vAlign w:val="top"/>
          </w:tcPr>
          <w:p w14:paraId="0E16AF28" w14:textId="0FCEC38C" w:rsidR="00BA2CAC" w:rsidRPr="009F63DF" w:rsidRDefault="00DB3CEA" w:rsidP="00B07AF7">
            <w:pPr>
              <w:pStyle w:val="SDMTableBoxParaNotNumbered"/>
              <w:suppressAutoHyphens/>
            </w:pPr>
            <w:r w:rsidRPr="009F63DF">
              <w:t xml:space="preserve">Percent of activity households that qualify as user households in year </w:t>
            </w:r>
            <w:r w:rsidRPr="009F63DF">
              <w:rPr>
                <w:i/>
              </w:rPr>
              <w:t>y</w:t>
            </w:r>
            <w:r w:rsidRPr="009F63DF">
              <w:t xml:space="preserve"> (</w:t>
            </w:r>
            <w:r w:rsidR="00DE7B9B" w:rsidRPr="009F63DF">
              <w:t>per cent</w:t>
            </w:r>
            <w:r w:rsidRPr="009F63DF">
              <w:t>)</w:t>
            </w:r>
          </w:p>
        </w:tc>
      </w:tr>
      <w:tr w:rsidR="00BA2CAC" w:rsidRPr="009F63DF" w14:paraId="3813D57C" w14:textId="77777777" w:rsidTr="00EE4C95">
        <w:tc>
          <w:tcPr>
            <w:tcW w:w="1701" w:type="dxa"/>
            <w:vAlign w:val="top"/>
          </w:tcPr>
          <w:p w14:paraId="67E9C2A0" w14:textId="560C129B" w:rsidR="00BA2CAC" w:rsidRPr="009F63DF" w:rsidRDefault="001549D8" w:rsidP="00B07AF7">
            <w:pPr>
              <w:pStyle w:val="SDMTableBoxParaNotNumbered"/>
              <w:suppressAutoHyphens/>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Days</m:t>
                    </m:r>
                  </m:e>
                  <m:sub>
                    <m:r>
                      <w:rPr>
                        <w:rFonts w:ascii="Cambria Math" w:eastAsia="Cambria Math" w:hAnsi="Cambria Math" w:cstheme="minorBidi"/>
                      </w:rPr>
                      <m:t>y,h</m:t>
                    </m:r>
                  </m:sub>
                </m:sSub>
              </m:oMath>
            </m:oMathPara>
          </w:p>
        </w:tc>
        <w:tc>
          <w:tcPr>
            <w:tcW w:w="345" w:type="dxa"/>
            <w:vAlign w:val="top"/>
          </w:tcPr>
          <w:p w14:paraId="0DDC52FD" w14:textId="047B91C4" w:rsidR="00BA2CAC" w:rsidRPr="009F63DF" w:rsidRDefault="00BA2CAC" w:rsidP="00B07AF7">
            <w:pPr>
              <w:pStyle w:val="SDMTableBoxParaNotNumbered"/>
              <w:suppressAutoHyphens/>
            </w:pPr>
            <w:r w:rsidRPr="009F63DF">
              <w:t>=</w:t>
            </w:r>
          </w:p>
        </w:tc>
        <w:tc>
          <w:tcPr>
            <w:tcW w:w="0" w:type="auto"/>
            <w:vAlign w:val="top"/>
          </w:tcPr>
          <w:p w14:paraId="586865BC" w14:textId="3BF312CA" w:rsidR="00BA2CAC" w:rsidRPr="009F63DF" w:rsidRDefault="00EE4C95" w:rsidP="00B07AF7">
            <w:pPr>
              <w:pStyle w:val="SDMTableBoxParaNotNumbered"/>
              <w:suppressAutoHyphens/>
            </w:pPr>
            <w:r w:rsidRPr="009F63DF">
              <w:t xml:space="preserve">Number of total possible project cookstove days during the year </w:t>
            </w:r>
            <w:r w:rsidRPr="009F63DF">
              <w:rPr>
                <w:i/>
              </w:rPr>
              <w:t>y</w:t>
            </w:r>
            <w:r w:rsidRPr="009F63DF">
              <w:t xml:space="preserve"> in household </w:t>
            </w:r>
            <w:r w:rsidRPr="009F63DF">
              <w:rPr>
                <w:i/>
              </w:rPr>
              <w:t>h</w:t>
            </w:r>
            <w:r w:rsidRPr="009F63DF">
              <w:t xml:space="preserve"> (day)</w:t>
            </w:r>
          </w:p>
        </w:tc>
      </w:tr>
      <w:tr w:rsidR="00BA2CAC" w:rsidRPr="009F63DF" w14:paraId="012F9590" w14:textId="77777777" w:rsidTr="00EE4C95">
        <w:tc>
          <w:tcPr>
            <w:tcW w:w="1701" w:type="dxa"/>
            <w:vAlign w:val="top"/>
          </w:tcPr>
          <w:p w14:paraId="437E5BD2" w14:textId="60202C9F" w:rsidR="00BA2CAC" w:rsidRPr="009F63DF" w:rsidRDefault="00EE4C95" w:rsidP="00B07AF7">
            <w:pPr>
              <w:pStyle w:val="SDMTableBoxParaNotNumbered"/>
              <w:suppressAutoHyphens/>
            </w:pPr>
            <m:oMathPara>
              <m:oMathParaPr>
                <m:jc m:val="left"/>
              </m:oMathParaPr>
              <m:oMath>
                <m:r>
                  <w:rPr>
                    <w:rFonts w:ascii="Cambria Math" w:eastAsia="Cambria Math" w:hAnsi="Cambria Math" w:cstheme="minorBidi"/>
                  </w:rPr>
                  <m:t>CD</m:t>
                </m:r>
              </m:oMath>
            </m:oMathPara>
          </w:p>
        </w:tc>
        <w:tc>
          <w:tcPr>
            <w:tcW w:w="345" w:type="dxa"/>
            <w:vAlign w:val="top"/>
          </w:tcPr>
          <w:p w14:paraId="619552E4" w14:textId="1393BFC2" w:rsidR="00BA2CAC" w:rsidRPr="009F63DF" w:rsidRDefault="00BA2CAC" w:rsidP="00B07AF7">
            <w:pPr>
              <w:pStyle w:val="SDMTableBoxParaNotNumbered"/>
              <w:suppressAutoHyphens/>
            </w:pPr>
            <w:r w:rsidRPr="009F63DF">
              <w:t>=</w:t>
            </w:r>
          </w:p>
        </w:tc>
        <w:tc>
          <w:tcPr>
            <w:tcW w:w="0" w:type="auto"/>
            <w:vAlign w:val="top"/>
          </w:tcPr>
          <w:p w14:paraId="3899D93C" w14:textId="71014393" w:rsidR="00BA2CAC" w:rsidRPr="009F63DF" w:rsidRDefault="00EE4C95" w:rsidP="00B07AF7">
            <w:pPr>
              <w:pStyle w:val="SDMTableBoxParaNotNumbered"/>
              <w:suppressAutoHyphens/>
            </w:pPr>
            <w:r w:rsidRPr="009F63DF">
              <w:t xml:space="preserve">Days in a calendar year </w:t>
            </w:r>
            <w:r w:rsidRPr="009F63DF">
              <w:rPr>
                <w:i/>
              </w:rPr>
              <w:t>y</w:t>
            </w:r>
            <w:r w:rsidRPr="009F63DF">
              <w:t xml:space="preserve"> (day)</w:t>
            </w:r>
          </w:p>
        </w:tc>
      </w:tr>
      <w:tr w:rsidR="00BA2CAC" w:rsidRPr="009F63DF" w14:paraId="0CC72E34" w14:textId="77777777" w:rsidTr="00EE4C95">
        <w:tc>
          <w:tcPr>
            <w:tcW w:w="1701" w:type="dxa"/>
            <w:vAlign w:val="top"/>
          </w:tcPr>
          <w:p w14:paraId="290D2B6A" w14:textId="5702DB02" w:rsidR="00BA2CAC" w:rsidRPr="009F63DF" w:rsidRDefault="00EE4C95" w:rsidP="00B07AF7">
            <w:pPr>
              <w:pStyle w:val="SDMTableBoxParaNotNumbered"/>
              <w:suppressAutoHyphens/>
            </w:pPr>
            <w:r w:rsidRPr="009F63DF">
              <w:rPr>
                <w:rFonts w:ascii="Cambria Math" w:hAnsi="Cambria Math" w:cstheme="minorBidi"/>
                <w:i/>
              </w:rPr>
              <w:t>h</w:t>
            </w:r>
          </w:p>
        </w:tc>
        <w:tc>
          <w:tcPr>
            <w:tcW w:w="345" w:type="dxa"/>
            <w:vAlign w:val="top"/>
          </w:tcPr>
          <w:p w14:paraId="79473DAC" w14:textId="263027C1" w:rsidR="00BA2CAC" w:rsidRPr="009F63DF" w:rsidRDefault="00BA2CAC" w:rsidP="00B07AF7">
            <w:pPr>
              <w:pStyle w:val="SDMTableBoxParaNotNumbered"/>
              <w:suppressAutoHyphens/>
            </w:pPr>
            <w:r w:rsidRPr="009F63DF">
              <w:t>=</w:t>
            </w:r>
          </w:p>
        </w:tc>
        <w:tc>
          <w:tcPr>
            <w:tcW w:w="0" w:type="auto"/>
            <w:vAlign w:val="top"/>
          </w:tcPr>
          <w:p w14:paraId="3D15EA38" w14:textId="4E9AF02A" w:rsidR="00BA2CAC" w:rsidRPr="009F63DF" w:rsidRDefault="00EE4C95" w:rsidP="00B07AF7">
            <w:pPr>
              <w:pStyle w:val="SDMTableBoxParaNotNumbered"/>
              <w:suppressAutoHyphens/>
            </w:pPr>
            <w:r w:rsidRPr="009F63DF">
              <w:t>A6.4 activity household</w:t>
            </w:r>
          </w:p>
        </w:tc>
      </w:tr>
      <w:tr w:rsidR="00BA2CAC" w:rsidRPr="009F63DF" w14:paraId="6189CC6A" w14:textId="77777777" w:rsidTr="00EE4C95">
        <w:tc>
          <w:tcPr>
            <w:tcW w:w="1701" w:type="dxa"/>
            <w:vAlign w:val="top"/>
          </w:tcPr>
          <w:p w14:paraId="04343FA0" w14:textId="019DBD59" w:rsidR="00BA2CAC" w:rsidRPr="009F63DF" w:rsidRDefault="00EE4C95" w:rsidP="00B07AF7">
            <w:pPr>
              <w:pStyle w:val="SDMTableBoxParaNotNumbered"/>
              <w:suppressAutoHyphens/>
            </w:pPr>
            <w:r w:rsidRPr="009F63DF">
              <w:rPr>
                <w:rFonts w:ascii="Cambria Math" w:hAnsi="Cambria Math" w:cstheme="minorBidi"/>
                <w:i/>
              </w:rPr>
              <w:t>i</w:t>
            </w:r>
          </w:p>
        </w:tc>
        <w:tc>
          <w:tcPr>
            <w:tcW w:w="345" w:type="dxa"/>
            <w:vAlign w:val="top"/>
          </w:tcPr>
          <w:p w14:paraId="63799864" w14:textId="2071EC62" w:rsidR="00BA2CAC" w:rsidRPr="009F63DF" w:rsidRDefault="00BA2CAC" w:rsidP="00B07AF7">
            <w:pPr>
              <w:pStyle w:val="SDMTableBoxParaNotNumbered"/>
              <w:suppressAutoHyphens/>
            </w:pPr>
            <w:r w:rsidRPr="009F63DF">
              <w:t>=</w:t>
            </w:r>
          </w:p>
        </w:tc>
        <w:tc>
          <w:tcPr>
            <w:tcW w:w="0" w:type="auto"/>
            <w:vAlign w:val="top"/>
          </w:tcPr>
          <w:p w14:paraId="4AD8282B" w14:textId="631E9B53" w:rsidR="00BA2CAC" w:rsidRPr="009F63DF" w:rsidRDefault="00EE4C95" w:rsidP="00B07AF7">
            <w:pPr>
              <w:pStyle w:val="SDMTableBoxParaNotNumbered"/>
              <w:suppressAutoHyphens/>
            </w:pPr>
            <w:r w:rsidRPr="009F63DF">
              <w:t>Primary fuel types (fuelwood or charcoal)</w:t>
            </w:r>
          </w:p>
        </w:tc>
      </w:tr>
      <w:tr w:rsidR="00BA2CAC" w:rsidRPr="009F63DF" w14:paraId="38534E6B" w14:textId="77777777" w:rsidTr="00EE4C95">
        <w:tc>
          <w:tcPr>
            <w:tcW w:w="1701" w:type="dxa"/>
            <w:vAlign w:val="top"/>
          </w:tcPr>
          <w:p w14:paraId="709D33C1" w14:textId="78E7E575" w:rsidR="00BA2CAC" w:rsidRPr="009F63DF" w:rsidRDefault="00EE4C95" w:rsidP="00B07AF7">
            <w:pPr>
              <w:pStyle w:val="SDMTableBoxParaNotNumbered"/>
              <w:suppressAutoHyphens/>
            </w:pPr>
            <w:r w:rsidRPr="009F63DF">
              <w:rPr>
                <w:rFonts w:ascii="Cambria Math" w:hAnsi="Cambria Math" w:cstheme="minorBidi"/>
                <w:i/>
              </w:rPr>
              <w:t>j</w:t>
            </w:r>
          </w:p>
        </w:tc>
        <w:tc>
          <w:tcPr>
            <w:tcW w:w="345" w:type="dxa"/>
            <w:vAlign w:val="top"/>
          </w:tcPr>
          <w:p w14:paraId="59D762E8" w14:textId="77777777" w:rsidR="00BA2CAC" w:rsidRPr="009F63DF" w:rsidRDefault="00BA2CAC" w:rsidP="00B07AF7">
            <w:pPr>
              <w:pStyle w:val="SDMTableBoxParaNotNumbered"/>
              <w:suppressAutoHyphens/>
            </w:pPr>
            <w:r w:rsidRPr="009F63DF">
              <w:t>=</w:t>
            </w:r>
          </w:p>
        </w:tc>
        <w:tc>
          <w:tcPr>
            <w:tcW w:w="0" w:type="auto"/>
            <w:vAlign w:val="top"/>
          </w:tcPr>
          <w:p w14:paraId="36FA386C" w14:textId="538B2103" w:rsidR="00BA2CAC" w:rsidRPr="009F63DF" w:rsidRDefault="00EE4C95" w:rsidP="00B07AF7">
            <w:pPr>
              <w:pStyle w:val="SDMTableBoxParaNotNumbered"/>
              <w:suppressAutoHyphens/>
            </w:pPr>
            <w:r w:rsidRPr="009F63DF">
              <w:t>Secondary fuel types (fossil fuels or dung)</w:t>
            </w:r>
          </w:p>
        </w:tc>
      </w:tr>
      <w:tr w:rsidR="00BA2CAC" w:rsidRPr="009F63DF" w14:paraId="29E3B955" w14:textId="77777777" w:rsidTr="00EE4C95">
        <w:tc>
          <w:tcPr>
            <w:tcW w:w="1701" w:type="dxa"/>
            <w:vAlign w:val="top"/>
          </w:tcPr>
          <w:p w14:paraId="6EF427C6" w14:textId="5825647C" w:rsidR="00BA2CAC" w:rsidRPr="009F63DF" w:rsidRDefault="00EE4C95" w:rsidP="00B07AF7">
            <w:pPr>
              <w:pStyle w:val="SDMTableBoxParaNotNumbered"/>
              <w:suppressAutoHyphens/>
            </w:pPr>
            <w:r w:rsidRPr="009F63DF">
              <w:rPr>
                <w:rFonts w:ascii="Cambria Math" w:hAnsi="Cambria Math" w:cstheme="minorBidi"/>
                <w:i/>
              </w:rPr>
              <w:t>y</w:t>
            </w:r>
          </w:p>
        </w:tc>
        <w:tc>
          <w:tcPr>
            <w:tcW w:w="345" w:type="dxa"/>
            <w:vAlign w:val="top"/>
          </w:tcPr>
          <w:p w14:paraId="27A6CD05" w14:textId="77777777" w:rsidR="00BA2CAC" w:rsidRPr="009F63DF" w:rsidRDefault="00BA2CAC" w:rsidP="00B07AF7">
            <w:pPr>
              <w:pStyle w:val="SDMTableBoxParaNotNumbered"/>
              <w:suppressAutoHyphens/>
            </w:pPr>
            <w:r w:rsidRPr="009F63DF">
              <w:t>=</w:t>
            </w:r>
          </w:p>
        </w:tc>
        <w:tc>
          <w:tcPr>
            <w:tcW w:w="0" w:type="auto"/>
            <w:vAlign w:val="top"/>
          </w:tcPr>
          <w:p w14:paraId="4513F67B" w14:textId="1EA06EBB" w:rsidR="00BA2CAC" w:rsidRPr="009F63DF" w:rsidRDefault="00EE4C95" w:rsidP="00B07AF7">
            <w:pPr>
              <w:pStyle w:val="SDMTableBoxParaNotNumbered"/>
              <w:suppressAutoHyphens/>
            </w:pPr>
            <w:r w:rsidRPr="009F63DF">
              <w:t>Calendar year of the crediting period (</w:t>
            </w:r>
            <w:r w:rsidR="00F04DE3" w:rsidRPr="009F63DF">
              <w:t>number</w:t>
            </w:r>
            <w:r w:rsidRPr="009F63DF">
              <w:t>)</w:t>
            </w:r>
          </w:p>
        </w:tc>
      </w:tr>
    </w:tbl>
    <w:p w14:paraId="3A1A1EFD" w14:textId="72249637" w:rsidR="00344A6A" w:rsidRPr="00987D37" w:rsidRDefault="00B96139" w:rsidP="00B07AF7">
      <w:pPr>
        <w:pStyle w:val="SDMHead4"/>
      </w:pPr>
      <w:r w:rsidRPr="009F63DF">
        <w:rPr>
          <w:rFonts w:eastAsia="Montserrat"/>
        </w:rPr>
        <w:t>Option 1</w:t>
      </w:r>
      <w:r w:rsidR="002212DA" w:rsidRPr="009F63DF">
        <w:rPr>
          <w:rFonts w:eastAsia="Montserrat"/>
        </w:rPr>
        <w:t xml:space="preserve"> </w:t>
      </w:r>
      <w:r w:rsidR="002212DA" w:rsidRPr="00987D37">
        <w:rPr>
          <w:rFonts w:eastAsia="Montserrat"/>
        </w:rPr>
        <w:t>(Valid until 31</w:t>
      </w:r>
      <w:r w:rsidR="001172C0" w:rsidRPr="00987D37">
        <w:rPr>
          <w:rFonts w:eastAsia="Montserrat"/>
        </w:rPr>
        <w:t xml:space="preserve"> December </w:t>
      </w:r>
      <w:r w:rsidR="00B43A8A" w:rsidRPr="00987D37">
        <w:rPr>
          <w:rFonts w:eastAsia="Montserrat"/>
        </w:rPr>
        <w:t>2028</w:t>
      </w:r>
      <w:r w:rsidR="0036485B" w:rsidRPr="00987D37">
        <w:rPr>
          <w:rFonts w:eastAsia="Montserrat"/>
        </w:rPr>
        <w:t>)</w:t>
      </w:r>
    </w:p>
    <w:p w14:paraId="0FE20919" w14:textId="2E175A54" w:rsidR="00CC166A" w:rsidRPr="00987D37" w:rsidRDefault="00DD65E4" w:rsidP="00E03E61">
      <w:pPr>
        <w:pStyle w:val="SDMPara"/>
      </w:pPr>
      <w:bookmarkStart w:id="379" w:name="_Ref227011930"/>
      <w:r w:rsidRPr="00987D37">
        <w:rPr>
          <w:rFonts w:eastAsia="Montserrat"/>
          <w:lang w:eastAsia="en-US"/>
        </w:rPr>
        <w:t>T</w:t>
      </w:r>
      <w:r w:rsidR="006357C1" w:rsidRPr="00987D37">
        <w:rPr>
          <w:rFonts w:eastAsia="Montserrat"/>
          <w:lang w:eastAsia="en-US"/>
        </w:rPr>
        <w:t>he parameter representing the percent</w:t>
      </w:r>
      <w:r w:rsidR="00FC152C" w:rsidRPr="00987D37">
        <w:rPr>
          <w:rFonts w:eastAsia="Montserrat"/>
          <w:lang w:eastAsia="en-US"/>
        </w:rPr>
        <w:t>age</w:t>
      </w:r>
      <w:r w:rsidR="006357C1" w:rsidRPr="00987D37">
        <w:rPr>
          <w:rFonts w:eastAsia="Montserrat"/>
          <w:lang w:eastAsia="en-US"/>
        </w:rPr>
        <w:t xml:space="preserve"> of activity households with cookstoves present that qualify as user households (</w:t>
      </w:r>
      <m:oMath>
        <m:sSub>
          <m:sSubPr>
            <m:ctrlPr>
              <w:rPr>
                <w:rFonts w:ascii="Cambria Math" w:eastAsia="Cambria Math" w:hAnsi="Cambria Math"/>
                <w:sz w:val="20"/>
              </w:rPr>
            </m:ctrlPr>
          </m:sSubPr>
          <m:e>
            <m:r>
              <w:rPr>
                <w:rFonts w:ascii="Cambria Math" w:eastAsia="Roboto" w:hAnsi="Cambria Math"/>
                <w:color w:val="040C28"/>
                <w:sz w:val="20"/>
              </w:rPr>
              <m:t>Ψ</m:t>
            </m:r>
          </m:e>
          <m:sub>
            <m:r>
              <w:rPr>
                <w:rFonts w:ascii="Cambria Math" w:eastAsia="Cambria Math" w:hAnsi="Cambria Math"/>
                <w:sz w:val="20"/>
              </w:rPr>
              <m:t>y</m:t>
            </m:r>
          </m:sub>
        </m:sSub>
      </m:oMath>
      <w:r w:rsidR="006357C1" w:rsidRPr="00987D37">
        <w:rPr>
          <w:rFonts w:eastAsia="Montserrat"/>
          <w:lang w:eastAsia="en-US"/>
        </w:rPr>
        <w:t xml:space="preserve">), </w:t>
      </w:r>
      <w:r w:rsidR="00C15BFE" w:rsidRPr="00987D37">
        <w:rPr>
          <w:rFonts w:eastAsia="Montserrat"/>
          <w:lang w:eastAsia="en-US"/>
        </w:rPr>
        <w:t xml:space="preserve">shall be determined </w:t>
      </w:r>
      <w:r w:rsidR="006357C1" w:rsidRPr="00987D37">
        <w:rPr>
          <w:rFonts w:eastAsia="Montserrat"/>
          <w:lang w:eastAsia="en-US"/>
        </w:rPr>
        <w:t xml:space="preserve">based exclusively on usage surveys. </w:t>
      </w:r>
      <w:r w:rsidR="00CC166A" w:rsidRPr="00987D37">
        <w:rPr>
          <w:rFonts w:eastAsia="Montserrat"/>
          <w:lang w:eastAsia="en-US"/>
        </w:rPr>
        <w:t>In this case, the parameter shall be applied as the lower bound of the confidence interval at the 95/10 reliability level</w:t>
      </w:r>
      <w:r w:rsidR="0017696B" w:rsidRPr="00987D37">
        <w:rPr>
          <w:rFonts w:eastAsia="Montserrat"/>
          <w:lang w:eastAsia="en-US"/>
        </w:rPr>
        <w:t xml:space="preserve"> of the survey result</w:t>
      </w:r>
      <w:r w:rsidR="00CC166A" w:rsidRPr="00987D37">
        <w:rPr>
          <w:rFonts w:eastAsia="Montserrat"/>
          <w:lang w:eastAsia="en-US"/>
        </w:rPr>
        <w:t xml:space="preserve">. </w:t>
      </w:r>
      <w:r w:rsidR="0017696B" w:rsidRPr="00987D37">
        <w:rPr>
          <w:rFonts w:eastAsia="Montserrat"/>
          <w:lang w:eastAsia="en-US"/>
        </w:rPr>
        <w:t>A</w:t>
      </w:r>
      <w:r w:rsidR="00CC166A" w:rsidRPr="00987D37">
        <w:rPr>
          <w:rFonts w:eastAsia="Montserrat"/>
          <w:lang w:eastAsia="en-US"/>
        </w:rPr>
        <w:t xml:space="preserve"> cap of 90</w:t>
      </w:r>
      <w:r w:rsidR="00CC166A" w:rsidRPr="00987D37">
        <w:t xml:space="preserve"> per cent</w:t>
      </w:r>
      <w:r w:rsidR="00CC166A" w:rsidRPr="00987D37">
        <w:rPr>
          <w:rFonts w:eastAsia="Montserrat"/>
          <w:lang w:eastAsia="en-US"/>
        </w:rPr>
        <w:t xml:space="preserve"> or 58</w:t>
      </w:r>
      <w:r w:rsidR="00CC166A" w:rsidRPr="00987D37">
        <w:t xml:space="preserve"> per cent</w:t>
      </w:r>
      <w:r w:rsidR="00CC166A" w:rsidRPr="00987D37">
        <w:rPr>
          <w:rFonts w:eastAsia="Montserrat"/>
          <w:lang w:eastAsia="en-US"/>
        </w:rPr>
        <w:t xml:space="preserve"> shall be applied to </w:t>
      </w:r>
      <w:r w:rsidR="0017696B" w:rsidRPr="00987D37">
        <w:rPr>
          <w:rFonts w:eastAsia="Montserrat"/>
          <w:lang w:eastAsia="en-US"/>
        </w:rPr>
        <w:t xml:space="preserve">the </w:t>
      </w:r>
      <w:r w:rsidR="00CC166A" w:rsidRPr="00987D37">
        <w:rPr>
          <w:rFonts w:eastAsia="Montserrat"/>
          <w:lang w:eastAsia="en-US"/>
        </w:rPr>
        <w:t>results, even if survey results indicate a higher usage rate</w:t>
      </w:r>
      <w:r w:rsidR="0017696B" w:rsidRPr="00987D37">
        <w:rPr>
          <w:rFonts w:eastAsia="Montserrat"/>
          <w:lang w:eastAsia="en-US"/>
        </w:rPr>
        <w:t>.</w:t>
      </w:r>
    </w:p>
    <w:p w14:paraId="027CC6EC" w14:textId="5684ECC7" w:rsidR="006357C1" w:rsidRPr="009F63DF" w:rsidRDefault="006357C1" w:rsidP="00E03E61">
      <w:pPr>
        <w:pStyle w:val="SDMPara"/>
      </w:pPr>
      <w:r w:rsidRPr="00987D37">
        <w:rPr>
          <w:rFonts w:eastAsia="Montserrat"/>
          <w:lang w:eastAsia="en-US"/>
        </w:rPr>
        <w:t xml:space="preserve">The applicable cap depends on </w:t>
      </w:r>
      <w:r w:rsidR="004B093C" w:rsidRPr="00987D37">
        <w:rPr>
          <w:rFonts w:eastAsia="Montserrat"/>
          <w:lang w:eastAsia="en-US"/>
        </w:rPr>
        <w:t>the</w:t>
      </w:r>
      <w:r w:rsidRPr="00987D37">
        <w:rPr>
          <w:rFonts w:eastAsia="Montserrat"/>
          <w:lang w:eastAsia="en-US"/>
        </w:rPr>
        <w:t xml:space="preserve"> </w:t>
      </w:r>
      <w:r w:rsidRPr="00987D37">
        <w:rPr>
          <w:rFonts w:eastAsia="Montserrat"/>
          <w:b/>
          <w:bCs/>
          <w:lang w:eastAsia="en-US"/>
        </w:rPr>
        <w:t>customer support actions</w:t>
      </w:r>
      <w:r w:rsidRPr="009F63DF">
        <w:rPr>
          <w:rFonts w:eastAsia="Montserrat"/>
          <w:lang w:eastAsia="en-US"/>
        </w:rPr>
        <w:t xml:space="preserve"> </w:t>
      </w:r>
      <w:r w:rsidR="004B093C" w:rsidRPr="009F63DF">
        <w:rPr>
          <w:rFonts w:eastAsia="Montserrat"/>
          <w:lang w:eastAsia="en-US"/>
        </w:rPr>
        <w:t xml:space="preserve">taken by the activity </w:t>
      </w:r>
      <w:r w:rsidRPr="009F63DF">
        <w:rPr>
          <w:rFonts w:eastAsia="Montserrat"/>
          <w:lang w:eastAsia="en-US"/>
        </w:rPr>
        <w:t>as described below.</w:t>
      </w:r>
    </w:p>
    <w:p w14:paraId="07E80236" w14:textId="448FA368" w:rsidR="001C2394" w:rsidRPr="00987D37" w:rsidRDefault="001C2394" w:rsidP="00655F47">
      <w:pPr>
        <w:pStyle w:val="SDMPara"/>
        <w:keepNext/>
      </w:pPr>
      <w:r w:rsidRPr="009F63DF">
        <w:rPr>
          <w:rFonts w:eastAsia="Montserrat"/>
          <w:b/>
          <w:lang w:eastAsia="en-US"/>
        </w:rPr>
        <w:t>Customer support actions:</w:t>
      </w:r>
      <w:r w:rsidRPr="009F63DF">
        <w:rPr>
          <w:rFonts w:eastAsia="Montserrat"/>
          <w:bCs/>
          <w:lang w:eastAsia="en-US"/>
        </w:rPr>
        <w:t xml:space="preserve"> </w:t>
      </w:r>
      <w:r w:rsidRPr="009F63DF">
        <w:rPr>
          <w:rFonts w:eastAsia="Montserrat"/>
          <w:lang w:eastAsia="en-US"/>
        </w:rPr>
        <w:t xml:space="preserve">To </w:t>
      </w:r>
      <w:r w:rsidRPr="00987D37">
        <w:rPr>
          <w:rFonts w:eastAsia="Montserrat"/>
          <w:lang w:eastAsia="en-US"/>
        </w:rPr>
        <w:t>be eligible to claim up to 90</w:t>
      </w:r>
      <w:r w:rsidR="00E14AC2" w:rsidRPr="00987D37">
        <w:t xml:space="preserve"> per cent</w:t>
      </w:r>
      <w:r w:rsidRPr="00987D37">
        <w:rPr>
          <w:rFonts w:eastAsia="Montserrat"/>
          <w:lang w:eastAsia="en-US"/>
        </w:rPr>
        <w:t xml:space="preserve"> of </w:t>
      </w:r>
      <w:r w:rsidR="00415B44" w:rsidRPr="00987D37">
        <w:rPr>
          <w:rFonts w:eastAsia="Montserrat"/>
          <w:lang w:eastAsia="en-US"/>
        </w:rPr>
        <w:t>the number of total days (</w:t>
      </w:r>
      <m:oMath>
        <m:sSub>
          <m:sSubPr>
            <m:ctrlPr>
              <w:rPr>
                <w:rFonts w:ascii="Cambria Math" w:eastAsia="Cambria Math" w:hAnsi="Cambria Math"/>
                <w:sz w:val="20"/>
              </w:rPr>
            </m:ctrlPr>
          </m:sSubPr>
          <m:e>
            <m:r>
              <w:rPr>
                <w:rFonts w:ascii="Cambria Math" w:eastAsia="Cambria Math" w:hAnsi="Cambria Math"/>
                <w:sz w:val="20"/>
              </w:rPr>
              <m:t>Days</m:t>
            </m:r>
          </m:e>
          <m:sub>
            <m:r>
              <w:rPr>
                <w:rFonts w:ascii="Cambria Math" w:eastAsia="Cambria Math" w:hAnsi="Cambria Math"/>
                <w:sz w:val="20"/>
              </w:rPr>
              <m:t>y,h</m:t>
            </m:r>
          </m:sub>
        </m:sSub>
      </m:oMath>
      <w:r w:rsidR="00415B44" w:rsidRPr="00987D37">
        <w:rPr>
          <w:rFonts w:eastAsia="Montserrat"/>
          <w:lang w:eastAsia="en-US"/>
        </w:rPr>
        <w:t>)</w:t>
      </w:r>
      <w:r w:rsidRPr="00987D37">
        <w:rPr>
          <w:rFonts w:eastAsia="Montserrat"/>
          <w:lang w:eastAsia="en-US"/>
        </w:rPr>
        <w:t xml:space="preserve">, </w:t>
      </w:r>
      <w:r w:rsidR="00B6351D" w:rsidRPr="00987D37">
        <w:rPr>
          <w:rFonts w:eastAsia="Montserrat"/>
          <w:lang w:eastAsia="en-US"/>
        </w:rPr>
        <w:t xml:space="preserve">activity participants </w:t>
      </w:r>
      <w:r w:rsidRPr="00987D37">
        <w:rPr>
          <w:rFonts w:eastAsia="Montserrat"/>
          <w:lang w:eastAsia="en-US"/>
        </w:rPr>
        <w:t xml:space="preserve">not estimating </w:t>
      </w:r>
      <m:oMath>
        <m:sSub>
          <m:sSubPr>
            <m:ctrlPr>
              <w:rPr>
                <w:rFonts w:ascii="Cambria Math" w:eastAsia="Cambria Math" w:hAnsi="Cambria Math"/>
                <w:sz w:val="20"/>
              </w:rPr>
            </m:ctrlPr>
          </m:sSubPr>
          <m:e>
            <m:r>
              <w:rPr>
                <w:rFonts w:ascii="Cambria Math" w:eastAsia="Roboto" w:hAnsi="Cambria Math"/>
                <w:color w:val="040C28"/>
                <w:sz w:val="20"/>
              </w:rPr>
              <m:t>Ψ</m:t>
            </m:r>
          </m:e>
          <m:sub>
            <m:r>
              <w:rPr>
                <w:rFonts w:ascii="Cambria Math" w:eastAsia="Cambria Math" w:hAnsi="Cambria Math"/>
                <w:sz w:val="20"/>
              </w:rPr>
              <m:t>y</m:t>
            </m:r>
          </m:sub>
        </m:sSub>
      </m:oMath>
      <w:r w:rsidR="00A34660" w:rsidRPr="00987D37">
        <w:rPr>
          <w:rFonts w:eastAsia="Montserrat"/>
          <w:sz w:val="20"/>
        </w:rPr>
        <w:t xml:space="preserve"> </w:t>
      </w:r>
      <w:r w:rsidRPr="00987D37">
        <w:rPr>
          <w:rFonts w:eastAsia="Montserrat"/>
          <w:lang w:eastAsia="en-US"/>
        </w:rPr>
        <w:t xml:space="preserve">with SUMs </w:t>
      </w:r>
      <w:r w:rsidR="0087003F" w:rsidRPr="00987D37">
        <w:rPr>
          <w:rFonts w:eastAsia="Montserrat"/>
          <w:lang w:eastAsia="en-US"/>
        </w:rPr>
        <w:t xml:space="preserve">shall </w:t>
      </w:r>
      <w:r w:rsidRPr="00987D37">
        <w:rPr>
          <w:rFonts w:eastAsia="Montserrat"/>
          <w:lang w:eastAsia="en-US"/>
        </w:rPr>
        <w:t xml:space="preserve">take the following customer support actions </w:t>
      </w:r>
      <w:r w:rsidR="008C5DE4" w:rsidRPr="00987D37">
        <w:rPr>
          <w:rFonts w:eastAsia="Montserrat"/>
          <w:lang w:eastAsia="en-US"/>
        </w:rPr>
        <w:t xml:space="preserve">in each monitoring period </w:t>
      </w:r>
      <w:r w:rsidRPr="00987D37">
        <w:rPr>
          <w:rFonts w:eastAsia="Montserrat"/>
          <w:lang w:eastAsia="en-US"/>
        </w:rPr>
        <w:t xml:space="preserve">and provide details of how each condition has </w:t>
      </w:r>
      <w:r w:rsidR="00415B44" w:rsidRPr="00987D37">
        <w:rPr>
          <w:rFonts w:eastAsia="Montserrat"/>
          <w:lang w:eastAsia="en-US"/>
        </w:rPr>
        <w:t>been</w:t>
      </w:r>
      <w:r w:rsidRPr="00987D37">
        <w:rPr>
          <w:rFonts w:eastAsia="Montserrat"/>
          <w:lang w:eastAsia="en-US"/>
        </w:rPr>
        <w:t xml:space="preserve"> met </w:t>
      </w:r>
      <w:r w:rsidR="0087003F" w:rsidRPr="00987D37">
        <w:rPr>
          <w:rFonts w:eastAsia="Montserrat"/>
          <w:lang w:eastAsia="en-US"/>
        </w:rPr>
        <w:t xml:space="preserve">in </w:t>
      </w:r>
      <w:r w:rsidRPr="00987D37">
        <w:rPr>
          <w:rFonts w:eastAsia="Montserrat"/>
          <w:lang w:eastAsia="en-US"/>
        </w:rPr>
        <w:t xml:space="preserve">the </w:t>
      </w:r>
      <w:r w:rsidR="00C85BA9" w:rsidRPr="00987D37">
        <w:rPr>
          <w:rFonts w:eastAsia="Montserrat"/>
          <w:lang w:eastAsia="en-US"/>
        </w:rPr>
        <w:t xml:space="preserve">Activity </w:t>
      </w:r>
      <w:r w:rsidR="003842B8" w:rsidRPr="00987D37">
        <w:rPr>
          <w:rFonts w:eastAsia="Montserrat"/>
          <w:lang w:eastAsia="en-US"/>
        </w:rPr>
        <w:t>Information Cover Sheet</w:t>
      </w:r>
      <w:r w:rsidRPr="00987D37">
        <w:rPr>
          <w:rFonts w:eastAsia="Montserrat"/>
          <w:lang w:eastAsia="en-US"/>
        </w:rPr>
        <w:t xml:space="preserve"> </w:t>
      </w:r>
      <w:r w:rsidR="003842B8" w:rsidRPr="00987D37">
        <w:rPr>
          <w:rFonts w:eastAsia="Montserrat"/>
          <w:lang w:eastAsia="en-US"/>
        </w:rPr>
        <w:t>(</w:t>
      </w:r>
      <w:r w:rsidR="00EA7CED" w:rsidRPr="00987D37">
        <w:rPr>
          <w:rFonts w:eastAsia="Montserrat"/>
          <w:lang w:eastAsia="en-US"/>
        </w:rPr>
        <w:t xml:space="preserve">in </w:t>
      </w:r>
      <w:r w:rsidR="003842B8" w:rsidRPr="00987D37">
        <w:rPr>
          <w:rFonts w:eastAsia="Montserrat"/>
          <w:lang w:eastAsia="en-US"/>
        </w:rPr>
        <w:fldChar w:fldCharType="begin"/>
      </w:r>
      <w:r w:rsidR="003842B8" w:rsidRPr="00987D37">
        <w:rPr>
          <w:rFonts w:eastAsia="Montserrat"/>
          <w:lang w:eastAsia="en-US"/>
        </w:rPr>
        <w:instrText xml:space="preserve"> REF _Ref227238512 \r \h </w:instrText>
      </w:r>
      <w:r w:rsidR="00987D37">
        <w:rPr>
          <w:rFonts w:eastAsia="Montserrat"/>
          <w:lang w:eastAsia="en-US"/>
        </w:rPr>
        <w:instrText xml:space="preserve"> \* MERGEFORMAT </w:instrText>
      </w:r>
      <w:r w:rsidR="003842B8" w:rsidRPr="00987D37">
        <w:rPr>
          <w:rFonts w:eastAsia="Montserrat"/>
          <w:lang w:eastAsia="en-US"/>
        </w:rPr>
      </w:r>
      <w:r w:rsidR="003842B8" w:rsidRPr="00987D37">
        <w:rPr>
          <w:rFonts w:eastAsia="Montserrat"/>
          <w:lang w:eastAsia="en-US"/>
        </w:rPr>
        <w:fldChar w:fldCharType="separate"/>
      </w:r>
      <w:r w:rsidR="00831DAE">
        <w:rPr>
          <w:rFonts w:eastAsia="Montserrat"/>
          <w:cs/>
          <w:lang w:eastAsia="en-US"/>
        </w:rPr>
        <w:t>‎</w:t>
      </w:r>
      <w:r w:rsidR="00831DAE">
        <w:rPr>
          <w:rFonts w:eastAsia="Montserrat"/>
          <w:lang w:eastAsia="en-US"/>
        </w:rPr>
        <w:t>Appendix 1</w:t>
      </w:r>
      <w:r w:rsidR="003842B8" w:rsidRPr="00987D37">
        <w:rPr>
          <w:rFonts w:eastAsia="Montserrat"/>
          <w:lang w:eastAsia="en-US"/>
        </w:rPr>
        <w:fldChar w:fldCharType="end"/>
      </w:r>
      <w:r w:rsidR="003842B8" w:rsidRPr="00987D37">
        <w:rPr>
          <w:rFonts w:eastAsia="Montserrat"/>
          <w:lang w:eastAsia="en-US"/>
        </w:rPr>
        <w:t>)</w:t>
      </w:r>
      <w:r w:rsidR="00EA7CED" w:rsidRPr="00987D37">
        <w:rPr>
          <w:rFonts w:eastAsia="Montserrat"/>
          <w:lang w:eastAsia="en-US"/>
        </w:rPr>
        <w:t xml:space="preserve"> </w:t>
      </w:r>
      <w:r w:rsidR="00327F7F" w:rsidRPr="00987D37">
        <w:rPr>
          <w:rFonts w:eastAsia="Montserrat"/>
          <w:lang w:eastAsia="en-US"/>
        </w:rPr>
        <w:t>in the monitoring report for each monitoring period of the activity</w:t>
      </w:r>
      <w:r w:rsidRPr="00987D37">
        <w:rPr>
          <w:rFonts w:eastAsia="Montserrat"/>
          <w:lang w:eastAsia="en-US"/>
        </w:rPr>
        <w:t>:</w:t>
      </w:r>
      <w:bookmarkEnd w:id="379"/>
    </w:p>
    <w:p w14:paraId="04B16EE5" w14:textId="528F4A47" w:rsidR="001C2394" w:rsidRPr="00987D37" w:rsidRDefault="001C2394" w:rsidP="009311F1">
      <w:pPr>
        <w:pStyle w:val="SDMSubPara1"/>
      </w:pPr>
      <w:r w:rsidRPr="00987D37">
        <w:t>Provide evidence of</w:t>
      </w:r>
      <w:r w:rsidR="00DF3633" w:rsidRPr="00987D37">
        <w:t xml:space="preserve"> </w:t>
      </w:r>
      <w:r w:rsidRPr="00987D37">
        <w:t>household participant support activities</w:t>
      </w:r>
      <w:r w:rsidR="00027377" w:rsidRPr="00987D37">
        <w:t xml:space="preserve"> that</w:t>
      </w:r>
      <w:r w:rsidRPr="00987D37">
        <w:t xml:space="preserve"> </w:t>
      </w:r>
      <w:r w:rsidR="001172C0" w:rsidRPr="00987D37">
        <w:t>shall</w:t>
      </w:r>
      <w:r w:rsidRPr="00987D37">
        <w:t xml:space="preserve"> include</w:t>
      </w:r>
      <w:r w:rsidRPr="00987D37" w:rsidDel="002D5C33">
        <w:t xml:space="preserve"> </w:t>
      </w:r>
      <w:r w:rsidRPr="00987D37">
        <w:t xml:space="preserve">providing materials (print, in-person, </w:t>
      </w:r>
      <w:r w:rsidR="001172C0" w:rsidRPr="00987D37">
        <w:t>and</w:t>
      </w:r>
      <w:r w:rsidRPr="00987D37">
        <w:t xml:space="preserve"> video) on how to operate the cookstove to prepare common local foods, how to troubleshoot common operational issues, and how to make minor repairs (including how to access any necessary parts). All household participant communications and materials shall be provided in local language(s) commonly used in the </w:t>
      </w:r>
      <w:r w:rsidR="00971D4F" w:rsidRPr="00987D37">
        <w:t>location of the implementation of the Article 6.4 activity</w:t>
      </w:r>
      <w:r w:rsidR="008A133E" w:rsidRPr="00987D37">
        <w:t>;</w:t>
      </w:r>
      <w:r w:rsidR="001172C0" w:rsidRPr="00987D37">
        <w:t xml:space="preserve"> and</w:t>
      </w:r>
    </w:p>
    <w:p w14:paraId="25F80C0D" w14:textId="0B16B3D9" w:rsidR="001C2394" w:rsidRPr="00987D37" w:rsidRDefault="001C2394" w:rsidP="009311F1">
      <w:pPr>
        <w:pStyle w:val="SDMSubPara1"/>
      </w:pPr>
      <w:r w:rsidRPr="00987D37">
        <w:rPr>
          <w:lang w:eastAsia="en-US"/>
        </w:rPr>
        <w:t xml:space="preserve">Household participants </w:t>
      </w:r>
      <w:r w:rsidR="001172C0" w:rsidRPr="00987D37">
        <w:rPr>
          <w:lang w:eastAsia="en-US"/>
        </w:rPr>
        <w:t xml:space="preserve">shall </w:t>
      </w:r>
      <w:r w:rsidRPr="00987D37">
        <w:rPr>
          <w:lang w:eastAsia="en-US"/>
        </w:rPr>
        <w:t xml:space="preserve">be able to contact the </w:t>
      </w:r>
      <w:r w:rsidR="00BF6F32" w:rsidRPr="00987D37">
        <w:rPr>
          <w:lang w:eastAsia="en-US"/>
        </w:rPr>
        <w:t xml:space="preserve">activity </w:t>
      </w:r>
      <w:r w:rsidR="003B0DF6" w:rsidRPr="00987D37">
        <w:rPr>
          <w:lang w:eastAsia="en-US"/>
        </w:rPr>
        <w:t>participant</w:t>
      </w:r>
      <w:r w:rsidR="00BF6F32" w:rsidRPr="00987D37">
        <w:rPr>
          <w:lang w:eastAsia="en-US"/>
        </w:rPr>
        <w:t xml:space="preserve"> </w:t>
      </w:r>
      <w:r w:rsidR="001172C0" w:rsidRPr="00987D37">
        <w:rPr>
          <w:lang w:eastAsia="en-US"/>
        </w:rPr>
        <w:t>or its representative</w:t>
      </w:r>
      <w:r w:rsidR="00BF6F32" w:rsidRPr="00987D37">
        <w:rPr>
          <w:lang w:eastAsia="en-US"/>
        </w:rPr>
        <w:t xml:space="preserve"> </w:t>
      </w:r>
      <w:r w:rsidRPr="00987D37">
        <w:rPr>
          <w:lang w:eastAsia="en-US"/>
        </w:rPr>
        <w:t xml:space="preserve">to access </w:t>
      </w:r>
      <w:r w:rsidR="001172C0" w:rsidRPr="00987D37">
        <w:rPr>
          <w:lang w:eastAsia="en-US"/>
        </w:rPr>
        <w:t>continuous, ongoing</w:t>
      </w:r>
      <w:r w:rsidRPr="00987D37">
        <w:rPr>
          <w:lang w:eastAsia="en-US"/>
        </w:rPr>
        <w:t xml:space="preserve"> support (e.g., </w:t>
      </w:r>
      <w:r w:rsidRPr="00987D37">
        <w:t>maintenance</w:t>
      </w:r>
      <w:r w:rsidRPr="00987D37">
        <w:rPr>
          <w:lang w:eastAsia="en-US"/>
        </w:rPr>
        <w:t xml:space="preserve"> and repair services) through a commonly used, toll-free communications channel</w:t>
      </w:r>
      <w:r w:rsidR="001172C0" w:rsidRPr="00987D37">
        <w:rPr>
          <w:lang w:eastAsia="en-US"/>
        </w:rPr>
        <w:t xml:space="preserve"> that is known to household participants</w:t>
      </w:r>
      <w:r w:rsidR="00CB37B4" w:rsidRPr="00987D37">
        <w:rPr>
          <w:lang w:eastAsia="en-US"/>
        </w:rPr>
        <w:t>,</w:t>
      </w:r>
      <w:r w:rsidR="00470213" w:rsidRPr="00987D37">
        <w:rPr>
          <w:lang w:eastAsia="en-US"/>
        </w:rPr>
        <w:t xml:space="preserve"> and contact</w:t>
      </w:r>
      <w:r w:rsidR="001B27FC" w:rsidRPr="00987D37">
        <w:rPr>
          <w:lang w:eastAsia="en-US"/>
        </w:rPr>
        <w:t xml:space="preserve"> by household participants shall have occurred during the monitoring period</w:t>
      </w:r>
      <w:r w:rsidRPr="00987D37">
        <w:rPr>
          <w:lang w:eastAsia="en-US"/>
        </w:rPr>
        <w:t>.</w:t>
      </w:r>
      <w:r w:rsidR="00132316" w:rsidRPr="00987D37">
        <w:rPr>
          <w:lang w:eastAsia="en-US"/>
        </w:rPr>
        <w:t xml:space="preserve"> If no contact from household participants can be demonstrated, then </w:t>
      </w:r>
      <w:r w:rsidR="00132316" w:rsidRPr="00987D37">
        <w:rPr>
          <w:rFonts w:eastAsia="Montserrat"/>
        </w:rPr>
        <w:t>assume this customer support action has not been undertaken</w:t>
      </w:r>
      <w:r w:rsidR="00132316" w:rsidRPr="00987D37">
        <w:rPr>
          <w:lang w:eastAsia="en-US"/>
        </w:rPr>
        <w:t>.</w:t>
      </w:r>
    </w:p>
    <w:p w14:paraId="37F325CA" w14:textId="2493D01A" w:rsidR="001C2394" w:rsidRPr="00987D37" w:rsidRDefault="00B6351D" w:rsidP="00E03E61">
      <w:pPr>
        <w:pStyle w:val="SDMPara"/>
      </w:pPr>
      <w:r w:rsidRPr="009F63DF">
        <w:rPr>
          <w:rFonts w:eastAsia="Montserrat"/>
        </w:rPr>
        <w:t>Activity</w:t>
      </w:r>
      <w:r w:rsidR="001C2394" w:rsidRPr="009F63DF">
        <w:rPr>
          <w:rFonts w:eastAsia="Montserrat"/>
        </w:rPr>
        <w:t xml:space="preserve"> </w:t>
      </w:r>
      <w:r w:rsidR="003B0DF6" w:rsidRPr="009F63DF">
        <w:rPr>
          <w:rFonts w:eastAsia="Montserrat"/>
        </w:rPr>
        <w:t>participant</w:t>
      </w:r>
      <w:r w:rsidR="00180890" w:rsidRPr="009F63DF">
        <w:rPr>
          <w:rFonts w:eastAsia="Montserrat"/>
        </w:rPr>
        <w:t>s</w:t>
      </w:r>
      <w:r w:rsidR="00264069" w:rsidRPr="009F63DF">
        <w:rPr>
          <w:rFonts w:eastAsia="Montserrat"/>
        </w:rPr>
        <w:t xml:space="preserve"> </w:t>
      </w:r>
      <w:r w:rsidR="001C2394" w:rsidRPr="009F63DF">
        <w:rPr>
          <w:rFonts w:eastAsia="Montserrat"/>
        </w:rPr>
        <w:t xml:space="preserve">who do not </w:t>
      </w:r>
      <w:r w:rsidR="001B7791" w:rsidRPr="009F63DF">
        <w:rPr>
          <w:rFonts w:eastAsia="Montserrat"/>
        </w:rPr>
        <w:t>provide evidence for</w:t>
      </w:r>
      <w:r w:rsidR="001172C0" w:rsidRPr="009F63DF">
        <w:rPr>
          <w:rFonts w:eastAsia="Montserrat"/>
        </w:rPr>
        <w:t xml:space="preserve"> </w:t>
      </w:r>
      <w:r w:rsidR="008912FF" w:rsidRPr="009F63DF">
        <w:rPr>
          <w:rFonts w:eastAsia="Montserrat"/>
        </w:rPr>
        <w:t>each</w:t>
      </w:r>
      <w:r w:rsidR="001172C0" w:rsidRPr="009F63DF">
        <w:rPr>
          <w:rFonts w:eastAsia="Montserrat"/>
        </w:rPr>
        <w:t xml:space="preserve"> </w:t>
      </w:r>
      <w:r w:rsidR="001C2394" w:rsidRPr="009F63DF">
        <w:rPr>
          <w:rFonts w:eastAsia="Montserrat"/>
        </w:rPr>
        <w:t xml:space="preserve">of these customer support actions may claim up to </w:t>
      </w:r>
      <w:r w:rsidR="001C2394" w:rsidRPr="00987D37">
        <w:rPr>
          <w:rFonts w:eastAsia="Montserrat"/>
        </w:rPr>
        <w:t xml:space="preserve">a cap of </w:t>
      </w:r>
      <w:r w:rsidR="001A509F" w:rsidRPr="00987D37">
        <w:rPr>
          <w:rFonts w:eastAsia="Montserrat"/>
        </w:rPr>
        <w:t>58</w:t>
      </w:r>
      <w:r w:rsidR="001A509F" w:rsidRPr="00987D37">
        <w:t xml:space="preserve"> </w:t>
      </w:r>
      <w:r w:rsidR="00E14AC2" w:rsidRPr="00987D37">
        <w:t>per cent</w:t>
      </w:r>
      <w:r w:rsidR="00C270DB" w:rsidRPr="00987D37">
        <w:rPr>
          <w:rFonts w:eastAsia="Montserrat"/>
        </w:rPr>
        <w:t xml:space="preserve"> </w:t>
      </w:r>
      <w:r w:rsidR="00E54414" w:rsidRPr="00987D37">
        <w:rPr>
          <w:rFonts w:eastAsia="Montserrat"/>
        </w:rPr>
        <w:t xml:space="preserve">as </w:t>
      </w:r>
      <m:oMath>
        <m:sSub>
          <m:sSubPr>
            <m:ctrlPr>
              <w:rPr>
                <w:rFonts w:ascii="Cambria Math" w:eastAsia="Cambria Math" w:hAnsi="Cambria Math"/>
                <w:sz w:val="20"/>
              </w:rPr>
            </m:ctrlPr>
          </m:sSubPr>
          <m:e>
            <m:r>
              <w:rPr>
                <w:rFonts w:ascii="Cambria Math" w:eastAsia="Roboto" w:hAnsi="Cambria Math"/>
                <w:color w:val="040C28"/>
                <w:sz w:val="20"/>
              </w:rPr>
              <m:t>Ψ</m:t>
            </m:r>
          </m:e>
          <m:sub>
            <m:r>
              <w:rPr>
                <w:rFonts w:ascii="Cambria Math" w:eastAsia="Cambria Math" w:hAnsi="Cambria Math"/>
                <w:sz w:val="20"/>
              </w:rPr>
              <m:t>y</m:t>
            </m:r>
          </m:sub>
        </m:sSub>
      </m:oMath>
      <w:r w:rsidR="001A509F" w:rsidRPr="00987D37">
        <w:rPr>
          <w:rFonts w:eastAsia="Montserrat"/>
        </w:rPr>
        <w:t xml:space="preserve"> for </w:t>
      </w:r>
      <w:r w:rsidR="009D6150" w:rsidRPr="00987D37">
        <w:rPr>
          <w:rFonts w:eastAsia="Montserrat"/>
        </w:rPr>
        <w:t>the corresponding monitoring period.</w:t>
      </w:r>
      <w:r w:rsidR="001A509F" w:rsidRPr="00987D37">
        <w:rPr>
          <w:rFonts w:eastAsia="Montserrat"/>
        </w:rPr>
        <w:t xml:space="preserve"> </w:t>
      </w:r>
      <w:r w:rsidR="001C2394" w:rsidRPr="00987D37">
        <w:rPr>
          <w:rFonts w:eastAsia="Montserrat"/>
        </w:rPr>
        <w:t xml:space="preserve">These caps </w:t>
      </w:r>
      <w:r w:rsidR="00857B81" w:rsidRPr="00987D37">
        <w:rPr>
          <w:rFonts w:eastAsia="Montserrat"/>
        </w:rPr>
        <w:t xml:space="preserve">do not apply </w:t>
      </w:r>
      <w:r w:rsidR="001C2394" w:rsidRPr="00987D37">
        <w:rPr>
          <w:rFonts w:eastAsia="Montserrat"/>
        </w:rPr>
        <w:t xml:space="preserve">where </w:t>
      </w:r>
      <m:oMath>
        <m:sSub>
          <m:sSubPr>
            <m:ctrlPr>
              <w:rPr>
                <w:rFonts w:ascii="Cambria Math" w:eastAsia="Cambria Math" w:hAnsi="Cambria Math"/>
                <w:sz w:val="20"/>
              </w:rPr>
            </m:ctrlPr>
          </m:sSubPr>
          <m:e>
            <m:r>
              <w:rPr>
                <w:rFonts w:ascii="Cambria Math" w:eastAsia="Roboto" w:hAnsi="Cambria Math"/>
                <w:color w:val="040C28"/>
                <w:sz w:val="20"/>
              </w:rPr>
              <m:t>Ψ</m:t>
            </m:r>
          </m:e>
          <m:sub>
            <m:r>
              <w:rPr>
                <w:rFonts w:ascii="Cambria Math" w:eastAsia="Cambria Math" w:hAnsi="Cambria Math"/>
                <w:sz w:val="20"/>
              </w:rPr>
              <m:t>y</m:t>
            </m:r>
          </m:sub>
        </m:sSub>
      </m:oMath>
      <w:r w:rsidR="00E54414" w:rsidRPr="00987D37">
        <w:rPr>
          <w:rFonts w:ascii="Cambria Math" w:eastAsia="Cambria Math" w:hAnsi="Cambria Math"/>
          <w:sz w:val="20"/>
        </w:rPr>
        <w:t xml:space="preserve"> </w:t>
      </w:r>
      <w:r w:rsidR="00E54414" w:rsidRPr="00987D37">
        <w:rPr>
          <w:rFonts w:eastAsia="Montserrat"/>
        </w:rPr>
        <w:t>is</w:t>
      </w:r>
      <w:r w:rsidR="001C2394" w:rsidRPr="00987D37">
        <w:rPr>
          <w:rFonts w:eastAsia="Montserrat"/>
        </w:rPr>
        <w:t xml:space="preserve"> estimated with SUMs.</w:t>
      </w:r>
    </w:p>
    <w:p w14:paraId="7187A466" w14:textId="6EFBC424" w:rsidR="008D4E58" w:rsidRPr="00987D37" w:rsidRDefault="00027F27" w:rsidP="00B07AF7">
      <w:pPr>
        <w:pStyle w:val="SDMHead4"/>
        <w:rPr>
          <w:rFonts w:eastAsia="Montserrat"/>
        </w:rPr>
      </w:pPr>
      <w:r w:rsidRPr="00987D37">
        <w:rPr>
          <w:rFonts w:eastAsia="Montserrat"/>
        </w:rPr>
        <w:t>Option 2</w:t>
      </w:r>
      <w:r w:rsidR="00F174D8" w:rsidRPr="00987D37">
        <w:rPr>
          <w:rFonts w:eastAsia="Montserrat"/>
        </w:rPr>
        <w:t xml:space="preserve"> (Mandatory from 01</w:t>
      </w:r>
      <w:r w:rsidR="001172C0" w:rsidRPr="00987D37">
        <w:rPr>
          <w:rFonts w:eastAsia="Montserrat"/>
        </w:rPr>
        <w:t xml:space="preserve"> </w:t>
      </w:r>
      <w:r w:rsidR="009D0054" w:rsidRPr="00987D37">
        <w:rPr>
          <w:rFonts w:eastAsia="Montserrat"/>
        </w:rPr>
        <w:t>January</w:t>
      </w:r>
      <w:r w:rsidR="001172C0" w:rsidRPr="00987D37">
        <w:rPr>
          <w:rFonts w:eastAsia="Montserrat"/>
        </w:rPr>
        <w:t xml:space="preserve"> </w:t>
      </w:r>
      <w:r w:rsidR="00132316" w:rsidRPr="00987D37">
        <w:rPr>
          <w:rFonts w:eastAsia="Montserrat"/>
        </w:rPr>
        <w:t>2029</w:t>
      </w:r>
      <w:r w:rsidR="000C36A2" w:rsidRPr="00987D37">
        <w:rPr>
          <w:rFonts w:eastAsia="Montserrat"/>
        </w:rPr>
        <w:t>)</w:t>
      </w:r>
    </w:p>
    <w:p w14:paraId="2EC49A8E" w14:textId="7752A991" w:rsidR="00027F27" w:rsidRPr="00987D37" w:rsidRDefault="00027F27" w:rsidP="00E03E61">
      <w:pPr>
        <w:pStyle w:val="SDMPara"/>
      </w:pPr>
      <w:r w:rsidRPr="00987D37">
        <w:rPr>
          <w:rFonts w:eastAsia="Montserrat"/>
          <w:lang w:eastAsia="en-US"/>
        </w:rPr>
        <w:t xml:space="preserve">The parameter representing the </w:t>
      </w:r>
      <w:r w:rsidR="00F04DE3" w:rsidRPr="00987D37">
        <w:rPr>
          <w:rFonts w:eastAsia="Montserrat"/>
          <w:lang w:eastAsia="en-US"/>
        </w:rPr>
        <w:t>percentage</w:t>
      </w:r>
      <w:r w:rsidRPr="00987D37">
        <w:rPr>
          <w:rFonts w:eastAsia="Montserrat"/>
          <w:lang w:eastAsia="en-US"/>
        </w:rPr>
        <w:t xml:space="preserve"> of </w:t>
      </w:r>
      <w:r w:rsidR="002077C2" w:rsidRPr="00987D37">
        <w:rPr>
          <w:rFonts w:eastAsia="Montserrat"/>
          <w:lang w:eastAsia="en-US"/>
        </w:rPr>
        <w:t>activity</w:t>
      </w:r>
      <w:r w:rsidRPr="00987D37">
        <w:rPr>
          <w:rFonts w:eastAsia="Montserrat"/>
          <w:lang w:eastAsia="en-US"/>
        </w:rPr>
        <w:t xml:space="preserve"> households with cookstoves present </w:t>
      </w:r>
      <w:r w:rsidR="00C42B9E" w:rsidRPr="00987D37">
        <w:rPr>
          <w:rFonts w:eastAsia="Montserrat"/>
          <w:lang w:eastAsia="en-US"/>
        </w:rPr>
        <w:t>that qualify as user households</w:t>
      </w:r>
      <w:r w:rsidRPr="00987D37">
        <w:rPr>
          <w:rFonts w:eastAsia="Montserrat"/>
          <w:lang w:eastAsia="en-US"/>
        </w:rPr>
        <w:t xml:space="preserve"> (</w:t>
      </w:r>
      <m:oMath>
        <m:sSub>
          <m:sSubPr>
            <m:ctrlPr>
              <w:rPr>
                <w:rFonts w:ascii="Cambria Math" w:eastAsia="Cambria Math" w:hAnsi="Cambria Math"/>
                <w:sz w:val="20"/>
              </w:rPr>
            </m:ctrlPr>
          </m:sSubPr>
          <m:e>
            <m:r>
              <w:rPr>
                <w:rFonts w:ascii="Cambria Math" w:eastAsia="Roboto" w:hAnsi="Cambria Math"/>
                <w:color w:val="040C28"/>
                <w:sz w:val="20"/>
              </w:rPr>
              <m:t>Ψ</m:t>
            </m:r>
          </m:e>
          <m:sub>
            <m:r>
              <w:rPr>
                <w:rFonts w:ascii="Cambria Math" w:eastAsia="Cambria Math" w:hAnsi="Cambria Math"/>
                <w:sz w:val="20"/>
              </w:rPr>
              <m:t>y</m:t>
            </m:r>
          </m:sub>
        </m:sSub>
      </m:oMath>
      <w:r w:rsidRPr="00987D37">
        <w:rPr>
          <w:rFonts w:eastAsia="Montserrat"/>
          <w:lang w:eastAsia="en-US"/>
        </w:rPr>
        <w:t>),</w:t>
      </w:r>
      <w:r w:rsidR="00383EDD" w:rsidRPr="00987D37">
        <w:rPr>
          <w:rFonts w:eastAsia="Montserrat"/>
          <w:lang w:eastAsia="en-US"/>
        </w:rPr>
        <w:t xml:space="preserve"> shall be estimated </w:t>
      </w:r>
      <w:r w:rsidR="0095776C" w:rsidRPr="00987D37">
        <w:rPr>
          <w:rFonts w:eastAsia="Montserrat"/>
          <w:lang w:eastAsia="en-US"/>
        </w:rPr>
        <w:t xml:space="preserve">through measurements </w:t>
      </w:r>
      <w:r w:rsidR="00383EDD" w:rsidRPr="00987D37">
        <w:rPr>
          <w:rFonts w:eastAsia="Montserrat"/>
          <w:lang w:eastAsia="en-US"/>
        </w:rPr>
        <w:t>using SUMs</w:t>
      </w:r>
      <w:r w:rsidR="005E25E0" w:rsidRPr="00987D37">
        <w:rPr>
          <w:rFonts w:eastAsia="Montserrat"/>
          <w:lang w:eastAsia="en-US"/>
        </w:rPr>
        <w:t>, which may be</w:t>
      </w:r>
      <w:r w:rsidR="0095776C" w:rsidRPr="00987D37">
        <w:rPr>
          <w:rFonts w:eastAsia="Montserrat"/>
          <w:lang w:eastAsia="en-US"/>
        </w:rPr>
        <w:t xml:space="preserve"> on </w:t>
      </w:r>
      <w:r w:rsidR="005E25E0" w:rsidRPr="00987D37">
        <w:rPr>
          <w:rFonts w:eastAsia="Montserrat"/>
          <w:lang w:eastAsia="en-US"/>
        </w:rPr>
        <w:t>a sampling</w:t>
      </w:r>
      <w:r w:rsidR="0095776C" w:rsidRPr="00987D37">
        <w:rPr>
          <w:rFonts w:eastAsia="Montserrat"/>
          <w:lang w:eastAsia="en-US"/>
        </w:rPr>
        <w:t xml:space="preserve"> basis</w:t>
      </w:r>
      <w:r w:rsidR="006E4100" w:rsidRPr="00987D37">
        <w:rPr>
          <w:rFonts w:eastAsia="Montserrat"/>
          <w:lang w:eastAsia="en-US"/>
        </w:rPr>
        <w:t>.</w:t>
      </w:r>
    </w:p>
    <w:p w14:paraId="6D23DA27" w14:textId="74B39B86" w:rsidR="00EA3B4D" w:rsidRPr="00987D37" w:rsidRDefault="00EA3B4D" w:rsidP="00E03E61">
      <w:pPr>
        <w:pStyle w:val="SDMPara"/>
      </w:pPr>
      <w:r w:rsidRPr="00987D37">
        <w:rPr>
          <w:rFonts w:eastAsia="Montserrat"/>
          <w:lang w:eastAsia="en-US"/>
        </w:rPr>
        <w:t>In this case, the parameter representing the percent of activity households with cookstoves present that qualify as user households (</w:t>
      </w:r>
      <m:oMath>
        <m:sSub>
          <m:sSubPr>
            <m:ctrlPr>
              <w:rPr>
                <w:rFonts w:ascii="Cambria Math" w:eastAsia="Cambria Math" w:hAnsi="Cambria Math"/>
                <w:sz w:val="20"/>
              </w:rPr>
            </m:ctrlPr>
          </m:sSubPr>
          <m:e>
            <m:r>
              <w:rPr>
                <w:rFonts w:ascii="Cambria Math" w:eastAsia="Roboto" w:hAnsi="Cambria Math"/>
                <w:color w:val="040C28"/>
                <w:sz w:val="20"/>
              </w:rPr>
              <m:t>Ψ</m:t>
            </m:r>
          </m:e>
          <m:sub>
            <m:r>
              <w:rPr>
                <w:rFonts w:ascii="Cambria Math" w:eastAsia="Cambria Math" w:hAnsi="Cambria Math"/>
                <w:sz w:val="20"/>
              </w:rPr>
              <m:t>y</m:t>
            </m:r>
          </m:sub>
        </m:sSub>
      </m:oMath>
      <w:r w:rsidRPr="00987D37">
        <w:rPr>
          <w:rFonts w:eastAsia="Montserrat"/>
          <w:lang w:eastAsia="en-US"/>
        </w:rPr>
        <w:t>),</w:t>
      </w:r>
      <w:r w:rsidR="00B813B2" w:rsidRPr="00987D37">
        <w:rPr>
          <w:rFonts w:eastAsia="Montserrat"/>
          <w:lang w:eastAsia="en-US"/>
        </w:rPr>
        <w:t xml:space="preserve"> shall be applied as the lower bound</w:t>
      </w:r>
      <w:r w:rsidR="006C0E29" w:rsidRPr="00987D37">
        <w:rPr>
          <w:rFonts w:eastAsia="Montserrat"/>
          <w:lang w:eastAsia="en-US"/>
        </w:rPr>
        <w:t xml:space="preserve"> of the confidence interval</w:t>
      </w:r>
      <w:r w:rsidR="00340BE6" w:rsidRPr="00987D37">
        <w:rPr>
          <w:rFonts w:eastAsia="Montserrat"/>
          <w:lang w:eastAsia="en-US"/>
        </w:rPr>
        <w:t xml:space="preserve"> at the 95/10 reliability level.</w:t>
      </w:r>
    </w:p>
    <w:p w14:paraId="05FD92C6" w14:textId="77777777" w:rsidR="001C2394" w:rsidRPr="00987D37" w:rsidRDefault="001C2394" w:rsidP="00B07AF7">
      <w:pPr>
        <w:pStyle w:val="SDMHead2"/>
      </w:pPr>
      <w:bookmarkStart w:id="380" w:name="_Ref226401328"/>
      <w:bookmarkStart w:id="381" w:name="_Toc226502280"/>
      <w:bookmarkStart w:id="382" w:name="_Toc226576233"/>
      <w:bookmarkStart w:id="383" w:name="_Toc226983083"/>
      <w:bookmarkStart w:id="384" w:name="_Toc227677280"/>
      <w:bookmarkStart w:id="385" w:name="_Toc227694802"/>
      <w:bookmarkStart w:id="386" w:name="_Toc227920916"/>
      <w:bookmarkStart w:id="387" w:name="_Toc227938817"/>
      <w:bookmarkStart w:id="388" w:name="_Toc227948068"/>
      <w:bookmarkStart w:id="389" w:name="_Toc233388625"/>
      <w:bookmarkStart w:id="390" w:name="_Toc233961432"/>
      <w:bookmarkStart w:id="391" w:name="_Toc233970241"/>
      <w:bookmarkStart w:id="392" w:name="_Toc240546571"/>
      <w:bookmarkStart w:id="393" w:name="_Toc240631972"/>
      <w:bookmarkStart w:id="394" w:name="_Toc242471157"/>
      <w:r w:rsidRPr="00987D37">
        <w:t>Application of the downward adjustment</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6BF467FB" w14:textId="77777777" w:rsidR="001C2394" w:rsidRPr="009F63DF" w:rsidRDefault="001C2394" w:rsidP="00E03E61">
      <w:pPr>
        <w:pStyle w:val="SDMPara"/>
      </w:pPr>
      <w:r w:rsidRPr="009F63DF">
        <w:rPr>
          <w:color w:val="000000"/>
          <w:lang w:eastAsia="en-US"/>
        </w:rPr>
        <w:t xml:space="preserve">No downward adjustment is determined in the calendar year of the start date of the first crediting period </w:t>
      </w:r>
      <w:r w:rsidRPr="009F63DF">
        <w:t>since</w:t>
      </w:r>
      <w:r w:rsidRPr="009F63DF">
        <w:rPr>
          <w:color w:val="000000"/>
          <w:lang w:eastAsia="en-US"/>
        </w:rPr>
        <w:t xml:space="preserve"> the </w:t>
      </w:r>
      <w:r w:rsidRPr="009F63DF">
        <w:t>ambitious benchmark approach (paragraph 36(ii) of the RMPs) is applied.</w:t>
      </w:r>
    </w:p>
    <w:p w14:paraId="1A45EEEA" w14:textId="77777777" w:rsidR="001C2394" w:rsidRPr="009F63DF" w:rsidRDefault="001C2394" w:rsidP="00F91295">
      <w:pPr>
        <w:pStyle w:val="SDMHead3"/>
      </w:pPr>
      <w:bookmarkStart w:id="395" w:name="_Toc226502281"/>
      <w:bookmarkStart w:id="396" w:name="_Toc226576234"/>
      <w:bookmarkStart w:id="397" w:name="_Toc226983084"/>
      <w:bookmarkStart w:id="398" w:name="_Toc227677281"/>
      <w:bookmarkStart w:id="399" w:name="_Toc227694803"/>
      <w:bookmarkStart w:id="400" w:name="_Toc227920917"/>
      <w:bookmarkStart w:id="401" w:name="_Toc227938818"/>
      <w:bookmarkStart w:id="402" w:name="_Toc227948069"/>
      <w:bookmarkStart w:id="403" w:name="_Toc233388626"/>
      <w:bookmarkStart w:id="404" w:name="_Ref233724936"/>
      <w:bookmarkStart w:id="405" w:name="_Toc233961433"/>
      <w:bookmarkStart w:id="406" w:name="_Toc233970242"/>
      <w:bookmarkStart w:id="407" w:name="_Toc240546572"/>
      <w:bookmarkStart w:id="408" w:name="_Toc240631973"/>
      <w:bookmarkStart w:id="409" w:name="_Toc242471158"/>
      <w:r w:rsidRPr="009F63DF">
        <w:t>Downward adjusted baseline emissions in subsequent years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0C7649A9" w14:textId="22C0B08E" w:rsidR="00717E8B" w:rsidRPr="009F63DF" w:rsidRDefault="00C47AB5" w:rsidP="00C50026">
      <w:pPr>
        <w:pStyle w:val="SDMPara"/>
      </w:pPr>
      <w:r w:rsidRPr="009F63DF">
        <w:t xml:space="preserve">No downward adjustment applies to subsequent years </w:t>
      </w:r>
      <w:r w:rsidR="00AC1A44" w:rsidRPr="009F63DF">
        <w:t xml:space="preserve">as this methodology is exempted from the application of subsequent downward adjustments (see </w:t>
      </w:r>
      <w:r w:rsidR="00703EE2">
        <w:t>Appendix 7</w:t>
      </w:r>
      <w:r w:rsidR="00AC1A44" w:rsidRPr="009F63DF">
        <w:t>).</w:t>
      </w:r>
    </w:p>
    <w:p w14:paraId="671C53AD" w14:textId="1926E161" w:rsidR="001C2394" w:rsidRPr="009F63DF" w:rsidRDefault="001C2394" w:rsidP="00F91295">
      <w:pPr>
        <w:pStyle w:val="SDMHead2"/>
      </w:pPr>
      <w:bookmarkStart w:id="410" w:name="_Ref226401356"/>
      <w:bookmarkStart w:id="411" w:name="_Toc226502282"/>
      <w:bookmarkStart w:id="412" w:name="_Toc226576235"/>
      <w:bookmarkStart w:id="413" w:name="_Toc226983085"/>
      <w:bookmarkStart w:id="414" w:name="_Toc227677282"/>
      <w:bookmarkStart w:id="415" w:name="_Toc227694804"/>
      <w:bookmarkStart w:id="416" w:name="_Toc227920918"/>
      <w:bookmarkStart w:id="417" w:name="_Toc227938819"/>
      <w:bookmarkStart w:id="418" w:name="_Toc227948070"/>
      <w:bookmarkStart w:id="419" w:name="_Toc233388627"/>
      <w:bookmarkStart w:id="420" w:name="_Ref233742091"/>
      <w:bookmarkStart w:id="421" w:name="_Ref233742823"/>
      <w:bookmarkStart w:id="422" w:name="_Toc233961434"/>
      <w:bookmarkStart w:id="423" w:name="_Toc233970243"/>
      <w:bookmarkStart w:id="424" w:name="_Toc240546573"/>
      <w:bookmarkStart w:id="425" w:name="_Toc240631974"/>
      <w:bookmarkStart w:id="426" w:name="_Toc242471159"/>
      <w:bookmarkStart w:id="427" w:name="S113"/>
      <w:r w:rsidRPr="009F63DF">
        <w:t>Identification of the conservative Business-as-usual scenario</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740804AC" w14:textId="2A980D5B" w:rsidR="006D2932" w:rsidRPr="009F63DF" w:rsidRDefault="00C77079" w:rsidP="00E03E61">
      <w:pPr>
        <w:pStyle w:val="SDMPara"/>
      </w:pPr>
      <w:r w:rsidRPr="009F63DF">
        <w:t xml:space="preserve">The </w:t>
      </w:r>
      <w:r w:rsidR="007C7454" w:rsidRPr="009F63DF">
        <w:t xml:space="preserve">conservative </w:t>
      </w:r>
      <w:r w:rsidRPr="009F63DF">
        <w:t xml:space="preserve">business-as-usual (BAU) scenario is determined at the level of the mechanism methodology, including with regard to the amount of useful energy provided per person per year and the efficiency of baseline cookstoves. </w:t>
      </w:r>
      <w:r w:rsidRPr="009F63DF">
        <w:fldChar w:fldCharType="begin"/>
      </w:r>
      <w:r w:rsidRPr="009F63DF">
        <w:instrText xml:space="preserve"> REF _Ref227014105 \r \h </w:instrText>
      </w:r>
      <w:r w:rsidRPr="009F63DF">
        <w:fldChar w:fldCharType="separate"/>
      </w:r>
      <w:r w:rsidR="00831DAE">
        <w:rPr>
          <w:cs/>
        </w:rPr>
        <w:t>‎</w:t>
      </w:r>
      <w:r w:rsidR="00831DAE">
        <w:t>0</w:t>
      </w:r>
      <w:r w:rsidRPr="009F63DF">
        <w:fldChar w:fldCharType="end"/>
      </w:r>
      <w:r w:rsidRPr="009F63DF">
        <w:t xml:space="preserve"> describes how these parameters were derived.</w:t>
      </w:r>
    </w:p>
    <w:p w14:paraId="44C2F6AE" w14:textId="62F5A8D5" w:rsidR="001C2394" w:rsidRPr="009F63DF" w:rsidRDefault="001C2394" w:rsidP="00655F47">
      <w:pPr>
        <w:pStyle w:val="SDMPara"/>
        <w:keepNext/>
      </w:pPr>
      <w:r w:rsidRPr="009F63DF">
        <w:t>The BAU scenario</w:t>
      </w:r>
      <w:r w:rsidR="00771168" w:rsidRPr="009F63DF">
        <w:t>s</w:t>
      </w:r>
      <w:r w:rsidRPr="009F63DF">
        <w:t xml:space="preserve"> for the different Article 6.4 activities eligible under this mechanism methodology are described in</w:t>
      </w:r>
      <w:r w:rsidR="00866937" w:rsidRPr="009F63DF">
        <w:t xml:space="preserve"> </w:t>
      </w:r>
      <w:r w:rsidR="00E339E5" w:rsidRPr="009F63DF">
        <w:fldChar w:fldCharType="begin"/>
      </w:r>
      <w:r w:rsidR="00E339E5" w:rsidRPr="009F63DF">
        <w:instrText xml:space="preserve"> REF _Ref232969111 \h </w:instrText>
      </w:r>
      <w:r w:rsidR="00E339E5" w:rsidRPr="009F63DF">
        <w:fldChar w:fldCharType="separate"/>
      </w:r>
      <w:r w:rsidR="00831DAE" w:rsidRPr="009F63DF">
        <w:t>Table </w:t>
      </w:r>
      <w:r w:rsidR="00831DAE">
        <w:rPr>
          <w:noProof/>
        </w:rPr>
        <w:t>4</w:t>
      </w:r>
      <w:r w:rsidR="00E339E5" w:rsidRPr="009F63DF">
        <w:fldChar w:fldCharType="end"/>
      </w:r>
      <w:r w:rsidR="00385147" w:rsidRPr="009F63DF">
        <w:t xml:space="preserve"> </w:t>
      </w:r>
      <w:r w:rsidRPr="009F63DF">
        <w:t>below:</w:t>
      </w:r>
    </w:p>
    <w:p w14:paraId="0189FD22" w14:textId="703973B0" w:rsidR="00BD3482" w:rsidRPr="009F63DF" w:rsidRDefault="00BD3482" w:rsidP="00BD3482">
      <w:pPr>
        <w:pStyle w:val="Caption"/>
      </w:pPr>
      <w:bookmarkStart w:id="428" w:name="_Ref232969111"/>
      <w:r w:rsidRPr="009F63DF">
        <w:t>Table </w:t>
      </w:r>
      <w:r w:rsidRPr="009F63DF">
        <w:fldChar w:fldCharType="begin"/>
      </w:r>
      <w:r w:rsidRPr="009F63DF">
        <w:instrText>SEQ Table \* ARABIC</w:instrText>
      </w:r>
      <w:r w:rsidRPr="009F63DF">
        <w:fldChar w:fldCharType="separate"/>
      </w:r>
      <w:r w:rsidR="00831DAE">
        <w:rPr>
          <w:noProof/>
        </w:rPr>
        <w:t>4</w:t>
      </w:r>
      <w:r w:rsidRPr="009F63DF">
        <w:fldChar w:fldCharType="end"/>
      </w:r>
      <w:bookmarkEnd w:id="428"/>
      <w:r w:rsidRPr="009F63DF">
        <w:t>.</w:t>
      </w:r>
      <w:r w:rsidRPr="009F63DF">
        <w:tab/>
        <w:t>BAU for fuel types eligible under the mechanism methodology</w:t>
      </w:r>
    </w:p>
    <w:tbl>
      <w:tblPr>
        <w:tblStyle w:val="TableGrid"/>
        <w:tblW w:w="8529" w:type="dxa"/>
        <w:tblInd w:w="822" w:type="dxa"/>
        <w:tblLook w:val="04A0" w:firstRow="1" w:lastRow="0" w:firstColumn="1" w:lastColumn="0" w:noHBand="0" w:noVBand="1"/>
      </w:tblPr>
      <w:tblGrid>
        <w:gridCol w:w="4403"/>
        <w:gridCol w:w="4126"/>
      </w:tblGrid>
      <w:tr w:rsidR="001C2394" w:rsidRPr="009F63DF" w14:paraId="59EE9DB7" w14:textId="77777777" w:rsidTr="0016344B">
        <w:tc>
          <w:tcPr>
            <w:tcW w:w="2581" w:type="pct"/>
          </w:tcPr>
          <w:p w14:paraId="33ADBEF1" w14:textId="02E1F568" w:rsidR="001C2394" w:rsidRPr="009F63DF" w:rsidRDefault="00545458" w:rsidP="00E53D71">
            <w:pPr>
              <w:spacing w:before="60"/>
              <w:jc w:val="left"/>
              <w:rPr>
                <w:rFonts w:cs="Arial"/>
                <w:b/>
                <w:bCs/>
                <w:sz w:val="20"/>
                <w:szCs w:val="20"/>
                <w:lang w:val="en-GB"/>
              </w:rPr>
            </w:pPr>
            <w:r w:rsidRPr="009F63DF">
              <w:rPr>
                <w:rFonts w:cs="Arial"/>
                <w:b/>
                <w:bCs/>
                <w:sz w:val="20"/>
                <w:szCs w:val="20"/>
                <w:lang w:val="en-GB"/>
              </w:rPr>
              <w:t>Fuel types</w:t>
            </w:r>
          </w:p>
        </w:tc>
        <w:tc>
          <w:tcPr>
            <w:tcW w:w="2419" w:type="pct"/>
          </w:tcPr>
          <w:p w14:paraId="5A7F1FAA" w14:textId="01146191" w:rsidR="001C2394" w:rsidRPr="009F63DF" w:rsidRDefault="0077129D" w:rsidP="00E53D71">
            <w:pPr>
              <w:spacing w:before="60"/>
              <w:jc w:val="left"/>
              <w:rPr>
                <w:rFonts w:cs="Arial"/>
                <w:b/>
                <w:bCs/>
                <w:sz w:val="20"/>
                <w:szCs w:val="20"/>
                <w:lang w:val="en-GB"/>
              </w:rPr>
            </w:pPr>
            <w:r w:rsidRPr="009F63DF">
              <w:rPr>
                <w:rFonts w:cs="Arial"/>
                <w:b/>
                <w:bCs/>
                <w:sz w:val="20"/>
                <w:szCs w:val="20"/>
                <w:lang w:val="en-GB"/>
              </w:rPr>
              <w:t xml:space="preserve">Conservative </w:t>
            </w:r>
            <w:r w:rsidR="001C2394" w:rsidRPr="009F63DF">
              <w:rPr>
                <w:rFonts w:cs="Arial"/>
                <w:b/>
                <w:bCs/>
                <w:sz w:val="20"/>
                <w:szCs w:val="20"/>
                <w:lang w:val="en-GB"/>
              </w:rPr>
              <w:t>BAU</w:t>
            </w:r>
          </w:p>
        </w:tc>
      </w:tr>
      <w:tr w:rsidR="001C2394" w:rsidRPr="009F63DF" w14:paraId="7804BCA9" w14:textId="77777777" w:rsidTr="0016344B">
        <w:tc>
          <w:tcPr>
            <w:tcW w:w="2581" w:type="pct"/>
          </w:tcPr>
          <w:p w14:paraId="322550F8" w14:textId="2DB054D8" w:rsidR="001C2394" w:rsidRPr="009F63DF" w:rsidRDefault="004D2E48" w:rsidP="00E53D71">
            <w:pPr>
              <w:spacing w:before="60"/>
              <w:jc w:val="left"/>
              <w:rPr>
                <w:rFonts w:cs="Arial"/>
                <w:sz w:val="20"/>
                <w:szCs w:val="20"/>
                <w:lang w:val="en-GB"/>
              </w:rPr>
            </w:pPr>
            <w:r w:rsidRPr="009F63DF">
              <w:rPr>
                <w:rFonts w:cs="Arial"/>
                <w:sz w:val="20"/>
                <w:szCs w:val="20"/>
                <w:lang w:val="en-GB"/>
              </w:rPr>
              <w:t>F</w:t>
            </w:r>
            <w:r w:rsidR="001C2394" w:rsidRPr="009F63DF">
              <w:rPr>
                <w:rFonts w:cs="Arial"/>
                <w:sz w:val="20"/>
                <w:szCs w:val="20"/>
                <w:lang w:val="en-GB"/>
              </w:rPr>
              <w:t>uelwood</w:t>
            </w:r>
            <w:r w:rsidRPr="009F63DF">
              <w:rPr>
                <w:rFonts w:cs="Arial"/>
                <w:sz w:val="20"/>
                <w:szCs w:val="20"/>
                <w:lang w:val="en-GB"/>
              </w:rPr>
              <w:t xml:space="preserve"> is the primary fuel</w:t>
            </w:r>
          </w:p>
        </w:tc>
        <w:tc>
          <w:tcPr>
            <w:tcW w:w="2419" w:type="pct"/>
          </w:tcPr>
          <w:p w14:paraId="02EA77DB" w14:textId="29CA6DD8" w:rsidR="001C2394" w:rsidRPr="009F63DF" w:rsidRDefault="005E3F30" w:rsidP="00E53D71">
            <w:pPr>
              <w:spacing w:before="60"/>
              <w:jc w:val="left"/>
              <w:rPr>
                <w:rFonts w:cs="Arial"/>
                <w:sz w:val="20"/>
                <w:szCs w:val="20"/>
                <w:lang w:val="en-GB"/>
              </w:rPr>
            </w:pPr>
            <w:r w:rsidRPr="009F63DF">
              <w:rPr>
                <w:rFonts w:eastAsia="Montserrat" w:cs="Arial"/>
                <w:sz w:val="20"/>
                <w:lang w:val="en-GB"/>
              </w:rPr>
              <w:t>For fuelwood, the value is 0.0098 TJ</w:t>
            </w:r>
            <w:r w:rsidR="008F30EE" w:rsidRPr="009F63DF">
              <w:rPr>
                <w:rFonts w:eastAsia="Montserrat" w:cs="Arial"/>
                <w:sz w:val="20"/>
                <w:lang w:val="en-GB"/>
              </w:rPr>
              <w:t xml:space="preserve"> </w:t>
            </w:r>
            <w:r w:rsidRPr="009F63DF">
              <w:rPr>
                <w:rFonts w:eastAsia="Montserrat" w:cs="Arial"/>
                <w:sz w:val="20"/>
                <w:lang w:val="en-GB"/>
              </w:rPr>
              <w:t>/</w:t>
            </w:r>
            <w:r w:rsidR="008F30EE" w:rsidRPr="009F63DF">
              <w:rPr>
                <w:rFonts w:eastAsia="Montserrat" w:cs="Arial"/>
                <w:sz w:val="20"/>
                <w:lang w:val="en-GB"/>
              </w:rPr>
              <w:t xml:space="preserve"> </w:t>
            </w:r>
            <w:r w:rsidRPr="009F63DF">
              <w:rPr>
                <w:rFonts w:eastAsia="Montserrat" w:cs="Arial"/>
                <w:sz w:val="20"/>
                <w:lang w:val="en-GB"/>
              </w:rPr>
              <w:t>(person</w:t>
            </w:r>
            <w:r w:rsidR="008F30EE" w:rsidRPr="009F63DF">
              <w:rPr>
                <w:rFonts w:eastAsia="Montserrat" w:cs="Arial"/>
                <w:sz w:val="20"/>
                <w:lang w:val="en-GB"/>
              </w:rPr>
              <w:t xml:space="preserve"> x </w:t>
            </w:r>
            <w:r w:rsidRPr="009F63DF">
              <w:rPr>
                <w:rFonts w:eastAsia="Montserrat" w:cs="Arial"/>
                <w:sz w:val="20"/>
                <w:lang w:val="en-GB"/>
              </w:rPr>
              <w:t>year)</w:t>
            </w:r>
            <w:r w:rsidRPr="009F63DF">
              <w:rPr>
                <w:rFonts w:cs="Arial"/>
                <w:sz w:val="20"/>
                <w:szCs w:val="20"/>
                <w:lang w:val="en-GB"/>
              </w:rPr>
              <w:t xml:space="preserve">. </w:t>
            </w:r>
            <w:r w:rsidR="008F7047" w:rsidRPr="009F63DF">
              <w:rPr>
                <w:rFonts w:cs="Arial"/>
                <w:sz w:val="20"/>
                <w:szCs w:val="20"/>
                <w:lang w:val="en-GB"/>
              </w:rPr>
              <w:t>This is calculated as 0.</w:t>
            </w:r>
            <w:r w:rsidR="008F7047" w:rsidRPr="009F63DF" w:rsidDel="006762EA">
              <w:rPr>
                <w:rFonts w:cs="Arial"/>
                <w:sz w:val="20"/>
                <w:szCs w:val="20"/>
                <w:lang w:val="en-GB"/>
              </w:rPr>
              <w:t>001</w:t>
            </w:r>
            <w:r w:rsidR="008F7047" w:rsidRPr="009F63DF">
              <w:rPr>
                <w:rFonts w:cs="Arial"/>
                <w:sz w:val="20"/>
                <w:szCs w:val="20"/>
                <w:lang w:val="en-GB"/>
              </w:rPr>
              <w:t>277</w:t>
            </w:r>
            <w:r w:rsidR="008F7047" w:rsidRPr="009F63DF" w:rsidDel="006762EA">
              <w:rPr>
                <w:rFonts w:cs="Arial"/>
                <w:sz w:val="20"/>
                <w:szCs w:val="20"/>
                <w:lang w:val="en-GB"/>
              </w:rPr>
              <w:t> </w:t>
            </w:r>
            <w:r w:rsidR="008F7047" w:rsidRPr="009F63DF">
              <w:rPr>
                <w:rFonts w:cs="Arial"/>
                <w:sz w:val="20"/>
                <w:szCs w:val="20"/>
                <w:lang w:val="en-GB"/>
              </w:rPr>
              <w:t>TJ useful energy delivered</w:t>
            </w:r>
            <w:r w:rsidR="008F30EE" w:rsidRPr="009F63DF">
              <w:rPr>
                <w:rFonts w:cs="Arial"/>
                <w:sz w:val="20"/>
                <w:szCs w:val="20"/>
                <w:lang w:val="en-GB"/>
              </w:rPr>
              <w:t xml:space="preserve"> </w:t>
            </w:r>
            <w:r w:rsidR="008F7047" w:rsidRPr="009F63DF">
              <w:rPr>
                <w:rFonts w:cs="Arial"/>
                <w:sz w:val="20"/>
                <w:szCs w:val="20"/>
                <w:lang w:val="en-GB"/>
              </w:rPr>
              <w:t>/ (person</w:t>
            </w:r>
            <w:r w:rsidR="008F30EE" w:rsidRPr="009F63DF">
              <w:rPr>
                <w:rFonts w:cs="Arial"/>
                <w:sz w:val="20"/>
                <w:szCs w:val="20"/>
                <w:lang w:val="en-GB"/>
              </w:rPr>
              <w:t xml:space="preserve"> x </w:t>
            </w:r>
            <w:r w:rsidR="008F7047" w:rsidRPr="009F63DF">
              <w:rPr>
                <w:rFonts w:cs="Arial"/>
                <w:sz w:val="20"/>
                <w:szCs w:val="20"/>
                <w:lang w:val="en-GB"/>
              </w:rPr>
              <w:t>year) provided at the conservative BAU efficiency of 13 per cent.</w:t>
            </w:r>
            <w:r w:rsidR="00E31AAD" w:rsidRPr="009F63DF">
              <w:rPr>
                <w:rFonts w:cs="Arial"/>
                <w:sz w:val="20"/>
                <w:szCs w:val="20"/>
                <w:lang w:val="en-GB"/>
              </w:rPr>
              <w:br/>
            </w:r>
            <w:r w:rsidRPr="009F63DF">
              <w:rPr>
                <w:rFonts w:cs="Arial"/>
                <w:sz w:val="20"/>
                <w:szCs w:val="20"/>
                <w:lang w:val="en-GB"/>
              </w:rPr>
              <w:t xml:space="preserve">The BAU efficiency is considered </w:t>
            </w:r>
            <w:r w:rsidR="004D2E48" w:rsidRPr="009F63DF">
              <w:rPr>
                <w:rFonts w:cs="Arial"/>
                <w:sz w:val="20"/>
                <w:szCs w:val="20"/>
                <w:lang w:val="en-GB"/>
              </w:rPr>
              <w:t xml:space="preserve">to be </w:t>
            </w:r>
            <w:r w:rsidR="001C2394" w:rsidRPr="009F63DF">
              <w:rPr>
                <w:rFonts w:cs="Arial"/>
                <w:sz w:val="20"/>
                <w:szCs w:val="20"/>
                <w:lang w:val="en-GB"/>
              </w:rPr>
              <w:t>11.8</w:t>
            </w:r>
            <w:r w:rsidR="00DE7B9B" w:rsidRPr="009F63DF">
              <w:rPr>
                <w:rFonts w:cs="Arial"/>
                <w:sz w:val="20"/>
                <w:szCs w:val="20"/>
                <w:lang w:val="en-GB"/>
              </w:rPr>
              <w:t xml:space="preserve"> per cent</w:t>
            </w:r>
          </w:p>
        </w:tc>
      </w:tr>
      <w:tr w:rsidR="001C2394" w:rsidRPr="009F63DF" w14:paraId="7743D5DF" w14:textId="77777777" w:rsidTr="0016344B">
        <w:tc>
          <w:tcPr>
            <w:tcW w:w="2581" w:type="pct"/>
          </w:tcPr>
          <w:p w14:paraId="68C690C3" w14:textId="0FA3C0D1" w:rsidR="001C2394" w:rsidRPr="009F63DF" w:rsidRDefault="005B7C76" w:rsidP="00E53D71">
            <w:pPr>
              <w:spacing w:before="60"/>
              <w:jc w:val="left"/>
              <w:rPr>
                <w:rFonts w:cs="Arial"/>
                <w:sz w:val="20"/>
                <w:szCs w:val="20"/>
                <w:lang w:val="en-GB"/>
              </w:rPr>
            </w:pPr>
            <w:r w:rsidRPr="009F63DF">
              <w:rPr>
                <w:rFonts w:cs="Arial"/>
                <w:sz w:val="20"/>
                <w:szCs w:val="20"/>
                <w:lang w:val="en-GB"/>
              </w:rPr>
              <w:t>Charcoal is the primary fuel</w:t>
            </w:r>
          </w:p>
        </w:tc>
        <w:tc>
          <w:tcPr>
            <w:tcW w:w="2419" w:type="pct"/>
          </w:tcPr>
          <w:p w14:paraId="06BF62F4" w14:textId="38A9B0E7" w:rsidR="001C2394" w:rsidRPr="009F63DF" w:rsidRDefault="005B7C76" w:rsidP="00E53D71">
            <w:pPr>
              <w:spacing w:before="60"/>
              <w:jc w:val="left"/>
              <w:rPr>
                <w:rFonts w:cs="Arial"/>
                <w:sz w:val="20"/>
                <w:szCs w:val="20"/>
                <w:lang w:val="en-GB"/>
              </w:rPr>
            </w:pPr>
            <w:r w:rsidRPr="009F63DF">
              <w:rPr>
                <w:rFonts w:eastAsia="Montserrat" w:cs="Arial"/>
                <w:sz w:val="20"/>
                <w:lang w:val="en-GB"/>
              </w:rPr>
              <w:t>For charcoal, the value is 0.0044</w:t>
            </w:r>
            <w:r w:rsidRPr="009F63DF">
              <w:rPr>
                <w:rFonts w:eastAsia="Montserrat" w:cs="Arial"/>
                <w:sz w:val="20"/>
                <w:szCs w:val="20"/>
                <w:lang w:val="en-GB"/>
              </w:rPr>
              <w:t xml:space="preserve"> TJ</w:t>
            </w:r>
            <w:r w:rsidR="008F30EE" w:rsidRPr="009F63DF">
              <w:rPr>
                <w:rFonts w:eastAsia="Montserrat" w:cs="Arial"/>
                <w:sz w:val="20"/>
                <w:szCs w:val="20"/>
                <w:lang w:val="en-GB"/>
              </w:rPr>
              <w:t xml:space="preserve"> </w:t>
            </w:r>
            <w:r w:rsidRPr="009F63DF">
              <w:rPr>
                <w:rFonts w:eastAsia="Montserrat" w:cs="Arial"/>
                <w:sz w:val="20"/>
                <w:szCs w:val="20"/>
                <w:lang w:val="en-GB"/>
              </w:rPr>
              <w:t>/</w:t>
            </w:r>
            <w:r w:rsidR="008F30EE" w:rsidRPr="009F63DF">
              <w:rPr>
                <w:rFonts w:eastAsia="Montserrat" w:cs="Arial"/>
                <w:sz w:val="20"/>
                <w:szCs w:val="20"/>
                <w:lang w:val="en-GB"/>
              </w:rPr>
              <w:t xml:space="preserve"> </w:t>
            </w:r>
            <w:r w:rsidRPr="009F63DF">
              <w:rPr>
                <w:rFonts w:eastAsia="Montserrat" w:cs="Arial"/>
                <w:sz w:val="20"/>
                <w:szCs w:val="20"/>
                <w:lang w:val="en-GB"/>
              </w:rPr>
              <w:t>(person</w:t>
            </w:r>
            <w:r w:rsidR="008F30EE" w:rsidRPr="009F63DF">
              <w:rPr>
                <w:rFonts w:eastAsia="Montserrat" w:cs="Arial"/>
                <w:sz w:val="20"/>
                <w:szCs w:val="20"/>
                <w:lang w:val="en-GB"/>
              </w:rPr>
              <w:t xml:space="preserve"> x </w:t>
            </w:r>
            <w:r w:rsidRPr="009F63DF">
              <w:rPr>
                <w:rFonts w:eastAsia="Montserrat" w:cs="Arial"/>
                <w:sz w:val="20"/>
                <w:szCs w:val="20"/>
                <w:lang w:val="en-GB"/>
              </w:rPr>
              <w:t xml:space="preserve">year). </w:t>
            </w:r>
            <w:r w:rsidR="008F7047" w:rsidRPr="009F63DF">
              <w:rPr>
                <w:rFonts w:cs="Arial"/>
                <w:sz w:val="20"/>
                <w:szCs w:val="20"/>
                <w:lang w:val="en-GB"/>
              </w:rPr>
              <w:t>This is calculated as 0.001095</w:t>
            </w:r>
            <w:r w:rsidR="008F7047" w:rsidRPr="009F63DF" w:rsidDel="006762EA">
              <w:rPr>
                <w:rFonts w:cs="Arial"/>
                <w:sz w:val="20"/>
                <w:szCs w:val="20"/>
                <w:lang w:val="en-GB"/>
              </w:rPr>
              <w:t> </w:t>
            </w:r>
            <w:r w:rsidR="008F7047" w:rsidRPr="009F63DF">
              <w:rPr>
                <w:rFonts w:cs="Arial"/>
                <w:sz w:val="20"/>
                <w:szCs w:val="20"/>
                <w:lang w:val="en-GB"/>
              </w:rPr>
              <w:t>TJ useful energy delivered</w:t>
            </w:r>
            <w:r w:rsidR="008F30EE" w:rsidRPr="009F63DF">
              <w:rPr>
                <w:rFonts w:cs="Arial"/>
                <w:sz w:val="20"/>
                <w:szCs w:val="20"/>
                <w:lang w:val="en-GB"/>
              </w:rPr>
              <w:t xml:space="preserve"> </w:t>
            </w:r>
            <w:r w:rsidR="008F7047" w:rsidRPr="009F63DF">
              <w:rPr>
                <w:rFonts w:cs="Arial"/>
                <w:sz w:val="20"/>
                <w:szCs w:val="20"/>
                <w:lang w:val="en-GB"/>
              </w:rPr>
              <w:t>/ (person</w:t>
            </w:r>
            <w:r w:rsidR="008F30EE" w:rsidRPr="009F63DF">
              <w:rPr>
                <w:rFonts w:cs="Arial"/>
                <w:sz w:val="20"/>
                <w:szCs w:val="20"/>
                <w:lang w:val="en-GB"/>
              </w:rPr>
              <w:t xml:space="preserve"> x </w:t>
            </w:r>
            <w:r w:rsidR="008F7047" w:rsidRPr="009F63DF">
              <w:rPr>
                <w:rFonts w:cs="Arial"/>
                <w:sz w:val="20"/>
                <w:szCs w:val="20"/>
                <w:lang w:val="en-GB"/>
              </w:rPr>
              <w:t>year) at the conservative BAU efficiency of 25 per cent.</w:t>
            </w:r>
            <w:r w:rsidR="00E31AAD" w:rsidRPr="009F63DF">
              <w:rPr>
                <w:rFonts w:cs="Arial"/>
                <w:sz w:val="20"/>
                <w:szCs w:val="20"/>
                <w:lang w:val="en-GB"/>
              </w:rPr>
              <w:br/>
            </w:r>
            <w:r w:rsidRPr="009F63DF">
              <w:rPr>
                <w:rFonts w:eastAsia="Montserrat" w:cs="Arial"/>
                <w:sz w:val="20"/>
                <w:szCs w:val="20"/>
                <w:lang w:val="en-GB"/>
              </w:rPr>
              <w:t>The BAU efficiency is considered to be</w:t>
            </w:r>
            <w:r w:rsidR="00246B42" w:rsidRPr="009F63DF">
              <w:rPr>
                <w:rFonts w:eastAsia="Montserrat" w:cs="Arial"/>
                <w:sz w:val="20"/>
                <w:szCs w:val="20"/>
                <w:lang w:val="en-GB"/>
              </w:rPr>
              <w:t xml:space="preserve"> </w:t>
            </w:r>
            <w:r w:rsidR="001C2394" w:rsidRPr="009F63DF">
              <w:rPr>
                <w:rFonts w:cs="Arial"/>
                <w:sz w:val="20"/>
                <w:szCs w:val="20"/>
                <w:lang w:val="en-GB"/>
              </w:rPr>
              <w:t>22.1</w:t>
            </w:r>
            <w:r w:rsidR="00DE7B9B" w:rsidRPr="009F63DF">
              <w:rPr>
                <w:rFonts w:cs="Arial"/>
                <w:sz w:val="20"/>
                <w:szCs w:val="20"/>
                <w:lang w:val="en-GB"/>
              </w:rPr>
              <w:t xml:space="preserve"> per cent</w:t>
            </w:r>
          </w:p>
        </w:tc>
      </w:tr>
    </w:tbl>
    <w:p w14:paraId="0070C4CD" w14:textId="5D646EE1" w:rsidR="001C2394" w:rsidRPr="009F63DF" w:rsidRDefault="001C2394" w:rsidP="00655F47">
      <w:pPr>
        <w:pStyle w:val="SDMPara"/>
        <w:keepNext/>
      </w:pPr>
      <w:bookmarkStart w:id="429" w:name="_Ref233210697"/>
      <w:r w:rsidRPr="009F63DF">
        <w:rPr>
          <w:rFonts w:eastAsia="Montserrat"/>
        </w:rPr>
        <w:t>In determining the BAU scenario and quantifying the BAU emissions, activity participants shall furthermore identify and incorporate in the BAU</w:t>
      </w:r>
      <w:r w:rsidR="007820B5" w:rsidRPr="009F63DF">
        <w:rPr>
          <w:rFonts w:eastAsia="Montserrat"/>
        </w:rPr>
        <w:t xml:space="preserve">, for example by </w:t>
      </w:r>
      <w:r w:rsidR="00A60B42" w:rsidRPr="009F63DF">
        <w:rPr>
          <w:rFonts w:eastAsia="Montserrat"/>
        </w:rPr>
        <w:t xml:space="preserve">increasing </w:t>
      </w:r>
      <w:r w:rsidR="007820B5" w:rsidRPr="009F63DF">
        <w:rPr>
          <w:rFonts w:eastAsia="Montserrat"/>
        </w:rPr>
        <w:t xml:space="preserve">the BAU efficiency or </w:t>
      </w:r>
      <w:r w:rsidR="00A60B42" w:rsidRPr="009F63DF">
        <w:rPr>
          <w:rFonts w:eastAsia="Montserrat"/>
        </w:rPr>
        <w:t xml:space="preserve">reducing the </w:t>
      </w:r>
      <w:r w:rsidR="00573F71" w:rsidRPr="009F63DF">
        <w:rPr>
          <w:rFonts w:eastAsia="Montserrat"/>
        </w:rPr>
        <w:t xml:space="preserve">useful energy delivery </w:t>
      </w:r>
      <w:r w:rsidR="00F314A5" w:rsidRPr="009F63DF">
        <w:rPr>
          <w:rFonts w:eastAsia="Montserrat"/>
        </w:rPr>
        <w:t xml:space="preserve">default </w:t>
      </w:r>
      <w:r w:rsidR="00573F71" w:rsidRPr="009F63DF">
        <w:rPr>
          <w:rFonts w:eastAsia="Montserrat"/>
        </w:rPr>
        <w:t>values, as appropriate</w:t>
      </w:r>
      <w:r w:rsidRPr="009F63DF">
        <w:rPr>
          <w:rFonts w:eastAsia="Montserrat"/>
        </w:rPr>
        <w:t>:</w:t>
      </w:r>
      <w:bookmarkEnd w:id="429"/>
    </w:p>
    <w:p w14:paraId="013A9876" w14:textId="18C20BBB" w:rsidR="001C2394" w:rsidRPr="009F63DF" w:rsidRDefault="001C2394" w:rsidP="009311F1">
      <w:pPr>
        <w:pStyle w:val="SDMSubPara1"/>
      </w:pPr>
      <w:r w:rsidRPr="009F63DF">
        <w:rPr>
          <w:rFonts w:eastAsia="Montserrat"/>
        </w:rPr>
        <w:t>Any policies that are active or scheduled to take effect within the crediting period, unless they refer to or formally integrate the mechanism as an instrument for implementation</w:t>
      </w:r>
      <w:r w:rsidR="00E31AAD" w:rsidRPr="009F63DF">
        <w:rPr>
          <w:rFonts w:eastAsia="Montserrat"/>
        </w:rPr>
        <w:t>.</w:t>
      </w:r>
      <w:r w:rsidR="004434C1" w:rsidRPr="009F63DF">
        <w:rPr>
          <w:rStyle w:val="FootnoteReference"/>
          <w:rFonts w:eastAsia="Montserrat"/>
        </w:rPr>
        <w:footnoteReference w:id="34"/>
      </w:r>
      <w:r w:rsidR="009358DF" w:rsidRPr="009F63DF">
        <w:rPr>
          <w:rFonts w:eastAsia="Montserrat"/>
          <w:vertAlign w:val="superscript"/>
        </w:rPr>
        <w:t xml:space="preserve"> </w:t>
      </w:r>
      <w:r w:rsidRPr="009F63DF">
        <w:rPr>
          <w:rFonts w:eastAsia="Montserrat"/>
        </w:rPr>
        <w:t>All legal requirements shall be deemed to be enforced while recognizing that regulatory environments vary; and</w:t>
      </w:r>
    </w:p>
    <w:p w14:paraId="3FF78BE2" w14:textId="70FEA5C5" w:rsidR="001C2394" w:rsidRPr="009F63DF" w:rsidRDefault="001C2394" w:rsidP="009311F1">
      <w:pPr>
        <w:pStyle w:val="SDMSubPara1"/>
      </w:pPr>
      <w:r w:rsidRPr="009F63DF">
        <w:rPr>
          <w:rFonts w:eastAsia="Montserrat"/>
        </w:rPr>
        <w:t>Any specific national or sub-national targets for the sector or the type of activity, as long as these are supported by policy frameworks for implementation, but not general goals that are not specific to the sector or type of activity (e.g. national emissions target).</w:t>
      </w:r>
      <w:r w:rsidR="00D2207C" w:rsidRPr="009F63DF">
        <w:rPr>
          <w:rStyle w:val="FootnoteReference"/>
          <w:rFonts w:eastAsia="Montserrat"/>
        </w:rPr>
        <w:t xml:space="preserve"> </w:t>
      </w:r>
      <w:r w:rsidR="00D2207C" w:rsidRPr="009F63DF">
        <w:rPr>
          <w:rStyle w:val="FootnoteReference"/>
          <w:rFonts w:eastAsia="Montserrat"/>
        </w:rPr>
        <w:footnoteReference w:id="35"/>
      </w:r>
    </w:p>
    <w:p w14:paraId="29A55A68" w14:textId="75BADB7E" w:rsidR="00DB4D15" w:rsidRPr="009F63DF" w:rsidRDefault="00297124" w:rsidP="00E03E61">
      <w:pPr>
        <w:pStyle w:val="SDMPara"/>
      </w:pPr>
      <w:r w:rsidRPr="009F63DF">
        <w:rPr>
          <w:rFonts w:eastAsia="Montserrat"/>
        </w:rPr>
        <w:t>When paragraph</w:t>
      </w:r>
      <w:r w:rsidR="00BB1D34" w:rsidRPr="009F63DF">
        <w:rPr>
          <w:rFonts w:eastAsia="Montserrat"/>
        </w:rPr>
        <w:t xml:space="preserve"> </w:t>
      </w:r>
      <w:r w:rsidR="00D67D62" w:rsidRPr="009F63DF">
        <w:rPr>
          <w:rFonts w:eastAsia="Montserrat"/>
        </w:rPr>
        <w:fldChar w:fldCharType="begin"/>
      </w:r>
      <w:r w:rsidR="00D67D62" w:rsidRPr="009F63DF">
        <w:rPr>
          <w:rFonts w:eastAsia="Montserrat"/>
        </w:rPr>
        <w:instrText xml:space="preserve"> REF _Ref233210697 \r \h </w:instrText>
      </w:r>
      <w:r w:rsidR="00D67D62" w:rsidRPr="009F63DF">
        <w:rPr>
          <w:rFonts w:eastAsia="Montserrat"/>
        </w:rPr>
      </w:r>
      <w:r w:rsidR="00D67D62" w:rsidRPr="009F63DF">
        <w:rPr>
          <w:rFonts w:eastAsia="Montserrat"/>
        </w:rPr>
        <w:fldChar w:fldCharType="separate"/>
      </w:r>
      <w:r w:rsidR="00831DAE">
        <w:rPr>
          <w:rFonts w:eastAsia="Montserrat"/>
          <w:cs/>
        </w:rPr>
        <w:t>‎</w:t>
      </w:r>
      <w:r w:rsidR="00831DAE">
        <w:rPr>
          <w:rFonts w:eastAsia="Montserrat"/>
        </w:rPr>
        <w:t>77</w:t>
      </w:r>
      <w:r w:rsidR="00D67D62" w:rsidRPr="009F63DF">
        <w:rPr>
          <w:rFonts w:eastAsia="Montserrat"/>
        </w:rPr>
        <w:fldChar w:fldCharType="end"/>
      </w:r>
      <w:r w:rsidRPr="009F63DF">
        <w:rPr>
          <w:rFonts w:eastAsia="Montserrat"/>
        </w:rPr>
        <w:t xml:space="preserve"> does not result in any </w:t>
      </w:r>
      <w:r w:rsidR="001D6FB7" w:rsidRPr="009F63DF">
        <w:rPr>
          <w:rFonts w:eastAsia="Montserrat"/>
        </w:rPr>
        <w:t>change to the BAU value</w:t>
      </w:r>
      <w:r w:rsidR="0013384D" w:rsidRPr="009F63DF">
        <w:rPr>
          <w:rFonts w:eastAsia="Montserrat"/>
        </w:rPr>
        <w:t xml:space="preserve"> </w:t>
      </w:r>
      <w:r w:rsidR="001D6FB7" w:rsidRPr="009F63DF">
        <w:rPr>
          <w:rFonts w:eastAsia="Montserrat"/>
        </w:rPr>
        <w:t xml:space="preserve">defined in </w:t>
      </w:r>
      <w:r w:rsidR="001D6FB7" w:rsidRPr="009F63DF">
        <w:rPr>
          <w:rFonts w:eastAsia="Montserrat"/>
        </w:rPr>
        <w:fldChar w:fldCharType="begin"/>
      </w:r>
      <w:r w:rsidR="001D6FB7" w:rsidRPr="009F63DF">
        <w:rPr>
          <w:rFonts w:eastAsia="Montserrat"/>
        </w:rPr>
        <w:instrText xml:space="preserve"> REF _Ref232969111 \h </w:instrText>
      </w:r>
      <w:r w:rsidR="001D6FB7" w:rsidRPr="009F63DF">
        <w:rPr>
          <w:rFonts w:eastAsia="Montserrat"/>
        </w:rPr>
      </w:r>
      <w:r w:rsidR="001D6FB7" w:rsidRPr="009F63DF">
        <w:rPr>
          <w:rFonts w:eastAsia="Montserrat"/>
        </w:rPr>
        <w:fldChar w:fldCharType="separate"/>
      </w:r>
      <w:r w:rsidR="00831DAE" w:rsidRPr="009F63DF">
        <w:t>Table </w:t>
      </w:r>
      <w:r w:rsidR="00831DAE">
        <w:rPr>
          <w:noProof/>
        </w:rPr>
        <w:t>4</w:t>
      </w:r>
      <w:r w:rsidR="001D6FB7" w:rsidRPr="009F63DF">
        <w:rPr>
          <w:rFonts w:eastAsia="Montserrat"/>
        </w:rPr>
        <w:fldChar w:fldCharType="end"/>
      </w:r>
      <w:r w:rsidR="001D6FB7" w:rsidRPr="009F63DF">
        <w:rPr>
          <w:rFonts w:eastAsia="Montserrat"/>
        </w:rPr>
        <w:t>,</w:t>
      </w:r>
      <w:r w:rsidRPr="009F63DF">
        <w:rPr>
          <w:rFonts w:eastAsia="Montserrat"/>
        </w:rPr>
        <w:t xml:space="preserve"> </w:t>
      </w:r>
      <w:r w:rsidR="001D6FB7" w:rsidRPr="009F63DF">
        <w:rPr>
          <w:rFonts w:eastAsia="Montserrat"/>
        </w:rPr>
        <w:t xml:space="preserve">then </w:t>
      </w:r>
      <w:r w:rsidR="00791309" w:rsidRPr="009F63DF">
        <w:rPr>
          <w:rFonts w:eastAsia="Montserrat"/>
        </w:rPr>
        <w:t xml:space="preserve">the conservative BAU fuel consumption will always be </w:t>
      </w:r>
      <w:r w:rsidR="00126325" w:rsidRPr="009F63DF">
        <w:rPr>
          <w:rFonts w:eastAsia="Montserrat"/>
        </w:rPr>
        <w:t>higher</w:t>
      </w:r>
      <w:r w:rsidR="00791309" w:rsidRPr="009F63DF">
        <w:rPr>
          <w:rFonts w:eastAsia="Montserrat"/>
        </w:rPr>
        <w:t xml:space="preserve"> than the </w:t>
      </w:r>
      <w:r w:rsidR="00940E3F" w:rsidRPr="009F63DF">
        <w:rPr>
          <w:rFonts w:eastAsia="Montserrat"/>
        </w:rPr>
        <w:t xml:space="preserve">baseline fuel consumption calculated on the basis of the ambitious benchmark, </w:t>
      </w:r>
      <w:r w:rsidR="001D6FB7" w:rsidRPr="009F63DF">
        <w:rPr>
          <w:rFonts w:eastAsia="Montserrat"/>
        </w:rPr>
        <w:t xml:space="preserve">and </w:t>
      </w:r>
      <w:r w:rsidR="00940E3F" w:rsidRPr="009F63DF">
        <w:rPr>
          <w:rFonts w:eastAsia="Montserrat"/>
        </w:rPr>
        <w:t>it is not required to calculate the conservative BAU emissions</w:t>
      </w:r>
      <w:r w:rsidR="00B37812" w:rsidRPr="009F63DF">
        <w:rPr>
          <w:rFonts w:eastAsia="Montserrat"/>
        </w:rPr>
        <w:t xml:space="preserve"> ex-ante</w:t>
      </w:r>
      <w:r w:rsidR="00126325" w:rsidRPr="009F63DF">
        <w:rPr>
          <w:rFonts w:eastAsia="Montserrat"/>
        </w:rPr>
        <w:t>, since these will always be higher</w:t>
      </w:r>
      <w:r w:rsidR="006F78CE" w:rsidRPr="009F63DF">
        <w:rPr>
          <w:rFonts w:eastAsia="Montserrat"/>
        </w:rPr>
        <w:t xml:space="preserve"> than the unadjusted baseline emissions.</w:t>
      </w:r>
    </w:p>
    <w:p w14:paraId="7B212B41" w14:textId="24345B40" w:rsidR="00791309" w:rsidRPr="009F63DF" w:rsidRDefault="00DB4D15" w:rsidP="00E03E61">
      <w:pPr>
        <w:pStyle w:val="SDMPara"/>
      </w:pPr>
      <w:r w:rsidRPr="009F63DF">
        <w:rPr>
          <w:rFonts w:eastAsia="Montserrat"/>
        </w:rPr>
        <w:t xml:space="preserve">Similarly, </w:t>
      </w:r>
      <w:r w:rsidR="009B2206" w:rsidRPr="009F63DF">
        <w:rPr>
          <w:rFonts w:eastAsia="Montserrat"/>
        </w:rPr>
        <w:t xml:space="preserve">in this case </w:t>
      </w:r>
      <w:r w:rsidRPr="009F63DF">
        <w:rPr>
          <w:rFonts w:eastAsia="Montserrat"/>
        </w:rPr>
        <w:t xml:space="preserve">it is not required to calculate the conservative BAU emissions </w:t>
      </w:r>
      <w:r w:rsidRPr="009F63DF">
        <w:t xml:space="preserve">ex post for each calendar year within the crediting period, </w:t>
      </w:r>
      <w:r w:rsidRPr="009F63DF">
        <w:rPr>
          <w:rFonts w:eastAsia="Montserrat"/>
        </w:rPr>
        <w:t>since the conservative BAU fuel consumption will always be higher than the baseline fuel consumption calculated on the basis of the ambitious benchmark.</w:t>
      </w:r>
    </w:p>
    <w:p w14:paraId="16BE381A" w14:textId="1A5D7B52" w:rsidR="001C2394" w:rsidRPr="009F63DF" w:rsidRDefault="0013384D" w:rsidP="00655F47">
      <w:pPr>
        <w:pStyle w:val="SDMPara"/>
        <w:keepNext/>
      </w:pPr>
      <w:bookmarkStart w:id="430" w:name="_Ref233386122"/>
      <w:r w:rsidRPr="009F63DF">
        <w:rPr>
          <w:rFonts w:eastAsia="Montserrat"/>
        </w:rPr>
        <w:t xml:space="preserve">When paragraph </w:t>
      </w:r>
      <w:r w:rsidRPr="009F63DF">
        <w:rPr>
          <w:rFonts w:eastAsia="Montserrat"/>
        </w:rPr>
        <w:fldChar w:fldCharType="begin"/>
      </w:r>
      <w:r w:rsidRPr="009F63DF">
        <w:rPr>
          <w:rFonts w:eastAsia="Montserrat"/>
        </w:rPr>
        <w:instrText xml:space="preserve"> REF _Ref233210697 \r \h </w:instrText>
      </w:r>
      <w:r w:rsidRPr="009F63DF">
        <w:rPr>
          <w:rFonts w:eastAsia="Montserrat"/>
        </w:rPr>
      </w:r>
      <w:r w:rsidRPr="009F63DF">
        <w:rPr>
          <w:rFonts w:eastAsia="Montserrat"/>
        </w:rPr>
        <w:fldChar w:fldCharType="separate"/>
      </w:r>
      <w:r w:rsidR="00831DAE">
        <w:rPr>
          <w:rFonts w:eastAsia="Montserrat"/>
          <w:cs/>
        </w:rPr>
        <w:t>‎</w:t>
      </w:r>
      <w:r w:rsidR="00831DAE">
        <w:rPr>
          <w:rFonts w:eastAsia="Montserrat"/>
        </w:rPr>
        <w:t>77</w:t>
      </w:r>
      <w:r w:rsidRPr="009F63DF">
        <w:rPr>
          <w:rFonts w:eastAsia="Montserrat"/>
        </w:rPr>
        <w:fldChar w:fldCharType="end"/>
      </w:r>
      <w:r w:rsidRPr="009F63DF">
        <w:rPr>
          <w:rFonts w:eastAsia="Montserrat"/>
        </w:rPr>
        <w:t xml:space="preserve"> results in any change to the BAU value defined in </w:t>
      </w:r>
      <w:r w:rsidRPr="009F63DF">
        <w:rPr>
          <w:rFonts w:eastAsia="Montserrat"/>
        </w:rPr>
        <w:fldChar w:fldCharType="begin"/>
      </w:r>
      <w:r w:rsidRPr="009F63DF">
        <w:rPr>
          <w:rFonts w:eastAsia="Montserrat"/>
        </w:rPr>
        <w:instrText xml:space="preserve"> REF _Ref232969111 \h </w:instrText>
      </w:r>
      <w:r w:rsidRPr="009F63DF">
        <w:rPr>
          <w:rFonts w:eastAsia="Montserrat"/>
        </w:rPr>
      </w:r>
      <w:r w:rsidRPr="009F63DF">
        <w:rPr>
          <w:rFonts w:eastAsia="Montserrat"/>
        </w:rPr>
        <w:fldChar w:fldCharType="separate"/>
      </w:r>
      <w:r w:rsidR="00831DAE" w:rsidRPr="009F63DF">
        <w:t>Table </w:t>
      </w:r>
      <w:r w:rsidR="00831DAE">
        <w:rPr>
          <w:noProof/>
        </w:rPr>
        <w:t>4</w:t>
      </w:r>
      <w:r w:rsidRPr="009F63DF">
        <w:rPr>
          <w:rFonts w:eastAsia="Montserrat"/>
        </w:rPr>
        <w:fldChar w:fldCharType="end"/>
      </w:r>
      <w:r w:rsidRPr="009F63DF">
        <w:rPr>
          <w:rFonts w:eastAsia="Montserrat"/>
        </w:rPr>
        <w:t xml:space="preserve"> that make the</w:t>
      </w:r>
      <w:r w:rsidR="00A5042D" w:rsidRPr="009F63DF">
        <w:rPr>
          <w:rFonts w:eastAsia="Montserrat"/>
        </w:rPr>
        <w:t xml:space="preserve"> minimum</w:t>
      </w:r>
      <w:r w:rsidRPr="009F63DF">
        <w:rPr>
          <w:rFonts w:eastAsia="Montserrat"/>
        </w:rPr>
        <w:t xml:space="preserve"> </w:t>
      </w:r>
      <w:r w:rsidR="00D00936" w:rsidRPr="009F63DF">
        <w:rPr>
          <w:rFonts w:eastAsia="Montserrat"/>
        </w:rPr>
        <w:t xml:space="preserve">conservative </w:t>
      </w:r>
      <w:r w:rsidRPr="009F63DF">
        <w:rPr>
          <w:rFonts w:eastAsia="Montserrat"/>
        </w:rPr>
        <w:t>BAU value</w:t>
      </w:r>
      <w:r w:rsidR="00680045" w:rsidRPr="009F63DF">
        <w:rPr>
          <w:rFonts w:eastAsia="Montserrat"/>
        </w:rPr>
        <w:t xml:space="preserve"> </w:t>
      </w:r>
      <w:r w:rsidRPr="009F63DF">
        <w:rPr>
          <w:rFonts w:eastAsia="Montserrat"/>
        </w:rPr>
        <w:t xml:space="preserve">lower than </w:t>
      </w:r>
      <w:r w:rsidR="00680045" w:rsidRPr="009F63DF">
        <w:rPr>
          <w:rFonts w:eastAsia="Montserrat"/>
        </w:rPr>
        <w:t xml:space="preserve">both </w:t>
      </w:r>
      <w:r w:rsidR="00F03476" w:rsidRPr="009F63DF">
        <w:rPr>
          <w:rFonts w:eastAsia="Montserrat"/>
        </w:rPr>
        <w:t xml:space="preserve">the conservative BAU defined in </w:t>
      </w:r>
      <w:r w:rsidR="00F03476" w:rsidRPr="009F63DF">
        <w:rPr>
          <w:rFonts w:eastAsia="Montserrat"/>
        </w:rPr>
        <w:fldChar w:fldCharType="begin"/>
      </w:r>
      <w:r w:rsidR="00F03476" w:rsidRPr="009F63DF">
        <w:rPr>
          <w:rFonts w:eastAsia="Montserrat"/>
        </w:rPr>
        <w:instrText xml:space="preserve"> REF _Ref232969111 \h </w:instrText>
      </w:r>
      <w:r w:rsidR="00F03476" w:rsidRPr="009F63DF">
        <w:rPr>
          <w:rFonts w:eastAsia="Montserrat"/>
        </w:rPr>
      </w:r>
      <w:r w:rsidR="00F03476" w:rsidRPr="009F63DF">
        <w:rPr>
          <w:rFonts w:eastAsia="Montserrat"/>
        </w:rPr>
        <w:fldChar w:fldCharType="separate"/>
      </w:r>
      <w:r w:rsidR="00831DAE" w:rsidRPr="009F63DF">
        <w:t>Table </w:t>
      </w:r>
      <w:r w:rsidR="00831DAE">
        <w:rPr>
          <w:noProof/>
        </w:rPr>
        <w:t>4</w:t>
      </w:r>
      <w:r w:rsidR="00F03476" w:rsidRPr="009F63DF">
        <w:rPr>
          <w:rFonts w:eastAsia="Montserrat"/>
        </w:rPr>
        <w:fldChar w:fldCharType="end"/>
      </w:r>
      <w:r w:rsidR="00F03476" w:rsidRPr="009F63DF">
        <w:rPr>
          <w:rFonts w:eastAsia="Montserrat"/>
        </w:rPr>
        <w:t xml:space="preserve"> and </w:t>
      </w:r>
      <w:r w:rsidRPr="009F63DF">
        <w:rPr>
          <w:rFonts w:eastAsia="Montserrat"/>
        </w:rPr>
        <w:t xml:space="preserve">the ambitious benchmark value </w:t>
      </w:r>
      <w:r w:rsidR="001D206E" w:rsidRPr="009F63DF">
        <w:rPr>
          <w:rFonts w:eastAsia="Montserrat"/>
        </w:rPr>
        <w:t xml:space="preserve">defined </w:t>
      </w:r>
      <w:r w:rsidR="00F17B23" w:rsidRPr="009F63DF">
        <w:rPr>
          <w:rFonts w:eastAsia="Montserrat"/>
        </w:rPr>
        <w:t>following</w:t>
      </w:r>
      <w:r w:rsidR="00AD421B" w:rsidRPr="009F63DF">
        <w:rPr>
          <w:rFonts w:eastAsia="Montserrat"/>
        </w:rPr>
        <w:t xml:space="preserve"> section </w:t>
      </w:r>
      <w:r w:rsidR="0069184C" w:rsidRPr="009F63DF">
        <w:rPr>
          <w:rFonts w:eastAsia="Montserrat"/>
        </w:rPr>
        <w:fldChar w:fldCharType="begin"/>
      </w:r>
      <w:r w:rsidR="0069184C" w:rsidRPr="009F63DF">
        <w:rPr>
          <w:rFonts w:eastAsia="Montserrat"/>
        </w:rPr>
        <w:instrText xml:space="preserve"> REF _Ref233211040 \r \h </w:instrText>
      </w:r>
      <w:r w:rsidR="0069184C" w:rsidRPr="009F63DF">
        <w:rPr>
          <w:rFonts w:eastAsia="Montserrat"/>
        </w:rPr>
      </w:r>
      <w:r w:rsidR="0069184C" w:rsidRPr="009F63DF">
        <w:rPr>
          <w:rFonts w:eastAsia="Montserrat"/>
        </w:rPr>
        <w:fldChar w:fldCharType="separate"/>
      </w:r>
      <w:r w:rsidR="00831DAE">
        <w:rPr>
          <w:rFonts w:eastAsia="Montserrat"/>
          <w:cs/>
        </w:rPr>
        <w:t>‎</w:t>
      </w:r>
      <w:r w:rsidR="00831DAE">
        <w:rPr>
          <w:rFonts w:eastAsia="Montserrat"/>
        </w:rPr>
        <w:t>7.3</w:t>
      </w:r>
      <w:r w:rsidR="0069184C" w:rsidRPr="009F63DF">
        <w:rPr>
          <w:rFonts w:eastAsia="Montserrat"/>
        </w:rPr>
        <w:fldChar w:fldCharType="end"/>
      </w:r>
      <w:r w:rsidRPr="009F63DF">
        <w:rPr>
          <w:rFonts w:eastAsia="Montserrat"/>
        </w:rPr>
        <w:t xml:space="preserve">, </w:t>
      </w:r>
      <w:r w:rsidR="00AD421B" w:rsidRPr="009F63DF">
        <w:rPr>
          <w:rFonts w:eastAsia="Montserrat"/>
        </w:rPr>
        <w:t xml:space="preserve">then conservative </w:t>
      </w:r>
      <w:r w:rsidR="001C2394" w:rsidRPr="009F63DF">
        <w:rPr>
          <w:rFonts w:eastAsia="Montserrat"/>
        </w:rPr>
        <w:t xml:space="preserve">BAU emissions are calculated using </w:t>
      </w:r>
      <w:r w:rsidR="003D10AB" w:rsidRPr="009F63DF">
        <w:rPr>
          <w:rFonts w:eastAsia="Montserrat"/>
        </w:rPr>
        <w:t>e</w:t>
      </w:r>
      <w:r w:rsidR="001C2394" w:rsidRPr="009F63DF">
        <w:rPr>
          <w:rFonts w:eastAsia="Montserrat"/>
        </w:rPr>
        <w:t>quation</w:t>
      </w:r>
      <w:r w:rsidR="005A0408" w:rsidRPr="009F63DF">
        <w:rPr>
          <w:rFonts w:eastAsia="Montserrat"/>
        </w:rPr>
        <w:t>s</w:t>
      </w:r>
      <w:r w:rsidR="001C2394" w:rsidRPr="009F63DF">
        <w:rPr>
          <w:rFonts w:eastAsia="Montserrat"/>
        </w:rPr>
        <w:t xml:space="preserve"> (</w:t>
      </w:r>
      <w:r w:rsidR="00D86221" w:rsidRPr="009F63DF">
        <w:rPr>
          <w:rFonts w:eastAsia="Montserrat"/>
        </w:rPr>
        <w:t>17</w:t>
      </w:r>
      <w:r w:rsidR="001C2394" w:rsidRPr="009F63DF">
        <w:rPr>
          <w:rFonts w:eastAsia="Montserrat"/>
        </w:rPr>
        <w:t>)</w:t>
      </w:r>
      <w:r w:rsidR="005A0408" w:rsidRPr="009F63DF">
        <w:rPr>
          <w:rFonts w:eastAsia="Montserrat"/>
        </w:rPr>
        <w:t xml:space="preserve"> to </w:t>
      </w:r>
      <w:r w:rsidR="008C7280" w:rsidRPr="009F63DF">
        <w:rPr>
          <w:rFonts w:eastAsia="Montserrat"/>
        </w:rPr>
        <w:t>(</w:t>
      </w:r>
      <w:r w:rsidR="00D86221" w:rsidRPr="009F63DF">
        <w:rPr>
          <w:rFonts w:eastAsia="Montserrat"/>
        </w:rPr>
        <w:t>21</w:t>
      </w:r>
      <w:r w:rsidR="008C7280" w:rsidRPr="009F63DF">
        <w:rPr>
          <w:rFonts w:eastAsia="Montserrat"/>
        </w:rPr>
        <w:t>)</w:t>
      </w:r>
      <w:bookmarkEnd w:id="430"/>
      <w:r w:rsidR="00DF3633" w:rsidRPr="009F63DF">
        <w:rPr>
          <w:rFonts w:eastAsia="Montserrat"/>
        </w:rPr>
        <w:t>:</w:t>
      </w:r>
      <w:r w:rsidR="00255F6C" w:rsidRPr="00255F6C">
        <w:rPr>
          <w:rStyle w:val="FootnoteReference"/>
          <w:rFonts w:eastAsia="Montserrat"/>
        </w:rPr>
        <w:t xml:space="preserve"> </w:t>
      </w:r>
      <w:r w:rsidR="00255F6C" w:rsidRPr="009F63DF">
        <w:rPr>
          <w:rStyle w:val="FootnoteReference"/>
          <w:rFonts w:eastAsia="Montserrat"/>
        </w:rPr>
        <w:footnoteReference w:id="36"/>
      </w:r>
    </w:p>
    <w:tbl>
      <w:tblPr>
        <w:tblStyle w:val="SDMMethTableEquation"/>
        <w:tblW w:w="8760" w:type="dxa"/>
        <w:tblLook w:val="0600" w:firstRow="0" w:lastRow="0" w:firstColumn="0" w:lastColumn="0" w:noHBand="1" w:noVBand="1"/>
      </w:tblPr>
      <w:tblGrid>
        <w:gridCol w:w="7016"/>
        <w:gridCol w:w="1640"/>
        <w:gridCol w:w="104"/>
      </w:tblGrid>
      <w:tr w:rsidR="000C2915" w:rsidRPr="009F63DF" w14:paraId="5A661036" w14:textId="77777777" w:rsidTr="00C5477B">
        <w:tc>
          <w:tcPr>
            <w:tcW w:w="7224" w:type="dxa"/>
          </w:tcPr>
          <w:p w14:paraId="7DB35B42" w14:textId="4B919013" w:rsidR="000C2915" w:rsidRPr="009F63DF" w:rsidRDefault="001549D8" w:rsidP="00C5477B">
            <w:pPr>
              <w:pStyle w:val="SDMMethEquation"/>
            </w:pPr>
            <m:oMathPara>
              <m:oMathParaPr>
                <m:jc m:val="left"/>
              </m:oMathParaPr>
              <m:oMath>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BAU</m:t>
                    </m:r>
                  </m:e>
                  <m:sub>
                    <m:r>
                      <w:rPr>
                        <w:rFonts w:ascii="Cambria Math" w:eastAsia="Cambria Math" w:hAnsi="Cambria Math" w:cs="Cambria Math"/>
                        <w:sz w:val="20"/>
                        <w:szCs w:val="20"/>
                        <w:lang w:eastAsia="en-US"/>
                      </w:rPr>
                      <m:t>cons,y</m:t>
                    </m:r>
                  </m:sub>
                </m:sSub>
                <m:r>
                  <w:rPr>
                    <w:rFonts w:ascii="Cambria Math" w:eastAsia="Cambria Math" w:hAnsi="Cambria Math" w:cs="Cambria Math"/>
                    <w:sz w:val="20"/>
                    <w:szCs w:val="20"/>
                    <w:lang w:eastAsia="en-US"/>
                  </w:rPr>
                  <m:t xml:space="preserve"> = </m:t>
                </m:r>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BAU</m:t>
                    </m:r>
                  </m:e>
                  <m:sub>
                    <m:r>
                      <w:rPr>
                        <w:rFonts w:ascii="Cambria Math" w:eastAsia="Cambria Math" w:hAnsi="Cambria Math" w:cs="Cambria Math"/>
                        <w:sz w:val="20"/>
                        <w:szCs w:val="20"/>
                        <w:lang w:eastAsia="en-US"/>
                      </w:rPr>
                      <m:t>cons, CO2,rr,i,y</m:t>
                    </m:r>
                  </m:sub>
                </m:sSub>
                <m:r>
                  <w:rPr>
                    <w:rFonts w:ascii="Cambria Math" w:eastAsia="Cambria Math" w:hAnsi="Cambria Math" w:cs="Cambria Math"/>
                    <w:sz w:val="20"/>
                    <w:szCs w:val="20"/>
                    <w:lang w:eastAsia="en-US"/>
                  </w:rPr>
                  <m:t>+</m:t>
                </m:r>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BAU</m:t>
                    </m:r>
                  </m:e>
                  <m:sub>
                    <m:r>
                      <w:rPr>
                        <w:rFonts w:ascii="Cambria Math" w:eastAsia="Cambria Math" w:hAnsi="Cambria Math" w:cs="Cambria Math"/>
                        <w:sz w:val="20"/>
                        <w:szCs w:val="20"/>
                        <w:lang w:eastAsia="en-US"/>
                      </w:rPr>
                      <m:t>cons,nonCO2,i,y</m:t>
                    </m:r>
                  </m:sub>
                </m:sSub>
                <m:r>
                  <w:rPr>
                    <w:rFonts w:ascii="Cambria Math" w:eastAsia="Cambria Math" w:hAnsi="Cambria Math" w:cs="Cambria Math"/>
                    <w:sz w:val="20"/>
                    <w:szCs w:val="20"/>
                    <w:lang w:eastAsia="en-US"/>
                  </w:rPr>
                  <m:t>+</m:t>
                </m:r>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BAU</m:t>
                    </m:r>
                  </m:e>
                  <m:sub>
                    <m:r>
                      <w:rPr>
                        <w:rFonts w:ascii="Cambria Math" w:eastAsia="Cambria Math" w:hAnsi="Cambria Math" w:cs="Cambria Math"/>
                        <w:sz w:val="20"/>
                        <w:szCs w:val="20"/>
                        <w:lang w:eastAsia="en-US"/>
                      </w:rPr>
                      <m:t>cons,CO2,j,y</m:t>
                    </m:r>
                  </m:sub>
                </m:sSub>
                <m:r>
                  <w:rPr>
                    <w:rFonts w:ascii="Cambria Math" w:eastAsia="Cambria Math" w:hAnsi="Cambria Math" w:cs="Cambria Math"/>
                    <w:sz w:val="20"/>
                    <w:szCs w:val="20"/>
                    <w:lang w:eastAsia="en-US"/>
                  </w:rPr>
                  <m:t>+</m:t>
                </m:r>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BAU</m:t>
                    </m:r>
                  </m:e>
                  <m:sub>
                    <m:r>
                      <w:rPr>
                        <w:rFonts w:ascii="Cambria Math" w:eastAsia="Cambria Math" w:hAnsi="Cambria Math" w:cs="Cambria Math"/>
                        <w:sz w:val="20"/>
                        <w:szCs w:val="20"/>
                        <w:lang w:eastAsia="en-US"/>
                      </w:rPr>
                      <m:t>cons,nonCO2,j,y</m:t>
                    </m:r>
                  </m:sub>
                </m:sSub>
              </m:oMath>
            </m:oMathPara>
          </w:p>
        </w:tc>
        <w:tc>
          <w:tcPr>
            <w:tcW w:w="1701" w:type="dxa"/>
            <w:gridSpan w:val="2"/>
          </w:tcPr>
          <w:p w14:paraId="64C0FAE5" w14:textId="77777777" w:rsidR="000C2915" w:rsidRPr="009F63DF" w:rsidRDefault="000C2915" w:rsidP="00AF1AC1">
            <w:pPr>
              <w:pStyle w:val="SDMMethEquationNr"/>
              <w:numPr>
                <w:ilvl w:val="0"/>
                <w:numId w:val="29"/>
              </w:numPr>
              <w:ind w:right="113"/>
            </w:pPr>
          </w:p>
        </w:tc>
      </w:tr>
      <w:tr w:rsidR="009E3934" w:rsidRPr="009F63DF" w14:paraId="578C4DE9" w14:textId="77777777" w:rsidTr="00C5477B">
        <w:trPr>
          <w:gridAfter w:val="1"/>
          <w:wAfter w:w="108" w:type="dxa"/>
        </w:trPr>
        <w:tc>
          <w:tcPr>
            <w:tcW w:w="7224" w:type="dxa"/>
          </w:tcPr>
          <w:p w14:paraId="15A93AD6" w14:textId="12298F51" w:rsidR="009E3934" w:rsidRPr="009F63DF" w:rsidRDefault="001549D8" w:rsidP="00C5477B">
            <w:pPr>
              <w:pStyle w:val="SDMMethEquation"/>
            </w:pPr>
            <m:oMathPara>
              <m:oMathParaPr>
                <m:jc m:val="left"/>
              </m:oMathParaPr>
              <m:oMath>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BAU</m:t>
                    </m:r>
                  </m:e>
                  <m:sub>
                    <m:r>
                      <w:rPr>
                        <w:rFonts w:ascii="Cambria Math" w:eastAsia="Cambria Math" w:hAnsi="Cambria Math" w:cs="Cambria Math"/>
                        <w:sz w:val="20"/>
                        <w:szCs w:val="20"/>
                        <w:lang w:eastAsia="en-US"/>
                      </w:rPr>
                      <m:t>cons, CO2,rr,i,y</m:t>
                    </m:r>
                  </m:sub>
                </m:sSub>
                <m:r>
                  <w:rPr>
                    <w:rFonts w:ascii="Cambria Math" w:eastAsia="Cambria Math" w:hAnsi="Cambria Math" w:cs="Cambria Math"/>
                    <w:sz w:val="20"/>
                    <w:szCs w:val="20"/>
                    <w:lang w:eastAsia="en-US"/>
                  </w:rPr>
                  <m:t xml:space="preserve"> = </m:t>
                </m:r>
                <m:nary>
                  <m:naryPr>
                    <m:chr m:val="∑"/>
                    <m:supHide m:val="1"/>
                    <m:ctrlPr>
                      <w:rPr>
                        <w:rFonts w:ascii="Cambria Math" w:eastAsia="Cambria Math" w:hAnsi="Cambria Math" w:cs="Cambria Math"/>
                        <w:i/>
                        <w:sz w:val="20"/>
                        <w:szCs w:val="20"/>
                        <w:lang w:eastAsia="en-US"/>
                      </w:rPr>
                    </m:ctrlPr>
                  </m:naryPr>
                  <m:sub>
                    <m:r>
                      <w:rPr>
                        <w:rFonts w:ascii="Cambria Math" w:eastAsia="Cambria Math" w:hAnsi="Cambria Math" w:cs="Cambria Math"/>
                        <w:sz w:val="20"/>
                        <w:szCs w:val="20"/>
                        <w:lang w:eastAsia="en-US"/>
                      </w:rPr>
                      <m:t>i</m:t>
                    </m:r>
                  </m:sub>
                  <m:sup/>
                  <m:e>
                    <m:r>
                      <w:rPr>
                        <w:rFonts w:ascii="Cambria Math" w:eastAsia="Cambria Math" w:hAnsi="Cambria Math" w:cs="Cambria Math"/>
                        <w:sz w:val="20"/>
                        <w:szCs w:val="20"/>
                        <w:lang w:eastAsia="en-US"/>
                      </w:rPr>
                      <m:t xml:space="preserve"> </m:t>
                    </m:r>
                  </m:e>
                </m:nary>
                <m:d>
                  <m:dPr>
                    <m:endChr m:val=""/>
                    <m:ctrlPr>
                      <w:rPr>
                        <w:rFonts w:ascii="Cambria Math" w:eastAsia="Cambria Math" w:hAnsi="Cambria Math" w:cs="Cambria Math"/>
                        <w:i/>
                        <w:sz w:val="20"/>
                        <w:szCs w:val="20"/>
                        <w:lang w:eastAsia="en-US"/>
                      </w:rPr>
                    </m:ctrlPr>
                  </m:dPr>
                  <m:e>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EC</m:t>
                        </m:r>
                      </m:e>
                      <m:sub>
                        <m:r>
                          <w:rPr>
                            <w:rFonts w:ascii="Cambria Math" w:eastAsia="Cambria Math" w:hAnsi="Cambria Math" w:cs="Cambria Math"/>
                            <w:sz w:val="20"/>
                            <w:szCs w:val="20"/>
                            <w:lang w:eastAsia="en-US"/>
                          </w:rPr>
                          <m:t>BL,i,UNC,y</m:t>
                        </m:r>
                      </m:sub>
                    </m:sSub>
                    <m:r>
                      <w:rPr>
                        <w:rFonts w:ascii="Cambria Math" w:eastAsia="Cambria Math" w:hAnsi="Cambria Math" w:cs="Cambria Math"/>
                        <w:sz w:val="20"/>
                        <w:szCs w:val="20"/>
                        <w:lang w:eastAsia="en-US"/>
                      </w:rPr>
                      <m:t>×</m:t>
                    </m:r>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fNRB</m:t>
                        </m:r>
                      </m:e>
                      <m:sub>
                        <m:r>
                          <w:rPr>
                            <w:rFonts w:ascii="Cambria Math" w:eastAsia="Cambria Math" w:hAnsi="Cambria Math" w:cs="Cambria Math"/>
                            <w:sz w:val="20"/>
                            <w:szCs w:val="20"/>
                            <w:lang w:eastAsia="en-US"/>
                          </w:rPr>
                          <m:t>i,y</m:t>
                        </m:r>
                      </m:sub>
                    </m:sSub>
                    <m:r>
                      <w:rPr>
                        <w:rFonts w:ascii="Cambria Math" w:eastAsia="Cambria Math" w:hAnsi="Cambria Math" w:cs="Cambria Math"/>
                        <w:sz w:val="20"/>
                        <w:szCs w:val="20"/>
                        <w:lang w:eastAsia="en-US"/>
                      </w:rPr>
                      <m:t>×</m:t>
                    </m:r>
                    <m:d>
                      <m:dPr>
                        <m:ctrlPr>
                          <w:rPr>
                            <w:rFonts w:ascii="Cambria Math" w:eastAsia="Cambria Math" w:hAnsi="Cambria Math" w:cs="Cambria Math"/>
                            <w:i/>
                            <w:sz w:val="20"/>
                            <w:szCs w:val="20"/>
                            <w:lang w:eastAsia="en-US"/>
                          </w:rPr>
                        </m:ctrlPr>
                      </m:dPr>
                      <m:e>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EF</m:t>
                            </m:r>
                          </m:e>
                          <m:sub>
                            <m:r>
                              <w:rPr>
                                <w:rFonts w:ascii="Cambria Math" w:eastAsia="Cambria Math" w:hAnsi="Cambria Math" w:cs="Cambria Math"/>
                                <w:sz w:val="20"/>
                                <w:szCs w:val="20"/>
                                <w:lang w:eastAsia="en-US"/>
                              </w:rPr>
                              <m:t>i,CO2</m:t>
                            </m:r>
                          </m:sub>
                        </m:sSub>
                        <m:r>
                          <w:rPr>
                            <w:rFonts w:ascii="Cambria Math" w:eastAsia="Cambria Math" w:hAnsi="Cambria Math" w:cs="Cambria Math"/>
                            <w:sz w:val="20"/>
                            <w:szCs w:val="20"/>
                            <w:lang w:eastAsia="en-US"/>
                          </w:rPr>
                          <m:t>+</m:t>
                        </m:r>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EF</m:t>
                            </m:r>
                          </m:e>
                          <m:sub>
                            <m:r>
                              <w:rPr>
                                <w:rFonts w:ascii="Cambria Math" w:eastAsia="Cambria Math" w:hAnsi="Cambria Math" w:cs="Cambria Math"/>
                                <w:sz w:val="20"/>
                                <w:szCs w:val="20"/>
                                <w:lang w:eastAsia="en-US"/>
                              </w:rPr>
                              <m:t>i,CO2,upstream</m:t>
                            </m:r>
                          </m:sub>
                        </m:sSub>
                        <m:r>
                          <w:rPr>
                            <w:rFonts w:ascii="Cambria Math" w:eastAsia="Cambria Math" w:hAnsi="Cambria Math" w:cs="Cambria Math"/>
                            <w:sz w:val="20"/>
                            <w:szCs w:val="20"/>
                            <w:lang w:eastAsia="en-US"/>
                          </w:rPr>
                          <m:t>)</m:t>
                        </m:r>
                      </m:e>
                    </m:d>
                  </m:e>
                </m:d>
              </m:oMath>
            </m:oMathPara>
          </w:p>
        </w:tc>
        <w:tc>
          <w:tcPr>
            <w:tcW w:w="1701" w:type="dxa"/>
          </w:tcPr>
          <w:p w14:paraId="1842D905" w14:textId="77777777" w:rsidR="009E3934" w:rsidRPr="009F63DF" w:rsidRDefault="009E3934" w:rsidP="00AF1AC1">
            <w:pPr>
              <w:pStyle w:val="SDMMethEquationNr"/>
              <w:numPr>
                <w:ilvl w:val="0"/>
                <w:numId w:val="29"/>
              </w:numPr>
            </w:pPr>
          </w:p>
        </w:tc>
      </w:tr>
      <w:tr w:rsidR="009E3934" w:rsidRPr="009F63DF" w14:paraId="6CD4C049" w14:textId="77777777" w:rsidTr="00C5477B">
        <w:trPr>
          <w:gridAfter w:val="1"/>
          <w:wAfter w:w="108" w:type="dxa"/>
        </w:trPr>
        <w:tc>
          <w:tcPr>
            <w:tcW w:w="7224" w:type="dxa"/>
          </w:tcPr>
          <w:p w14:paraId="12DF3741" w14:textId="2BF0A399" w:rsidR="009E3934" w:rsidRPr="009F63DF" w:rsidRDefault="001549D8" w:rsidP="00C5477B">
            <w:pPr>
              <w:pStyle w:val="SDMMethEquation"/>
            </w:pPr>
            <m:oMathPara>
              <m:oMathParaPr>
                <m:jc m:val="left"/>
              </m:oMathParaPr>
              <m:oMath>
                <m:sSub>
                  <m:sSubPr>
                    <m:ctrlPr>
                      <w:rPr>
                        <w:rFonts w:ascii="Cambria Math" w:eastAsia="Cambria Math" w:hAnsi="Cambria Math" w:cs="Cambria Math"/>
                        <w:i/>
                        <w:color w:val="000000" w:themeColor="text1"/>
                        <w:sz w:val="20"/>
                        <w:szCs w:val="20"/>
                        <w:lang w:eastAsia="en-US"/>
                      </w:rPr>
                    </m:ctrlPr>
                  </m:sSubPr>
                  <m:e>
                    <m:r>
                      <w:rPr>
                        <w:rFonts w:ascii="Cambria Math" w:eastAsia="Cambria Math" w:hAnsi="Cambria Math" w:cs="Cambria Math"/>
                        <w:color w:val="000000" w:themeColor="text1"/>
                        <w:sz w:val="20"/>
                        <w:szCs w:val="20"/>
                        <w:lang w:eastAsia="en-US"/>
                      </w:rPr>
                      <m:t>BAU</m:t>
                    </m:r>
                  </m:e>
                  <m:sub>
                    <m:r>
                      <w:rPr>
                        <w:rFonts w:ascii="Cambria Math" w:eastAsia="Cambria Math" w:hAnsi="Cambria Math" w:cs="Cambria Math"/>
                        <w:color w:val="000000" w:themeColor="text1"/>
                        <w:sz w:val="20"/>
                        <w:szCs w:val="20"/>
                        <w:lang w:eastAsia="en-US"/>
                      </w:rPr>
                      <m:t>cons,nonCO2,i,y</m:t>
                    </m:r>
                  </m:sub>
                </m:sSub>
                <m:r>
                  <w:rPr>
                    <w:rFonts w:ascii="Cambria Math" w:eastAsia="Cambria Math" w:hAnsi="Cambria Math" w:cs="Cambria Math"/>
                    <w:color w:val="000000" w:themeColor="text1"/>
                    <w:sz w:val="20"/>
                    <w:szCs w:val="20"/>
                    <w:lang w:eastAsia="en-US"/>
                  </w:rPr>
                  <m:t xml:space="preserve"> = </m:t>
                </m:r>
                <m:nary>
                  <m:naryPr>
                    <m:chr m:val="∑"/>
                    <m:supHide m:val="1"/>
                    <m:ctrlPr>
                      <w:rPr>
                        <w:rFonts w:ascii="Cambria Math" w:eastAsia="Cambria Math" w:hAnsi="Cambria Math" w:cs="Cambria Math"/>
                        <w:i/>
                        <w:color w:val="000000" w:themeColor="text1"/>
                        <w:sz w:val="20"/>
                        <w:szCs w:val="20"/>
                        <w:lang w:eastAsia="en-US"/>
                      </w:rPr>
                    </m:ctrlPr>
                  </m:naryPr>
                  <m:sub>
                    <m:r>
                      <w:rPr>
                        <w:rFonts w:ascii="Cambria Math" w:eastAsia="Cambria Math" w:hAnsi="Cambria Math" w:cs="Cambria Math"/>
                        <w:color w:val="000000" w:themeColor="text1"/>
                        <w:sz w:val="20"/>
                        <w:szCs w:val="20"/>
                        <w:lang w:eastAsia="en-US"/>
                      </w:rPr>
                      <m:t>i</m:t>
                    </m:r>
                  </m:sub>
                  <m:sup/>
                  <m:e>
                    <m:r>
                      <w:rPr>
                        <w:rFonts w:ascii="Cambria Math" w:eastAsia="Cambria Math" w:hAnsi="Cambria Math" w:cs="Cambria Math"/>
                        <w:color w:val="000000" w:themeColor="text1"/>
                        <w:sz w:val="20"/>
                        <w:szCs w:val="20"/>
                        <w:lang w:eastAsia="en-US"/>
                      </w:rPr>
                      <m:t xml:space="preserve"> </m:t>
                    </m:r>
                  </m:e>
                </m:nary>
                <m:d>
                  <m:dPr>
                    <m:endChr m:val=""/>
                    <m:ctrlPr>
                      <w:rPr>
                        <w:rFonts w:ascii="Cambria Math" w:eastAsia="Cambria Math" w:hAnsi="Cambria Math" w:cs="Cambria Math"/>
                        <w:i/>
                        <w:color w:val="000000" w:themeColor="text1"/>
                        <w:sz w:val="20"/>
                        <w:szCs w:val="20"/>
                        <w:lang w:eastAsia="en-US"/>
                      </w:rPr>
                    </m:ctrlPr>
                  </m:dPr>
                  <m:e>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EC</m:t>
                        </m:r>
                      </m:e>
                      <m:sub>
                        <m:r>
                          <w:rPr>
                            <w:rFonts w:ascii="Cambria Math" w:eastAsia="Cambria Math" w:hAnsi="Cambria Math" w:cs="Cambria Math"/>
                            <w:sz w:val="20"/>
                            <w:szCs w:val="20"/>
                            <w:lang w:eastAsia="en-US"/>
                          </w:rPr>
                          <m:t>BL,i,UNC,y</m:t>
                        </m:r>
                      </m:sub>
                    </m:sSub>
                    <m:r>
                      <w:rPr>
                        <w:rFonts w:ascii="Cambria Math" w:eastAsia="Cambria Math" w:hAnsi="Cambria Math" w:cs="Cambria Math"/>
                        <w:color w:val="000000" w:themeColor="text1"/>
                        <w:sz w:val="20"/>
                        <w:szCs w:val="20"/>
                        <w:lang w:eastAsia="en-US"/>
                      </w:rPr>
                      <m:t xml:space="preserve"> </m:t>
                    </m:r>
                    <m:r>
                      <w:rPr>
                        <w:rFonts w:ascii="Cambria Math" w:eastAsia="Cambria Math" w:hAnsi="Cambria Math" w:cs="Cambria Math"/>
                        <w:sz w:val="20"/>
                        <w:szCs w:val="20"/>
                        <w:lang w:eastAsia="en-US"/>
                      </w:rPr>
                      <m:t>×</m:t>
                    </m:r>
                    <m:d>
                      <m:dPr>
                        <m:ctrlPr>
                          <w:rPr>
                            <w:rFonts w:ascii="Cambria Math" w:eastAsia="Cambria Math" w:hAnsi="Cambria Math" w:cs="Cambria Math"/>
                            <w:i/>
                            <w:color w:val="000000" w:themeColor="text1"/>
                            <w:sz w:val="20"/>
                            <w:szCs w:val="20"/>
                            <w:lang w:eastAsia="en-US"/>
                          </w:rPr>
                        </m:ctrlPr>
                      </m:dPr>
                      <m:e>
                        <m:sSub>
                          <m:sSubPr>
                            <m:ctrlPr>
                              <w:rPr>
                                <w:rFonts w:ascii="Cambria Math" w:eastAsia="Cambria Math" w:hAnsi="Cambria Math" w:cs="Cambria Math"/>
                                <w:i/>
                                <w:color w:val="000000" w:themeColor="text1"/>
                                <w:sz w:val="20"/>
                                <w:szCs w:val="20"/>
                                <w:lang w:eastAsia="en-US"/>
                              </w:rPr>
                            </m:ctrlPr>
                          </m:sSubPr>
                          <m:e>
                            <m:r>
                              <w:rPr>
                                <w:rFonts w:ascii="Cambria Math" w:eastAsia="Cambria Math" w:hAnsi="Cambria Math" w:cs="Cambria Math"/>
                                <w:color w:val="000000" w:themeColor="text1"/>
                                <w:sz w:val="20"/>
                                <w:szCs w:val="20"/>
                                <w:lang w:eastAsia="en-US"/>
                              </w:rPr>
                              <m:t>EF</m:t>
                            </m:r>
                          </m:e>
                          <m:sub>
                            <m:r>
                              <w:rPr>
                                <w:rFonts w:ascii="Cambria Math" w:eastAsia="Cambria Math" w:hAnsi="Cambria Math" w:cs="Cambria Math"/>
                                <w:color w:val="000000" w:themeColor="text1"/>
                                <w:sz w:val="20"/>
                                <w:szCs w:val="20"/>
                                <w:lang w:eastAsia="en-US"/>
                              </w:rPr>
                              <m:t>i,nonCO2</m:t>
                            </m:r>
                          </m:sub>
                        </m:sSub>
                        <m:r>
                          <w:rPr>
                            <w:rFonts w:ascii="Cambria Math" w:eastAsia="Cambria Math" w:hAnsi="Cambria Math" w:cs="Cambria Math"/>
                            <w:color w:val="000000" w:themeColor="text1"/>
                            <w:sz w:val="20"/>
                            <w:szCs w:val="20"/>
                            <w:lang w:eastAsia="en-US"/>
                          </w:rPr>
                          <m:t>+</m:t>
                        </m:r>
                        <m:sSub>
                          <m:sSubPr>
                            <m:ctrlPr>
                              <w:rPr>
                                <w:rFonts w:ascii="Cambria Math" w:eastAsia="Cambria Math" w:hAnsi="Cambria Math" w:cs="Cambria Math"/>
                                <w:i/>
                                <w:color w:val="000000" w:themeColor="text1"/>
                                <w:sz w:val="20"/>
                                <w:szCs w:val="20"/>
                                <w:lang w:eastAsia="en-US"/>
                              </w:rPr>
                            </m:ctrlPr>
                          </m:sSubPr>
                          <m:e>
                            <m:r>
                              <w:rPr>
                                <w:rFonts w:ascii="Cambria Math" w:eastAsia="Cambria Math" w:hAnsi="Cambria Math" w:cs="Cambria Math"/>
                                <w:color w:val="000000" w:themeColor="text1"/>
                                <w:sz w:val="20"/>
                                <w:szCs w:val="20"/>
                                <w:lang w:eastAsia="en-US"/>
                              </w:rPr>
                              <m:t>EF</m:t>
                            </m:r>
                          </m:e>
                          <m:sub>
                            <m:r>
                              <w:rPr>
                                <w:rFonts w:ascii="Cambria Math" w:eastAsia="Cambria Math" w:hAnsi="Cambria Math" w:cs="Cambria Math"/>
                                <w:color w:val="000000" w:themeColor="text1"/>
                                <w:sz w:val="20"/>
                                <w:szCs w:val="20"/>
                                <w:lang w:eastAsia="en-US"/>
                              </w:rPr>
                              <m:t>i,nonCO2,upstream</m:t>
                            </m:r>
                          </m:sub>
                        </m:sSub>
                        <m:r>
                          <w:rPr>
                            <w:rFonts w:ascii="Cambria Math" w:eastAsia="Cambria Math" w:hAnsi="Cambria Math" w:cs="Cambria Math"/>
                            <w:color w:val="000000" w:themeColor="text1"/>
                            <w:sz w:val="20"/>
                            <w:szCs w:val="20"/>
                            <w:lang w:eastAsia="en-US"/>
                          </w:rPr>
                          <m:t>)</m:t>
                        </m:r>
                      </m:e>
                    </m:d>
                    <m:ctrlPr>
                      <w:rPr>
                        <w:rFonts w:ascii="Cambria Math" w:eastAsia="Cambria Math" w:hAnsi="Cambria Math" w:cstheme="minorBidi"/>
                        <w:i/>
                        <w:color w:val="000000" w:themeColor="text1"/>
                        <w:sz w:val="20"/>
                        <w:szCs w:val="20"/>
                        <w:lang w:eastAsia="en-US"/>
                      </w:rPr>
                    </m:ctrlPr>
                  </m:e>
                </m:d>
              </m:oMath>
            </m:oMathPara>
          </w:p>
        </w:tc>
        <w:tc>
          <w:tcPr>
            <w:tcW w:w="1701" w:type="dxa"/>
          </w:tcPr>
          <w:p w14:paraId="18576BF1" w14:textId="77777777" w:rsidR="009E3934" w:rsidRPr="009F63DF" w:rsidRDefault="009E3934" w:rsidP="00AF1AC1">
            <w:pPr>
              <w:pStyle w:val="SDMMethEquationNr"/>
              <w:numPr>
                <w:ilvl w:val="0"/>
                <w:numId w:val="29"/>
              </w:numPr>
            </w:pPr>
          </w:p>
        </w:tc>
      </w:tr>
      <w:tr w:rsidR="009E3934" w:rsidRPr="009F63DF" w14:paraId="42B5D90B" w14:textId="77777777" w:rsidTr="00C5477B">
        <w:trPr>
          <w:gridAfter w:val="1"/>
          <w:wAfter w:w="108" w:type="dxa"/>
        </w:trPr>
        <w:tc>
          <w:tcPr>
            <w:tcW w:w="7224" w:type="dxa"/>
          </w:tcPr>
          <w:p w14:paraId="4C2F0255" w14:textId="475DB313" w:rsidR="009E3934" w:rsidRPr="009F63DF" w:rsidRDefault="001549D8" w:rsidP="00C5477B">
            <w:pPr>
              <w:pStyle w:val="SDMMethEquation"/>
            </w:pPr>
            <m:oMathPara>
              <m:oMathParaPr>
                <m:jc m:val="left"/>
              </m:oMathParaPr>
              <m:oMath>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BAU</m:t>
                    </m:r>
                  </m:e>
                  <m:sub>
                    <m:r>
                      <w:rPr>
                        <w:rFonts w:ascii="Cambria Math" w:eastAsia="Cambria Math" w:hAnsi="Cambria Math" w:cs="Cambria Math"/>
                        <w:sz w:val="20"/>
                        <w:szCs w:val="20"/>
                        <w:lang w:eastAsia="en-US"/>
                      </w:rPr>
                      <m:t>cons,CO2,j,y</m:t>
                    </m:r>
                  </m:sub>
                </m:sSub>
                <m:r>
                  <w:rPr>
                    <w:rFonts w:ascii="Cambria Math" w:eastAsia="Cambria Math" w:hAnsi="Cambria Math" w:cs="Cambria Math"/>
                    <w:sz w:val="20"/>
                    <w:szCs w:val="20"/>
                  </w:rPr>
                  <m:t xml:space="preserve">= </m:t>
                </m:r>
                <m:nary>
                  <m:naryPr>
                    <m:chr m:val="∑"/>
                    <m:supHide m:val="1"/>
                    <m:ctrlPr>
                      <w:rPr>
                        <w:rFonts w:ascii="Cambria Math" w:eastAsia="Cambria Math" w:hAnsi="Cambria Math" w:cs="Cambria Math"/>
                        <w:i/>
                        <w:sz w:val="20"/>
                        <w:szCs w:val="20"/>
                        <w:lang w:eastAsia="en-US"/>
                      </w:rPr>
                    </m:ctrlPr>
                  </m:naryPr>
                  <m:sub>
                    <m:r>
                      <w:rPr>
                        <w:rFonts w:ascii="Cambria Math" w:eastAsia="Cambria Math" w:hAnsi="Cambria Math" w:cs="Cambria Math"/>
                        <w:sz w:val="20"/>
                        <w:szCs w:val="20"/>
                      </w:rPr>
                      <m:t>j</m:t>
                    </m:r>
                  </m:sub>
                  <m:sup/>
                  <m:e>
                    <m:r>
                      <w:rPr>
                        <w:rFonts w:ascii="Cambria Math" w:eastAsia="Cambria Math" w:hAnsi="Cambria Math" w:cs="Cambria Math"/>
                        <w:sz w:val="20"/>
                        <w:szCs w:val="20"/>
                        <w:lang w:eastAsia="en-US"/>
                      </w:rPr>
                      <m:t xml:space="preserve"> </m:t>
                    </m:r>
                  </m:e>
                </m:nary>
                <m:d>
                  <m:dPr>
                    <m:endChr m:val=""/>
                    <m:ctrlPr>
                      <w:rPr>
                        <w:rFonts w:ascii="Cambria Math" w:eastAsia="Cambria Math" w:hAnsi="Cambria Math" w:cs="Cambria Math"/>
                        <w:i/>
                        <w:sz w:val="20"/>
                        <w:szCs w:val="20"/>
                        <w:lang w:eastAsia="en-US"/>
                      </w:rPr>
                    </m:ctrlPr>
                  </m:dPr>
                  <m:e>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EC</m:t>
                        </m:r>
                      </m:e>
                      <m:sub>
                        <m:r>
                          <w:rPr>
                            <w:rFonts w:ascii="Cambria Math" w:eastAsia="Cambria Math" w:hAnsi="Cambria Math" w:cs="Cambria Math"/>
                            <w:sz w:val="20"/>
                            <w:szCs w:val="20"/>
                            <w:lang w:eastAsia="en-US"/>
                          </w:rPr>
                          <m:t>BL</m:t>
                        </m:r>
                        <m:r>
                          <w:rPr>
                            <w:rFonts w:ascii="Cambria Math" w:eastAsia="Cambria Math" w:hAnsi="Cambria Math" w:cs="Cambria Math"/>
                            <w:sz w:val="20"/>
                            <w:szCs w:val="20"/>
                          </w:rPr>
                          <m:t>,j</m:t>
                        </m:r>
                        <m:r>
                          <w:rPr>
                            <w:rFonts w:ascii="Cambria Math" w:eastAsia="Cambria Math" w:hAnsi="Cambria Math" w:cs="Cambria Math"/>
                            <w:sz w:val="20"/>
                            <w:szCs w:val="20"/>
                            <w:lang w:eastAsia="en-US"/>
                          </w:rPr>
                          <m:t>,</m:t>
                        </m:r>
                        <m:r>
                          <w:rPr>
                            <w:rFonts w:ascii="Cambria Math" w:eastAsia="Cambria Math" w:hAnsi="Cambria Math" w:cs="Cambria Math"/>
                            <w:sz w:val="20"/>
                            <w:szCs w:val="20"/>
                          </w:rPr>
                          <m:t>UNC,</m:t>
                        </m:r>
                        <m:r>
                          <w:rPr>
                            <w:rFonts w:ascii="Cambria Math" w:eastAsia="Cambria Math" w:hAnsi="Cambria Math" w:cs="Cambria Math"/>
                            <w:sz w:val="20"/>
                            <w:szCs w:val="20"/>
                            <w:lang w:eastAsia="en-US"/>
                          </w:rPr>
                          <m:t>y</m:t>
                        </m:r>
                      </m:sub>
                    </m:sSub>
                    <m:r>
                      <w:rPr>
                        <w:rFonts w:ascii="Cambria Math" w:eastAsia="Cambria Math" w:hAnsi="Cambria Math" w:cs="Cambria Math"/>
                        <w:sz w:val="20"/>
                        <w:szCs w:val="20"/>
                        <w:lang w:eastAsia="en-US"/>
                      </w:rPr>
                      <m:t>×</m:t>
                    </m:r>
                    <m:r>
                      <w:rPr>
                        <w:rFonts w:ascii="Cambria Math" w:eastAsia="Cambria Math" w:hAnsi="Cambria Math" w:cs="Cambria Math"/>
                        <w:sz w:val="20"/>
                        <w:szCs w:val="20"/>
                      </w:rPr>
                      <m:t xml:space="preserve"> </m:t>
                    </m:r>
                    <m:sSub>
                      <m:sSubPr>
                        <m:ctrlPr>
                          <w:rPr>
                            <w:rFonts w:ascii="Cambria Math" w:hAnsi="Cambria Math"/>
                            <w:i/>
                            <w:sz w:val="20"/>
                            <w:szCs w:val="20"/>
                            <w:lang w:eastAsia="en-US"/>
                          </w:rPr>
                        </m:ctrlPr>
                      </m:sSubPr>
                      <m:e>
                        <m:r>
                          <w:rPr>
                            <w:rFonts w:ascii="Cambria Math" w:hAnsi="Cambria Math"/>
                            <w:sz w:val="20"/>
                            <w:szCs w:val="20"/>
                            <w:lang w:eastAsia="en-US"/>
                          </w:rPr>
                          <m:t>EF</m:t>
                        </m:r>
                      </m:e>
                      <m:sub>
                        <m:r>
                          <w:rPr>
                            <w:rFonts w:ascii="Cambria Math" w:hAnsi="Cambria Math"/>
                            <w:sz w:val="20"/>
                            <w:szCs w:val="20"/>
                            <w:lang w:eastAsia="en-US"/>
                          </w:rPr>
                          <m:t>j,CO2</m:t>
                        </m:r>
                      </m:sub>
                    </m:sSub>
                    <m:r>
                      <w:rPr>
                        <w:rFonts w:ascii="Cambria Math" w:hAnsi="Cambria Math"/>
                        <w:sz w:val="20"/>
                        <w:szCs w:val="20"/>
                      </w:rPr>
                      <m:t>)</m:t>
                    </m:r>
                  </m:e>
                </m:d>
              </m:oMath>
            </m:oMathPara>
          </w:p>
        </w:tc>
        <w:tc>
          <w:tcPr>
            <w:tcW w:w="1701" w:type="dxa"/>
          </w:tcPr>
          <w:p w14:paraId="42794E18" w14:textId="77777777" w:rsidR="009E3934" w:rsidRPr="009F63DF" w:rsidRDefault="009E3934" w:rsidP="00AF1AC1">
            <w:pPr>
              <w:pStyle w:val="SDMMethEquationNr"/>
              <w:numPr>
                <w:ilvl w:val="0"/>
                <w:numId w:val="29"/>
              </w:numPr>
            </w:pPr>
          </w:p>
        </w:tc>
      </w:tr>
      <w:tr w:rsidR="009E3934" w:rsidRPr="009F63DF" w14:paraId="4C6C669F" w14:textId="77777777" w:rsidTr="00C5477B">
        <w:trPr>
          <w:gridAfter w:val="1"/>
          <w:wAfter w:w="108" w:type="dxa"/>
        </w:trPr>
        <w:tc>
          <w:tcPr>
            <w:tcW w:w="7224" w:type="dxa"/>
          </w:tcPr>
          <w:p w14:paraId="4B7642CF" w14:textId="61249CA2" w:rsidR="009E3934" w:rsidRPr="009F63DF" w:rsidRDefault="001549D8" w:rsidP="00C5477B">
            <w:pPr>
              <w:pStyle w:val="SDMMethEquation"/>
            </w:pPr>
            <m:oMathPara>
              <m:oMathParaPr>
                <m:jc m:val="left"/>
              </m:oMathParaPr>
              <m:oMath>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BAU</m:t>
                    </m:r>
                  </m:e>
                  <m:sub>
                    <m:r>
                      <w:rPr>
                        <w:rFonts w:ascii="Cambria Math" w:eastAsia="Cambria Math" w:hAnsi="Cambria Math" w:cs="Cambria Math"/>
                        <w:sz w:val="20"/>
                        <w:szCs w:val="20"/>
                        <w:lang w:eastAsia="en-US"/>
                      </w:rPr>
                      <m:t>cons,nonCO2,j,y</m:t>
                    </m:r>
                  </m:sub>
                </m:sSub>
                <m:r>
                  <w:rPr>
                    <w:rFonts w:ascii="Cambria Math" w:eastAsia="Cambria Math" w:hAnsi="Cambria Math" w:cs="Cambria Math"/>
                    <w:sz w:val="20"/>
                    <w:szCs w:val="20"/>
                  </w:rPr>
                  <m:t xml:space="preserve">= </m:t>
                </m:r>
                <m:nary>
                  <m:naryPr>
                    <m:chr m:val="∑"/>
                    <m:supHide m:val="1"/>
                    <m:ctrlPr>
                      <w:rPr>
                        <w:rFonts w:ascii="Cambria Math" w:eastAsia="Cambria Math" w:hAnsi="Cambria Math" w:cs="Cambria Math"/>
                        <w:i/>
                        <w:sz w:val="20"/>
                        <w:szCs w:val="20"/>
                        <w:lang w:eastAsia="en-US"/>
                      </w:rPr>
                    </m:ctrlPr>
                  </m:naryPr>
                  <m:sub>
                    <m:r>
                      <w:rPr>
                        <w:rFonts w:ascii="Cambria Math" w:eastAsia="Cambria Math" w:hAnsi="Cambria Math" w:cs="Cambria Math"/>
                        <w:sz w:val="20"/>
                        <w:szCs w:val="20"/>
                      </w:rPr>
                      <m:t>j</m:t>
                    </m:r>
                  </m:sub>
                  <m:sup/>
                  <m:e>
                    <m:r>
                      <w:rPr>
                        <w:rFonts w:ascii="Cambria Math" w:eastAsia="Cambria Math" w:hAnsi="Cambria Math" w:cs="Cambria Math"/>
                        <w:sz w:val="20"/>
                        <w:szCs w:val="20"/>
                        <w:lang w:eastAsia="en-US"/>
                      </w:rPr>
                      <m:t xml:space="preserve"> </m:t>
                    </m:r>
                  </m:e>
                </m:nary>
                <m:d>
                  <m:dPr>
                    <m:endChr m:val=""/>
                    <m:ctrlPr>
                      <w:rPr>
                        <w:rFonts w:ascii="Cambria Math" w:eastAsia="Cambria Math" w:hAnsi="Cambria Math" w:cs="Cambria Math"/>
                        <w:i/>
                        <w:sz w:val="20"/>
                        <w:szCs w:val="20"/>
                        <w:lang w:eastAsia="en-US"/>
                      </w:rPr>
                    </m:ctrlPr>
                  </m:dPr>
                  <m:e>
                    <m:sSub>
                      <m:sSubPr>
                        <m:ctrlPr>
                          <w:rPr>
                            <w:rFonts w:ascii="Cambria Math" w:eastAsia="Cambria Math" w:hAnsi="Cambria Math" w:cs="Cambria Math"/>
                            <w:i/>
                            <w:sz w:val="20"/>
                            <w:szCs w:val="20"/>
                            <w:lang w:eastAsia="en-US"/>
                          </w:rPr>
                        </m:ctrlPr>
                      </m:sSubPr>
                      <m:e>
                        <m:r>
                          <w:rPr>
                            <w:rFonts w:ascii="Cambria Math" w:eastAsia="Cambria Math" w:hAnsi="Cambria Math" w:cs="Cambria Math"/>
                            <w:sz w:val="20"/>
                            <w:szCs w:val="20"/>
                            <w:lang w:eastAsia="en-US"/>
                          </w:rPr>
                          <m:t>EC</m:t>
                        </m:r>
                      </m:e>
                      <m:sub>
                        <m:r>
                          <w:rPr>
                            <w:rFonts w:ascii="Cambria Math" w:eastAsia="Cambria Math" w:hAnsi="Cambria Math" w:cs="Cambria Math"/>
                            <w:sz w:val="20"/>
                            <w:szCs w:val="20"/>
                            <w:lang w:eastAsia="en-US"/>
                          </w:rPr>
                          <m:t>BL</m:t>
                        </m:r>
                        <m:r>
                          <w:rPr>
                            <w:rFonts w:ascii="Cambria Math" w:eastAsia="Cambria Math" w:hAnsi="Cambria Math" w:cs="Cambria Math"/>
                            <w:sz w:val="20"/>
                            <w:szCs w:val="20"/>
                          </w:rPr>
                          <m:t>,j</m:t>
                        </m:r>
                        <m:r>
                          <w:rPr>
                            <w:rFonts w:ascii="Cambria Math" w:eastAsia="Cambria Math" w:hAnsi="Cambria Math" w:cs="Cambria Math"/>
                            <w:sz w:val="20"/>
                            <w:szCs w:val="20"/>
                            <w:lang w:eastAsia="en-US"/>
                          </w:rPr>
                          <m:t>,</m:t>
                        </m:r>
                        <m:r>
                          <w:rPr>
                            <w:rFonts w:ascii="Cambria Math" w:eastAsia="Cambria Math" w:hAnsi="Cambria Math" w:cs="Cambria Math"/>
                            <w:sz w:val="20"/>
                            <w:szCs w:val="20"/>
                          </w:rPr>
                          <m:t>UNC,</m:t>
                        </m:r>
                        <m:r>
                          <w:rPr>
                            <w:rFonts w:ascii="Cambria Math" w:eastAsia="Cambria Math" w:hAnsi="Cambria Math" w:cs="Cambria Math"/>
                            <w:sz w:val="20"/>
                            <w:szCs w:val="20"/>
                            <w:lang w:eastAsia="en-US"/>
                          </w:rPr>
                          <m:t>y</m:t>
                        </m:r>
                      </m:sub>
                    </m:sSub>
                    <m:r>
                      <w:rPr>
                        <w:rFonts w:ascii="Cambria Math" w:eastAsia="Cambria Math" w:hAnsi="Cambria Math" w:cs="Cambria Math"/>
                        <w:sz w:val="20"/>
                        <w:szCs w:val="20"/>
                        <w:lang w:eastAsia="en-US"/>
                      </w:rPr>
                      <m:t>×</m:t>
                    </m:r>
                    <m:r>
                      <w:rPr>
                        <w:rFonts w:ascii="Cambria Math" w:eastAsia="Cambria Math" w:hAnsi="Cambria Math" w:cs="Cambria Math"/>
                        <w:sz w:val="20"/>
                        <w:szCs w:val="20"/>
                      </w:rPr>
                      <m:t xml:space="preserve"> </m:t>
                    </m:r>
                    <m:sSub>
                      <m:sSubPr>
                        <m:ctrlPr>
                          <w:rPr>
                            <w:rFonts w:ascii="Cambria Math" w:hAnsi="Cambria Math"/>
                            <w:i/>
                            <w:sz w:val="20"/>
                            <w:szCs w:val="20"/>
                            <w:lang w:eastAsia="en-US"/>
                          </w:rPr>
                        </m:ctrlPr>
                      </m:sSubPr>
                      <m:e>
                        <m:r>
                          <w:rPr>
                            <w:rFonts w:ascii="Cambria Math" w:hAnsi="Cambria Math"/>
                            <w:sz w:val="20"/>
                            <w:szCs w:val="20"/>
                            <w:lang w:eastAsia="en-US"/>
                          </w:rPr>
                          <m:t>EF</m:t>
                        </m:r>
                      </m:e>
                      <m:sub>
                        <m:r>
                          <w:rPr>
                            <w:rFonts w:ascii="Cambria Math" w:hAnsi="Cambria Math"/>
                            <w:sz w:val="20"/>
                            <w:szCs w:val="20"/>
                            <w:lang w:eastAsia="en-US"/>
                          </w:rPr>
                          <m:t>j,</m:t>
                        </m:r>
                        <m:r>
                          <w:rPr>
                            <w:rFonts w:ascii="Cambria Math" w:hAnsi="Cambria Math"/>
                            <w:sz w:val="20"/>
                            <w:szCs w:val="20"/>
                          </w:rPr>
                          <m:t>non</m:t>
                        </m:r>
                        <m:r>
                          <w:rPr>
                            <w:rFonts w:ascii="Cambria Math" w:hAnsi="Cambria Math"/>
                            <w:sz w:val="20"/>
                            <w:szCs w:val="20"/>
                            <w:lang w:eastAsia="en-US"/>
                          </w:rPr>
                          <m:t>CO2</m:t>
                        </m:r>
                      </m:sub>
                    </m:sSub>
                    <m:r>
                      <w:rPr>
                        <w:rFonts w:ascii="Cambria Math" w:hAnsi="Cambria Math"/>
                        <w:sz w:val="20"/>
                        <w:szCs w:val="20"/>
                      </w:rPr>
                      <m:t>)</m:t>
                    </m:r>
                  </m:e>
                </m:d>
              </m:oMath>
            </m:oMathPara>
          </w:p>
        </w:tc>
        <w:tc>
          <w:tcPr>
            <w:tcW w:w="1701" w:type="dxa"/>
          </w:tcPr>
          <w:p w14:paraId="12EDEB66" w14:textId="77777777" w:rsidR="009E3934" w:rsidRPr="009F63DF" w:rsidRDefault="009E3934" w:rsidP="00AF1AC1">
            <w:pPr>
              <w:pStyle w:val="SDMMethEquationNr"/>
              <w:numPr>
                <w:ilvl w:val="0"/>
                <w:numId w:val="29"/>
              </w:numPr>
            </w:pPr>
          </w:p>
        </w:tc>
      </w:tr>
    </w:tbl>
    <w:p w14:paraId="75A9AEEF" w14:textId="77777777" w:rsidR="009E3934" w:rsidRPr="009F63DF" w:rsidRDefault="009E3934"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9E3934" w:rsidRPr="009F63DF" w14:paraId="38B9A9F5" w14:textId="77777777" w:rsidTr="00F04DE3">
        <w:tc>
          <w:tcPr>
            <w:tcW w:w="1701" w:type="dxa"/>
            <w:vAlign w:val="top"/>
          </w:tcPr>
          <w:p w14:paraId="09A90A7A" w14:textId="2F5CD186" w:rsidR="009E3934" w:rsidRPr="009F63DF" w:rsidRDefault="001549D8" w:rsidP="00A80A83">
            <w:pPr>
              <w:pStyle w:val="SDMTableBoxParaNotNumbered"/>
            </w:pPr>
            <m:oMathPara>
              <m:oMathParaPr>
                <m:jc m:val="left"/>
              </m:oMathParaPr>
              <m:oMath>
                <m:sSub>
                  <m:sSubPr>
                    <m:ctrlPr>
                      <w:rPr>
                        <w:rFonts w:ascii="Cambria Math" w:eastAsia="Cambria Math" w:hAnsi="Cambria Math" w:cstheme="minorBidi"/>
                        <w:lang w:eastAsia="en-US"/>
                      </w:rPr>
                    </m:ctrlPr>
                  </m:sSubPr>
                  <m:e>
                    <m:r>
                      <w:rPr>
                        <w:rFonts w:ascii="Cambria Math" w:eastAsia="Cambria Math" w:hAnsi="Cambria Math" w:cstheme="minorBidi"/>
                        <w:lang w:eastAsia="en-US"/>
                      </w:rPr>
                      <m:t>BAU</m:t>
                    </m:r>
                  </m:e>
                  <m:sub>
                    <m:r>
                      <w:rPr>
                        <w:rFonts w:ascii="Cambria Math" w:eastAsia="Cambria Math" w:hAnsi="Cambria Math" w:cstheme="minorBidi"/>
                        <w:lang w:eastAsia="en-US"/>
                      </w:rPr>
                      <m:t>cons,y</m:t>
                    </m:r>
                  </m:sub>
                </m:sSub>
              </m:oMath>
            </m:oMathPara>
          </w:p>
        </w:tc>
        <w:tc>
          <w:tcPr>
            <w:tcW w:w="345" w:type="dxa"/>
            <w:vAlign w:val="top"/>
          </w:tcPr>
          <w:p w14:paraId="3503A357" w14:textId="77777777" w:rsidR="009E3934" w:rsidRPr="009F63DF" w:rsidRDefault="009E3934" w:rsidP="00A80A83">
            <w:pPr>
              <w:pStyle w:val="SDMTableBoxParaNotNumbered"/>
            </w:pPr>
            <w:r w:rsidRPr="009F63DF">
              <w:t>=</w:t>
            </w:r>
          </w:p>
        </w:tc>
        <w:tc>
          <w:tcPr>
            <w:tcW w:w="0" w:type="auto"/>
            <w:vAlign w:val="top"/>
          </w:tcPr>
          <w:p w14:paraId="679E2336" w14:textId="5BED26EA" w:rsidR="009E3934" w:rsidRPr="009F63DF" w:rsidRDefault="00D8442C" w:rsidP="00A80A83">
            <w:pPr>
              <w:pStyle w:val="SDMTableBoxParaNotNumbered"/>
            </w:pPr>
            <w:r w:rsidRPr="009F63DF">
              <w:t xml:space="preserve">Conservative BAU baseline emissions during year </w:t>
            </w:r>
            <w:r w:rsidRPr="009F63DF">
              <w:rPr>
                <w:i/>
              </w:rPr>
              <w:t>y</w:t>
            </w:r>
          </w:p>
        </w:tc>
      </w:tr>
      <w:tr w:rsidR="009E3934" w:rsidRPr="009F63DF" w14:paraId="138F03C5" w14:textId="77777777" w:rsidTr="00F04DE3">
        <w:tc>
          <w:tcPr>
            <w:tcW w:w="1701" w:type="dxa"/>
            <w:vAlign w:val="top"/>
          </w:tcPr>
          <w:p w14:paraId="7187B7A3" w14:textId="4F2DBDA4" w:rsidR="009E3934" w:rsidRPr="009F63DF" w:rsidRDefault="001549D8" w:rsidP="00A80A83">
            <w:pPr>
              <w:pStyle w:val="SDMTableBoxParaNotNumbered"/>
            </w:pPr>
            <m:oMathPara>
              <m:oMathParaPr>
                <m:jc m:val="left"/>
              </m:oMathParaPr>
              <m:oMath>
                <m:sSub>
                  <m:sSubPr>
                    <m:ctrlPr>
                      <w:rPr>
                        <w:rFonts w:ascii="Cambria Math" w:eastAsia="Cambria Math" w:hAnsi="Cambria Math" w:cstheme="minorBidi"/>
                        <w:i/>
                        <w:lang w:eastAsia="en-US"/>
                      </w:rPr>
                    </m:ctrlPr>
                  </m:sSubPr>
                  <m:e>
                    <m:r>
                      <w:rPr>
                        <w:rFonts w:ascii="Cambria Math" w:eastAsia="Cambria Math" w:hAnsi="Cambria Math" w:cstheme="minorBidi"/>
                        <w:lang w:eastAsia="en-US"/>
                      </w:rPr>
                      <m:t>BAU</m:t>
                    </m:r>
                  </m:e>
                  <m:sub>
                    <m:r>
                      <w:rPr>
                        <w:rFonts w:ascii="Cambria Math" w:eastAsia="Cambria Math" w:hAnsi="Cambria Math" w:cstheme="minorBidi"/>
                        <w:lang w:eastAsia="en-US"/>
                      </w:rPr>
                      <m:t>cons, CO2,rr,i,y</m:t>
                    </m:r>
                  </m:sub>
                </m:sSub>
              </m:oMath>
            </m:oMathPara>
          </w:p>
        </w:tc>
        <w:tc>
          <w:tcPr>
            <w:tcW w:w="345" w:type="dxa"/>
            <w:vAlign w:val="top"/>
          </w:tcPr>
          <w:p w14:paraId="7E9CE5B7" w14:textId="4B5F3044" w:rsidR="009E3934" w:rsidRPr="009F63DF" w:rsidRDefault="009E3934" w:rsidP="00A80A83">
            <w:pPr>
              <w:pStyle w:val="SDMTableBoxParaNotNumbered"/>
            </w:pPr>
            <w:r w:rsidRPr="009F63DF">
              <w:t>=</w:t>
            </w:r>
          </w:p>
        </w:tc>
        <w:tc>
          <w:tcPr>
            <w:tcW w:w="0" w:type="auto"/>
            <w:vAlign w:val="top"/>
          </w:tcPr>
          <w:p w14:paraId="6425A746" w14:textId="649EBD18" w:rsidR="009E3934" w:rsidRPr="009F63DF" w:rsidRDefault="00D8442C" w:rsidP="00A80A83">
            <w:pPr>
              <w:pStyle w:val="SDMTableBoxParaNotNumbered"/>
            </w:pPr>
            <w:r w:rsidRPr="009F63DF">
              <w:t xml:space="preserve">Conservative BAU baseline emissions that are subject to reversal risk of primary fuel types </w:t>
            </w:r>
            <w:r w:rsidRPr="009F63DF">
              <w:rPr>
                <w:i/>
              </w:rPr>
              <w:t>i</w:t>
            </w:r>
            <w:r w:rsidRPr="009F63DF">
              <w:t xml:space="preserve"> in year </w:t>
            </w:r>
            <w:r w:rsidRPr="009F63DF">
              <w:rPr>
                <w:i/>
              </w:rPr>
              <w:t>y</w:t>
            </w:r>
            <w:r w:rsidRPr="009F63DF">
              <w:t xml:space="preserve"> (t</w:t>
            </w:r>
            <w:r w:rsidR="00E513B2">
              <w:t xml:space="preserve"> </w:t>
            </w:r>
            <w:r w:rsidRPr="009F63DF">
              <w:t>CO</w:t>
            </w:r>
            <w:r w:rsidRPr="009F63DF">
              <w:rPr>
                <w:vertAlign w:val="subscript"/>
              </w:rPr>
              <w:t>2</w:t>
            </w:r>
            <w:r w:rsidRPr="009F63DF">
              <w:t>)</w:t>
            </w:r>
          </w:p>
        </w:tc>
      </w:tr>
      <w:tr w:rsidR="009E3934" w:rsidRPr="009F63DF" w14:paraId="19186388" w14:textId="77777777" w:rsidTr="00F04DE3">
        <w:tc>
          <w:tcPr>
            <w:tcW w:w="1701" w:type="dxa"/>
            <w:vAlign w:val="top"/>
          </w:tcPr>
          <w:p w14:paraId="0A134DE4" w14:textId="228776E5" w:rsidR="009E3934" w:rsidRPr="009F63DF" w:rsidRDefault="001549D8" w:rsidP="00A80A83">
            <w:pPr>
              <w:pStyle w:val="SDMTableBoxParaNotNumbered"/>
            </w:pPr>
            <m:oMathPara>
              <m:oMath>
                <m:sSub>
                  <m:sSubPr>
                    <m:ctrlPr>
                      <w:rPr>
                        <w:rFonts w:ascii="Cambria Math" w:eastAsia="Cambria Math" w:hAnsi="Cambria Math" w:cstheme="minorBidi"/>
                        <w:i/>
                        <w:lang w:eastAsia="en-US"/>
                      </w:rPr>
                    </m:ctrlPr>
                  </m:sSubPr>
                  <m:e>
                    <m:r>
                      <w:rPr>
                        <w:rFonts w:ascii="Cambria Math" w:eastAsia="Cambria Math" w:hAnsi="Cambria Math" w:cstheme="minorBidi"/>
                        <w:lang w:eastAsia="en-US"/>
                      </w:rPr>
                      <m:t>BAU</m:t>
                    </m:r>
                  </m:e>
                  <m:sub>
                    <m:r>
                      <w:rPr>
                        <w:rFonts w:ascii="Cambria Math" w:eastAsia="Cambria Math" w:hAnsi="Cambria Math" w:cstheme="minorBidi"/>
                        <w:lang w:eastAsia="en-US"/>
                      </w:rPr>
                      <m:t>cons,nonCO2,i,y</m:t>
                    </m:r>
                  </m:sub>
                </m:sSub>
              </m:oMath>
            </m:oMathPara>
          </w:p>
        </w:tc>
        <w:tc>
          <w:tcPr>
            <w:tcW w:w="345" w:type="dxa"/>
            <w:vAlign w:val="top"/>
          </w:tcPr>
          <w:p w14:paraId="219FC7F2" w14:textId="1DCB753A" w:rsidR="009E3934" w:rsidRPr="009F63DF" w:rsidRDefault="009E3934" w:rsidP="00A80A83">
            <w:pPr>
              <w:pStyle w:val="SDMTableBoxParaNotNumbered"/>
            </w:pPr>
            <w:r w:rsidRPr="009F63DF">
              <w:t>=</w:t>
            </w:r>
          </w:p>
        </w:tc>
        <w:tc>
          <w:tcPr>
            <w:tcW w:w="0" w:type="auto"/>
            <w:vAlign w:val="top"/>
          </w:tcPr>
          <w:p w14:paraId="09C65786" w14:textId="7CE7D336" w:rsidR="009E3934" w:rsidRPr="009F63DF" w:rsidRDefault="00D8442C" w:rsidP="00A80A83">
            <w:pPr>
              <w:pStyle w:val="SDMTableBoxParaNotNumbered"/>
            </w:pPr>
            <w:r w:rsidRPr="009F63DF">
              <w:t>Conservative BAU non-CO</w:t>
            </w:r>
            <w:r w:rsidRPr="009F63DF">
              <w:rPr>
                <w:vertAlign w:val="subscript"/>
              </w:rPr>
              <w:t>2</w:t>
            </w:r>
            <w:r w:rsidRPr="009F63DF">
              <w:t xml:space="preserve"> baseline emission</w:t>
            </w:r>
            <w:r w:rsidR="00DC66F8" w:rsidRPr="009F63DF">
              <w:t>s</w:t>
            </w:r>
            <w:r w:rsidRPr="009F63DF">
              <w:t xml:space="preserve"> for primary fuel types </w:t>
            </w:r>
            <w:r w:rsidRPr="009F63DF">
              <w:rPr>
                <w:i/>
              </w:rPr>
              <w:t>i</w:t>
            </w:r>
            <w:r w:rsidRPr="009F63DF">
              <w:t xml:space="preserve"> in year </w:t>
            </w:r>
            <w:r w:rsidRPr="009F63DF">
              <w:rPr>
                <w:i/>
              </w:rPr>
              <w:t>y</w:t>
            </w:r>
            <w:r w:rsidRPr="009F63DF">
              <w:t xml:space="preserve"> (t </w:t>
            </w:r>
            <w:r w:rsidRPr="00E513B2">
              <w:t>CO</w:t>
            </w:r>
            <w:r w:rsidRPr="00F24A78">
              <w:rPr>
                <w:vertAlign w:val="subscript"/>
              </w:rPr>
              <w:t>2</w:t>
            </w:r>
            <w:r w:rsidR="00E513B2">
              <w:t xml:space="preserve"> </w:t>
            </w:r>
            <w:r w:rsidRPr="00E513B2">
              <w:t>eq</w:t>
            </w:r>
            <w:r w:rsidRPr="009F63DF">
              <w:t>)</w:t>
            </w:r>
          </w:p>
        </w:tc>
      </w:tr>
      <w:tr w:rsidR="009E3934" w:rsidRPr="009F63DF" w14:paraId="5308F7BB" w14:textId="77777777" w:rsidTr="00F04DE3">
        <w:tc>
          <w:tcPr>
            <w:tcW w:w="1701" w:type="dxa"/>
            <w:vAlign w:val="top"/>
          </w:tcPr>
          <w:p w14:paraId="0E691A4C" w14:textId="1E577F00" w:rsidR="009E3934" w:rsidRPr="009F63DF" w:rsidRDefault="001549D8" w:rsidP="00A80A83">
            <w:pPr>
              <w:pStyle w:val="SDMTableBoxParaNotNumbered"/>
            </w:pPr>
            <m:oMathPara>
              <m:oMathParaPr>
                <m:jc m:val="left"/>
              </m:oMathParaPr>
              <m:oMath>
                <m:sSub>
                  <m:sSubPr>
                    <m:ctrlPr>
                      <w:rPr>
                        <w:rFonts w:ascii="Cambria Math" w:eastAsia="Cambria Math" w:hAnsi="Cambria Math" w:cstheme="minorBidi"/>
                        <w:i/>
                        <w:lang w:eastAsia="en-US"/>
                      </w:rPr>
                    </m:ctrlPr>
                  </m:sSubPr>
                  <m:e>
                    <m:r>
                      <w:rPr>
                        <w:rFonts w:ascii="Cambria Math" w:eastAsia="Cambria Math" w:hAnsi="Cambria Math" w:cstheme="minorBidi"/>
                        <w:lang w:eastAsia="en-US"/>
                      </w:rPr>
                      <m:t>BAU</m:t>
                    </m:r>
                  </m:e>
                  <m:sub>
                    <m:r>
                      <w:rPr>
                        <w:rFonts w:ascii="Cambria Math" w:eastAsia="Cambria Math" w:hAnsi="Cambria Math" w:cstheme="minorBidi"/>
                        <w:lang w:eastAsia="en-US"/>
                      </w:rPr>
                      <m:t>cons,CO2,j,y</m:t>
                    </m:r>
                  </m:sub>
                </m:sSub>
              </m:oMath>
            </m:oMathPara>
          </w:p>
        </w:tc>
        <w:tc>
          <w:tcPr>
            <w:tcW w:w="345" w:type="dxa"/>
            <w:vAlign w:val="top"/>
          </w:tcPr>
          <w:p w14:paraId="71227DC5" w14:textId="215CE15A" w:rsidR="009E3934" w:rsidRPr="009F63DF" w:rsidRDefault="009E3934" w:rsidP="00A80A83">
            <w:pPr>
              <w:pStyle w:val="SDMTableBoxParaNotNumbered"/>
            </w:pPr>
            <w:r w:rsidRPr="009F63DF">
              <w:t>=</w:t>
            </w:r>
          </w:p>
        </w:tc>
        <w:tc>
          <w:tcPr>
            <w:tcW w:w="0" w:type="auto"/>
            <w:vAlign w:val="top"/>
          </w:tcPr>
          <w:p w14:paraId="533FD631" w14:textId="5AC5FA7B" w:rsidR="009E3934" w:rsidRPr="009F63DF" w:rsidRDefault="00D8442C" w:rsidP="00A80A83">
            <w:pPr>
              <w:pStyle w:val="SDMTableBoxParaNotNumbered"/>
            </w:pPr>
            <w:r w:rsidRPr="009F63DF">
              <w:t xml:space="preserve">Conservative BAU baseline emissions of secondary fuel types </w:t>
            </w:r>
            <w:r w:rsidRPr="009F63DF">
              <w:rPr>
                <w:i/>
              </w:rPr>
              <w:t>i</w:t>
            </w:r>
            <w:r w:rsidRPr="009F63DF">
              <w:t xml:space="preserve"> in year </w:t>
            </w:r>
            <w:r w:rsidRPr="009F63DF">
              <w:rPr>
                <w:i/>
              </w:rPr>
              <w:t>y</w:t>
            </w:r>
            <w:r w:rsidRPr="009F63DF">
              <w:t xml:space="preserve"> (t</w:t>
            </w:r>
            <w:r w:rsidR="002D31E1">
              <w:t xml:space="preserve"> </w:t>
            </w:r>
            <w:r w:rsidRPr="002D31E1">
              <w:t>CO</w:t>
            </w:r>
            <w:r w:rsidRPr="002D31E1">
              <w:rPr>
                <w:vertAlign w:val="subscript"/>
              </w:rPr>
              <w:t>2</w:t>
            </w:r>
            <w:r w:rsidR="00935CAB">
              <w:t xml:space="preserve"> </w:t>
            </w:r>
            <w:r w:rsidRPr="002D31E1">
              <w:t>eq</w:t>
            </w:r>
            <w:r w:rsidRPr="009F63DF">
              <w:t>)</w:t>
            </w:r>
          </w:p>
        </w:tc>
      </w:tr>
      <w:tr w:rsidR="009E3934" w:rsidRPr="009F63DF" w14:paraId="1511FE5B" w14:textId="77777777" w:rsidTr="00F04DE3">
        <w:tc>
          <w:tcPr>
            <w:tcW w:w="1701" w:type="dxa"/>
            <w:vAlign w:val="top"/>
          </w:tcPr>
          <w:p w14:paraId="0449C801" w14:textId="14FEE9FE" w:rsidR="009E3934" w:rsidRPr="009F63DF" w:rsidRDefault="001549D8" w:rsidP="00A80A83">
            <w:pPr>
              <w:pStyle w:val="SDMTableBoxParaNotNumbered"/>
            </w:pPr>
            <m:oMathPara>
              <m:oMathParaPr>
                <m:jc m:val="left"/>
              </m:oMathParaPr>
              <m:oMath>
                <m:sSub>
                  <m:sSubPr>
                    <m:ctrlPr>
                      <w:rPr>
                        <w:rFonts w:ascii="Cambria Math" w:eastAsia="Cambria Math" w:hAnsi="Cambria Math" w:cstheme="minorBidi"/>
                        <w:i/>
                        <w:lang w:eastAsia="en-US"/>
                      </w:rPr>
                    </m:ctrlPr>
                  </m:sSubPr>
                  <m:e>
                    <m:r>
                      <w:rPr>
                        <w:rFonts w:ascii="Cambria Math" w:eastAsia="Cambria Math" w:hAnsi="Cambria Math" w:cstheme="minorBidi"/>
                        <w:lang w:eastAsia="en-US"/>
                      </w:rPr>
                      <m:t>BAU</m:t>
                    </m:r>
                  </m:e>
                  <m:sub>
                    <m:r>
                      <w:rPr>
                        <w:rFonts w:ascii="Cambria Math" w:eastAsia="Cambria Math" w:hAnsi="Cambria Math" w:cstheme="minorBidi"/>
                        <w:lang w:eastAsia="en-US"/>
                      </w:rPr>
                      <m:t>cons,nonCO2,j,y</m:t>
                    </m:r>
                  </m:sub>
                </m:sSub>
              </m:oMath>
            </m:oMathPara>
          </w:p>
        </w:tc>
        <w:tc>
          <w:tcPr>
            <w:tcW w:w="345" w:type="dxa"/>
            <w:vAlign w:val="top"/>
          </w:tcPr>
          <w:p w14:paraId="1D8A7D45" w14:textId="033E04C7" w:rsidR="009E3934" w:rsidRPr="009F63DF" w:rsidRDefault="009E3934" w:rsidP="00A80A83">
            <w:pPr>
              <w:pStyle w:val="SDMTableBoxParaNotNumbered"/>
            </w:pPr>
            <w:r w:rsidRPr="009F63DF">
              <w:t>=</w:t>
            </w:r>
          </w:p>
        </w:tc>
        <w:tc>
          <w:tcPr>
            <w:tcW w:w="0" w:type="auto"/>
            <w:vAlign w:val="top"/>
          </w:tcPr>
          <w:p w14:paraId="64F48EAA" w14:textId="0F7EF4DD" w:rsidR="009E3934" w:rsidRPr="009F63DF" w:rsidRDefault="00D8442C" w:rsidP="00A80A83">
            <w:pPr>
              <w:pStyle w:val="SDMTableBoxParaNotNumbered"/>
            </w:pPr>
            <w:r w:rsidRPr="009F63DF">
              <w:t>Conservative BAU</w:t>
            </w:r>
            <w:r w:rsidR="00784C62" w:rsidRPr="009F63DF">
              <w:t xml:space="preserve"> </w:t>
            </w:r>
            <w:r w:rsidRPr="009F63DF">
              <w:t>non-CO</w:t>
            </w:r>
            <w:r w:rsidRPr="009F63DF">
              <w:rPr>
                <w:vertAlign w:val="subscript"/>
              </w:rPr>
              <w:t>2</w:t>
            </w:r>
            <w:r w:rsidRPr="009F63DF">
              <w:t xml:space="preserve"> baseline emission</w:t>
            </w:r>
            <w:r w:rsidR="00DC66F8" w:rsidRPr="009F63DF">
              <w:t>s</w:t>
            </w:r>
            <w:r w:rsidRPr="009F63DF">
              <w:t xml:space="preserve"> of secondary fuel types </w:t>
            </w:r>
            <w:r w:rsidRPr="009F63DF">
              <w:rPr>
                <w:i/>
              </w:rPr>
              <w:t>i</w:t>
            </w:r>
            <w:r w:rsidRPr="009F63DF">
              <w:t xml:space="preserve"> in year </w:t>
            </w:r>
            <w:r w:rsidRPr="009F63DF">
              <w:rPr>
                <w:i/>
              </w:rPr>
              <w:t>y</w:t>
            </w:r>
            <w:r w:rsidRPr="009F63DF">
              <w:t xml:space="preserve"> (</w:t>
            </w:r>
            <w:r w:rsidR="002D31E1" w:rsidRPr="009F63DF">
              <w:t>t</w:t>
            </w:r>
            <w:r w:rsidR="002D31E1">
              <w:t xml:space="preserve"> </w:t>
            </w:r>
            <w:r w:rsidR="002D31E1" w:rsidRPr="002D31E1">
              <w:t>CO</w:t>
            </w:r>
            <w:r w:rsidR="002D31E1" w:rsidRPr="002D31E1">
              <w:rPr>
                <w:vertAlign w:val="subscript"/>
              </w:rPr>
              <w:t>2</w:t>
            </w:r>
            <w:r w:rsidR="00935CAB">
              <w:t xml:space="preserve"> </w:t>
            </w:r>
            <w:r w:rsidR="002D31E1" w:rsidRPr="002D31E1">
              <w:t>eq</w:t>
            </w:r>
            <w:r w:rsidRPr="009F63DF">
              <w:t>)</w:t>
            </w:r>
          </w:p>
        </w:tc>
      </w:tr>
      <w:tr w:rsidR="009E3934" w:rsidRPr="009F63DF" w14:paraId="7CBBE2B8" w14:textId="77777777" w:rsidTr="00F04DE3">
        <w:tc>
          <w:tcPr>
            <w:tcW w:w="1701" w:type="dxa"/>
            <w:vAlign w:val="top"/>
          </w:tcPr>
          <w:p w14:paraId="49729038" w14:textId="2994554B" w:rsidR="009E3934" w:rsidRPr="009F63DF" w:rsidRDefault="001549D8" w:rsidP="00A80A83">
            <w:pPr>
              <w:pStyle w:val="SDMTableBoxParaNotNumbered"/>
            </w:pPr>
            <m:oMathPara>
              <m:oMathParaPr>
                <m:jc m:val="left"/>
              </m:oMathParaPr>
              <m:oMath>
                <m:sSub>
                  <m:sSubPr>
                    <m:ctrlPr>
                      <w:rPr>
                        <w:rFonts w:ascii="Cambria Math" w:hAnsi="Cambria Math" w:cs="Arial"/>
                        <w:i/>
                        <w:lang w:eastAsia="en-US"/>
                      </w:rPr>
                    </m:ctrlPr>
                  </m:sSubPr>
                  <m:e>
                    <m:r>
                      <w:rPr>
                        <w:rFonts w:ascii="Cambria Math" w:hAnsi="Cambria Math" w:cstheme="minorBidi"/>
                        <w:lang w:eastAsia="en-US"/>
                      </w:rPr>
                      <m:t>EC</m:t>
                    </m:r>
                  </m:e>
                  <m:sub>
                    <m:r>
                      <w:rPr>
                        <w:rFonts w:ascii="Cambria Math" w:hAnsi="Cambria Math" w:cs="Arial"/>
                        <w:lang w:eastAsia="en-US"/>
                      </w:rPr>
                      <m:t>BL</m:t>
                    </m:r>
                    <m:r>
                      <w:rPr>
                        <w:rFonts w:ascii="Cambria Math" w:hAnsi="Cambria Math" w:cstheme="minorBidi"/>
                        <w:lang w:eastAsia="en-US"/>
                      </w:rPr>
                      <m:t>,i,UNC,y</m:t>
                    </m:r>
                  </m:sub>
                </m:sSub>
              </m:oMath>
            </m:oMathPara>
          </w:p>
        </w:tc>
        <w:tc>
          <w:tcPr>
            <w:tcW w:w="345" w:type="dxa"/>
            <w:vAlign w:val="top"/>
          </w:tcPr>
          <w:p w14:paraId="4B139EAB" w14:textId="7D49F9EA" w:rsidR="009E3934" w:rsidRPr="009F63DF" w:rsidRDefault="009E3934" w:rsidP="00A80A83">
            <w:pPr>
              <w:pStyle w:val="SDMTableBoxParaNotNumbered"/>
            </w:pPr>
            <w:r w:rsidRPr="009F63DF">
              <w:t>=</w:t>
            </w:r>
          </w:p>
        </w:tc>
        <w:tc>
          <w:tcPr>
            <w:tcW w:w="0" w:type="auto"/>
            <w:vAlign w:val="top"/>
          </w:tcPr>
          <w:p w14:paraId="4ABAD64B" w14:textId="2D5C6390" w:rsidR="009E3934" w:rsidRPr="009F63DF" w:rsidRDefault="00D8442C" w:rsidP="00A80A83">
            <w:pPr>
              <w:pStyle w:val="SDMTableBoxParaNotNumbered"/>
            </w:pPr>
            <w:r w:rsidRPr="009F63DF">
              <w:t>Consumption of primary fuel types</w:t>
            </w:r>
            <w:r w:rsidRPr="009F63DF">
              <w:rPr>
                <w:i/>
              </w:rPr>
              <w:t xml:space="preserve"> i</w:t>
            </w:r>
            <w:r w:rsidRPr="009F63DF">
              <w:t xml:space="preserve"> in the conservative BAU scenario based on uncertainty in year </w:t>
            </w:r>
            <w:r w:rsidRPr="009F63DF">
              <w:rPr>
                <w:i/>
              </w:rPr>
              <w:t>y</w:t>
            </w:r>
            <w:r w:rsidRPr="009F63DF">
              <w:t xml:space="preserve"> (TJ)</w:t>
            </w:r>
          </w:p>
        </w:tc>
      </w:tr>
      <w:tr w:rsidR="009E3934" w:rsidRPr="009F63DF" w14:paraId="050FB941" w14:textId="77777777" w:rsidTr="00F04DE3">
        <w:tc>
          <w:tcPr>
            <w:tcW w:w="1701" w:type="dxa"/>
            <w:vAlign w:val="top"/>
          </w:tcPr>
          <w:p w14:paraId="022EF10D" w14:textId="58910679" w:rsidR="009E3934" w:rsidRPr="009F63DF" w:rsidRDefault="001549D8" w:rsidP="00A80A83">
            <w:pPr>
              <w:pStyle w:val="SDMTableBoxParaNotNumbered"/>
            </w:pPr>
            <m:oMathPara>
              <m:oMathParaPr>
                <m:jc m:val="left"/>
              </m:oMathParaPr>
              <m:oMath>
                <m:sSub>
                  <m:sSubPr>
                    <m:ctrlPr>
                      <w:rPr>
                        <w:rFonts w:ascii="Cambria Math" w:eastAsia="Cambria Math" w:hAnsi="Cambria Math" w:cstheme="minorBidi"/>
                        <w:i/>
                        <w:lang w:eastAsia="en-US"/>
                      </w:rPr>
                    </m:ctrlPr>
                  </m:sSubPr>
                  <m:e>
                    <m:r>
                      <w:rPr>
                        <w:rFonts w:ascii="Cambria Math" w:eastAsia="Cambria Math" w:hAnsi="Cambria Math" w:cstheme="minorBidi"/>
                        <w:lang w:eastAsia="en-US"/>
                      </w:rPr>
                      <m:t>EC</m:t>
                    </m:r>
                  </m:e>
                  <m:sub>
                    <m:r>
                      <w:rPr>
                        <w:rFonts w:ascii="Cambria Math" w:eastAsia="Cambria Math" w:hAnsi="Cambria Math" w:cstheme="minorBidi"/>
                        <w:lang w:eastAsia="en-US"/>
                      </w:rPr>
                      <m:t>BL</m:t>
                    </m:r>
                    <m:r>
                      <w:rPr>
                        <w:rFonts w:ascii="Cambria Math" w:eastAsia="Cambria Math" w:hAnsi="Cambria Math" w:cstheme="minorBidi"/>
                      </w:rPr>
                      <m:t>,j</m:t>
                    </m:r>
                    <m:r>
                      <w:rPr>
                        <w:rFonts w:ascii="Cambria Math" w:eastAsia="Cambria Math" w:hAnsi="Cambria Math" w:cstheme="minorBidi"/>
                        <w:lang w:eastAsia="en-US"/>
                      </w:rPr>
                      <m:t>,</m:t>
                    </m:r>
                    <m:r>
                      <w:rPr>
                        <w:rFonts w:ascii="Cambria Math" w:eastAsia="Cambria Math" w:hAnsi="Cambria Math" w:cstheme="minorBidi"/>
                      </w:rPr>
                      <m:t>UNC,</m:t>
                    </m:r>
                    <m:r>
                      <w:rPr>
                        <w:rFonts w:ascii="Cambria Math" w:eastAsia="Cambria Math" w:hAnsi="Cambria Math" w:cstheme="minorBidi"/>
                        <w:lang w:eastAsia="en-US"/>
                      </w:rPr>
                      <m:t>y</m:t>
                    </m:r>
                  </m:sub>
                </m:sSub>
              </m:oMath>
            </m:oMathPara>
          </w:p>
        </w:tc>
        <w:tc>
          <w:tcPr>
            <w:tcW w:w="345" w:type="dxa"/>
            <w:vAlign w:val="top"/>
          </w:tcPr>
          <w:p w14:paraId="5DE237C4" w14:textId="1A058BFC" w:rsidR="009E3934" w:rsidRPr="009F63DF" w:rsidRDefault="009E3934" w:rsidP="00A80A83">
            <w:pPr>
              <w:pStyle w:val="SDMTableBoxParaNotNumbered"/>
            </w:pPr>
            <w:r w:rsidRPr="009F63DF">
              <w:t>=</w:t>
            </w:r>
          </w:p>
        </w:tc>
        <w:tc>
          <w:tcPr>
            <w:tcW w:w="0" w:type="auto"/>
            <w:vAlign w:val="top"/>
          </w:tcPr>
          <w:p w14:paraId="4A825550" w14:textId="292DAF67" w:rsidR="009E3934" w:rsidRPr="009F63DF" w:rsidRDefault="00D8442C" w:rsidP="00A80A83">
            <w:pPr>
              <w:pStyle w:val="SDMTableBoxParaNotNumbered"/>
            </w:pPr>
            <w:r w:rsidRPr="009F63DF">
              <w:t xml:space="preserve">Consumption of secondary fuel types </w:t>
            </w:r>
            <w:r w:rsidRPr="009F63DF">
              <w:rPr>
                <w:i/>
              </w:rPr>
              <w:t>j</w:t>
            </w:r>
            <w:r w:rsidRPr="009F63DF">
              <w:t xml:space="preserve"> in the conservative BAU scenario based on uncertainty in year </w:t>
            </w:r>
            <w:r w:rsidRPr="009F63DF">
              <w:rPr>
                <w:i/>
              </w:rPr>
              <w:t>y</w:t>
            </w:r>
            <w:r w:rsidRPr="009F63DF">
              <w:t xml:space="preserve"> (TJ)</w:t>
            </w:r>
          </w:p>
        </w:tc>
      </w:tr>
      <w:tr w:rsidR="009E3934" w:rsidRPr="009F63DF" w14:paraId="383FB590" w14:textId="77777777" w:rsidTr="00F04DE3">
        <w:tc>
          <w:tcPr>
            <w:tcW w:w="1701" w:type="dxa"/>
            <w:vAlign w:val="top"/>
          </w:tcPr>
          <w:p w14:paraId="1383962C" w14:textId="22CB0126" w:rsidR="009E3934" w:rsidRPr="009F63DF" w:rsidRDefault="001549D8" w:rsidP="00A80A83">
            <w:pPr>
              <w:pStyle w:val="SDMTableBoxParaNotNumbered"/>
            </w:pPr>
            <m:oMathPara>
              <m:oMathParaPr>
                <m:jc m:val="left"/>
              </m:oMathParaPr>
              <m:oMath>
                <m:sSub>
                  <m:sSubPr>
                    <m:ctrlPr>
                      <w:rPr>
                        <w:rFonts w:ascii="Cambria Math" w:hAnsi="Cambria Math"/>
                        <w:i/>
                        <w:lang w:eastAsia="en-US"/>
                      </w:rPr>
                    </m:ctrlPr>
                  </m:sSubPr>
                  <m:e>
                    <m:r>
                      <w:rPr>
                        <w:rFonts w:ascii="Cambria Math" w:hAnsi="Cambria Math"/>
                        <w:lang w:eastAsia="en-US"/>
                      </w:rPr>
                      <m:t>fNRB</m:t>
                    </m:r>
                  </m:e>
                  <m:sub>
                    <m:r>
                      <w:rPr>
                        <w:rFonts w:ascii="Cambria Math" w:hAnsi="Cambria Math"/>
                        <w:lang w:eastAsia="en-US"/>
                      </w:rPr>
                      <m:t>i,y</m:t>
                    </m:r>
                  </m:sub>
                </m:sSub>
              </m:oMath>
            </m:oMathPara>
          </w:p>
        </w:tc>
        <w:tc>
          <w:tcPr>
            <w:tcW w:w="345" w:type="dxa"/>
            <w:vAlign w:val="top"/>
          </w:tcPr>
          <w:p w14:paraId="3A24D932" w14:textId="61D80468" w:rsidR="009E3934" w:rsidRPr="009F63DF" w:rsidRDefault="009E3934" w:rsidP="00A80A83">
            <w:pPr>
              <w:pStyle w:val="SDMTableBoxParaNotNumbered"/>
            </w:pPr>
            <w:r w:rsidRPr="009F63DF">
              <w:t>=</w:t>
            </w:r>
          </w:p>
        </w:tc>
        <w:tc>
          <w:tcPr>
            <w:tcW w:w="0" w:type="auto"/>
            <w:vAlign w:val="top"/>
          </w:tcPr>
          <w:p w14:paraId="32AD2A62" w14:textId="5F9A4745" w:rsidR="009E3934" w:rsidRPr="009F63DF" w:rsidRDefault="00D8442C" w:rsidP="00A80A83">
            <w:pPr>
              <w:pStyle w:val="SDMTableBoxParaNotNumbered"/>
            </w:pPr>
            <w:r w:rsidRPr="009F63DF">
              <w:t xml:space="preserve">Fraction of non-renewable biomass of primary fuel types </w:t>
            </w:r>
            <w:r w:rsidRPr="009F63DF">
              <w:rPr>
                <w:i/>
              </w:rPr>
              <w:t>i</w:t>
            </w:r>
            <w:r w:rsidRPr="009F63DF">
              <w:t xml:space="preserve"> consumed in year </w:t>
            </w:r>
            <w:r w:rsidRPr="009F63DF">
              <w:rPr>
                <w:i/>
              </w:rPr>
              <w:t>y</w:t>
            </w:r>
            <w:r w:rsidRPr="009F63DF">
              <w:t xml:space="preserve"> (</w:t>
            </w:r>
            <w:r w:rsidR="00DE7B9B" w:rsidRPr="009F63DF">
              <w:t>per cent</w:t>
            </w:r>
            <w:r w:rsidRPr="009F63DF">
              <w:t>)</w:t>
            </w:r>
          </w:p>
        </w:tc>
      </w:tr>
      <w:tr w:rsidR="009E3934" w:rsidRPr="009F63DF" w14:paraId="11BCF7DA" w14:textId="77777777" w:rsidTr="00F04DE3">
        <w:tc>
          <w:tcPr>
            <w:tcW w:w="1701" w:type="dxa"/>
            <w:vAlign w:val="top"/>
          </w:tcPr>
          <w:p w14:paraId="4FC49D92" w14:textId="59164B90" w:rsidR="009E3934" w:rsidRPr="009F63DF" w:rsidRDefault="00D8442C" w:rsidP="00A80A83">
            <w:pPr>
              <w:pStyle w:val="SDMTableBoxParaNotNumbered"/>
            </w:pPr>
            <w:r w:rsidRPr="009F63DF">
              <w:rPr>
                <w:rFonts w:ascii="Cambria Math" w:hAnsi="Cambria Math" w:cstheme="minorBidi"/>
                <w:i/>
                <w:lang w:eastAsia="en-US"/>
              </w:rPr>
              <w:t>EF</w:t>
            </w:r>
            <w:r w:rsidRPr="009F63DF">
              <w:rPr>
                <w:rFonts w:ascii="Cambria Math" w:hAnsi="Cambria Math" w:cstheme="minorBidi"/>
                <w:i/>
                <w:vertAlign w:val="subscript"/>
                <w:lang w:eastAsia="en-US"/>
              </w:rPr>
              <w:t>i,CO2</w:t>
            </w:r>
          </w:p>
        </w:tc>
        <w:tc>
          <w:tcPr>
            <w:tcW w:w="345" w:type="dxa"/>
            <w:vAlign w:val="top"/>
          </w:tcPr>
          <w:p w14:paraId="44DDC7C6" w14:textId="372DFD06" w:rsidR="009E3934" w:rsidRPr="009F63DF" w:rsidRDefault="009E3934" w:rsidP="00A80A83">
            <w:pPr>
              <w:pStyle w:val="SDMTableBoxParaNotNumbered"/>
            </w:pPr>
            <w:r w:rsidRPr="009F63DF">
              <w:t>=</w:t>
            </w:r>
          </w:p>
        </w:tc>
        <w:tc>
          <w:tcPr>
            <w:tcW w:w="0" w:type="auto"/>
            <w:vAlign w:val="top"/>
          </w:tcPr>
          <w:p w14:paraId="0B45D9B0" w14:textId="073BDE08" w:rsidR="009E3934" w:rsidRPr="009F63DF" w:rsidRDefault="00821BFF" w:rsidP="00A80A83">
            <w:pPr>
              <w:pStyle w:val="SDMTableBoxParaNotNumbered"/>
            </w:pPr>
            <w:r w:rsidRPr="009F63DF">
              <w:t>CO</w:t>
            </w:r>
            <w:r w:rsidRPr="009F63DF">
              <w:rPr>
                <w:vertAlign w:val="subscript"/>
              </w:rPr>
              <w:t>2</w:t>
            </w:r>
            <w:r w:rsidRPr="009F63DF">
              <w:t xml:space="preserve"> emission factor for primary fuel types </w:t>
            </w:r>
            <w:r w:rsidRPr="009F63DF">
              <w:rPr>
                <w:i/>
              </w:rPr>
              <w:t xml:space="preserve">i </w:t>
            </w:r>
            <w:r w:rsidRPr="009F63DF">
              <w:t xml:space="preserve">(t </w:t>
            </w:r>
            <w:r w:rsidRPr="002D31E1">
              <w:t>CO</w:t>
            </w:r>
            <w:r w:rsidRPr="002D31E1">
              <w:rPr>
                <w:vertAlign w:val="subscript"/>
              </w:rPr>
              <w:t>2</w:t>
            </w:r>
            <w:r w:rsidR="00935CAB">
              <w:t xml:space="preserve"> </w:t>
            </w:r>
            <w:r w:rsidRPr="002D31E1">
              <w:t>eq</w:t>
            </w:r>
            <w:r w:rsidR="007930FD">
              <w:t xml:space="preserve"> </w:t>
            </w:r>
            <w:r w:rsidRPr="009F63DF">
              <w:t>/</w:t>
            </w:r>
            <w:r w:rsidR="007930FD">
              <w:t xml:space="preserve"> </w:t>
            </w:r>
            <w:r w:rsidRPr="009F63DF">
              <w:t>TJ)</w:t>
            </w:r>
          </w:p>
        </w:tc>
      </w:tr>
      <w:tr w:rsidR="009E3934" w:rsidRPr="009F63DF" w14:paraId="17B27E93" w14:textId="77777777" w:rsidTr="00F04DE3">
        <w:tc>
          <w:tcPr>
            <w:tcW w:w="1701" w:type="dxa"/>
            <w:vAlign w:val="top"/>
          </w:tcPr>
          <w:p w14:paraId="5AC98107" w14:textId="4EE89C3A" w:rsidR="009E3934" w:rsidRPr="009F63DF" w:rsidRDefault="00D8442C" w:rsidP="00A80A83">
            <w:pPr>
              <w:pStyle w:val="SDMTableBoxParaNotNumbered"/>
            </w:pPr>
            <w:r w:rsidRPr="009F63DF">
              <w:rPr>
                <w:rFonts w:ascii="Cambria Math" w:hAnsi="Cambria Math" w:cstheme="minorBidi"/>
                <w:i/>
                <w:lang w:eastAsia="en-US"/>
              </w:rPr>
              <w:t>EF</w:t>
            </w:r>
            <w:r w:rsidRPr="009F63DF">
              <w:rPr>
                <w:rFonts w:ascii="Cambria Math" w:hAnsi="Cambria Math" w:cstheme="minorBidi"/>
                <w:i/>
                <w:vertAlign w:val="subscript"/>
                <w:lang w:eastAsia="en-US"/>
              </w:rPr>
              <w:t>i,CO2,upstream</w:t>
            </w:r>
          </w:p>
        </w:tc>
        <w:tc>
          <w:tcPr>
            <w:tcW w:w="345" w:type="dxa"/>
            <w:vAlign w:val="top"/>
          </w:tcPr>
          <w:p w14:paraId="7F67CD32" w14:textId="7A509097" w:rsidR="009E3934" w:rsidRPr="009F63DF" w:rsidRDefault="009E3934" w:rsidP="00A80A83">
            <w:pPr>
              <w:pStyle w:val="SDMTableBoxParaNotNumbered"/>
            </w:pPr>
            <w:r w:rsidRPr="009F63DF">
              <w:t>=</w:t>
            </w:r>
          </w:p>
        </w:tc>
        <w:tc>
          <w:tcPr>
            <w:tcW w:w="0" w:type="auto"/>
            <w:vAlign w:val="top"/>
          </w:tcPr>
          <w:p w14:paraId="4C37E755" w14:textId="765A680E" w:rsidR="009E3934" w:rsidRPr="009F63DF" w:rsidRDefault="00D8442C" w:rsidP="00A80A83">
            <w:pPr>
              <w:pStyle w:val="SDMTableBoxParaNotNumbered"/>
            </w:pPr>
            <w:r w:rsidRPr="009F63DF">
              <w:t>CO</w:t>
            </w:r>
            <w:r w:rsidRPr="009F63DF">
              <w:rPr>
                <w:i/>
                <w:vertAlign w:val="subscript"/>
              </w:rPr>
              <w:t>2</w:t>
            </w:r>
            <w:r w:rsidRPr="009F63DF">
              <w:t xml:space="preserve"> emission factor for upstream emissions for primary fuel types </w:t>
            </w:r>
            <w:r w:rsidRPr="009F63DF">
              <w:rPr>
                <w:i/>
              </w:rPr>
              <w:t>i</w:t>
            </w:r>
            <w:r w:rsidRPr="009F63DF">
              <w:t xml:space="preserve"> (t CO</w:t>
            </w:r>
            <w:r w:rsidRPr="009F63DF">
              <w:rPr>
                <w:vertAlign w:val="subscript"/>
              </w:rPr>
              <w:t>2</w:t>
            </w:r>
            <w:r w:rsidR="00185CFD" w:rsidRPr="009F63DF">
              <w:t xml:space="preserve"> </w:t>
            </w:r>
            <w:r w:rsidRPr="009F63DF">
              <w:t>/</w:t>
            </w:r>
            <w:r w:rsidR="00185CFD" w:rsidRPr="009F63DF">
              <w:t xml:space="preserve"> </w:t>
            </w:r>
            <w:r w:rsidRPr="009F63DF">
              <w:t>TJ)</w:t>
            </w:r>
          </w:p>
        </w:tc>
      </w:tr>
      <w:tr w:rsidR="009E3934" w:rsidRPr="009F63DF" w14:paraId="3BF9A58F" w14:textId="77777777" w:rsidTr="00F04DE3">
        <w:tc>
          <w:tcPr>
            <w:tcW w:w="1701" w:type="dxa"/>
            <w:vAlign w:val="top"/>
          </w:tcPr>
          <w:p w14:paraId="28A078DA" w14:textId="58929D2C" w:rsidR="009E3934" w:rsidRPr="009F63DF" w:rsidRDefault="00D8442C" w:rsidP="00A80A83">
            <w:pPr>
              <w:pStyle w:val="SDMTableBoxParaNotNumbered"/>
            </w:pPr>
            <w:r w:rsidRPr="009F63DF">
              <w:rPr>
                <w:rFonts w:ascii="Cambria Math" w:hAnsi="Cambria Math" w:cstheme="minorBidi"/>
                <w:i/>
                <w:lang w:eastAsia="en-US"/>
              </w:rPr>
              <w:t>EF</w:t>
            </w:r>
            <w:r w:rsidRPr="009F63DF">
              <w:rPr>
                <w:rFonts w:ascii="Cambria Math" w:hAnsi="Cambria Math" w:cstheme="minorBidi"/>
                <w:i/>
                <w:vertAlign w:val="subscript"/>
                <w:lang w:eastAsia="en-US"/>
              </w:rPr>
              <w:t>i, nonCO2</w:t>
            </w:r>
          </w:p>
        </w:tc>
        <w:tc>
          <w:tcPr>
            <w:tcW w:w="345" w:type="dxa"/>
            <w:vAlign w:val="top"/>
          </w:tcPr>
          <w:p w14:paraId="2F490CDA" w14:textId="7FC7E0A5" w:rsidR="009E3934" w:rsidRPr="009F63DF" w:rsidRDefault="009E3934" w:rsidP="00A80A83">
            <w:pPr>
              <w:pStyle w:val="SDMTableBoxParaNotNumbered"/>
            </w:pPr>
            <w:r w:rsidRPr="009F63DF">
              <w:t>=</w:t>
            </w:r>
          </w:p>
        </w:tc>
        <w:tc>
          <w:tcPr>
            <w:tcW w:w="0" w:type="auto"/>
            <w:vAlign w:val="top"/>
          </w:tcPr>
          <w:p w14:paraId="207ECFE1" w14:textId="043349BD" w:rsidR="009E3934" w:rsidRPr="009F63DF" w:rsidRDefault="00D8442C" w:rsidP="00A80A83">
            <w:pPr>
              <w:pStyle w:val="SDMTableBoxParaNotNumbered"/>
            </w:pPr>
            <w:r w:rsidRPr="009F63DF">
              <w:t>Non-CO</w:t>
            </w:r>
            <w:r w:rsidRPr="009F63DF">
              <w:rPr>
                <w:vertAlign w:val="subscript"/>
              </w:rPr>
              <w:t>2</w:t>
            </w:r>
            <w:r w:rsidRPr="009F63DF">
              <w:t xml:space="preserve"> emission factor for primary fuel types </w:t>
            </w:r>
            <w:r w:rsidRPr="009F63DF">
              <w:rPr>
                <w:i/>
              </w:rPr>
              <w:t xml:space="preserve">i </w:t>
            </w:r>
            <w:r w:rsidRPr="009F63DF">
              <w:t>(</w:t>
            </w:r>
            <w:r w:rsidR="002D31E1" w:rsidRPr="009F63DF">
              <w:t xml:space="preserve">t </w:t>
            </w:r>
            <w:r w:rsidR="002D31E1" w:rsidRPr="002D31E1">
              <w:t>CO</w:t>
            </w:r>
            <w:r w:rsidR="002D31E1" w:rsidRPr="002D31E1">
              <w:rPr>
                <w:vertAlign w:val="subscript"/>
              </w:rPr>
              <w:t>2</w:t>
            </w:r>
            <w:r w:rsidR="00935CAB">
              <w:t xml:space="preserve"> </w:t>
            </w:r>
            <w:r w:rsidR="002D31E1" w:rsidRPr="002D31E1">
              <w:t>eq</w:t>
            </w:r>
            <w:r w:rsidR="00821BFF" w:rsidRPr="009F63DF">
              <w:t xml:space="preserve"> </w:t>
            </w:r>
            <w:r w:rsidRPr="009F63DF">
              <w:t>/</w:t>
            </w:r>
            <w:r w:rsidR="00821BFF" w:rsidRPr="009F63DF">
              <w:t xml:space="preserve"> </w:t>
            </w:r>
            <w:r w:rsidRPr="009F63DF">
              <w:t>TJ)</w:t>
            </w:r>
          </w:p>
        </w:tc>
      </w:tr>
      <w:tr w:rsidR="009E3934" w:rsidRPr="009F63DF" w14:paraId="2F309B30" w14:textId="77777777" w:rsidTr="00F04DE3">
        <w:tc>
          <w:tcPr>
            <w:tcW w:w="1701" w:type="dxa"/>
            <w:vAlign w:val="top"/>
          </w:tcPr>
          <w:p w14:paraId="104CDF39" w14:textId="6D0CBBBE" w:rsidR="009E3934" w:rsidRPr="009F63DF" w:rsidRDefault="00D8442C" w:rsidP="00A80A83">
            <w:pPr>
              <w:pStyle w:val="SDMTableBoxParaNotNumbered"/>
            </w:pPr>
            <w:r w:rsidRPr="009F63DF">
              <w:rPr>
                <w:rFonts w:ascii="Cambria Math" w:hAnsi="Cambria Math" w:cstheme="minorBidi"/>
                <w:i/>
                <w:lang w:eastAsia="en-US"/>
              </w:rPr>
              <w:t>EF</w:t>
            </w:r>
            <w:r w:rsidRPr="009F63DF">
              <w:rPr>
                <w:rFonts w:ascii="Cambria Math" w:hAnsi="Cambria Math" w:cstheme="minorBidi"/>
                <w:i/>
                <w:vertAlign w:val="subscript"/>
                <w:lang w:eastAsia="en-US"/>
              </w:rPr>
              <w:t>i, nonC</w:t>
            </w:r>
            <w:r w:rsidR="00C63F93" w:rsidRPr="009F63DF">
              <w:rPr>
                <w:rFonts w:ascii="Cambria Math" w:hAnsi="Cambria Math" w:cstheme="minorBidi"/>
                <w:i/>
                <w:vertAlign w:val="subscript"/>
                <w:lang w:eastAsia="en-US"/>
              </w:rPr>
              <w:t>O</w:t>
            </w:r>
            <w:r w:rsidRPr="009F63DF">
              <w:rPr>
                <w:rFonts w:ascii="Cambria Math" w:hAnsi="Cambria Math" w:cstheme="minorBidi"/>
                <w:i/>
                <w:vertAlign w:val="subscript"/>
                <w:lang w:eastAsia="en-US"/>
              </w:rPr>
              <w:t>2, upstream</w:t>
            </w:r>
          </w:p>
        </w:tc>
        <w:tc>
          <w:tcPr>
            <w:tcW w:w="345" w:type="dxa"/>
            <w:vAlign w:val="top"/>
          </w:tcPr>
          <w:p w14:paraId="701C4F57" w14:textId="32021A72" w:rsidR="009E3934" w:rsidRPr="009F63DF" w:rsidRDefault="009E3934" w:rsidP="00A80A83">
            <w:pPr>
              <w:pStyle w:val="SDMTableBoxParaNotNumbered"/>
            </w:pPr>
            <w:r w:rsidRPr="009F63DF">
              <w:t>=</w:t>
            </w:r>
          </w:p>
        </w:tc>
        <w:tc>
          <w:tcPr>
            <w:tcW w:w="0" w:type="auto"/>
            <w:vAlign w:val="top"/>
          </w:tcPr>
          <w:p w14:paraId="091CC14F" w14:textId="3EA09ADF" w:rsidR="009E3934" w:rsidRPr="009F63DF" w:rsidRDefault="00D8442C" w:rsidP="00A80A83">
            <w:pPr>
              <w:pStyle w:val="SDMTableBoxParaNotNumbered"/>
            </w:pPr>
            <w:r w:rsidRPr="009F63DF">
              <w:t>Non-CO</w:t>
            </w:r>
            <w:r w:rsidRPr="009F63DF">
              <w:rPr>
                <w:vertAlign w:val="subscript"/>
              </w:rPr>
              <w:t>2</w:t>
            </w:r>
            <w:r w:rsidRPr="009F63DF">
              <w:t xml:space="preserve"> emission factor for upstream emissions for primary fuel types </w:t>
            </w:r>
            <w:r w:rsidRPr="009F63DF">
              <w:rPr>
                <w:i/>
              </w:rPr>
              <w:t>i</w:t>
            </w:r>
            <w:r w:rsidRPr="009F63DF">
              <w:t xml:space="preserve"> (t </w:t>
            </w:r>
            <w:r w:rsidRPr="00935CAB">
              <w:t>CO</w:t>
            </w:r>
            <w:r w:rsidRPr="00361197">
              <w:rPr>
                <w:vertAlign w:val="subscript"/>
              </w:rPr>
              <w:t>2</w:t>
            </w:r>
            <w:r w:rsidR="00935CAB">
              <w:t xml:space="preserve"> </w:t>
            </w:r>
            <w:r w:rsidRPr="00935CAB">
              <w:t>eq</w:t>
            </w:r>
            <w:r w:rsidR="0046321B" w:rsidRPr="009F63DF">
              <w:t xml:space="preserve"> </w:t>
            </w:r>
            <w:r w:rsidRPr="009F63DF">
              <w:t>/</w:t>
            </w:r>
            <w:r w:rsidR="0046321B" w:rsidRPr="009F63DF">
              <w:t xml:space="preserve"> </w:t>
            </w:r>
            <w:r w:rsidRPr="009F63DF">
              <w:t>TJ)</w:t>
            </w:r>
          </w:p>
        </w:tc>
      </w:tr>
      <w:tr w:rsidR="009E3934" w:rsidRPr="009F63DF" w14:paraId="4FA771A7" w14:textId="77777777" w:rsidTr="00F04DE3">
        <w:tc>
          <w:tcPr>
            <w:tcW w:w="1701" w:type="dxa"/>
            <w:vAlign w:val="top"/>
          </w:tcPr>
          <w:p w14:paraId="1CDBFBD6" w14:textId="31C0E669" w:rsidR="009E3934" w:rsidRPr="009F63DF" w:rsidRDefault="001549D8" w:rsidP="00A80A83">
            <w:pPr>
              <w:pStyle w:val="SDMTableBoxParaNotNumbered"/>
            </w:pPr>
            <m:oMathPara>
              <m:oMathParaPr>
                <m:jc m:val="left"/>
              </m:oMathParaPr>
              <m:oMath>
                <m:sSub>
                  <m:sSubPr>
                    <m:ctrlPr>
                      <w:rPr>
                        <w:rFonts w:ascii="Cambria Math" w:hAnsi="Cambria Math" w:cstheme="minorBidi"/>
                        <w:i/>
                        <w:lang w:eastAsia="en-US"/>
                      </w:rPr>
                    </m:ctrlPr>
                  </m:sSubPr>
                  <m:e>
                    <m:r>
                      <w:rPr>
                        <w:rFonts w:ascii="Cambria Math" w:hAnsi="Cambria Math" w:cstheme="minorBidi"/>
                        <w:lang w:eastAsia="en-US"/>
                      </w:rPr>
                      <m:t>EF</m:t>
                    </m:r>
                  </m:e>
                  <m:sub>
                    <m:r>
                      <w:rPr>
                        <w:rFonts w:ascii="Cambria Math" w:hAnsi="Cambria Math" w:cstheme="minorBidi"/>
                        <w:lang w:eastAsia="en-US"/>
                      </w:rPr>
                      <m:t>j,CO2</m:t>
                    </m:r>
                  </m:sub>
                </m:sSub>
              </m:oMath>
            </m:oMathPara>
          </w:p>
        </w:tc>
        <w:tc>
          <w:tcPr>
            <w:tcW w:w="345" w:type="dxa"/>
            <w:vAlign w:val="top"/>
          </w:tcPr>
          <w:p w14:paraId="3E58F0EC" w14:textId="15BD4EAC" w:rsidR="009E3934" w:rsidRPr="009F63DF" w:rsidRDefault="009E3934" w:rsidP="00A80A83">
            <w:pPr>
              <w:pStyle w:val="SDMTableBoxParaNotNumbered"/>
            </w:pPr>
            <w:r w:rsidRPr="009F63DF">
              <w:t>=</w:t>
            </w:r>
          </w:p>
        </w:tc>
        <w:tc>
          <w:tcPr>
            <w:tcW w:w="0" w:type="auto"/>
            <w:vAlign w:val="top"/>
          </w:tcPr>
          <w:p w14:paraId="751F5FB4" w14:textId="38817360" w:rsidR="009E3934" w:rsidRPr="009F63DF" w:rsidRDefault="008F1688" w:rsidP="00A80A83">
            <w:pPr>
              <w:pStyle w:val="SDMTableBoxParaNotNumbered"/>
            </w:pPr>
            <w:r w:rsidRPr="009F63DF">
              <w:t>CO</w:t>
            </w:r>
            <w:r w:rsidRPr="009F63DF">
              <w:rPr>
                <w:vertAlign w:val="subscript"/>
              </w:rPr>
              <w:t>2</w:t>
            </w:r>
            <w:r w:rsidRPr="009F63DF">
              <w:t xml:space="preserve"> emission factor for secondary fuel types </w:t>
            </w:r>
            <w:r w:rsidRPr="009F63DF">
              <w:rPr>
                <w:i/>
              </w:rPr>
              <w:t>i</w:t>
            </w:r>
            <w:r w:rsidRPr="009F63DF">
              <w:t xml:space="preserve"> (t CO</w:t>
            </w:r>
            <w:r w:rsidRPr="009F63DF">
              <w:rPr>
                <w:vertAlign w:val="subscript"/>
              </w:rPr>
              <w:t>2</w:t>
            </w:r>
            <w:r w:rsidR="0046321B" w:rsidRPr="009F63DF">
              <w:t xml:space="preserve"> </w:t>
            </w:r>
            <w:r w:rsidRPr="009F63DF">
              <w:t>/</w:t>
            </w:r>
            <w:r w:rsidR="0046321B" w:rsidRPr="009F63DF">
              <w:t xml:space="preserve"> </w:t>
            </w:r>
            <w:r w:rsidRPr="009F63DF">
              <w:t>TJ)</w:t>
            </w:r>
          </w:p>
        </w:tc>
      </w:tr>
      <w:tr w:rsidR="009E3934" w:rsidRPr="009F63DF" w14:paraId="44DE5462" w14:textId="77777777" w:rsidTr="00F04DE3">
        <w:tc>
          <w:tcPr>
            <w:tcW w:w="1701" w:type="dxa"/>
            <w:vAlign w:val="top"/>
          </w:tcPr>
          <w:p w14:paraId="3B847782" w14:textId="16D04C77" w:rsidR="009E3934" w:rsidRPr="009F63DF" w:rsidRDefault="001549D8" w:rsidP="00A80A83">
            <w:pPr>
              <w:pStyle w:val="SDMTableBoxParaNotNumbered"/>
            </w:pPr>
            <m:oMathPara>
              <m:oMathParaPr>
                <m:jc m:val="left"/>
              </m:oMathParaPr>
              <m:oMath>
                <m:sSub>
                  <m:sSubPr>
                    <m:ctrlPr>
                      <w:rPr>
                        <w:rFonts w:ascii="Cambria Math" w:hAnsi="Cambria Math" w:cstheme="minorBidi"/>
                        <w:i/>
                        <w:lang w:eastAsia="en-US"/>
                      </w:rPr>
                    </m:ctrlPr>
                  </m:sSubPr>
                  <m:e>
                    <m:r>
                      <w:rPr>
                        <w:rFonts w:ascii="Cambria Math" w:hAnsi="Cambria Math" w:cstheme="minorBidi"/>
                        <w:lang w:eastAsia="en-US"/>
                      </w:rPr>
                      <m:t>EF</m:t>
                    </m:r>
                  </m:e>
                  <m:sub>
                    <m:r>
                      <w:rPr>
                        <w:rFonts w:ascii="Cambria Math" w:hAnsi="Cambria Math" w:cstheme="minorBidi"/>
                        <w:lang w:eastAsia="en-US"/>
                      </w:rPr>
                      <m:t>j,</m:t>
                    </m:r>
                    <m:r>
                      <w:rPr>
                        <w:rFonts w:ascii="Cambria Math" w:hAnsi="Cambria Math" w:cstheme="minorBidi"/>
                      </w:rPr>
                      <m:t>non</m:t>
                    </m:r>
                    <m:r>
                      <w:rPr>
                        <w:rFonts w:ascii="Cambria Math" w:hAnsi="Cambria Math" w:cstheme="minorBidi"/>
                        <w:lang w:eastAsia="en-US"/>
                      </w:rPr>
                      <m:t>CO2</m:t>
                    </m:r>
                  </m:sub>
                </m:sSub>
              </m:oMath>
            </m:oMathPara>
          </w:p>
        </w:tc>
        <w:tc>
          <w:tcPr>
            <w:tcW w:w="345" w:type="dxa"/>
            <w:vAlign w:val="top"/>
          </w:tcPr>
          <w:p w14:paraId="63E97AB6" w14:textId="1A7FEC5C" w:rsidR="009E3934" w:rsidRPr="009F63DF" w:rsidRDefault="009E3934" w:rsidP="00A80A83">
            <w:pPr>
              <w:pStyle w:val="SDMTableBoxParaNotNumbered"/>
            </w:pPr>
            <w:r w:rsidRPr="009F63DF">
              <w:t>=</w:t>
            </w:r>
          </w:p>
        </w:tc>
        <w:tc>
          <w:tcPr>
            <w:tcW w:w="0" w:type="auto"/>
            <w:vAlign w:val="top"/>
          </w:tcPr>
          <w:p w14:paraId="0F1572B5" w14:textId="7C7A7F64" w:rsidR="009E3934" w:rsidRPr="009F63DF" w:rsidRDefault="008F1688" w:rsidP="00A80A83">
            <w:pPr>
              <w:pStyle w:val="SDMTableBoxParaNotNumbered"/>
            </w:pPr>
            <w:r w:rsidRPr="009F63DF">
              <w:t>Non-CO</w:t>
            </w:r>
            <w:r w:rsidRPr="009F63DF">
              <w:rPr>
                <w:vertAlign w:val="subscript"/>
              </w:rPr>
              <w:t>2</w:t>
            </w:r>
            <w:r w:rsidRPr="009F63DF">
              <w:t xml:space="preserve"> emission factor for secondary fuel types </w:t>
            </w:r>
            <w:r w:rsidRPr="009F63DF">
              <w:rPr>
                <w:i/>
              </w:rPr>
              <w:t>i</w:t>
            </w:r>
            <w:r w:rsidRPr="009F63DF">
              <w:t xml:space="preserve"> (</w:t>
            </w:r>
            <w:r w:rsidR="002D31E1" w:rsidRPr="009F63DF">
              <w:t xml:space="preserve">t </w:t>
            </w:r>
            <w:r w:rsidR="002D31E1" w:rsidRPr="002D31E1">
              <w:t>CO</w:t>
            </w:r>
            <w:r w:rsidR="002D31E1" w:rsidRPr="002D31E1">
              <w:rPr>
                <w:vertAlign w:val="subscript"/>
              </w:rPr>
              <w:t>2</w:t>
            </w:r>
            <w:r w:rsidR="00935CAB">
              <w:t xml:space="preserve"> </w:t>
            </w:r>
            <w:r w:rsidR="002D31E1" w:rsidRPr="002D31E1">
              <w:t>eq</w:t>
            </w:r>
            <w:r w:rsidR="002D31E1" w:rsidRPr="009F63DF">
              <w:t xml:space="preserve"> </w:t>
            </w:r>
            <w:r w:rsidRPr="009F63DF">
              <w:t>/</w:t>
            </w:r>
            <w:r w:rsidR="0046321B" w:rsidRPr="009F63DF">
              <w:t xml:space="preserve"> </w:t>
            </w:r>
            <w:r w:rsidRPr="009F63DF">
              <w:t>TJ)</w:t>
            </w:r>
          </w:p>
        </w:tc>
      </w:tr>
      <w:tr w:rsidR="009E3934" w:rsidRPr="009F63DF" w14:paraId="1C0B5F72" w14:textId="77777777" w:rsidTr="00F04DE3">
        <w:tc>
          <w:tcPr>
            <w:tcW w:w="1701" w:type="dxa"/>
            <w:vAlign w:val="top"/>
          </w:tcPr>
          <w:p w14:paraId="77ACAAE1" w14:textId="2CE1F3EB" w:rsidR="009E3934" w:rsidRPr="009F63DF" w:rsidRDefault="001549D8" w:rsidP="00A80A83">
            <w:pPr>
              <w:pStyle w:val="SDMTableBoxParaNotNumbered"/>
            </w:pPr>
            <w:sdt>
              <w:sdtPr>
                <w:rPr>
                  <w:rFonts w:ascii="Cambria Math" w:hAnsi="Cambria Math" w:cstheme="minorBidi"/>
                  <w:i/>
                  <w:lang w:eastAsia="en-US"/>
                </w:rPr>
                <w:tag w:val="goog_rdk_36"/>
                <w:id w:val="-48537212"/>
              </w:sdtPr>
              <w:sdtEndPr/>
              <w:sdtContent>
                <w:r w:rsidR="00B62DE7" w:rsidRPr="009F63DF">
                  <w:rPr>
                    <w:rFonts w:ascii="Cambria Math" w:hAnsi="Cambria Math" w:cstheme="minorBidi"/>
                    <w:i/>
                    <w:lang w:eastAsia="en-US"/>
                  </w:rPr>
                  <w:t>i</w:t>
                </w:r>
              </w:sdtContent>
            </w:sdt>
          </w:p>
        </w:tc>
        <w:tc>
          <w:tcPr>
            <w:tcW w:w="345" w:type="dxa"/>
            <w:vAlign w:val="top"/>
          </w:tcPr>
          <w:p w14:paraId="36246DE1" w14:textId="389B5106" w:rsidR="009E3934" w:rsidRPr="009F63DF" w:rsidRDefault="009E3934" w:rsidP="00A80A83">
            <w:pPr>
              <w:pStyle w:val="SDMTableBoxParaNotNumbered"/>
            </w:pPr>
            <w:r w:rsidRPr="009F63DF">
              <w:t>=</w:t>
            </w:r>
          </w:p>
        </w:tc>
        <w:tc>
          <w:tcPr>
            <w:tcW w:w="0" w:type="auto"/>
            <w:vAlign w:val="top"/>
          </w:tcPr>
          <w:p w14:paraId="2E981932" w14:textId="7DF4BAF6" w:rsidR="009E3934" w:rsidRPr="009F63DF" w:rsidRDefault="00B62DE7" w:rsidP="00A80A83">
            <w:pPr>
              <w:pStyle w:val="SDMTableBoxParaNotNumbered"/>
            </w:pPr>
            <w:r w:rsidRPr="009F63DF">
              <w:t>Primary fuel types (fuelwood or charcoal)</w:t>
            </w:r>
          </w:p>
        </w:tc>
      </w:tr>
      <w:tr w:rsidR="009E3934" w:rsidRPr="009F63DF" w14:paraId="685EBC98" w14:textId="77777777" w:rsidTr="00F04DE3">
        <w:tc>
          <w:tcPr>
            <w:tcW w:w="1701" w:type="dxa"/>
            <w:vAlign w:val="top"/>
          </w:tcPr>
          <w:p w14:paraId="45B9DF97" w14:textId="2508EB0C" w:rsidR="009E3934" w:rsidRPr="009F63DF" w:rsidRDefault="00B62DE7" w:rsidP="00A80A83">
            <w:pPr>
              <w:pStyle w:val="SDMTableBoxParaNotNumbered"/>
            </w:pPr>
            <w:r w:rsidRPr="009F63DF">
              <w:rPr>
                <w:rFonts w:ascii="Cambria Math" w:hAnsi="Cambria Math" w:cstheme="minorBidi"/>
                <w:i/>
                <w:lang w:eastAsia="en-US"/>
              </w:rPr>
              <w:t>j</w:t>
            </w:r>
          </w:p>
        </w:tc>
        <w:tc>
          <w:tcPr>
            <w:tcW w:w="345" w:type="dxa"/>
            <w:vAlign w:val="top"/>
          </w:tcPr>
          <w:p w14:paraId="06C3778E" w14:textId="06E13842" w:rsidR="009E3934" w:rsidRPr="009F63DF" w:rsidRDefault="009E3934" w:rsidP="00A80A83">
            <w:pPr>
              <w:pStyle w:val="SDMTableBoxParaNotNumbered"/>
            </w:pPr>
            <w:r w:rsidRPr="009F63DF">
              <w:t>=</w:t>
            </w:r>
          </w:p>
        </w:tc>
        <w:tc>
          <w:tcPr>
            <w:tcW w:w="0" w:type="auto"/>
            <w:vAlign w:val="top"/>
          </w:tcPr>
          <w:p w14:paraId="13CE31F2" w14:textId="2895843C" w:rsidR="009E3934" w:rsidRPr="009F63DF" w:rsidRDefault="00B62DE7" w:rsidP="00A80A83">
            <w:pPr>
              <w:pStyle w:val="SDMTableBoxParaNotNumbered"/>
            </w:pPr>
            <w:r w:rsidRPr="009F63DF">
              <w:t>Secondary fuel types (e.g. fossil fuels or dung)</w:t>
            </w:r>
          </w:p>
        </w:tc>
      </w:tr>
      <w:tr w:rsidR="009E3934" w:rsidRPr="009F63DF" w14:paraId="63DF61F6" w14:textId="77777777" w:rsidTr="00F04DE3">
        <w:tc>
          <w:tcPr>
            <w:tcW w:w="1701" w:type="dxa"/>
            <w:vAlign w:val="top"/>
          </w:tcPr>
          <w:p w14:paraId="15760F74" w14:textId="58E888AD" w:rsidR="009E3934" w:rsidRPr="009F63DF" w:rsidRDefault="00B62DE7" w:rsidP="00A80A83">
            <w:pPr>
              <w:pStyle w:val="SDMTableBoxParaNotNumbered"/>
            </w:pPr>
            <w:r w:rsidRPr="009F63DF">
              <w:rPr>
                <w:rFonts w:ascii="Cambria Math" w:hAnsi="Cambria Math" w:cstheme="minorBidi"/>
                <w:i/>
                <w:lang w:eastAsia="en-US"/>
              </w:rPr>
              <w:t>y</w:t>
            </w:r>
          </w:p>
        </w:tc>
        <w:tc>
          <w:tcPr>
            <w:tcW w:w="345" w:type="dxa"/>
            <w:vAlign w:val="top"/>
          </w:tcPr>
          <w:p w14:paraId="6D3B8EC2" w14:textId="77777777" w:rsidR="009E3934" w:rsidRPr="009F63DF" w:rsidRDefault="009E3934" w:rsidP="00A80A83">
            <w:pPr>
              <w:pStyle w:val="SDMTableBoxParaNotNumbered"/>
            </w:pPr>
            <w:r w:rsidRPr="009F63DF">
              <w:t>=</w:t>
            </w:r>
          </w:p>
        </w:tc>
        <w:tc>
          <w:tcPr>
            <w:tcW w:w="0" w:type="auto"/>
            <w:vAlign w:val="top"/>
          </w:tcPr>
          <w:p w14:paraId="20E09C78" w14:textId="6D16EDE3" w:rsidR="009E3934" w:rsidRPr="009F63DF" w:rsidRDefault="00B62DE7" w:rsidP="00A80A83">
            <w:pPr>
              <w:pStyle w:val="SDMTableBoxParaNotNumbered"/>
            </w:pPr>
            <w:r w:rsidRPr="009F63DF">
              <w:t>Calendar year of the crediting period (number)</w:t>
            </w:r>
          </w:p>
        </w:tc>
      </w:tr>
    </w:tbl>
    <w:p w14:paraId="6A81B835" w14:textId="0856DB89" w:rsidR="001C2394" w:rsidRPr="009F63DF" w:rsidRDefault="00B6351D" w:rsidP="00655F47">
      <w:pPr>
        <w:pStyle w:val="SDMPara"/>
        <w:keepNext/>
      </w:pPr>
      <w:r w:rsidRPr="009F63DF">
        <w:rPr>
          <w:rFonts w:eastAsia="Montserrat"/>
        </w:rPr>
        <w:t>Activity participants</w:t>
      </w:r>
      <w:r w:rsidR="001C2394" w:rsidRPr="009F63DF">
        <w:rPr>
          <w:rFonts w:eastAsia="Montserrat"/>
        </w:rPr>
        <w:t xml:space="preserve"> shall determine energy consumption</w:t>
      </w:r>
      <w:r w:rsidR="00AD11C2" w:rsidRPr="009F63DF">
        <w:rPr>
          <w:rFonts w:eastAsia="Montserrat"/>
        </w:rPr>
        <w:t xml:space="preserve"> for the sum all households</w:t>
      </w:r>
      <w:r w:rsidR="001C2394" w:rsidRPr="009F63DF">
        <w:rPr>
          <w:rFonts w:eastAsia="Montserrat"/>
        </w:rPr>
        <w:t xml:space="preserve"> in the baseline scenario using the benchmark derived from the conservative BAU efficiency based on uncertainty for fuelwood or charcoal consumption</w:t>
      </w:r>
      <w:r w:rsidR="004F1899" w:rsidRPr="009F63DF">
        <w:rPr>
          <w:rFonts w:eastAsia="Montserrat"/>
        </w:rPr>
        <w:t xml:space="preserve"> </w:t>
      </w:r>
      <w:r w:rsidR="00F215BD" w:rsidRPr="009F63DF">
        <w:rPr>
          <w:rFonts w:eastAsia="Montserrat"/>
        </w:rPr>
        <w:t>as indicated in equation</w:t>
      </w:r>
      <w:r w:rsidR="00E33373" w:rsidRPr="009F63DF">
        <w:rPr>
          <w:rFonts w:eastAsia="Montserrat"/>
        </w:rPr>
        <w:t>s</w:t>
      </w:r>
      <w:r w:rsidR="008B4E6C" w:rsidRPr="009F63DF">
        <w:rPr>
          <w:rFonts w:eastAsia="Montserrat"/>
        </w:rPr>
        <w:t xml:space="preserve"> (</w:t>
      </w:r>
      <w:r w:rsidR="00096E7C" w:rsidRPr="009F63DF">
        <w:rPr>
          <w:rFonts w:eastAsia="Montserrat"/>
        </w:rPr>
        <w:t>22</w:t>
      </w:r>
      <w:r w:rsidR="008B4E6C" w:rsidRPr="009F63DF">
        <w:rPr>
          <w:rFonts w:eastAsia="Montserrat"/>
        </w:rPr>
        <w:t>) and (</w:t>
      </w:r>
      <w:r w:rsidR="00096E7C" w:rsidRPr="009F63DF">
        <w:rPr>
          <w:rFonts w:eastAsia="Montserrat"/>
        </w:rPr>
        <w:t>23</w:t>
      </w:r>
      <w:r w:rsidR="008B4E6C" w:rsidRPr="009F63DF">
        <w:rPr>
          <w:rFonts w:eastAsia="Montserrat"/>
        </w:rPr>
        <w:t>)</w:t>
      </w:r>
      <w:r w:rsidR="001C2394" w:rsidRPr="009F63DF">
        <w:rPr>
          <w:rFonts w:eastAsia="Montserrat"/>
        </w:rPr>
        <w:t>:</w:t>
      </w:r>
    </w:p>
    <w:tbl>
      <w:tblPr>
        <w:tblStyle w:val="SDMMethTableEquation"/>
        <w:tblW w:w="8656" w:type="dxa"/>
        <w:tblLook w:val="0600" w:firstRow="0" w:lastRow="0" w:firstColumn="0" w:lastColumn="0" w:noHBand="1" w:noVBand="1"/>
      </w:tblPr>
      <w:tblGrid>
        <w:gridCol w:w="7016"/>
        <w:gridCol w:w="1640"/>
      </w:tblGrid>
      <w:tr w:rsidR="002D1860" w:rsidRPr="009F63DF" w14:paraId="4FE909C8" w14:textId="77777777" w:rsidTr="00206BA2">
        <w:tc>
          <w:tcPr>
            <w:tcW w:w="7016" w:type="dxa"/>
          </w:tcPr>
          <w:p w14:paraId="32E41584" w14:textId="0B757D41" w:rsidR="002D1860" w:rsidRPr="009F63DF" w:rsidRDefault="001549D8" w:rsidP="00C5477B">
            <w:pPr>
              <w:pStyle w:val="SDMMethEquation"/>
            </w:pPr>
            <m:oMathPara>
              <m:oMathParaPr>
                <m:jc m:val="left"/>
              </m:oMathParaPr>
              <m:oMath>
                <m:sSub>
                  <m:sSubPr>
                    <m:ctrlPr>
                      <w:rPr>
                        <w:rFonts w:ascii="Cambria Math" w:eastAsia="Cambria Math" w:hAnsi="Cambria Math" w:cs="Cambria Math"/>
                        <w:lang w:eastAsia="en-US"/>
                      </w:rPr>
                    </m:ctrlPr>
                  </m:sSubPr>
                  <m:e>
                    <m:r>
                      <w:rPr>
                        <w:rFonts w:ascii="Cambria Math" w:eastAsia="Cambria Math" w:hAnsi="Cambria Math" w:cs="Cambria Math"/>
                        <w:lang w:eastAsia="en-US"/>
                      </w:rPr>
                      <m:t>EC</m:t>
                    </m:r>
                  </m:e>
                  <m:sub>
                    <m:r>
                      <w:rPr>
                        <w:rFonts w:ascii="Cambria Math" w:eastAsia="Cambria Math" w:hAnsi="Cambria Math" w:cs="Cambria Math"/>
                        <w:lang w:eastAsia="en-US"/>
                      </w:rPr>
                      <m:t>BL,i,UNC,y</m:t>
                    </m:r>
                  </m:sub>
                </m:sSub>
                <m:r>
                  <w:rPr>
                    <w:rFonts w:ascii="Cambria Math" w:eastAsia="Cambria Math" w:hAnsi="Cambria Math" w:cs="Cambria Math"/>
                    <w:lang w:eastAsia="en-US"/>
                  </w:rPr>
                  <m:t>=</m:t>
                </m:r>
                <m:sSub>
                  <m:sSubPr>
                    <m:ctrlPr>
                      <w:rPr>
                        <w:rFonts w:ascii="Cambria Math" w:eastAsia="Cambria Math" w:hAnsi="Cambria Math" w:cs="Cambria Math"/>
                        <w:lang w:eastAsia="en-US"/>
                      </w:rPr>
                    </m:ctrlPr>
                  </m:sSubPr>
                  <m:e>
                    <m:r>
                      <w:rPr>
                        <w:rFonts w:ascii="Cambria Math" w:eastAsia="Cambria Math" w:hAnsi="Cambria Math" w:cs="Cambria Math"/>
                        <w:lang w:eastAsia="en-US"/>
                      </w:rPr>
                      <m:t>H</m:t>
                    </m:r>
                  </m:e>
                  <m:sub>
                    <m:r>
                      <w:rPr>
                        <w:rFonts w:ascii="Cambria Math" w:eastAsia="Cambria Math" w:hAnsi="Cambria Math" w:cs="Cambria Math"/>
                        <w:lang w:eastAsia="en-US"/>
                      </w:rPr>
                      <m:t>y</m:t>
                    </m:r>
                  </m:sub>
                </m:sSub>
                <m:r>
                  <w:rPr>
                    <w:rFonts w:ascii="Cambria Math" w:eastAsia="Cambria Math" w:hAnsi="Cambria Math" w:cs="Cambria Math"/>
                    <w:lang w:eastAsia="en-US"/>
                  </w:rPr>
                  <m:t>×</m:t>
                </m:r>
                <m:sSub>
                  <m:sSubPr>
                    <m:ctrlPr>
                      <w:rPr>
                        <w:rFonts w:ascii="Cambria Math" w:eastAsia="Cambria Math" w:hAnsi="Cambria Math" w:cs="Cambria Math"/>
                        <w:lang w:eastAsia="en-US"/>
                      </w:rPr>
                    </m:ctrlPr>
                  </m:sSubPr>
                  <m:e>
                    <m:r>
                      <w:rPr>
                        <w:rFonts w:ascii="Cambria Math" w:eastAsia="Cambria Math" w:hAnsi="Cambria Math" w:cs="Cambria Math"/>
                        <w:lang w:eastAsia="en-US"/>
                      </w:rPr>
                      <m:t>BM</m:t>
                    </m:r>
                  </m:e>
                  <m:sub>
                    <m:r>
                      <w:rPr>
                        <w:rFonts w:ascii="Cambria Math" w:eastAsia="Cambria Math" w:hAnsi="Cambria Math" w:cs="Cambria Math"/>
                        <w:lang w:eastAsia="en-US"/>
                      </w:rPr>
                      <m:t>BL,i,UNC,y</m:t>
                    </m:r>
                  </m:sub>
                </m:sSub>
                <m:r>
                  <w:rPr>
                    <w:rFonts w:ascii="Cambria Math" w:eastAsia="Cambria Math" w:hAnsi="Cambria Math" w:cs="Cambria Math"/>
                    <w:lang w:eastAsia="en-US"/>
                  </w:rPr>
                  <m:t>×</m:t>
                </m:r>
                <m:f>
                  <m:fPr>
                    <m:ctrlPr>
                      <w:rPr>
                        <w:rFonts w:ascii="Cambria Math" w:eastAsia="Cambria Math" w:hAnsi="Cambria Math" w:cs="Cambria Math"/>
                        <w:i/>
                        <w:lang w:eastAsia="en-US"/>
                      </w:rPr>
                    </m:ctrlPr>
                  </m:fPr>
                  <m:num>
                    <m:sSub>
                      <m:sSubPr>
                        <m:ctrlPr>
                          <w:rPr>
                            <w:rFonts w:ascii="Cambria Math" w:eastAsia="Cambria Math" w:hAnsi="Cambria Math" w:cs="Cambria Math"/>
                            <w:i/>
                            <w:lang w:eastAsia="en-US"/>
                          </w:rPr>
                        </m:ctrlPr>
                      </m:sSubPr>
                      <m:e>
                        <m:sSub>
                          <m:sSubPr>
                            <m:ctrlPr>
                              <w:rPr>
                                <w:rFonts w:ascii="Cambria Math" w:eastAsia="Cambria Math" w:hAnsi="Cambria Math" w:cs="Cambria Math"/>
                                <w:sz w:val="24"/>
                                <w:lang w:eastAsia="en-US"/>
                              </w:rPr>
                            </m:ctrlPr>
                          </m:sSubPr>
                          <m:e>
                            <m:r>
                              <w:rPr>
                                <w:rFonts w:ascii="Cambria Math" w:eastAsia="Roboto" w:hAnsi="Cambria Math" w:cs="Roboto"/>
                                <w:color w:val="040C28"/>
                                <w:sz w:val="30"/>
                                <w:szCs w:val="30"/>
                                <w:lang w:eastAsia="en-US"/>
                              </w:rPr>
                              <m:t>Ψ</m:t>
                            </m:r>
                          </m:e>
                          <m:sub>
                            <m:r>
                              <w:rPr>
                                <w:rFonts w:ascii="Cambria Math" w:eastAsia="Cambria Math" w:hAnsi="Cambria Math" w:cs="Cambria Math"/>
                                <w:sz w:val="24"/>
                                <w:lang w:eastAsia="en-US"/>
                              </w:rPr>
                              <m:t>y</m:t>
                            </m:r>
                          </m:sub>
                        </m:sSub>
                        <m:r>
                          <w:rPr>
                            <w:rFonts w:ascii="Cambria Math" w:eastAsia="Cambria Math" w:hAnsi="Cambria Math" w:cs="Cambria Math"/>
                            <w:sz w:val="24"/>
                            <w:lang w:eastAsia="en-US"/>
                          </w:rPr>
                          <m:t>×</m:t>
                        </m:r>
                        <m:nary>
                          <m:naryPr>
                            <m:chr m:val="∑"/>
                            <m:limLoc m:val="subSup"/>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h</m:t>
                            </m:r>
                          </m:sub>
                          <m:sup/>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Days</m:t>
                                </m:r>
                              </m:e>
                              <m:sub>
                                <m:r>
                                  <w:rPr>
                                    <w:rFonts w:ascii="Cambria Math" w:eastAsia="Cambria Math" w:hAnsi="Cambria Math" w:cs="Cambria Math"/>
                                    <w:lang w:eastAsia="en-US"/>
                                  </w:rPr>
                                  <m:t>y,h</m:t>
                                </m:r>
                              </m:sub>
                            </m:sSub>
                          </m:e>
                        </m:nary>
                      </m:e>
                      <m:sub/>
                    </m:sSub>
                  </m:num>
                  <m:den>
                    <m:sSub>
                      <m:sSubPr>
                        <m:ctrlPr>
                          <w:rPr>
                            <w:rFonts w:ascii="Cambria Math" w:eastAsia="Cambria Math" w:hAnsi="Cambria Math" w:cs="Cambria Math"/>
                            <w:i/>
                            <w:lang w:eastAsia="en-US"/>
                          </w:rPr>
                        </m:ctrlPr>
                      </m:sSubPr>
                      <m:e>
                        <m:r>
                          <w:rPr>
                            <w:rFonts w:ascii="Cambria Math" w:eastAsia="Cambria Math" w:hAnsi="Cambria Math" w:cs="Cambria Math"/>
                            <w:lang w:eastAsia="en-US"/>
                          </w:rPr>
                          <m:t>CD</m:t>
                        </m:r>
                      </m:e>
                      <m:sub>
                        <m:r>
                          <w:rPr>
                            <w:rFonts w:ascii="Cambria Math" w:eastAsia="Cambria Math" w:hAnsi="Cambria Math" w:cs="Cambria Math"/>
                            <w:lang w:eastAsia="en-US"/>
                          </w:rPr>
                          <m:t>y</m:t>
                        </m:r>
                      </m:sub>
                    </m:sSub>
                  </m:den>
                </m:f>
              </m:oMath>
            </m:oMathPara>
          </w:p>
        </w:tc>
        <w:tc>
          <w:tcPr>
            <w:tcW w:w="1640" w:type="dxa"/>
          </w:tcPr>
          <w:p w14:paraId="731A3826" w14:textId="77777777" w:rsidR="002D1860" w:rsidRPr="009F63DF" w:rsidRDefault="002D1860" w:rsidP="00AF1AC1">
            <w:pPr>
              <w:pStyle w:val="SDMMethEquationNr"/>
              <w:numPr>
                <w:ilvl w:val="0"/>
                <w:numId w:val="29"/>
              </w:numPr>
            </w:pPr>
          </w:p>
        </w:tc>
      </w:tr>
      <w:tr w:rsidR="002D1860" w:rsidRPr="009F63DF" w14:paraId="4579D599" w14:textId="77777777" w:rsidTr="00206BA2">
        <w:tc>
          <w:tcPr>
            <w:tcW w:w="7016" w:type="dxa"/>
          </w:tcPr>
          <w:p w14:paraId="314949E6" w14:textId="5575CC14" w:rsidR="002D1860" w:rsidRPr="009F63DF" w:rsidRDefault="001549D8" w:rsidP="00C5477B">
            <w:pPr>
              <w:pStyle w:val="SDMMethEquation"/>
            </w:pPr>
            <m:oMathPara>
              <m:oMathParaPr>
                <m:jc m:val="left"/>
              </m:oMathParaPr>
              <m:oMath>
                <m:sSub>
                  <m:sSubPr>
                    <m:ctrlPr>
                      <w:rPr>
                        <w:rFonts w:ascii="Cambria Math" w:eastAsia="Cambria Math" w:hAnsi="Cambria Math" w:cs="Cambria Math"/>
                        <w:lang w:eastAsia="en-US"/>
                      </w:rPr>
                    </m:ctrlPr>
                  </m:sSubPr>
                  <m:e>
                    <m:r>
                      <w:rPr>
                        <w:rFonts w:ascii="Cambria Math" w:eastAsia="Cambria Math" w:hAnsi="Cambria Math" w:cs="Cambria Math"/>
                        <w:lang w:eastAsia="en-US"/>
                      </w:rPr>
                      <m:t>EC</m:t>
                    </m:r>
                  </m:e>
                  <m:sub>
                    <m:r>
                      <w:rPr>
                        <w:rFonts w:ascii="Cambria Math" w:eastAsia="Cambria Math" w:hAnsi="Cambria Math" w:cs="Cambria Math"/>
                        <w:lang w:eastAsia="en-US"/>
                      </w:rPr>
                      <m:t>BL,j,UNC,y</m:t>
                    </m:r>
                  </m:sub>
                </m:sSub>
                <m:r>
                  <w:rPr>
                    <w:rFonts w:ascii="Cambria Math" w:eastAsia="Cambria Math" w:hAnsi="Cambria Math" w:cs="Cambria Math"/>
                    <w:lang w:eastAsia="en-US"/>
                  </w:rPr>
                  <m:t>=</m:t>
                </m:r>
                <m:sSub>
                  <m:sSubPr>
                    <m:ctrlPr>
                      <w:rPr>
                        <w:rFonts w:ascii="Cambria Math" w:eastAsia="Cambria Math" w:hAnsi="Cambria Math" w:cs="Cambria Math"/>
                        <w:lang w:eastAsia="en-US"/>
                      </w:rPr>
                    </m:ctrlPr>
                  </m:sSubPr>
                  <m:e>
                    <m:r>
                      <w:rPr>
                        <w:rFonts w:ascii="Cambria Math" w:eastAsia="Cambria Math" w:hAnsi="Cambria Math" w:cs="Cambria Math"/>
                        <w:lang w:eastAsia="en-US"/>
                      </w:rPr>
                      <m:t>H</m:t>
                    </m:r>
                  </m:e>
                  <m:sub>
                    <m:r>
                      <w:rPr>
                        <w:rFonts w:ascii="Cambria Math" w:eastAsia="Cambria Math" w:hAnsi="Cambria Math" w:cs="Cambria Math"/>
                        <w:lang w:eastAsia="en-US"/>
                      </w:rPr>
                      <m:t>y</m:t>
                    </m:r>
                  </m:sub>
                </m:sSub>
                <m:r>
                  <w:rPr>
                    <w:rFonts w:ascii="Cambria Math" w:eastAsia="Cambria Math" w:hAnsi="Cambria Math" w:cs="Cambria Math"/>
                    <w:lang w:eastAsia="en-US"/>
                  </w:rPr>
                  <m:t>×</m:t>
                </m:r>
                <m:sSub>
                  <m:sSubPr>
                    <m:ctrlPr>
                      <w:rPr>
                        <w:rFonts w:ascii="Cambria Math" w:eastAsia="Cambria Math" w:hAnsi="Cambria Math" w:cs="Cambria Math"/>
                        <w:lang w:eastAsia="en-US"/>
                      </w:rPr>
                    </m:ctrlPr>
                  </m:sSubPr>
                  <m:e>
                    <m:r>
                      <w:rPr>
                        <w:rFonts w:ascii="Cambria Math" w:eastAsia="Cambria Math" w:hAnsi="Cambria Math" w:cs="Cambria Math"/>
                        <w:lang w:eastAsia="en-US"/>
                      </w:rPr>
                      <m:t>BM</m:t>
                    </m:r>
                  </m:e>
                  <m:sub>
                    <m:r>
                      <w:rPr>
                        <w:rFonts w:ascii="Cambria Math" w:eastAsia="Cambria Math" w:hAnsi="Cambria Math" w:cs="Cambria Math"/>
                        <w:lang w:eastAsia="en-US"/>
                      </w:rPr>
                      <m:t>BL,j,UNC,y</m:t>
                    </m:r>
                  </m:sub>
                </m:sSub>
                <m:r>
                  <w:rPr>
                    <w:rFonts w:ascii="Cambria Math" w:eastAsia="Cambria Math" w:hAnsi="Cambria Math" w:cs="Cambria Math"/>
                    <w:lang w:eastAsia="en-US"/>
                  </w:rPr>
                  <m:t>×</m:t>
                </m:r>
                <m:f>
                  <m:fPr>
                    <m:ctrlPr>
                      <w:rPr>
                        <w:rFonts w:ascii="Cambria Math" w:eastAsia="Cambria Math" w:hAnsi="Cambria Math" w:cs="Cambria Math"/>
                        <w:i/>
                        <w:lang w:eastAsia="en-US"/>
                      </w:rPr>
                    </m:ctrlPr>
                  </m:fPr>
                  <m:num>
                    <m:sSub>
                      <m:sSubPr>
                        <m:ctrlPr>
                          <w:rPr>
                            <w:rFonts w:ascii="Cambria Math" w:eastAsia="Cambria Math" w:hAnsi="Cambria Math" w:cs="Cambria Math"/>
                            <w:i/>
                            <w:lang w:eastAsia="en-US"/>
                          </w:rPr>
                        </m:ctrlPr>
                      </m:sSubPr>
                      <m:e>
                        <m:sSub>
                          <m:sSubPr>
                            <m:ctrlPr>
                              <w:rPr>
                                <w:rFonts w:ascii="Cambria Math" w:eastAsia="Cambria Math" w:hAnsi="Cambria Math" w:cs="Cambria Math"/>
                                <w:sz w:val="24"/>
                                <w:lang w:eastAsia="en-US"/>
                              </w:rPr>
                            </m:ctrlPr>
                          </m:sSubPr>
                          <m:e>
                            <m:r>
                              <w:rPr>
                                <w:rFonts w:ascii="Cambria Math" w:eastAsia="Roboto" w:hAnsi="Cambria Math" w:cs="Roboto"/>
                                <w:color w:val="040C28"/>
                                <w:sz w:val="30"/>
                                <w:szCs w:val="30"/>
                                <w:lang w:eastAsia="en-US"/>
                              </w:rPr>
                              <m:t>Ψ</m:t>
                            </m:r>
                          </m:e>
                          <m:sub>
                            <m:r>
                              <w:rPr>
                                <w:rFonts w:ascii="Cambria Math" w:eastAsia="Cambria Math" w:hAnsi="Cambria Math" w:cs="Cambria Math"/>
                                <w:sz w:val="24"/>
                                <w:lang w:eastAsia="en-US"/>
                              </w:rPr>
                              <m:t>y</m:t>
                            </m:r>
                          </m:sub>
                        </m:sSub>
                        <m:r>
                          <w:rPr>
                            <w:rFonts w:ascii="Cambria Math" w:eastAsia="Cambria Math" w:hAnsi="Cambria Math" w:cs="Cambria Math"/>
                            <w:sz w:val="24"/>
                            <w:lang w:eastAsia="en-US"/>
                          </w:rPr>
                          <m:t>×</m:t>
                        </m:r>
                        <m:nary>
                          <m:naryPr>
                            <m:chr m:val="∑"/>
                            <m:limLoc m:val="subSup"/>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h</m:t>
                            </m:r>
                          </m:sub>
                          <m:sup/>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Days</m:t>
                                </m:r>
                              </m:e>
                              <m:sub>
                                <m:r>
                                  <w:rPr>
                                    <w:rFonts w:ascii="Cambria Math" w:eastAsia="Cambria Math" w:hAnsi="Cambria Math" w:cs="Cambria Math"/>
                                    <w:lang w:eastAsia="en-US"/>
                                  </w:rPr>
                                  <m:t>y,h</m:t>
                                </m:r>
                              </m:sub>
                            </m:sSub>
                          </m:e>
                        </m:nary>
                      </m:e>
                      <m:sub/>
                    </m:sSub>
                  </m:num>
                  <m:den>
                    <m:sSub>
                      <m:sSubPr>
                        <m:ctrlPr>
                          <w:rPr>
                            <w:rFonts w:ascii="Cambria Math" w:eastAsia="Cambria Math" w:hAnsi="Cambria Math" w:cs="Cambria Math"/>
                            <w:i/>
                            <w:lang w:eastAsia="en-US"/>
                          </w:rPr>
                        </m:ctrlPr>
                      </m:sSubPr>
                      <m:e>
                        <m:r>
                          <w:rPr>
                            <w:rFonts w:ascii="Cambria Math" w:eastAsia="Cambria Math" w:hAnsi="Cambria Math" w:cs="Cambria Math"/>
                            <w:lang w:eastAsia="en-US"/>
                          </w:rPr>
                          <m:t>CD</m:t>
                        </m:r>
                      </m:e>
                      <m:sub>
                        <m:r>
                          <w:rPr>
                            <w:rFonts w:ascii="Cambria Math" w:eastAsia="Cambria Math" w:hAnsi="Cambria Math" w:cs="Cambria Math"/>
                            <w:lang w:eastAsia="en-US"/>
                          </w:rPr>
                          <m:t>y</m:t>
                        </m:r>
                      </m:sub>
                    </m:sSub>
                  </m:den>
                </m:f>
              </m:oMath>
            </m:oMathPara>
          </w:p>
        </w:tc>
        <w:tc>
          <w:tcPr>
            <w:tcW w:w="1640" w:type="dxa"/>
          </w:tcPr>
          <w:p w14:paraId="63A4D485" w14:textId="77777777" w:rsidR="002D1860" w:rsidRPr="009F63DF" w:rsidRDefault="002D1860" w:rsidP="00AF1AC1">
            <w:pPr>
              <w:pStyle w:val="SDMMethEquationNr"/>
              <w:numPr>
                <w:ilvl w:val="0"/>
                <w:numId w:val="29"/>
              </w:numPr>
            </w:pPr>
          </w:p>
        </w:tc>
      </w:tr>
    </w:tbl>
    <w:p w14:paraId="6E041BE8" w14:textId="77777777" w:rsidR="002D1860" w:rsidRPr="009F63DF" w:rsidRDefault="002D1860"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2D1860" w:rsidRPr="009F63DF" w14:paraId="1CD6AE24" w14:textId="77777777" w:rsidTr="00F04DE3">
        <w:tc>
          <w:tcPr>
            <w:tcW w:w="1701" w:type="dxa"/>
            <w:vAlign w:val="top"/>
          </w:tcPr>
          <w:p w14:paraId="2EAF7E81" w14:textId="5676B735" w:rsidR="002D1860" w:rsidRPr="009F63DF" w:rsidRDefault="001549D8" w:rsidP="00A80A83">
            <w:pPr>
              <w:pStyle w:val="SDMTableBoxParaNotNumbered"/>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EC</m:t>
                    </m:r>
                  </m:e>
                  <m:sub>
                    <m:r>
                      <w:rPr>
                        <w:rFonts w:ascii="Cambria Math" w:eastAsia="Cambria Math" w:hAnsi="Cambria Math" w:cstheme="minorBidi"/>
                      </w:rPr>
                      <m:t>BL,i,UNC,y</m:t>
                    </m:r>
                  </m:sub>
                </m:sSub>
              </m:oMath>
            </m:oMathPara>
          </w:p>
        </w:tc>
        <w:tc>
          <w:tcPr>
            <w:tcW w:w="345" w:type="dxa"/>
            <w:vAlign w:val="top"/>
          </w:tcPr>
          <w:p w14:paraId="1D94F202" w14:textId="77777777" w:rsidR="002D1860" w:rsidRPr="009F63DF" w:rsidRDefault="002D1860" w:rsidP="00A80A83">
            <w:pPr>
              <w:pStyle w:val="SDMTableBoxParaNotNumbered"/>
            </w:pPr>
            <w:r w:rsidRPr="009F63DF">
              <w:t>=</w:t>
            </w:r>
          </w:p>
        </w:tc>
        <w:tc>
          <w:tcPr>
            <w:tcW w:w="0" w:type="auto"/>
            <w:vAlign w:val="top"/>
          </w:tcPr>
          <w:p w14:paraId="7614F3B7" w14:textId="2E38EF82" w:rsidR="002D1860" w:rsidRPr="009F63DF" w:rsidRDefault="00A80A83" w:rsidP="00A80A83">
            <w:pPr>
              <w:pStyle w:val="SDMTableBoxParaNotNumbered"/>
            </w:pPr>
            <w:r w:rsidRPr="009F63DF">
              <w:t xml:space="preserve">Consumption of primary fuel types </w:t>
            </w:r>
            <w:r w:rsidRPr="009F63DF">
              <w:rPr>
                <w:i/>
              </w:rPr>
              <w:t>i</w:t>
            </w:r>
            <w:r w:rsidRPr="009F63DF">
              <w:t xml:space="preserve"> in the conservative BAU scenario based on uncertainty in year </w:t>
            </w:r>
            <w:r w:rsidRPr="009F63DF">
              <w:rPr>
                <w:i/>
              </w:rPr>
              <w:t>y</w:t>
            </w:r>
            <w:r w:rsidRPr="009F63DF">
              <w:t xml:space="preserve"> (TJ)</w:t>
            </w:r>
          </w:p>
        </w:tc>
      </w:tr>
      <w:tr w:rsidR="002D1860" w:rsidRPr="009F63DF" w14:paraId="5C167877" w14:textId="77777777" w:rsidTr="00F04DE3">
        <w:tc>
          <w:tcPr>
            <w:tcW w:w="1701" w:type="dxa"/>
            <w:vAlign w:val="top"/>
          </w:tcPr>
          <w:p w14:paraId="72E35BE3" w14:textId="1992E153" w:rsidR="002D1860" w:rsidRPr="009F63DF" w:rsidRDefault="001549D8" w:rsidP="00A80A83">
            <w:pPr>
              <w:pStyle w:val="SDMTableBoxParaNotNumbered"/>
            </w:pPr>
            <m:oMathPara>
              <m:oMathParaPr>
                <m:jc m:val="left"/>
              </m:oMathParaPr>
              <m:oMath>
                <m:sSub>
                  <m:sSubPr>
                    <m:ctrlPr>
                      <w:rPr>
                        <w:rFonts w:ascii="Cambria Math" w:eastAsia="Cambria Math" w:hAnsi="Cambria Math" w:cstheme="minorBidi"/>
                        <w:lang w:eastAsia="en-US"/>
                      </w:rPr>
                    </m:ctrlPr>
                  </m:sSubPr>
                  <m:e>
                    <m:r>
                      <w:rPr>
                        <w:rFonts w:ascii="Cambria Math" w:eastAsia="Cambria Math" w:hAnsi="Cambria Math" w:cstheme="minorBidi"/>
                        <w:lang w:eastAsia="en-US"/>
                      </w:rPr>
                      <m:t>EC</m:t>
                    </m:r>
                  </m:e>
                  <m:sub>
                    <m:r>
                      <w:rPr>
                        <w:rFonts w:ascii="Cambria Math" w:eastAsia="Cambria Math" w:hAnsi="Cambria Math" w:cstheme="minorBidi"/>
                        <w:lang w:eastAsia="en-US"/>
                      </w:rPr>
                      <m:t>BL,j,UNC,y</m:t>
                    </m:r>
                  </m:sub>
                </m:sSub>
              </m:oMath>
            </m:oMathPara>
          </w:p>
        </w:tc>
        <w:tc>
          <w:tcPr>
            <w:tcW w:w="345" w:type="dxa"/>
            <w:vAlign w:val="top"/>
          </w:tcPr>
          <w:p w14:paraId="1749183E" w14:textId="77777777" w:rsidR="002D1860" w:rsidRPr="009F63DF" w:rsidRDefault="002D1860" w:rsidP="00A80A83">
            <w:pPr>
              <w:pStyle w:val="SDMTableBoxParaNotNumbered"/>
            </w:pPr>
            <w:r w:rsidRPr="009F63DF">
              <w:t>=</w:t>
            </w:r>
          </w:p>
        </w:tc>
        <w:tc>
          <w:tcPr>
            <w:tcW w:w="0" w:type="auto"/>
            <w:vAlign w:val="top"/>
          </w:tcPr>
          <w:p w14:paraId="6A33B0E7" w14:textId="7D7DAAC5" w:rsidR="002D1860" w:rsidRPr="009F63DF" w:rsidRDefault="00A80A83" w:rsidP="00A80A83">
            <w:pPr>
              <w:pStyle w:val="SDMTableBoxParaNotNumbered"/>
            </w:pPr>
            <w:r w:rsidRPr="009F63DF">
              <w:t xml:space="preserve">Consumption of secondary fuel types </w:t>
            </w:r>
            <w:r w:rsidRPr="009F63DF">
              <w:rPr>
                <w:i/>
              </w:rPr>
              <w:t>j</w:t>
            </w:r>
            <w:r w:rsidRPr="009F63DF">
              <w:t xml:space="preserve"> in the conservative BAU scenario based on uncertainty in year </w:t>
            </w:r>
            <w:r w:rsidRPr="009F63DF">
              <w:rPr>
                <w:i/>
              </w:rPr>
              <w:t>y</w:t>
            </w:r>
            <w:r w:rsidRPr="009F63DF">
              <w:t xml:space="preserve"> (TJ)</w:t>
            </w:r>
          </w:p>
        </w:tc>
      </w:tr>
      <w:tr w:rsidR="002D1860" w:rsidRPr="009F63DF" w14:paraId="21B9AD72" w14:textId="77777777" w:rsidTr="00F04DE3">
        <w:tc>
          <w:tcPr>
            <w:tcW w:w="1701" w:type="dxa"/>
            <w:vAlign w:val="top"/>
          </w:tcPr>
          <w:p w14:paraId="6518524F" w14:textId="641C6116" w:rsidR="002D1860" w:rsidRPr="009F63DF" w:rsidRDefault="001549D8" w:rsidP="00A80A83">
            <w:pPr>
              <w:pStyle w:val="SDMTableBoxParaNotNumbered"/>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H</m:t>
                    </m:r>
                  </m:e>
                  <m:sub>
                    <m:r>
                      <w:rPr>
                        <w:rFonts w:ascii="Cambria Math" w:eastAsia="Cambria Math" w:hAnsi="Cambria Math" w:cstheme="minorBidi"/>
                      </w:rPr>
                      <m:t>y</m:t>
                    </m:r>
                  </m:sub>
                </m:sSub>
              </m:oMath>
            </m:oMathPara>
          </w:p>
        </w:tc>
        <w:tc>
          <w:tcPr>
            <w:tcW w:w="345" w:type="dxa"/>
            <w:vAlign w:val="top"/>
          </w:tcPr>
          <w:p w14:paraId="711A7BCF" w14:textId="77777777" w:rsidR="002D1860" w:rsidRPr="009F63DF" w:rsidRDefault="002D1860" w:rsidP="00A80A83">
            <w:pPr>
              <w:pStyle w:val="SDMTableBoxParaNotNumbered"/>
            </w:pPr>
            <w:r w:rsidRPr="009F63DF">
              <w:t>=</w:t>
            </w:r>
          </w:p>
        </w:tc>
        <w:tc>
          <w:tcPr>
            <w:tcW w:w="0" w:type="auto"/>
            <w:vAlign w:val="top"/>
          </w:tcPr>
          <w:p w14:paraId="200CAF9C" w14:textId="570C5561" w:rsidR="002D1860" w:rsidRPr="009F63DF" w:rsidRDefault="00A80A83" w:rsidP="00A80A83">
            <w:pPr>
              <w:pStyle w:val="SDMTableBoxParaNotNumbered"/>
            </w:pPr>
            <w:r w:rsidRPr="009F63DF">
              <w:t xml:space="preserve">Average household size in year </w:t>
            </w:r>
            <w:r w:rsidRPr="009F63DF">
              <w:rPr>
                <w:i/>
              </w:rPr>
              <w:t>y</w:t>
            </w:r>
            <w:r w:rsidRPr="009F63DF">
              <w:t xml:space="preserve"> (number of persons per household)</w:t>
            </w:r>
          </w:p>
        </w:tc>
      </w:tr>
      <w:tr w:rsidR="002D1860" w:rsidRPr="007930FD" w14:paraId="354134A5" w14:textId="77777777" w:rsidTr="00F04DE3">
        <w:tc>
          <w:tcPr>
            <w:tcW w:w="1701" w:type="dxa"/>
            <w:vAlign w:val="top"/>
          </w:tcPr>
          <w:p w14:paraId="179445A2" w14:textId="1595BD0C" w:rsidR="002D1860" w:rsidRPr="007930FD" w:rsidRDefault="001549D8" w:rsidP="00A80A83">
            <w:pPr>
              <w:pStyle w:val="SDMTableBoxParaNotNumbered"/>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BM</m:t>
                    </m:r>
                  </m:e>
                  <m:sub>
                    <m:r>
                      <w:rPr>
                        <w:rFonts w:ascii="Cambria Math" w:eastAsia="Cambria Math" w:hAnsi="Cambria Math" w:cstheme="minorBidi"/>
                      </w:rPr>
                      <m:t>BL,i,UNC,y</m:t>
                    </m:r>
                  </m:sub>
                </m:sSub>
              </m:oMath>
            </m:oMathPara>
          </w:p>
        </w:tc>
        <w:tc>
          <w:tcPr>
            <w:tcW w:w="345" w:type="dxa"/>
            <w:vAlign w:val="top"/>
          </w:tcPr>
          <w:p w14:paraId="2E40119F" w14:textId="54CBB00E" w:rsidR="002D1860" w:rsidRPr="007930FD" w:rsidRDefault="002D1860" w:rsidP="00A80A83">
            <w:pPr>
              <w:pStyle w:val="SDMTableBoxParaNotNumbered"/>
            </w:pPr>
            <w:r w:rsidRPr="007930FD">
              <w:t>=</w:t>
            </w:r>
          </w:p>
        </w:tc>
        <w:tc>
          <w:tcPr>
            <w:tcW w:w="0" w:type="auto"/>
            <w:vAlign w:val="top"/>
          </w:tcPr>
          <w:p w14:paraId="6AF0DC52" w14:textId="779D4F9B" w:rsidR="002D1860" w:rsidRPr="007930FD" w:rsidRDefault="007D5DCB" w:rsidP="00A80A83">
            <w:pPr>
              <w:pStyle w:val="SDMTableBoxParaNotNumbered"/>
            </w:pPr>
            <w:r w:rsidRPr="007930FD">
              <w:t>Conservative BAU</w:t>
            </w:r>
            <w:r w:rsidR="004B3351" w:rsidRPr="007930FD">
              <w:t xml:space="preserve"> scenario based on uncertainty </w:t>
            </w:r>
            <w:r w:rsidRPr="007930FD">
              <w:t xml:space="preserve">energy </w:t>
            </w:r>
            <w:r w:rsidR="00A80A83" w:rsidRPr="007930FD">
              <w:t xml:space="preserve">consumption of primary fuel types </w:t>
            </w:r>
            <w:r w:rsidR="00A80A83" w:rsidRPr="007930FD">
              <w:rPr>
                <w:i/>
              </w:rPr>
              <w:t>i</w:t>
            </w:r>
            <w:r w:rsidR="00A80A83" w:rsidRPr="007930FD">
              <w:t xml:space="preserve"> (TJ</w:t>
            </w:r>
            <w:r w:rsidR="00853466" w:rsidRPr="007930FD">
              <w:t xml:space="preserve"> </w:t>
            </w:r>
            <w:r w:rsidR="00A80A83" w:rsidRPr="007930FD">
              <w:t>/</w:t>
            </w:r>
            <w:r w:rsidR="00853466" w:rsidRPr="007930FD">
              <w:t xml:space="preserve"> </w:t>
            </w:r>
            <w:r w:rsidR="00A80A83" w:rsidRPr="007930FD">
              <w:t>(person x year))</w:t>
            </w:r>
          </w:p>
        </w:tc>
      </w:tr>
      <w:tr w:rsidR="002D1860" w:rsidRPr="007930FD" w14:paraId="71F82BCD" w14:textId="77777777" w:rsidTr="00F04DE3">
        <w:tc>
          <w:tcPr>
            <w:tcW w:w="1701" w:type="dxa"/>
            <w:vAlign w:val="top"/>
          </w:tcPr>
          <w:p w14:paraId="33B5D523" w14:textId="0B0A3765" w:rsidR="002D1860" w:rsidRPr="007930FD" w:rsidRDefault="001549D8" w:rsidP="00A80A83">
            <w:pPr>
              <w:pStyle w:val="SDMTableBoxParaNotNumbered"/>
            </w:pPr>
            <m:oMathPara>
              <m:oMathParaPr>
                <m:jc m:val="left"/>
              </m:oMathParaPr>
              <m:oMath>
                <m:sSub>
                  <m:sSubPr>
                    <m:ctrlPr>
                      <w:rPr>
                        <w:rFonts w:ascii="Cambria Math" w:eastAsia="Cambria Math" w:hAnsi="Cambria Math" w:cstheme="minorBidi"/>
                        <w:lang w:eastAsia="en-US"/>
                      </w:rPr>
                    </m:ctrlPr>
                  </m:sSubPr>
                  <m:e>
                    <m:r>
                      <w:rPr>
                        <w:rFonts w:ascii="Cambria Math" w:eastAsia="Cambria Math" w:hAnsi="Cambria Math" w:cstheme="minorBidi"/>
                        <w:lang w:eastAsia="en-US"/>
                      </w:rPr>
                      <m:t>BM</m:t>
                    </m:r>
                  </m:e>
                  <m:sub>
                    <m:r>
                      <w:rPr>
                        <w:rFonts w:ascii="Cambria Math" w:eastAsia="Cambria Math" w:hAnsi="Cambria Math" w:cstheme="minorBidi"/>
                        <w:lang w:eastAsia="en-US"/>
                      </w:rPr>
                      <m:t>BL,j,UNC,y</m:t>
                    </m:r>
                  </m:sub>
                </m:sSub>
              </m:oMath>
            </m:oMathPara>
          </w:p>
        </w:tc>
        <w:tc>
          <w:tcPr>
            <w:tcW w:w="345" w:type="dxa"/>
            <w:vAlign w:val="top"/>
          </w:tcPr>
          <w:p w14:paraId="61BE7941" w14:textId="252DE579" w:rsidR="002D1860" w:rsidRPr="007930FD" w:rsidRDefault="002D1860" w:rsidP="00A80A83">
            <w:pPr>
              <w:pStyle w:val="SDMTableBoxParaNotNumbered"/>
            </w:pPr>
            <w:r w:rsidRPr="007930FD">
              <w:t>=</w:t>
            </w:r>
          </w:p>
        </w:tc>
        <w:tc>
          <w:tcPr>
            <w:tcW w:w="0" w:type="auto"/>
            <w:vAlign w:val="top"/>
          </w:tcPr>
          <w:p w14:paraId="633E8EC6" w14:textId="6903DDA0" w:rsidR="002D1860" w:rsidRPr="007930FD" w:rsidRDefault="007D5DCB" w:rsidP="00A80A83">
            <w:pPr>
              <w:pStyle w:val="SDMTableBoxParaNotNumbered"/>
            </w:pPr>
            <w:r w:rsidRPr="007930FD">
              <w:t>Conservative BAU</w:t>
            </w:r>
            <w:r w:rsidR="004B3351" w:rsidRPr="007930FD">
              <w:t xml:space="preserve"> scenario based on uncertainty</w:t>
            </w:r>
            <w:r w:rsidRPr="007930FD">
              <w:t xml:space="preserve"> energy </w:t>
            </w:r>
            <w:r w:rsidR="00A80A83" w:rsidRPr="007930FD">
              <w:t xml:space="preserve">consumption of secondary fuel types </w:t>
            </w:r>
            <w:r w:rsidR="00A80A83" w:rsidRPr="007930FD">
              <w:rPr>
                <w:i/>
              </w:rPr>
              <w:t>j</w:t>
            </w:r>
            <w:r w:rsidR="00A80A83" w:rsidRPr="007930FD">
              <w:t xml:space="preserve"> (TJ</w:t>
            </w:r>
            <w:r w:rsidR="00853466" w:rsidRPr="007930FD">
              <w:t xml:space="preserve"> </w:t>
            </w:r>
            <w:r w:rsidR="00A80A83" w:rsidRPr="007930FD">
              <w:t>/</w:t>
            </w:r>
            <w:r w:rsidR="00853466" w:rsidRPr="007930FD">
              <w:t xml:space="preserve"> </w:t>
            </w:r>
            <w:r w:rsidR="00A80A83" w:rsidRPr="007930FD">
              <w:t>(person x year))</w:t>
            </w:r>
          </w:p>
        </w:tc>
      </w:tr>
      <w:tr w:rsidR="002D1860" w:rsidRPr="007930FD" w14:paraId="6C3AB404" w14:textId="77777777" w:rsidTr="00F04DE3">
        <w:tc>
          <w:tcPr>
            <w:tcW w:w="1701" w:type="dxa"/>
            <w:vAlign w:val="top"/>
          </w:tcPr>
          <w:p w14:paraId="43CC0A29" w14:textId="64DBC502" w:rsidR="002D1860" w:rsidRPr="007930FD" w:rsidRDefault="001549D8" w:rsidP="00A80A83">
            <w:pPr>
              <w:pStyle w:val="SDMTableBoxParaNotNumbered"/>
            </w:pPr>
            <m:oMathPara>
              <m:oMathParaPr>
                <m:jc m:val="left"/>
              </m:oMathParaPr>
              <m:oMath>
                <m:sSub>
                  <m:sSubPr>
                    <m:ctrlPr>
                      <w:rPr>
                        <w:rFonts w:ascii="Cambria Math" w:eastAsia="Cambria Math" w:hAnsi="Cambria Math" w:cstheme="minorBidi"/>
                      </w:rPr>
                    </m:ctrlPr>
                  </m:sSubPr>
                  <m:e>
                    <m:r>
                      <w:rPr>
                        <w:rFonts w:ascii="Cambria Math" w:eastAsia="Roboto" w:hAnsi="Cambria Math" w:cstheme="minorBidi"/>
                        <w:color w:val="040C28"/>
                      </w:rPr>
                      <m:t>Ψ</m:t>
                    </m:r>
                  </m:e>
                  <m:sub>
                    <m:r>
                      <w:rPr>
                        <w:rFonts w:ascii="Cambria Math" w:eastAsia="Cambria Math" w:hAnsi="Cambria Math" w:cstheme="minorBidi"/>
                      </w:rPr>
                      <m:t>y</m:t>
                    </m:r>
                  </m:sub>
                </m:sSub>
              </m:oMath>
            </m:oMathPara>
          </w:p>
        </w:tc>
        <w:tc>
          <w:tcPr>
            <w:tcW w:w="345" w:type="dxa"/>
            <w:vAlign w:val="top"/>
          </w:tcPr>
          <w:p w14:paraId="05AEA947" w14:textId="6CC92B5F" w:rsidR="002D1860" w:rsidRPr="007930FD" w:rsidRDefault="002D1860" w:rsidP="00A80A83">
            <w:pPr>
              <w:pStyle w:val="SDMTableBoxParaNotNumbered"/>
            </w:pPr>
            <w:r w:rsidRPr="007930FD">
              <w:t>=</w:t>
            </w:r>
          </w:p>
        </w:tc>
        <w:tc>
          <w:tcPr>
            <w:tcW w:w="0" w:type="auto"/>
            <w:vAlign w:val="top"/>
          </w:tcPr>
          <w:p w14:paraId="18A0CF3A" w14:textId="4731B7B9" w:rsidR="002D1860" w:rsidRPr="007930FD" w:rsidRDefault="00A80A83" w:rsidP="00A80A83">
            <w:pPr>
              <w:pStyle w:val="SDMTableBoxParaNotNumbered"/>
            </w:pPr>
            <w:r w:rsidRPr="007930FD">
              <w:t xml:space="preserve">Percent of activity households with cookstoves present, that qualify as user households in year </w:t>
            </w:r>
            <w:r w:rsidRPr="007930FD">
              <w:rPr>
                <w:i/>
              </w:rPr>
              <w:t>y</w:t>
            </w:r>
            <w:r w:rsidRPr="007930FD">
              <w:t xml:space="preserve"> (</w:t>
            </w:r>
            <w:r w:rsidR="00DE7B9B" w:rsidRPr="007930FD">
              <w:t>per cent</w:t>
            </w:r>
            <w:r w:rsidRPr="007930FD">
              <w:t>)</w:t>
            </w:r>
          </w:p>
        </w:tc>
      </w:tr>
      <w:tr w:rsidR="002D1860" w:rsidRPr="007930FD" w14:paraId="39A3D059" w14:textId="77777777" w:rsidTr="00F04DE3">
        <w:tc>
          <w:tcPr>
            <w:tcW w:w="1701" w:type="dxa"/>
            <w:vAlign w:val="top"/>
          </w:tcPr>
          <w:p w14:paraId="08456DC8" w14:textId="7A6FC936" w:rsidR="002D1860" w:rsidRPr="007930FD" w:rsidRDefault="001549D8" w:rsidP="00A80A83">
            <w:pPr>
              <w:pStyle w:val="SDMTableBoxParaNotNumbered"/>
            </w:pPr>
            <m:oMathPara>
              <m:oMathParaPr>
                <m:jc m:val="left"/>
              </m:oMathParaPr>
              <m:oMath>
                <m:sSub>
                  <m:sSubPr>
                    <m:ctrlPr>
                      <w:rPr>
                        <w:rFonts w:ascii="Cambria Math" w:eastAsia="Cambria Math" w:hAnsi="Cambria Math" w:cstheme="minorBidi"/>
                      </w:rPr>
                    </m:ctrlPr>
                  </m:sSubPr>
                  <m:e>
                    <m:r>
                      <w:rPr>
                        <w:rFonts w:ascii="Cambria Math" w:eastAsia="Cambria Math" w:hAnsi="Cambria Math" w:cstheme="minorBidi"/>
                      </w:rPr>
                      <m:t>Days</m:t>
                    </m:r>
                  </m:e>
                  <m:sub>
                    <m:r>
                      <w:rPr>
                        <w:rFonts w:ascii="Cambria Math" w:eastAsia="Cambria Math" w:hAnsi="Cambria Math" w:cstheme="minorBidi"/>
                      </w:rPr>
                      <m:t>y,h</m:t>
                    </m:r>
                  </m:sub>
                </m:sSub>
              </m:oMath>
            </m:oMathPara>
          </w:p>
        </w:tc>
        <w:tc>
          <w:tcPr>
            <w:tcW w:w="345" w:type="dxa"/>
            <w:vAlign w:val="top"/>
          </w:tcPr>
          <w:p w14:paraId="6A913BB0" w14:textId="7C91C23C" w:rsidR="002D1860" w:rsidRPr="007930FD" w:rsidRDefault="002D1860" w:rsidP="00A80A83">
            <w:pPr>
              <w:pStyle w:val="SDMTableBoxParaNotNumbered"/>
            </w:pPr>
            <w:r w:rsidRPr="007930FD">
              <w:t>=</w:t>
            </w:r>
          </w:p>
        </w:tc>
        <w:tc>
          <w:tcPr>
            <w:tcW w:w="0" w:type="auto"/>
            <w:vAlign w:val="top"/>
          </w:tcPr>
          <w:p w14:paraId="60ABCB51" w14:textId="5B3CD42D" w:rsidR="002D1860" w:rsidRPr="007930FD" w:rsidRDefault="00A80A83" w:rsidP="00A80A83">
            <w:pPr>
              <w:pStyle w:val="SDMTableBoxParaNotNumbered"/>
            </w:pPr>
            <w:r w:rsidRPr="007930FD">
              <w:t xml:space="preserve">Number of total possible project cookstove days during the year </w:t>
            </w:r>
            <w:r w:rsidRPr="007930FD">
              <w:rPr>
                <w:i/>
              </w:rPr>
              <w:t>y</w:t>
            </w:r>
            <w:r w:rsidRPr="007930FD">
              <w:t xml:space="preserve"> in household </w:t>
            </w:r>
            <w:r w:rsidRPr="007930FD">
              <w:rPr>
                <w:i/>
              </w:rPr>
              <w:t>h</w:t>
            </w:r>
            <w:r w:rsidRPr="007930FD">
              <w:t xml:space="preserve"> (days)</w:t>
            </w:r>
          </w:p>
        </w:tc>
      </w:tr>
      <w:tr w:rsidR="002D1860" w:rsidRPr="007930FD" w14:paraId="2ACDD220" w14:textId="77777777" w:rsidTr="00F04DE3">
        <w:tc>
          <w:tcPr>
            <w:tcW w:w="1701" w:type="dxa"/>
            <w:vAlign w:val="top"/>
          </w:tcPr>
          <w:p w14:paraId="2AF0E146" w14:textId="50F83EAA" w:rsidR="002D1860" w:rsidRPr="007930FD" w:rsidRDefault="001549D8" w:rsidP="00A80A83">
            <w:pPr>
              <w:pStyle w:val="SDMTableBoxParaNotNumbered"/>
            </w:pPr>
            <m:oMathPara>
              <m:oMathParaPr>
                <m:jc m:val="left"/>
              </m:oMathParaPr>
              <m:oMath>
                <m:sSub>
                  <m:sSubPr>
                    <m:ctrlPr>
                      <w:rPr>
                        <w:rFonts w:ascii="Cambria Math" w:eastAsia="Cambria Math" w:hAnsi="Cambria Math" w:cstheme="minorBidi"/>
                        <w:i/>
                      </w:rPr>
                    </m:ctrlPr>
                  </m:sSubPr>
                  <m:e>
                    <m:r>
                      <w:rPr>
                        <w:rFonts w:ascii="Cambria Math" w:eastAsia="Cambria Math" w:hAnsi="Cambria Math" w:cstheme="minorBidi"/>
                      </w:rPr>
                      <m:t>CD</m:t>
                    </m:r>
                  </m:e>
                  <m:sub>
                    <m:r>
                      <w:rPr>
                        <w:rFonts w:ascii="Cambria Math" w:eastAsia="Cambria Math" w:hAnsi="Cambria Math" w:cstheme="minorBidi"/>
                      </w:rPr>
                      <m:t>y</m:t>
                    </m:r>
                  </m:sub>
                </m:sSub>
              </m:oMath>
            </m:oMathPara>
          </w:p>
        </w:tc>
        <w:tc>
          <w:tcPr>
            <w:tcW w:w="345" w:type="dxa"/>
            <w:vAlign w:val="top"/>
          </w:tcPr>
          <w:p w14:paraId="75FEF35F" w14:textId="7ED57932" w:rsidR="002D1860" w:rsidRPr="007930FD" w:rsidRDefault="002D1860" w:rsidP="00A80A83">
            <w:pPr>
              <w:pStyle w:val="SDMTableBoxParaNotNumbered"/>
            </w:pPr>
            <w:r w:rsidRPr="007930FD">
              <w:t>=</w:t>
            </w:r>
          </w:p>
        </w:tc>
        <w:tc>
          <w:tcPr>
            <w:tcW w:w="0" w:type="auto"/>
            <w:vAlign w:val="top"/>
          </w:tcPr>
          <w:p w14:paraId="50CB8583" w14:textId="26B93988" w:rsidR="002D1860" w:rsidRPr="007930FD" w:rsidRDefault="00A80A83" w:rsidP="00A80A83">
            <w:pPr>
              <w:pStyle w:val="SDMTableBoxParaNotNumbered"/>
            </w:pPr>
            <w:r w:rsidRPr="007930FD">
              <w:t xml:space="preserve">Days in a calendar year </w:t>
            </w:r>
            <w:r w:rsidRPr="007930FD">
              <w:rPr>
                <w:i/>
              </w:rPr>
              <w:t>y</w:t>
            </w:r>
            <w:r w:rsidRPr="007930FD">
              <w:t xml:space="preserve"> (days)</w:t>
            </w:r>
          </w:p>
        </w:tc>
      </w:tr>
      <w:tr w:rsidR="002D1860" w:rsidRPr="007930FD" w14:paraId="5B9DA474" w14:textId="77777777" w:rsidTr="00F04DE3">
        <w:tc>
          <w:tcPr>
            <w:tcW w:w="1701" w:type="dxa"/>
            <w:vAlign w:val="top"/>
          </w:tcPr>
          <w:p w14:paraId="67DE6069" w14:textId="1447A88A" w:rsidR="002D1860" w:rsidRPr="007930FD" w:rsidRDefault="00A80A83" w:rsidP="00A80A83">
            <w:pPr>
              <w:pStyle w:val="SDMTableBoxParaNotNumbered"/>
            </w:pPr>
            <w:r w:rsidRPr="007930FD">
              <w:rPr>
                <w:rFonts w:ascii="Cambria Math" w:hAnsi="Cambria Math" w:cstheme="minorBidi"/>
                <w:i/>
              </w:rPr>
              <w:t>i</w:t>
            </w:r>
          </w:p>
        </w:tc>
        <w:tc>
          <w:tcPr>
            <w:tcW w:w="345" w:type="dxa"/>
            <w:vAlign w:val="top"/>
          </w:tcPr>
          <w:p w14:paraId="5925783B" w14:textId="5E9767AD" w:rsidR="002D1860" w:rsidRPr="007930FD" w:rsidRDefault="002D1860" w:rsidP="00A80A83">
            <w:pPr>
              <w:pStyle w:val="SDMTableBoxParaNotNumbered"/>
            </w:pPr>
            <w:r w:rsidRPr="007930FD">
              <w:t>=</w:t>
            </w:r>
          </w:p>
        </w:tc>
        <w:tc>
          <w:tcPr>
            <w:tcW w:w="0" w:type="auto"/>
            <w:vAlign w:val="top"/>
          </w:tcPr>
          <w:p w14:paraId="0D825258" w14:textId="01892BC6" w:rsidR="002D1860" w:rsidRPr="007930FD" w:rsidRDefault="00A80A83" w:rsidP="00A80A83">
            <w:pPr>
              <w:pStyle w:val="SDMTableBoxParaNotNumbered"/>
            </w:pPr>
            <w:r w:rsidRPr="007930FD">
              <w:t>Primary fuel types (fuelwood or charcoal)</w:t>
            </w:r>
          </w:p>
        </w:tc>
      </w:tr>
      <w:tr w:rsidR="002D1860" w:rsidRPr="007930FD" w14:paraId="19BDACB4" w14:textId="77777777" w:rsidTr="00F04DE3">
        <w:tc>
          <w:tcPr>
            <w:tcW w:w="1701" w:type="dxa"/>
            <w:vAlign w:val="top"/>
          </w:tcPr>
          <w:p w14:paraId="47662056" w14:textId="2B8E7C34" w:rsidR="002D1860" w:rsidRPr="007930FD" w:rsidRDefault="00A80A83" w:rsidP="00A80A83">
            <w:pPr>
              <w:pStyle w:val="SDMTableBoxParaNotNumbered"/>
            </w:pPr>
            <w:r w:rsidRPr="007930FD">
              <w:rPr>
                <w:rFonts w:ascii="Cambria Math" w:hAnsi="Cambria Math" w:cstheme="minorBidi"/>
                <w:i/>
              </w:rPr>
              <w:t>j</w:t>
            </w:r>
          </w:p>
        </w:tc>
        <w:tc>
          <w:tcPr>
            <w:tcW w:w="345" w:type="dxa"/>
            <w:vAlign w:val="top"/>
          </w:tcPr>
          <w:p w14:paraId="33F353F1" w14:textId="71714311" w:rsidR="002D1860" w:rsidRPr="007930FD" w:rsidRDefault="002D1860" w:rsidP="00A80A83">
            <w:pPr>
              <w:pStyle w:val="SDMTableBoxParaNotNumbered"/>
            </w:pPr>
            <w:r w:rsidRPr="007930FD">
              <w:t>=</w:t>
            </w:r>
          </w:p>
        </w:tc>
        <w:tc>
          <w:tcPr>
            <w:tcW w:w="0" w:type="auto"/>
            <w:vAlign w:val="top"/>
          </w:tcPr>
          <w:p w14:paraId="18E81015" w14:textId="7E1BCC90" w:rsidR="002D1860" w:rsidRPr="007930FD" w:rsidRDefault="00A80A83" w:rsidP="00A80A83">
            <w:pPr>
              <w:pStyle w:val="SDMTableBoxParaNotNumbered"/>
            </w:pPr>
            <w:r w:rsidRPr="007930FD">
              <w:t>Secondary fuel types (fossil fuels or dung)</w:t>
            </w:r>
          </w:p>
        </w:tc>
      </w:tr>
      <w:tr w:rsidR="002D1860" w:rsidRPr="007930FD" w14:paraId="772DA21A" w14:textId="77777777" w:rsidTr="00F04DE3">
        <w:tc>
          <w:tcPr>
            <w:tcW w:w="1701" w:type="dxa"/>
            <w:vAlign w:val="top"/>
          </w:tcPr>
          <w:p w14:paraId="618B7770" w14:textId="32E103E6" w:rsidR="002D1860" w:rsidRPr="007930FD" w:rsidRDefault="00A80A83" w:rsidP="00A80A83">
            <w:pPr>
              <w:pStyle w:val="SDMTableBoxParaNotNumbered"/>
            </w:pPr>
            <w:r w:rsidRPr="007930FD">
              <w:rPr>
                <w:rFonts w:ascii="Cambria Math" w:hAnsi="Cambria Math" w:cstheme="minorBidi"/>
                <w:i/>
              </w:rPr>
              <w:t>y</w:t>
            </w:r>
          </w:p>
        </w:tc>
        <w:tc>
          <w:tcPr>
            <w:tcW w:w="345" w:type="dxa"/>
            <w:vAlign w:val="top"/>
          </w:tcPr>
          <w:p w14:paraId="3E71FEF2" w14:textId="2126E09C" w:rsidR="002D1860" w:rsidRPr="007930FD" w:rsidRDefault="002D1860" w:rsidP="00A80A83">
            <w:pPr>
              <w:pStyle w:val="SDMTableBoxParaNotNumbered"/>
            </w:pPr>
            <w:r w:rsidRPr="007930FD">
              <w:t>=</w:t>
            </w:r>
          </w:p>
        </w:tc>
        <w:tc>
          <w:tcPr>
            <w:tcW w:w="0" w:type="auto"/>
            <w:vAlign w:val="top"/>
          </w:tcPr>
          <w:p w14:paraId="364E5C09" w14:textId="468B22E1" w:rsidR="002D1860" w:rsidRPr="007930FD" w:rsidRDefault="00A80A83" w:rsidP="00A80A83">
            <w:pPr>
              <w:pStyle w:val="SDMTableBoxParaNotNumbered"/>
            </w:pPr>
            <w:r w:rsidRPr="007930FD">
              <w:t>Calendar year of the crediting period</w:t>
            </w:r>
          </w:p>
        </w:tc>
      </w:tr>
      <w:tr w:rsidR="002D1860" w:rsidRPr="007930FD" w14:paraId="399804D8" w14:textId="77777777" w:rsidTr="00F04DE3">
        <w:tc>
          <w:tcPr>
            <w:tcW w:w="1701" w:type="dxa"/>
            <w:vAlign w:val="top"/>
          </w:tcPr>
          <w:p w14:paraId="40894104" w14:textId="24471649" w:rsidR="002D1860" w:rsidRPr="007930FD" w:rsidRDefault="00A80A83" w:rsidP="00A80A83">
            <w:pPr>
              <w:pStyle w:val="SDMTableBoxParaNotNumbered"/>
            </w:pPr>
            <w:r w:rsidRPr="007930FD">
              <w:rPr>
                <w:rFonts w:ascii="Cambria Math" w:hAnsi="Cambria Math" w:cstheme="minorBidi"/>
                <w:i/>
              </w:rPr>
              <w:t>h</w:t>
            </w:r>
          </w:p>
        </w:tc>
        <w:tc>
          <w:tcPr>
            <w:tcW w:w="345" w:type="dxa"/>
            <w:vAlign w:val="top"/>
          </w:tcPr>
          <w:p w14:paraId="6C900294" w14:textId="6B8376D8" w:rsidR="002D1860" w:rsidRPr="007930FD" w:rsidRDefault="002D1860" w:rsidP="00A80A83">
            <w:pPr>
              <w:pStyle w:val="SDMTableBoxParaNotNumbered"/>
            </w:pPr>
            <w:r w:rsidRPr="007930FD">
              <w:t>=</w:t>
            </w:r>
          </w:p>
        </w:tc>
        <w:tc>
          <w:tcPr>
            <w:tcW w:w="0" w:type="auto"/>
            <w:vAlign w:val="top"/>
          </w:tcPr>
          <w:p w14:paraId="6BBFD695" w14:textId="7A27C9A4" w:rsidR="002D1860" w:rsidRPr="007930FD" w:rsidRDefault="00A80A83" w:rsidP="00A80A83">
            <w:pPr>
              <w:pStyle w:val="SDMTableBoxParaNotNumbered"/>
            </w:pPr>
            <w:r w:rsidRPr="007930FD">
              <w:t>A6.4 activity household</w:t>
            </w:r>
          </w:p>
        </w:tc>
      </w:tr>
    </w:tbl>
    <w:p w14:paraId="6AA6A56D" w14:textId="6513D95E" w:rsidR="00615311" w:rsidRPr="009F63DF" w:rsidRDefault="001C2394" w:rsidP="00E03E61">
      <w:pPr>
        <w:pStyle w:val="SDMPara"/>
        <w:rPr>
          <w:rFonts w:eastAsia="Montserrat"/>
          <w:color w:val="000000" w:themeColor="text1"/>
        </w:rPr>
      </w:pPr>
      <w:r w:rsidRPr="007930FD">
        <w:rPr>
          <w:rFonts w:eastAsia="Montserrat"/>
          <w:color w:val="000000" w:themeColor="text1"/>
        </w:rPr>
        <w:t xml:space="preserve">This calculation </w:t>
      </w:r>
      <w:r w:rsidRPr="007930FD">
        <w:rPr>
          <w:rFonts w:eastAsia="Montserrat"/>
        </w:rPr>
        <w:t>shall</w:t>
      </w:r>
      <w:r w:rsidRPr="007930FD">
        <w:rPr>
          <w:rFonts w:eastAsia="Montserrat"/>
          <w:color w:val="000000" w:themeColor="text1"/>
        </w:rPr>
        <w:t xml:space="preserve"> not include any caps on </w:t>
      </w:r>
      <m:oMath>
        <m:sSub>
          <m:sSubPr>
            <m:ctrlPr>
              <w:rPr>
                <w:rFonts w:ascii="Cambria Math" w:eastAsia="Cambria Math" w:hAnsi="Cambria Math" w:cs="Cambria Math"/>
                <w:sz w:val="24"/>
                <w:szCs w:val="24"/>
                <w:lang w:eastAsia="en-US"/>
              </w:rPr>
            </m:ctrlPr>
          </m:sSubPr>
          <m:e>
            <m:r>
              <w:rPr>
                <w:rFonts w:ascii="Cambria Math" w:eastAsia="Roboto" w:hAnsi="Cambria Math" w:cs="Roboto"/>
                <w:color w:val="040C28"/>
                <w:sz w:val="30"/>
                <w:szCs w:val="30"/>
                <w:lang w:eastAsia="en-US"/>
              </w:rPr>
              <m:t>Ψ</m:t>
            </m:r>
          </m:e>
          <m:sub>
            <m:r>
              <w:rPr>
                <w:rFonts w:ascii="Cambria Math" w:eastAsia="Cambria Math" w:hAnsi="Cambria Math" w:cs="Cambria Math"/>
                <w:sz w:val="24"/>
                <w:szCs w:val="24"/>
                <w:lang w:eastAsia="en-US"/>
              </w:rPr>
              <m:t>y</m:t>
            </m:r>
          </m:sub>
        </m:sSub>
      </m:oMath>
      <w:r w:rsidR="00110FB7" w:rsidRPr="007930FD">
        <w:rPr>
          <w:rFonts w:eastAsia="Montserrat"/>
          <w:color w:val="000000" w:themeColor="text1"/>
        </w:rPr>
        <w:t xml:space="preserve"> </w:t>
      </w:r>
      <w:r w:rsidR="005E4E53" w:rsidRPr="007930FD">
        <w:rPr>
          <w:rFonts w:eastAsia="Montserrat"/>
          <w:color w:val="000000" w:themeColor="text1"/>
        </w:rPr>
        <w:t>when apply</w:t>
      </w:r>
      <w:r w:rsidR="005E4E53" w:rsidRPr="009F63DF">
        <w:rPr>
          <w:rFonts w:eastAsia="Montserrat"/>
          <w:color w:val="000000" w:themeColor="text1"/>
        </w:rPr>
        <w:t xml:space="preserve">ing </w:t>
      </w:r>
      <w:r w:rsidR="00110FB7" w:rsidRPr="009F63DF">
        <w:rPr>
          <w:rFonts w:eastAsia="Montserrat"/>
          <w:color w:val="000000" w:themeColor="text1"/>
        </w:rPr>
        <w:t xml:space="preserve">Option 1 in section </w:t>
      </w:r>
      <w:r w:rsidR="005E4E53" w:rsidRPr="009F63DF">
        <w:rPr>
          <w:rFonts w:eastAsia="Montserrat"/>
          <w:color w:val="000000" w:themeColor="text1"/>
        </w:rPr>
        <w:fldChar w:fldCharType="begin"/>
      </w:r>
      <w:r w:rsidR="005E4E53" w:rsidRPr="009F63DF">
        <w:rPr>
          <w:rFonts w:eastAsia="Montserrat"/>
          <w:color w:val="000000" w:themeColor="text1"/>
        </w:rPr>
        <w:instrText xml:space="preserve"> REF _Ref232415053 \r \h </w:instrText>
      </w:r>
      <w:r w:rsidR="005E4E53" w:rsidRPr="009F63DF">
        <w:rPr>
          <w:rFonts w:eastAsia="Montserrat"/>
          <w:color w:val="000000" w:themeColor="text1"/>
        </w:rPr>
      </w:r>
      <w:r w:rsidR="005E4E53"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7.4.1</w:t>
      </w:r>
      <w:r w:rsidR="005E4E53" w:rsidRPr="009F63DF">
        <w:rPr>
          <w:rFonts w:eastAsia="Montserrat"/>
          <w:color w:val="000000" w:themeColor="text1"/>
        </w:rPr>
        <w:fldChar w:fldCharType="end"/>
      </w:r>
      <w:r w:rsidR="005E4E53" w:rsidRPr="009F63DF">
        <w:rPr>
          <w:rFonts w:eastAsia="Montserrat"/>
          <w:color w:val="000000" w:themeColor="text1"/>
        </w:rPr>
        <w:t>,</w:t>
      </w:r>
      <w:r w:rsidR="00110FB7" w:rsidRPr="009F63DF">
        <w:rPr>
          <w:rFonts w:eastAsia="Montserrat"/>
          <w:color w:val="000000" w:themeColor="text1"/>
        </w:rPr>
        <w:t xml:space="preserve"> or </w:t>
      </w:r>
      <w:r w:rsidR="005E4E53" w:rsidRPr="009F63DF">
        <w:rPr>
          <w:rFonts w:eastAsia="Montserrat"/>
          <w:color w:val="000000" w:themeColor="text1"/>
        </w:rPr>
        <w:t>shall use</w:t>
      </w:r>
      <w:r w:rsidR="00110FB7" w:rsidRPr="009F63DF">
        <w:rPr>
          <w:rFonts w:eastAsia="Montserrat"/>
          <w:color w:val="000000" w:themeColor="text1"/>
        </w:rPr>
        <w:t xml:space="preserve"> the mean value of </w:t>
      </w:r>
      <m:oMath>
        <m:sSub>
          <m:sSubPr>
            <m:ctrlPr>
              <w:rPr>
                <w:rFonts w:ascii="Cambria Math" w:eastAsia="Cambria Math" w:hAnsi="Cambria Math" w:cs="Cambria Math"/>
                <w:sz w:val="24"/>
                <w:szCs w:val="24"/>
                <w:lang w:eastAsia="en-US"/>
              </w:rPr>
            </m:ctrlPr>
          </m:sSubPr>
          <m:e>
            <m:r>
              <w:rPr>
                <w:rFonts w:ascii="Cambria Math" w:eastAsia="Roboto" w:hAnsi="Cambria Math" w:cs="Roboto"/>
                <w:color w:val="040C28"/>
                <w:sz w:val="30"/>
                <w:szCs w:val="30"/>
                <w:lang w:eastAsia="en-US"/>
              </w:rPr>
              <m:t>Ψ</m:t>
            </m:r>
          </m:e>
          <m:sub>
            <m:r>
              <w:rPr>
                <w:rFonts w:ascii="Cambria Math" w:eastAsia="Cambria Math" w:hAnsi="Cambria Math" w:cs="Cambria Math"/>
                <w:sz w:val="24"/>
                <w:szCs w:val="24"/>
                <w:lang w:eastAsia="en-US"/>
              </w:rPr>
              <m:t>y</m:t>
            </m:r>
          </m:sub>
        </m:sSub>
      </m:oMath>
      <w:r w:rsidR="00110FB7" w:rsidRPr="009F63DF">
        <w:rPr>
          <w:rFonts w:eastAsia="Montserrat"/>
          <w:color w:val="000000" w:themeColor="text1"/>
        </w:rPr>
        <w:t xml:space="preserve"> </w:t>
      </w:r>
      <w:r w:rsidR="005E4E53" w:rsidRPr="009F63DF">
        <w:rPr>
          <w:rFonts w:eastAsia="Montserrat"/>
          <w:color w:val="000000" w:themeColor="text1"/>
        </w:rPr>
        <w:t xml:space="preserve">when applying </w:t>
      </w:r>
      <w:r w:rsidR="00110FB7" w:rsidRPr="009F63DF">
        <w:rPr>
          <w:rFonts w:eastAsia="Montserrat"/>
          <w:color w:val="000000" w:themeColor="text1"/>
        </w:rPr>
        <w:t xml:space="preserve">Option 2 in section </w:t>
      </w:r>
      <w:r w:rsidR="005E4E53" w:rsidRPr="009F63DF">
        <w:rPr>
          <w:rFonts w:eastAsia="Montserrat"/>
          <w:color w:val="000000" w:themeColor="text1"/>
        </w:rPr>
        <w:fldChar w:fldCharType="begin"/>
      </w:r>
      <w:r w:rsidR="005E4E53" w:rsidRPr="009F63DF">
        <w:rPr>
          <w:rFonts w:eastAsia="Montserrat"/>
          <w:color w:val="000000" w:themeColor="text1"/>
        </w:rPr>
        <w:instrText xml:space="preserve"> REF _Ref232415053 \r \h </w:instrText>
      </w:r>
      <w:r w:rsidR="005E4E53" w:rsidRPr="009F63DF">
        <w:rPr>
          <w:rFonts w:eastAsia="Montserrat"/>
          <w:color w:val="000000" w:themeColor="text1"/>
        </w:rPr>
      </w:r>
      <w:r w:rsidR="005E4E53"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7.4.1</w:t>
      </w:r>
      <w:r w:rsidR="005E4E53" w:rsidRPr="009F63DF">
        <w:rPr>
          <w:rFonts w:eastAsia="Montserrat"/>
          <w:color w:val="000000" w:themeColor="text1"/>
        </w:rPr>
        <w:fldChar w:fldCharType="end"/>
      </w:r>
      <w:r w:rsidR="00110FB7" w:rsidRPr="009F63DF">
        <w:rPr>
          <w:rFonts w:eastAsia="Montserrat"/>
          <w:color w:val="000000" w:themeColor="text1"/>
        </w:rPr>
        <w:t>.</w:t>
      </w:r>
    </w:p>
    <w:p w14:paraId="69294134" w14:textId="61C8AD21" w:rsidR="001C2394" w:rsidRPr="009F63DF" w:rsidRDefault="001C2394" w:rsidP="00E03E61">
      <w:pPr>
        <w:pStyle w:val="SDMPara"/>
      </w:pPr>
      <w:r w:rsidRPr="009F63DF">
        <w:t>The BAU scenario shall be determined ex ante and described in the PDD at the start of the first crediting period for the same duration as the crediting period of the proposed Article 6.4 activity, and shall be redetermined at each crediting period renewal.</w:t>
      </w:r>
    </w:p>
    <w:p w14:paraId="6EB75A87" w14:textId="63AF30FD" w:rsidR="001C2394" w:rsidRPr="009F63DF" w:rsidRDefault="003E42B4" w:rsidP="00655F47">
      <w:pPr>
        <w:pStyle w:val="SDMPara"/>
        <w:keepNext/>
      </w:pPr>
      <w:r w:rsidRPr="009F63DF">
        <w:t>As required</w:t>
      </w:r>
      <w:r w:rsidR="00146600" w:rsidRPr="009F63DF">
        <w:t xml:space="preserve"> in line with paragraph </w:t>
      </w:r>
      <w:r w:rsidR="00C05721" w:rsidRPr="009F63DF">
        <w:fldChar w:fldCharType="begin"/>
      </w:r>
      <w:r w:rsidR="00C05721" w:rsidRPr="009F63DF">
        <w:instrText xml:space="preserve"> REF _Ref233386122 \r \h </w:instrText>
      </w:r>
      <w:r w:rsidR="00C05721" w:rsidRPr="009F63DF">
        <w:fldChar w:fldCharType="separate"/>
      </w:r>
      <w:r w:rsidR="00831DAE">
        <w:rPr>
          <w:cs/>
        </w:rPr>
        <w:t>‎</w:t>
      </w:r>
      <w:r w:rsidR="00831DAE">
        <w:t>80</w:t>
      </w:r>
      <w:r w:rsidR="00C05721" w:rsidRPr="009F63DF">
        <w:fldChar w:fldCharType="end"/>
      </w:r>
      <w:r w:rsidR="00146600" w:rsidRPr="009F63DF">
        <w:t xml:space="preserve">, the </w:t>
      </w:r>
      <w:r w:rsidR="001C2394" w:rsidRPr="009F63DF">
        <w:t>quantification of the BAU emissions shall be determined:</w:t>
      </w:r>
    </w:p>
    <w:p w14:paraId="0B18E9CD" w14:textId="77777777" w:rsidR="001C2394" w:rsidRPr="009F63DF" w:rsidRDefault="001C2394" w:rsidP="00D57218">
      <w:pPr>
        <w:pStyle w:val="SDMSubPara1"/>
      </w:pPr>
      <w:r w:rsidRPr="009F63DF">
        <w:t>Ex ante and in the PDD at the start of the first crediting period for the same duration as the crediting period of the proposed Article 6.4 activity and specified for each calendar year within the crediting period; and</w:t>
      </w:r>
    </w:p>
    <w:p w14:paraId="55CE2195" w14:textId="69A67A36" w:rsidR="001C2394" w:rsidRPr="009F63DF" w:rsidRDefault="001C2394" w:rsidP="00D57218">
      <w:pPr>
        <w:pStyle w:val="SDMSubPara1"/>
      </w:pPr>
      <w:r w:rsidRPr="009F63DF">
        <w:t>Ex post for each calendar year within the crediting period.</w:t>
      </w:r>
    </w:p>
    <w:p w14:paraId="5FEB2F3D" w14:textId="77777777" w:rsidR="001C2394" w:rsidRPr="009F63DF" w:rsidRDefault="001C2394" w:rsidP="00F91295">
      <w:pPr>
        <w:pStyle w:val="SDMHead2"/>
      </w:pPr>
      <w:bookmarkStart w:id="431" w:name="_Toc226502283"/>
      <w:bookmarkStart w:id="432" w:name="_Toc226576236"/>
      <w:bookmarkStart w:id="433" w:name="_Toc226983086"/>
      <w:bookmarkStart w:id="434" w:name="_Toc227677283"/>
      <w:bookmarkStart w:id="435" w:name="_Toc227694805"/>
      <w:bookmarkStart w:id="436" w:name="_Toc227920919"/>
      <w:bookmarkStart w:id="437" w:name="_Toc227938820"/>
      <w:bookmarkStart w:id="438" w:name="_Toc227948071"/>
      <w:bookmarkStart w:id="439" w:name="_Toc233388628"/>
      <w:bookmarkStart w:id="440" w:name="_Toc233961435"/>
      <w:bookmarkStart w:id="441" w:name="_Toc233970244"/>
      <w:bookmarkStart w:id="442" w:name="_Toc240546574"/>
      <w:bookmarkStart w:id="443" w:name="_Toc240631975"/>
      <w:bookmarkStart w:id="444" w:name="_Toc242471160"/>
      <w:r w:rsidRPr="009F63DF">
        <w:t>Comparison of crediting baselines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5C801665" w14:textId="36169E05" w:rsidR="001C2394" w:rsidRPr="009F63DF" w:rsidRDefault="001C2394" w:rsidP="00E03E61">
      <w:pPr>
        <w:pStyle w:val="SDMPara"/>
      </w:pPr>
      <w:r w:rsidRPr="009F63DF">
        <w:rPr>
          <w:rFonts w:eastAsia="Montserrat"/>
          <w:color w:val="000000" w:themeColor="text1"/>
        </w:rPr>
        <w:t>Activity participants shall compare, in the PDD, the downward adjusted baseline (</w:t>
      </w:r>
      <w:r w:rsidRPr="009F63DF">
        <w:rPr>
          <w:rFonts w:eastAsia="Montserrat"/>
          <w:i/>
          <w:iCs/>
          <w:color w:val="000000" w:themeColor="text1"/>
        </w:rPr>
        <w:t>BE</w:t>
      </w:r>
      <w:r w:rsidRPr="009F63DF">
        <w:rPr>
          <w:rFonts w:eastAsia="Montserrat"/>
          <w:i/>
          <w:iCs/>
          <w:color w:val="000000" w:themeColor="text1"/>
          <w:vertAlign w:val="subscript"/>
        </w:rPr>
        <w:t>adj,y</w:t>
      </w:r>
      <w:r w:rsidRPr="009F63DF">
        <w:rPr>
          <w:rFonts w:eastAsia="Montserrat"/>
          <w:color w:val="000000" w:themeColor="text1"/>
        </w:rPr>
        <w:t xml:space="preserve">) determined in </w:t>
      </w:r>
      <w:r w:rsidRPr="009F63DF">
        <w:rPr>
          <w:rFonts w:eastAsia="Montserrat"/>
        </w:rPr>
        <w:t>section</w:t>
      </w:r>
      <w:r w:rsidRPr="009F63DF">
        <w:rPr>
          <w:rFonts w:eastAsia="Montserrat"/>
          <w:color w:val="000000" w:themeColor="text1"/>
        </w:rPr>
        <w:t xml:space="preserve"> </w:t>
      </w:r>
      <w:r w:rsidRPr="009F63DF">
        <w:rPr>
          <w:rFonts w:eastAsia="Montserrat"/>
          <w:color w:val="000000" w:themeColor="text1"/>
        </w:rPr>
        <w:fldChar w:fldCharType="begin"/>
      </w:r>
      <w:r w:rsidRPr="009F63DF">
        <w:rPr>
          <w:rFonts w:eastAsia="Montserrat"/>
          <w:color w:val="000000" w:themeColor="text1"/>
        </w:rPr>
        <w:instrText xml:space="preserve"> REF _Ref226401328 \r \h </w:instrText>
      </w:r>
      <w:r w:rsidRPr="009F63DF">
        <w:rPr>
          <w:rFonts w:eastAsia="Montserrat"/>
          <w:color w:val="000000" w:themeColor="text1"/>
        </w:rPr>
      </w:r>
      <w:r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7.5</w:t>
      </w:r>
      <w:r w:rsidRPr="009F63DF">
        <w:rPr>
          <w:rFonts w:eastAsia="Montserrat"/>
          <w:color w:val="000000" w:themeColor="text1"/>
        </w:rPr>
        <w:fldChar w:fldCharType="end"/>
      </w:r>
      <w:r w:rsidRPr="009F63DF">
        <w:rPr>
          <w:rFonts w:eastAsia="Montserrat"/>
          <w:color w:val="000000" w:themeColor="text1"/>
        </w:rPr>
        <w:t xml:space="preserve"> with the conservative BAU baseline (</w:t>
      </w:r>
      <w:r w:rsidRPr="009F63DF">
        <w:rPr>
          <w:rFonts w:eastAsia="Montserrat"/>
          <w:i/>
          <w:iCs/>
          <w:color w:val="000000" w:themeColor="text1"/>
        </w:rPr>
        <w:t>BAU</w:t>
      </w:r>
      <w:r w:rsidRPr="009F63DF">
        <w:rPr>
          <w:rFonts w:eastAsia="Montserrat"/>
          <w:i/>
          <w:iCs/>
          <w:color w:val="000000" w:themeColor="text1"/>
          <w:vertAlign w:val="subscript"/>
        </w:rPr>
        <w:t>cons,y</w:t>
      </w:r>
      <w:r w:rsidRPr="009F63DF">
        <w:rPr>
          <w:rFonts w:eastAsia="Montserrat"/>
          <w:color w:val="000000" w:themeColor="text1"/>
        </w:rPr>
        <w:t>) determined in</w:t>
      </w:r>
      <w:r w:rsidR="00244483" w:rsidRPr="009F63DF">
        <w:rPr>
          <w:rFonts w:eastAsia="Montserrat"/>
          <w:color w:val="000000" w:themeColor="text1"/>
        </w:rPr>
        <w:t xml:space="preserve"> paragraph</w:t>
      </w:r>
      <w:r w:rsidRPr="009F63DF">
        <w:rPr>
          <w:rFonts w:eastAsia="Montserrat"/>
          <w:color w:val="000000" w:themeColor="text1"/>
        </w:rPr>
        <w:t xml:space="preserve"> </w:t>
      </w:r>
      <w:r w:rsidRPr="009F63DF">
        <w:rPr>
          <w:rFonts w:eastAsia="Montserrat"/>
          <w:color w:val="000000" w:themeColor="text1"/>
        </w:rPr>
        <w:fldChar w:fldCharType="begin"/>
      </w:r>
      <w:r w:rsidRPr="009F63DF">
        <w:rPr>
          <w:rFonts w:eastAsia="Montserrat"/>
          <w:color w:val="000000" w:themeColor="text1"/>
        </w:rPr>
        <w:instrText xml:space="preserve"> REF _Ref226401356 \r \h </w:instrText>
      </w:r>
      <w:r w:rsidRPr="009F63DF">
        <w:rPr>
          <w:rFonts w:eastAsia="Montserrat"/>
          <w:color w:val="000000" w:themeColor="text1"/>
        </w:rPr>
      </w:r>
      <w:r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7.6</w:t>
      </w:r>
      <w:r w:rsidRPr="009F63DF">
        <w:rPr>
          <w:rFonts w:eastAsia="Montserrat"/>
          <w:color w:val="000000" w:themeColor="text1"/>
        </w:rPr>
        <w:fldChar w:fldCharType="end"/>
      </w:r>
      <w:r w:rsidRPr="009F63DF">
        <w:rPr>
          <w:rFonts w:eastAsia="Montserrat"/>
          <w:color w:val="000000" w:themeColor="text1"/>
        </w:rPr>
        <w:t xml:space="preserve"> above</w:t>
      </w:r>
      <w:r w:rsidR="00817AA5" w:rsidRPr="009F63DF">
        <w:rPr>
          <w:rFonts w:eastAsia="Montserrat"/>
          <w:color w:val="000000" w:themeColor="text1"/>
        </w:rPr>
        <w:t xml:space="preserve">, </w:t>
      </w:r>
      <w:r w:rsidR="00147D9D" w:rsidRPr="009F63DF">
        <w:rPr>
          <w:rFonts w:eastAsia="Montserrat"/>
          <w:color w:val="000000" w:themeColor="text1"/>
        </w:rPr>
        <w:t>as</w:t>
      </w:r>
      <w:r w:rsidR="00817AA5" w:rsidRPr="009F63DF">
        <w:rPr>
          <w:rFonts w:eastAsia="Montserrat"/>
          <w:color w:val="000000" w:themeColor="text1"/>
        </w:rPr>
        <w:t xml:space="preserve"> required</w:t>
      </w:r>
      <w:r w:rsidRPr="009F63DF">
        <w:rPr>
          <w:rFonts w:eastAsia="Montserrat"/>
          <w:color w:val="000000" w:themeColor="text1"/>
        </w:rPr>
        <w:t>.</w:t>
      </w:r>
    </w:p>
    <w:p w14:paraId="1AF1E54F" w14:textId="3A79F9D8" w:rsidR="0083646D" w:rsidRPr="009F63DF" w:rsidRDefault="0083646D" w:rsidP="004D760D">
      <w:pPr>
        <w:pStyle w:val="SDMHead3"/>
      </w:pPr>
      <w:bookmarkStart w:id="445" w:name="_Toc233388629"/>
      <w:bookmarkStart w:id="446" w:name="_Toc233961436"/>
      <w:bookmarkStart w:id="447" w:name="_Toc233970245"/>
      <w:bookmarkStart w:id="448" w:name="_Toc240546575"/>
      <w:bookmarkStart w:id="449" w:name="_Toc240631976"/>
      <w:bookmarkStart w:id="450" w:name="_Toc242471161"/>
      <w:r w:rsidRPr="009F63DF">
        <w:t>Comparison ex</w:t>
      </w:r>
      <w:r w:rsidR="00EE08D0" w:rsidRPr="009F63DF">
        <w:t>-ante</w:t>
      </w:r>
      <w:bookmarkEnd w:id="445"/>
      <w:bookmarkEnd w:id="446"/>
      <w:bookmarkEnd w:id="447"/>
      <w:bookmarkEnd w:id="448"/>
      <w:bookmarkEnd w:id="449"/>
      <w:bookmarkEnd w:id="450"/>
    </w:p>
    <w:p w14:paraId="38E7F55C" w14:textId="0034A1B5" w:rsidR="001C2394" w:rsidRPr="009F63DF" w:rsidRDefault="001C2394" w:rsidP="00300C00">
      <w:pPr>
        <w:pStyle w:val="SDMPara"/>
        <w:numPr>
          <w:ilvl w:val="0"/>
          <w:numId w:val="2"/>
        </w:numPr>
      </w:pPr>
      <w:r w:rsidRPr="009F63DF">
        <w:rPr>
          <w:rFonts w:eastAsia="Montserrat"/>
          <w:color w:val="000000" w:themeColor="text1"/>
        </w:rPr>
        <w:t xml:space="preserve">If, as a result of the comparison, the ex-ante </w:t>
      </w:r>
      <w:r w:rsidRPr="009F63DF">
        <w:rPr>
          <w:rFonts w:eastAsia="Montserrat"/>
          <w:i/>
          <w:iCs/>
          <w:color w:val="000000" w:themeColor="text1"/>
        </w:rPr>
        <w:t>BAU</w:t>
      </w:r>
      <w:r w:rsidRPr="009F63DF">
        <w:rPr>
          <w:rFonts w:eastAsia="Montserrat"/>
          <w:i/>
          <w:iCs/>
          <w:color w:val="000000" w:themeColor="text1"/>
          <w:vertAlign w:val="subscript"/>
        </w:rPr>
        <w:t xml:space="preserve">cons,y </w:t>
      </w:r>
      <w:r w:rsidRPr="009F63DF">
        <w:rPr>
          <w:rFonts w:eastAsia="Montserrat"/>
          <w:color w:val="000000" w:themeColor="text1"/>
        </w:rPr>
        <w:t xml:space="preserve">is lower than the ex-ante </w:t>
      </w:r>
      <w:r w:rsidRPr="009F63DF">
        <w:rPr>
          <w:rFonts w:eastAsia="Montserrat"/>
          <w:i/>
          <w:iCs/>
          <w:color w:val="000000" w:themeColor="text1"/>
        </w:rPr>
        <w:t>BE</w:t>
      </w:r>
      <w:r w:rsidRPr="009F63DF">
        <w:rPr>
          <w:rFonts w:eastAsia="Montserrat"/>
          <w:i/>
          <w:iCs/>
          <w:color w:val="000000" w:themeColor="text1"/>
          <w:vertAlign w:val="subscript"/>
        </w:rPr>
        <w:t>adj,y</w:t>
      </w:r>
      <w:r w:rsidRPr="009F63DF">
        <w:rPr>
          <w:rFonts w:eastAsia="Montserrat"/>
          <w:color w:val="000000" w:themeColor="text1"/>
        </w:rPr>
        <w:t xml:space="preserve"> for any calendar year or cumulatively over the crediting period, </w:t>
      </w:r>
      <w:r w:rsidR="009E4C1B" w:rsidRPr="009F63DF">
        <w:rPr>
          <w:rFonts w:eastAsia="Montserrat"/>
          <w:color w:val="000000" w:themeColor="text1"/>
        </w:rPr>
        <w:t xml:space="preserve">then </w:t>
      </w:r>
      <w:r w:rsidRPr="009F63DF">
        <w:rPr>
          <w:rFonts w:eastAsia="Montserrat"/>
          <w:color w:val="000000" w:themeColor="text1"/>
        </w:rPr>
        <w:t xml:space="preserve">activity participants shall </w:t>
      </w:r>
      <w:r w:rsidR="00061821" w:rsidRPr="009F63DF">
        <w:rPr>
          <w:rFonts w:eastAsia="Montserrat"/>
          <w:color w:val="000000" w:themeColor="text1"/>
        </w:rPr>
        <w:t>follow</w:t>
      </w:r>
      <w:r w:rsidRPr="009F63DF">
        <w:rPr>
          <w:rFonts w:eastAsia="Montserrat"/>
          <w:color w:val="000000" w:themeColor="text1"/>
        </w:rPr>
        <w:t xml:space="preserve"> the methods in </w:t>
      </w:r>
      <w:r w:rsidR="00C02F45" w:rsidRPr="009F63DF">
        <w:rPr>
          <w:rFonts w:eastAsia="Montserrat"/>
          <w:color w:val="000000" w:themeColor="text1"/>
        </w:rPr>
        <w:t>section</w:t>
      </w:r>
      <w:r w:rsidRPr="009F63DF">
        <w:rPr>
          <w:rFonts w:eastAsia="Montserrat"/>
          <w:color w:val="000000" w:themeColor="text1"/>
        </w:rPr>
        <w:t xml:space="preserve"> </w:t>
      </w:r>
      <w:r w:rsidR="00B63E9C" w:rsidRPr="009F63DF">
        <w:rPr>
          <w:rFonts w:eastAsia="Montserrat"/>
          <w:color w:val="000000" w:themeColor="text1"/>
        </w:rPr>
        <w:fldChar w:fldCharType="begin"/>
      </w:r>
      <w:r w:rsidR="00B63E9C" w:rsidRPr="009F63DF">
        <w:rPr>
          <w:rFonts w:eastAsia="Montserrat"/>
          <w:color w:val="000000" w:themeColor="text1"/>
        </w:rPr>
        <w:instrText xml:space="preserve"> REF _Ref233742091 \r \h </w:instrText>
      </w:r>
      <w:r w:rsidR="00B63E9C" w:rsidRPr="009F63DF">
        <w:rPr>
          <w:rFonts w:eastAsia="Montserrat"/>
          <w:color w:val="000000" w:themeColor="text1"/>
        </w:rPr>
      </w:r>
      <w:r w:rsidR="00B63E9C"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7.6</w:t>
      </w:r>
      <w:r w:rsidR="00B63E9C" w:rsidRPr="009F63DF">
        <w:rPr>
          <w:rFonts w:eastAsia="Montserrat"/>
          <w:color w:val="000000" w:themeColor="text1"/>
        </w:rPr>
        <w:fldChar w:fldCharType="end"/>
      </w:r>
      <w:r w:rsidRPr="009F63DF">
        <w:rPr>
          <w:rFonts w:eastAsia="Montserrat"/>
          <w:color w:val="000000" w:themeColor="text1"/>
        </w:rPr>
        <w:t xml:space="preserve"> and apply </w:t>
      </w:r>
      <w:r w:rsidR="00061821" w:rsidRPr="009F63DF">
        <w:rPr>
          <w:rFonts w:eastAsia="Montserrat"/>
          <w:color w:val="000000" w:themeColor="text1"/>
        </w:rPr>
        <w:t>either the applicable</w:t>
      </w:r>
      <w:r w:rsidRPr="009F63DF">
        <w:rPr>
          <w:rFonts w:eastAsia="Montserrat"/>
          <w:color w:val="000000" w:themeColor="text1"/>
        </w:rPr>
        <w:t xml:space="preserve"> cap on </w:t>
      </w:r>
      <m:oMath>
        <m:sSub>
          <m:sSubPr>
            <m:ctrlPr>
              <w:rPr>
                <w:rFonts w:ascii="Cambria Math" w:eastAsia="Cambria Math" w:hAnsi="Cambria Math" w:cs="Cambria Math"/>
                <w:lang w:eastAsia="en-US"/>
              </w:rPr>
            </m:ctrlPr>
          </m:sSubPr>
          <m:e>
            <m:r>
              <w:rPr>
                <w:rFonts w:ascii="Cambria Math" w:eastAsia="Roboto" w:hAnsi="Cambria Math" w:cs="Roboto"/>
                <w:color w:val="040C28"/>
                <w:lang w:eastAsia="en-US"/>
              </w:rPr>
              <m:t>Ψ</m:t>
            </m:r>
          </m:e>
          <m:sub>
            <m:r>
              <w:rPr>
                <w:rFonts w:ascii="Cambria Math" w:eastAsia="Cambria Math" w:hAnsi="Cambria Math" w:cs="Cambria Math"/>
                <w:lang w:eastAsia="en-US"/>
              </w:rPr>
              <m:t>y</m:t>
            </m:r>
          </m:sub>
        </m:sSub>
      </m:oMath>
      <w:r w:rsidR="005E4E53" w:rsidRPr="009F63DF">
        <w:rPr>
          <w:rFonts w:eastAsia="Montserrat"/>
          <w:color w:val="000000" w:themeColor="text1"/>
        </w:rPr>
        <w:t xml:space="preserve"> or</w:t>
      </w:r>
      <w:r w:rsidR="003249A2" w:rsidRPr="009F63DF">
        <w:rPr>
          <w:rFonts w:eastAsia="Montserrat"/>
          <w:color w:val="000000" w:themeColor="text1"/>
        </w:rPr>
        <w:t xml:space="preserve"> the </w:t>
      </w:r>
      <w:r w:rsidR="005E4E53" w:rsidRPr="009F63DF">
        <w:rPr>
          <w:rFonts w:eastAsia="Montserrat"/>
          <w:color w:val="000000" w:themeColor="text1"/>
        </w:rPr>
        <w:t xml:space="preserve">lower bound of the confidence interval of </w:t>
      </w:r>
      <m:oMath>
        <m:sSub>
          <m:sSubPr>
            <m:ctrlPr>
              <w:rPr>
                <w:rFonts w:ascii="Cambria Math" w:eastAsia="Cambria Math" w:hAnsi="Cambria Math" w:cs="Cambria Math"/>
                <w:lang w:eastAsia="en-US"/>
              </w:rPr>
            </m:ctrlPr>
          </m:sSubPr>
          <m:e>
            <m:r>
              <w:rPr>
                <w:rFonts w:ascii="Cambria Math" w:eastAsia="Roboto" w:hAnsi="Cambria Math" w:cs="Roboto"/>
                <w:color w:val="040C28"/>
                <w:lang w:eastAsia="en-US"/>
              </w:rPr>
              <m:t>Ψ</m:t>
            </m:r>
          </m:e>
          <m:sub>
            <m:r>
              <w:rPr>
                <w:rFonts w:ascii="Cambria Math" w:eastAsia="Cambria Math" w:hAnsi="Cambria Math" w:cs="Cambria Math"/>
                <w:lang w:eastAsia="en-US"/>
              </w:rPr>
              <m:t>y</m:t>
            </m:r>
          </m:sub>
        </m:sSub>
      </m:oMath>
      <w:r w:rsidR="00BC746A" w:rsidRPr="009F63DF">
        <w:rPr>
          <w:rFonts w:eastAsia="Montserrat"/>
          <w:color w:val="000000" w:themeColor="text1"/>
        </w:rPr>
        <w:t>,</w:t>
      </w:r>
      <w:r w:rsidRPr="009F63DF">
        <w:rPr>
          <w:rFonts w:eastAsia="Montserrat"/>
          <w:color w:val="000000" w:themeColor="text1"/>
        </w:rPr>
        <w:t xml:space="preserve"> to ensure that the </w:t>
      </w:r>
      <w:r w:rsidR="003A604E" w:rsidRPr="009F63DF">
        <w:rPr>
          <w:rFonts w:eastAsia="Montserrat"/>
          <w:color w:val="000000" w:themeColor="text1"/>
        </w:rPr>
        <w:t>credited</w:t>
      </w:r>
      <w:r w:rsidRPr="009F63DF">
        <w:rPr>
          <w:rFonts w:eastAsia="Montserrat"/>
          <w:color w:val="000000" w:themeColor="text1"/>
        </w:rPr>
        <w:t xml:space="preserve"> baseline is lower than the conservative BAU baseline for each calendar year and cumulatively for the crediting period, thereby using a discounted value of conservative BAU for this purpose.</w:t>
      </w:r>
    </w:p>
    <w:p w14:paraId="6CA2921A" w14:textId="6AEEE34B" w:rsidR="00EE08D0" w:rsidRPr="009F63DF" w:rsidRDefault="00EE08D0" w:rsidP="004D760D">
      <w:pPr>
        <w:pStyle w:val="SDMHead3"/>
      </w:pPr>
      <w:bookmarkStart w:id="451" w:name="_Toc233388630"/>
      <w:bookmarkStart w:id="452" w:name="_Toc233961437"/>
      <w:bookmarkStart w:id="453" w:name="_Toc233970246"/>
      <w:bookmarkStart w:id="454" w:name="_Toc240546576"/>
      <w:bookmarkStart w:id="455" w:name="_Toc240631977"/>
      <w:bookmarkStart w:id="456" w:name="_Toc242471162"/>
      <w:r w:rsidRPr="009F63DF">
        <w:t>Comparison ex-post</w:t>
      </w:r>
      <w:bookmarkEnd w:id="451"/>
      <w:bookmarkEnd w:id="452"/>
      <w:bookmarkEnd w:id="453"/>
      <w:bookmarkEnd w:id="454"/>
      <w:bookmarkEnd w:id="455"/>
      <w:bookmarkEnd w:id="456"/>
    </w:p>
    <w:p w14:paraId="35BCAE01" w14:textId="4474CB11" w:rsidR="001C2394" w:rsidRPr="009F63DF" w:rsidRDefault="00E47808" w:rsidP="00E03E61">
      <w:pPr>
        <w:pStyle w:val="SDMPara"/>
      </w:pPr>
      <w:r w:rsidRPr="009F63DF">
        <w:rPr>
          <w:rFonts w:eastAsia="Montserrat"/>
          <w:color w:val="000000" w:themeColor="text1"/>
        </w:rPr>
        <w:t xml:space="preserve">If required due to the ex-ante conditions, or </w:t>
      </w:r>
      <w:r w:rsidRPr="009F63DF">
        <w:rPr>
          <w:rFonts w:eastAsia="Montserrat"/>
        </w:rPr>
        <w:t xml:space="preserve">when paragraph </w:t>
      </w:r>
      <w:r w:rsidRPr="009F63DF">
        <w:rPr>
          <w:rFonts w:eastAsia="Montserrat"/>
        </w:rPr>
        <w:fldChar w:fldCharType="begin"/>
      </w:r>
      <w:r w:rsidRPr="009F63DF">
        <w:rPr>
          <w:rFonts w:eastAsia="Montserrat"/>
        </w:rPr>
        <w:instrText xml:space="preserve"> REF _Ref233210697 \r \h </w:instrText>
      </w:r>
      <w:r w:rsidRPr="009F63DF">
        <w:rPr>
          <w:rFonts w:eastAsia="Montserrat"/>
        </w:rPr>
      </w:r>
      <w:r w:rsidRPr="009F63DF">
        <w:rPr>
          <w:rFonts w:eastAsia="Montserrat"/>
        </w:rPr>
        <w:fldChar w:fldCharType="separate"/>
      </w:r>
      <w:r w:rsidR="00831DAE">
        <w:rPr>
          <w:rFonts w:eastAsia="Montserrat"/>
          <w:cs/>
        </w:rPr>
        <w:t>‎</w:t>
      </w:r>
      <w:r w:rsidR="00831DAE">
        <w:rPr>
          <w:rFonts w:eastAsia="Montserrat"/>
        </w:rPr>
        <w:t>77</w:t>
      </w:r>
      <w:r w:rsidRPr="009F63DF">
        <w:rPr>
          <w:rFonts w:eastAsia="Montserrat"/>
        </w:rPr>
        <w:fldChar w:fldCharType="end"/>
      </w:r>
      <w:r w:rsidRPr="009F63DF">
        <w:rPr>
          <w:rFonts w:eastAsia="Montserrat"/>
        </w:rPr>
        <w:t xml:space="preserve"> results in any change to the BAU value defined in </w:t>
      </w:r>
      <w:r w:rsidRPr="009F63DF">
        <w:rPr>
          <w:rFonts w:eastAsia="Montserrat"/>
        </w:rPr>
        <w:fldChar w:fldCharType="begin"/>
      </w:r>
      <w:r w:rsidRPr="009F63DF">
        <w:rPr>
          <w:rFonts w:eastAsia="Montserrat"/>
        </w:rPr>
        <w:instrText xml:space="preserve"> REF _Ref232969111 \h </w:instrText>
      </w:r>
      <w:r w:rsidRPr="009F63DF">
        <w:rPr>
          <w:rFonts w:eastAsia="Montserrat"/>
        </w:rPr>
      </w:r>
      <w:r w:rsidRPr="009F63DF">
        <w:rPr>
          <w:rFonts w:eastAsia="Montserrat"/>
        </w:rPr>
        <w:fldChar w:fldCharType="separate"/>
      </w:r>
      <w:r w:rsidR="00831DAE" w:rsidRPr="009F63DF">
        <w:t>Table </w:t>
      </w:r>
      <w:r w:rsidR="00831DAE">
        <w:rPr>
          <w:noProof/>
        </w:rPr>
        <w:t>4</w:t>
      </w:r>
      <w:r w:rsidRPr="009F63DF">
        <w:rPr>
          <w:rFonts w:eastAsia="Montserrat"/>
        </w:rPr>
        <w:fldChar w:fldCharType="end"/>
      </w:r>
      <w:r w:rsidRPr="009F63DF">
        <w:rPr>
          <w:rFonts w:eastAsia="Montserrat"/>
        </w:rPr>
        <w:t xml:space="preserve"> during the crediting period that make the </w:t>
      </w:r>
      <w:r w:rsidR="0063588E" w:rsidRPr="009F63DF">
        <w:rPr>
          <w:rFonts w:eastAsia="Montserrat"/>
        </w:rPr>
        <w:t xml:space="preserve">minimum conservative </w:t>
      </w:r>
      <w:r w:rsidRPr="009F63DF">
        <w:rPr>
          <w:rFonts w:eastAsia="Montserrat"/>
        </w:rPr>
        <w:t xml:space="preserve">BAU value lower than </w:t>
      </w:r>
      <w:r w:rsidR="00B344A2" w:rsidRPr="009F63DF">
        <w:rPr>
          <w:rFonts w:eastAsia="Montserrat"/>
        </w:rPr>
        <w:t xml:space="preserve">both the conservative BAU defined in </w:t>
      </w:r>
      <w:r w:rsidR="00B344A2" w:rsidRPr="009F63DF">
        <w:rPr>
          <w:rFonts w:eastAsia="Montserrat"/>
        </w:rPr>
        <w:fldChar w:fldCharType="begin"/>
      </w:r>
      <w:r w:rsidR="00B344A2" w:rsidRPr="009F63DF">
        <w:rPr>
          <w:rFonts w:eastAsia="Montserrat"/>
        </w:rPr>
        <w:instrText xml:space="preserve"> REF _Ref232969111 \h </w:instrText>
      </w:r>
      <w:r w:rsidR="00B344A2" w:rsidRPr="009F63DF">
        <w:rPr>
          <w:rFonts w:eastAsia="Montserrat"/>
        </w:rPr>
      </w:r>
      <w:r w:rsidR="00B344A2" w:rsidRPr="009F63DF">
        <w:rPr>
          <w:rFonts w:eastAsia="Montserrat"/>
        </w:rPr>
        <w:fldChar w:fldCharType="separate"/>
      </w:r>
      <w:r w:rsidR="00831DAE" w:rsidRPr="009F63DF">
        <w:t>Table </w:t>
      </w:r>
      <w:r w:rsidR="00831DAE">
        <w:rPr>
          <w:noProof/>
        </w:rPr>
        <w:t>4</w:t>
      </w:r>
      <w:r w:rsidR="00B344A2" w:rsidRPr="009F63DF">
        <w:rPr>
          <w:rFonts w:eastAsia="Montserrat"/>
        </w:rPr>
        <w:fldChar w:fldCharType="end"/>
      </w:r>
      <w:r w:rsidR="00B344A2" w:rsidRPr="009F63DF">
        <w:rPr>
          <w:rFonts w:eastAsia="Montserrat"/>
        </w:rPr>
        <w:t xml:space="preserve"> and </w:t>
      </w:r>
      <w:r w:rsidRPr="009F63DF">
        <w:rPr>
          <w:rFonts w:eastAsia="Montserrat"/>
        </w:rPr>
        <w:t xml:space="preserve">the ambitious benchmark value defined following section </w:t>
      </w:r>
      <w:r w:rsidRPr="009F63DF">
        <w:rPr>
          <w:rFonts w:eastAsia="Montserrat"/>
        </w:rPr>
        <w:fldChar w:fldCharType="begin"/>
      </w:r>
      <w:r w:rsidRPr="009F63DF">
        <w:rPr>
          <w:rFonts w:eastAsia="Montserrat"/>
        </w:rPr>
        <w:instrText xml:space="preserve"> REF _Ref233211040 \r \h </w:instrText>
      </w:r>
      <w:r w:rsidRPr="009F63DF">
        <w:rPr>
          <w:rFonts w:eastAsia="Montserrat"/>
        </w:rPr>
      </w:r>
      <w:r w:rsidRPr="009F63DF">
        <w:rPr>
          <w:rFonts w:eastAsia="Montserrat"/>
        </w:rPr>
        <w:fldChar w:fldCharType="separate"/>
      </w:r>
      <w:r w:rsidR="00831DAE">
        <w:rPr>
          <w:rFonts w:eastAsia="Montserrat"/>
          <w:cs/>
        </w:rPr>
        <w:t>‎</w:t>
      </w:r>
      <w:r w:rsidR="00831DAE">
        <w:rPr>
          <w:rFonts w:eastAsia="Montserrat"/>
        </w:rPr>
        <w:t>7.3</w:t>
      </w:r>
      <w:r w:rsidRPr="009F63DF">
        <w:rPr>
          <w:rFonts w:eastAsia="Montserrat"/>
        </w:rPr>
        <w:fldChar w:fldCharType="end"/>
      </w:r>
      <w:r w:rsidRPr="009F63DF">
        <w:rPr>
          <w:rFonts w:eastAsia="Montserrat"/>
        </w:rPr>
        <w:t xml:space="preserve">, then </w:t>
      </w:r>
      <w:r w:rsidRPr="009F63DF">
        <w:rPr>
          <w:rFonts w:eastAsia="Montserrat"/>
          <w:color w:val="000000" w:themeColor="text1"/>
        </w:rPr>
        <w:t xml:space="preserve">activity </w:t>
      </w:r>
      <w:r w:rsidR="001C2394" w:rsidRPr="009F63DF">
        <w:rPr>
          <w:rFonts w:eastAsia="Montserrat"/>
          <w:color w:val="000000" w:themeColor="text1"/>
        </w:rPr>
        <w:t xml:space="preserve">participants shall also compare in monitoring reports, for each individual calendar year during the crediting period, the ex-post calculated </w:t>
      </w:r>
      <w:r w:rsidR="00160E0E" w:rsidRPr="009F63DF">
        <w:rPr>
          <w:rFonts w:eastAsia="Montserrat"/>
          <w:color w:val="000000" w:themeColor="text1"/>
        </w:rPr>
        <w:t>[</w:t>
      </w:r>
      <w:r w:rsidR="001C2394" w:rsidRPr="009F63DF">
        <w:rPr>
          <w:rFonts w:eastAsia="Montserrat"/>
          <w:color w:val="000000" w:themeColor="text1"/>
        </w:rPr>
        <w:t>downward adjusted</w:t>
      </w:r>
      <w:r w:rsidR="00160E0E" w:rsidRPr="009F63DF">
        <w:rPr>
          <w:rFonts w:eastAsia="Montserrat"/>
          <w:color w:val="000000" w:themeColor="text1"/>
        </w:rPr>
        <w:t>]</w:t>
      </w:r>
      <w:r w:rsidR="001C2394" w:rsidRPr="009F63DF">
        <w:rPr>
          <w:rFonts w:eastAsia="Montserrat"/>
          <w:color w:val="000000" w:themeColor="text1"/>
        </w:rPr>
        <w:t xml:space="preserve"> baseline for the year and the ex-post calculated </w:t>
      </w:r>
      <w:r w:rsidR="001C2394" w:rsidRPr="009F63DF">
        <w:rPr>
          <w:rFonts w:eastAsia="Montserrat"/>
        </w:rPr>
        <w:t>conservative</w:t>
      </w:r>
      <w:r w:rsidR="001C2394" w:rsidRPr="009F63DF">
        <w:rPr>
          <w:rFonts w:eastAsia="Montserrat"/>
          <w:color w:val="000000" w:themeColor="text1"/>
        </w:rPr>
        <w:t xml:space="preserve"> BAU baseline for the same year to confirm that the </w:t>
      </w:r>
      <w:r w:rsidR="00160E0E" w:rsidRPr="009F63DF">
        <w:rPr>
          <w:rFonts w:eastAsia="Montserrat"/>
          <w:color w:val="000000" w:themeColor="text1"/>
        </w:rPr>
        <w:t>[</w:t>
      </w:r>
      <w:r w:rsidR="001C2394" w:rsidRPr="009F63DF">
        <w:rPr>
          <w:rFonts w:eastAsia="Montserrat"/>
          <w:color w:val="000000" w:themeColor="text1"/>
        </w:rPr>
        <w:t>downward adjusted</w:t>
      </w:r>
      <w:r w:rsidR="00160E0E" w:rsidRPr="009F63DF">
        <w:rPr>
          <w:rFonts w:eastAsia="Montserrat"/>
          <w:color w:val="000000" w:themeColor="text1"/>
        </w:rPr>
        <w:t>]</w:t>
      </w:r>
      <w:r w:rsidR="001C2394" w:rsidRPr="009F63DF">
        <w:rPr>
          <w:rFonts w:eastAsia="Montserrat"/>
          <w:color w:val="000000" w:themeColor="text1"/>
        </w:rPr>
        <w:t xml:space="preserve"> baseline is lower than the conservative BAU baseline. If it is not, then the conservative BAU baseline shall be used </w:t>
      </w:r>
      <w:r w:rsidR="00DA2B51" w:rsidRPr="009F63DF">
        <w:rPr>
          <w:rFonts w:eastAsia="Montserrat"/>
          <w:color w:val="000000" w:themeColor="text1"/>
        </w:rPr>
        <w:t xml:space="preserve">in monitoring reports </w:t>
      </w:r>
      <w:r w:rsidR="001C2394" w:rsidRPr="009F63DF">
        <w:rPr>
          <w:rFonts w:eastAsia="Montserrat"/>
          <w:color w:val="000000" w:themeColor="text1"/>
        </w:rPr>
        <w:t>for that specific calendar year.</w:t>
      </w:r>
    </w:p>
    <w:p w14:paraId="7ABA9C1A" w14:textId="4D299237" w:rsidR="00586C9B" w:rsidRPr="009F63DF" w:rsidRDefault="00586C9B" w:rsidP="00655F47">
      <w:pPr>
        <w:pStyle w:val="SDMPara"/>
        <w:keepNext/>
        <w:rPr>
          <w:rFonts w:eastAsia="Montserrat"/>
          <w:color w:val="000000" w:themeColor="text1"/>
        </w:rPr>
      </w:pPr>
      <w:r w:rsidRPr="009F63DF">
        <w:rPr>
          <w:rFonts w:eastAsia="Montserrat"/>
          <w:color w:val="000000" w:themeColor="text1"/>
        </w:rPr>
        <w:t>In turn, baseline emissions shall be determined as follows:</w:t>
      </w:r>
    </w:p>
    <w:tbl>
      <w:tblPr>
        <w:tblStyle w:val="SDMMethTableEquation"/>
        <w:tblW w:w="8760" w:type="dxa"/>
        <w:tblLook w:val="0600" w:firstRow="0" w:lastRow="0" w:firstColumn="0" w:lastColumn="0" w:noHBand="1" w:noVBand="1"/>
      </w:tblPr>
      <w:tblGrid>
        <w:gridCol w:w="7098"/>
        <w:gridCol w:w="1662"/>
      </w:tblGrid>
      <w:tr w:rsidR="009D5761" w:rsidRPr="009F63DF" w14:paraId="7F453629" w14:textId="77777777" w:rsidTr="00096644">
        <w:tc>
          <w:tcPr>
            <w:tcW w:w="7098" w:type="dxa"/>
          </w:tcPr>
          <w:p w14:paraId="678CD5C6" w14:textId="24EC1BA4" w:rsidR="009D5761" w:rsidRPr="009F63DF" w:rsidRDefault="001549D8" w:rsidP="0067199F">
            <w:pPr>
              <w:pStyle w:val="SDMMethEquation"/>
            </w:pPr>
            <m:oMathPara>
              <m:oMathParaPr>
                <m:jc m:val="left"/>
              </m:oMathParaPr>
              <m:oMath>
                <m:sSub>
                  <m:sSubPr>
                    <m:ctrlPr>
                      <w:rPr>
                        <w:rFonts w:ascii="Cambria Math" w:hAnsi="Cambria Math"/>
                        <w:i/>
                        <w:sz w:val="20"/>
                        <w:szCs w:val="20"/>
                      </w:rPr>
                    </m:ctrlPr>
                  </m:sSubPr>
                  <m:e>
                    <m:r>
                      <w:rPr>
                        <w:rFonts w:ascii="Cambria Math" w:hAnsi="Cambria Math"/>
                        <w:sz w:val="20"/>
                        <w:szCs w:val="20"/>
                      </w:rPr>
                      <m:t>BE</m:t>
                    </m:r>
                  </m:e>
                  <m:sub>
                    <m:r>
                      <w:rPr>
                        <w:rFonts w:ascii="Cambria Math" w:hAnsi="Cambria Math"/>
                        <w:sz w:val="20"/>
                        <w:szCs w:val="20"/>
                      </w:rPr>
                      <m:t>final,y</m:t>
                    </m:r>
                  </m:sub>
                </m:sSub>
                <m:r>
                  <w:rPr>
                    <w:rFonts w:ascii="Cambria Math" w:hAnsi="Cambria Math"/>
                    <w:sz w:val="20"/>
                    <w:szCs w:val="20"/>
                  </w:rPr>
                  <m:t>=</m:t>
                </m:r>
                <m:func>
                  <m:funcPr>
                    <m:ctrlPr>
                      <w:rPr>
                        <w:rFonts w:ascii="Cambria Math" w:hAnsi="Cambria Math"/>
                        <w:i/>
                        <w:sz w:val="20"/>
                        <w:szCs w:val="20"/>
                      </w:rPr>
                    </m:ctrlPr>
                  </m:funcPr>
                  <m:fName>
                    <m:limLow>
                      <m:limLowPr>
                        <m:ctrlPr>
                          <w:rPr>
                            <w:rFonts w:ascii="Cambria Math" w:hAnsi="Cambria Math"/>
                            <w:i/>
                            <w:sz w:val="20"/>
                            <w:szCs w:val="20"/>
                          </w:rPr>
                        </m:ctrlPr>
                      </m:limLowPr>
                      <m:e>
                        <m:r>
                          <m:rPr>
                            <m:sty m:val="p"/>
                          </m:rPr>
                          <w:rPr>
                            <w:rFonts w:ascii="Cambria Math" w:hAnsi="Cambria Math"/>
                            <w:sz w:val="20"/>
                            <w:szCs w:val="20"/>
                          </w:rPr>
                          <m:t>MIN</m:t>
                        </m:r>
                      </m:e>
                      <m:lim/>
                    </m:limLow>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BE</m:t>
                            </m:r>
                          </m:e>
                          <m:sub>
                            <m:r>
                              <w:rPr>
                                <w:rFonts w:ascii="Cambria Math" w:hAnsi="Cambria Math"/>
                                <w:sz w:val="20"/>
                                <w:szCs w:val="20"/>
                              </w:rPr>
                              <m:t>adj,y</m:t>
                            </m:r>
                          </m:sub>
                        </m:sSub>
                        <m:r>
                          <m:rPr>
                            <m:sty m:val="p"/>
                          </m:rP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BAU</m:t>
                            </m:r>
                          </m:e>
                          <m:sub>
                            <m:r>
                              <w:rPr>
                                <w:rFonts w:ascii="Cambria Math" w:hAnsi="Cambria Math"/>
                                <w:sz w:val="20"/>
                                <w:szCs w:val="20"/>
                              </w:rPr>
                              <m:t>cons,y</m:t>
                            </m:r>
                          </m:sub>
                        </m:sSub>
                      </m:e>
                    </m:d>
                  </m:e>
                </m:func>
              </m:oMath>
            </m:oMathPara>
          </w:p>
        </w:tc>
        <w:tc>
          <w:tcPr>
            <w:tcW w:w="1662" w:type="dxa"/>
          </w:tcPr>
          <w:p w14:paraId="20F2020B" w14:textId="77777777" w:rsidR="009D5761" w:rsidRPr="009F63DF" w:rsidRDefault="009D5761" w:rsidP="00AF1AC1">
            <w:pPr>
              <w:pStyle w:val="SDMMethEquationNr"/>
              <w:numPr>
                <w:ilvl w:val="0"/>
                <w:numId w:val="29"/>
              </w:numPr>
            </w:pPr>
          </w:p>
        </w:tc>
      </w:tr>
    </w:tbl>
    <w:p w14:paraId="019CB36F" w14:textId="77777777" w:rsidR="00096644" w:rsidRPr="009F63DF" w:rsidRDefault="00096644"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096644" w:rsidRPr="009F63DF" w14:paraId="0300A220" w14:textId="77777777" w:rsidTr="0067199F">
        <w:tc>
          <w:tcPr>
            <w:tcW w:w="1701" w:type="dxa"/>
            <w:vAlign w:val="top"/>
          </w:tcPr>
          <w:p w14:paraId="739C5DB2" w14:textId="6E95CBDD" w:rsidR="00096644" w:rsidRPr="009F63DF" w:rsidRDefault="001549D8" w:rsidP="0009664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BE</m:t>
                    </m:r>
                  </m:e>
                  <m:sub>
                    <m:r>
                      <w:rPr>
                        <w:rFonts w:ascii="Cambria Math" w:eastAsia="Cambria Math" w:hAnsi="Cambria Math" w:cs="Arial"/>
                        <w:color w:val="000000" w:themeColor="text1"/>
                      </w:rPr>
                      <m:t>final, y</m:t>
                    </m:r>
                  </m:sub>
                </m:sSub>
              </m:oMath>
            </m:oMathPara>
          </w:p>
        </w:tc>
        <w:tc>
          <w:tcPr>
            <w:tcW w:w="345" w:type="dxa"/>
            <w:vAlign w:val="top"/>
          </w:tcPr>
          <w:p w14:paraId="50C37498" w14:textId="539AC594" w:rsidR="00096644" w:rsidRPr="009F63DF" w:rsidRDefault="00096644" w:rsidP="00096644">
            <w:pPr>
              <w:pStyle w:val="SDMTableBoxParaNotNumbered"/>
            </w:pPr>
            <w:r w:rsidRPr="009F63DF">
              <w:t>=</w:t>
            </w:r>
          </w:p>
        </w:tc>
        <w:tc>
          <w:tcPr>
            <w:tcW w:w="0" w:type="auto"/>
            <w:vAlign w:val="top"/>
          </w:tcPr>
          <w:p w14:paraId="755CC50E" w14:textId="0731A6EA" w:rsidR="00096644" w:rsidRPr="009F63DF" w:rsidRDefault="00096644" w:rsidP="00096644">
            <w:pPr>
              <w:pStyle w:val="SDMTableBoxParaNotNumbered"/>
            </w:pPr>
            <w:r w:rsidRPr="009F63DF">
              <w:rPr>
                <w:rFonts w:eastAsia="Montserrat" w:cs="Arial"/>
                <w:color w:val="000000" w:themeColor="text1"/>
              </w:rPr>
              <w:t xml:space="preserve">Final </w:t>
            </w:r>
            <w:r w:rsidR="00C2583C" w:rsidRPr="009F63DF">
              <w:rPr>
                <w:rFonts w:eastAsia="Montserrat" w:cs="Arial"/>
                <w:color w:val="000000" w:themeColor="text1"/>
              </w:rPr>
              <w:t>[</w:t>
            </w:r>
            <w:r w:rsidRPr="009F63DF">
              <w:rPr>
                <w:rFonts w:eastAsia="Montserrat" w:cs="Arial"/>
                <w:color w:val="000000" w:themeColor="text1"/>
              </w:rPr>
              <w:t>downward adjusted</w:t>
            </w:r>
            <w:r w:rsidR="00C2583C" w:rsidRPr="009F63DF">
              <w:rPr>
                <w:rFonts w:eastAsia="Montserrat" w:cs="Arial"/>
                <w:color w:val="000000" w:themeColor="text1"/>
              </w:rPr>
              <w:t>]</w:t>
            </w:r>
            <w:r w:rsidRPr="009F63DF">
              <w:rPr>
                <w:rFonts w:eastAsia="Montserrat" w:cs="Arial"/>
                <w:color w:val="000000" w:themeColor="text1"/>
              </w:rPr>
              <w:t xml:space="preserve"> baseline emissions during year </w:t>
            </w:r>
            <w:r w:rsidRPr="009F63DF">
              <w:rPr>
                <w:rFonts w:eastAsia="Montserrat" w:cs="Arial"/>
                <w:i/>
                <w:color w:val="000000" w:themeColor="text1"/>
              </w:rPr>
              <w:t xml:space="preserve">y </w:t>
            </w:r>
            <w:r w:rsidRPr="009F63DF">
              <w:rPr>
                <w:rFonts w:eastAsia="Montserrat" w:cs="Arial"/>
                <w:iCs/>
                <w:color w:val="000000" w:themeColor="text1"/>
              </w:rPr>
              <w:t>(</w:t>
            </w:r>
            <w:r w:rsidR="00CB5ACA" w:rsidRPr="009F63DF">
              <w:t xml:space="preserve">t </w:t>
            </w:r>
            <w:r w:rsidR="00CB5ACA" w:rsidRPr="002D31E1">
              <w:t>CO</w:t>
            </w:r>
            <w:r w:rsidR="00CB5ACA" w:rsidRPr="002D31E1">
              <w:rPr>
                <w:vertAlign w:val="subscript"/>
              </w:rPr>
              <w:t>2</w:t>
            </w:r>
            <w:r w:rsidR="00935CAB">
              <w:t xml:space="preserve"> </w:t>
            </w:r>
            <w:r w:rsidR="00CB5ACA" w:rsidRPr="002D31E1">
              <w:t>eq</w:t>
            </w:r>
            <w:r w:rsidRPr="009F63DF">
              <w:rPr>
                <w:rFonts w:eastAsia="Montserrat" w:cs="Arial"/>
                <w:iCs/>
                <w:color w:val="000000" w:themeColor="text1"/>
              </w:rPr>
              <w:t>)</w:t>
            </w:r>
          </w:p>
        </w:tc>
      </w:tr>
      <w:tr w:rsidR="00096644" w:rsidRPr="009F63DF" w14:paraId="6E328097" w14:textId="77777777" w:rsidTr="0067199F">
        <w:tc>
          <w:tcPr>
            <w:tcW w:w="1701" w:type="dxa"/>
            <w:vAlign w:val="top"/>
          </w:tcPr>
          <w:p w14:paraId="4A5858CD" w14:textId="18C5CB34" w:rsidR="00096644" w:rsidRPr="009F63DF" w:rsidRDefault="001549D8" w:rsidP="0009664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BE</m:t>
                    </m:r>
                  </m:e>
                  <m:sub>
                    <m:r>
                      <w:rPr>
                        <w:rFonts w:ascii="Cambria Math" w:eastAsia="Cambria Math" w:hAnsi="Cambria Math" w:cs="Arial"/>
                        <w:color w:val="000000" w:themeColor="text1"/>
                      </w:rPr>
                      <m:t>adj,y</m:t>
                    </m:r>
                  </m:sub>
                </m:sSub>
              </m:oMath>
            </m:oMathPara>
          </w:p>
        </w:tc>
        <w:tc>
          <w:tcPr>
            <w:tcW w:w="345" w:type="dxa"/>
            <w:vAlign w:val="top"/>
          </w:tcPr>
          <w:p w14:paraId="3A538CA3" w14:textId="77777777" w:rsidR="00096644" w:rsidRPr="009F63DF" w:rsidRDefault="00096644" w:rsidP="00096644">
            <w:pPr>
              <w:pStyle w:val="SDMTableBoxParaNotNumbered"/>
            </w:pPr>
            <w:r w:rsidRPr="009F63DF">
              <w:t>=</w:t>
            </w:r>
          </w:p>
        </w:tc>
        <w:tc>
          <w:tcPr>
            <w:tcW w:w="0" w:type="auto"/>
            <w:vAlign w:val="top"/>
          </w:tcPr>
          <w:p w14:paraId="324723BB" w14:textId="3B4E99E0" w:rsidR="00096644" w:rsidRPr="009F63DF" w:rsidRDefault="00A236AE" w:rsidP="00096644">
            <w:pPr>
              <w:pStyle w:val="SDMTableBoxParaNotNumbered"/>
            </w:pPr>
            <w:r w:rsidRPr="009F63DF">
              <w:t xml:space="preserve">Downward adjusted baseline emissions in year </w:t>
            </w:r>
            <w:r w:rsidRPr="009F63DF">
              <w:rPr>
                <w:i/>
              </w:rPr>
              <w:t>y</w:t>
            </w:r>
            <w:r w:rsidRPr="009F63DF">
              <w:t xml:space="preserve"> (</w:t>
            </w:r>
            <w:r w:rsidR="00CB5ACA" w:rsidRPr="009F63DF">
              <w:t xml:space="preserve">t </w:t>
            </w:r>
            <w:r w:rsidR="00CB5ACA" w:rsidRPr="002D31E1">
              <w:t>CO</w:t>
            </w:r>
            <w:r w:rsidR="00CB5ACA" w:rsidRPr="002D31E1">
              <w:rPr>
                <w:vertAlign w:val="subscript"/>
              </w:rPr>
              <w:t>2</w:t>
            </w:r>
            <w:r w:rsidR="00935CAB">
              <w:t xml:space="preserve"> </w:t>
            </w:r>
            <w:r w:rsidR="00CB5ACA" w:rsidRPr="002D31E1">
              <w:t>eq</w:t>
            </w:r>
            <w:r w:rsidRPr="009F63DF">
              <w:t>)</w:t>
            </w:r>
          </w:p>
        </w:tc>
      </w:tr>
      <w:tr w:rsidR="00096644" w:rsidRPr="009F63DF" w14:paraId="709EDEE7" w14:textId="77777777" w:rsidTr="0067199F">
        <w:tc>
          <w:tcPr>
            <w:tcW w:w="1701" w:type="dxa"/>
            <w:vAlign w:val="top"/>
          </w:tcPr>
          <w:p w14:paraId="227C21E2" w14:textId="4FA2B14C" w:rsidR="00096644" w:rsidRPr="009F63DF" w:rsidRDefault="001549D8" w:rsidP="00096644">
            <w:pPr>
              <w:pStyle w:val="SDMTableBoxParaNotNumbered"/>
            </w:pPr>
            <m:oMathPara>
              <m:oMathParaPr>
                <m:jc m:val="left"/>
              </m:oMathParaPr>
              <m:oMath>
                <m:sSub>
                  <m:sSubPr>
                    <m:ctrlPr>
                      <w:rPr>
                        <w:rFonts w:ascii="Cambria Math" w:hAnsi="Cambria Math"/>
                        <w:i/>
                      </w:rPr>
                    </m:ctrlPr>
                  </m:sSubPr>
                  <m:e>
                    <m:r>
                      <w:rPr>
                        <w:rFonts w:ascii="Cambria Math" w:hAnsi="Cambria Math"/>
                      </w:rPr>
                      <m:t>BAU</m:t>
                    </m:r>
                  </m:e>
                  <m:sub>
                    <m:r>
                      <w:rPr>
                        <w:rFonts w:ascii="Cambria Math" w:hAnsi="Cambria Math"/>
                      </w:rPr>
                      <m:t>cons,y</m:t>
                    </m:r>
                  </m:sub>
                </m:sSub>
              </m:oMath>
            </m:oMathPara>
          </w:p>
        </w:tc>
        <w:tc>
          <w:tcPr>
            <w:tcW w:w="345" w:type="dxa"/>
            <w:vAlign w:val="top"/>
          </w:tcPr>
          <w:p w14:paraId="0F2CACDA" w14:textId="229CA4F4" w:rsidR="00096644" w:rsidRPr="009F63DF" w:rsidRDefault="007C1EA2" w:rsidP="00096644">
            <w:pPr>
              <w:pStyle w:val="SDMTableBoxParaNotNumbered"/>
            </w:pPr>
            <w:r w:rsidRPr="009F63DF">
              <w:t>=</w:t>
            </w:r>
          </w:p>
        </w:tc>
        <w:tc>
          <w:tcPr>
            <w:tcW w:w="0" w:type="auto"/>
            <w:vAlign w:val="top"/>
          </w:tcPr>
          <w:p w14:paraId="3FEFE131" w14:textId="5505FB74" w:rsidR="00096644" w:rsidRPr="009F63DF" w:rsidRDefault="007C1EA2" w:rsidP="00096644">
            <w:pPr>
              <w:pStyle w:val="SDMTableBoxParaNotNumbered"/>
            </w:pPr>
            <w:r w:rsidRPr="009F63DF">
              <w:t xml:space="preserve">Conservative BAU baseline emissions during year </w:t>
            </w:r>
            <w:r w:rsidRPr="009F63DF">
              <w:rPr>
                <w:i/>
              </w:rPr>
              <w:t>y</w:t>
            </w:r>
          </w:p>
        </w:tc>
      </w:tr>
      <w:tr w:rsidR="00096644" w:rsidRPr="009F63DF" w14:paraId="3228B806" w14:textId="77777777" w:rsidTr="0067199F">
        <w:tc>
          <w:tcPr>
            <w:tcW w:w="1701" w:type="dxa"/>
            <w:vAlign w:val="top"/>
          </w:tcPr>
          <w:p w14:paraId="4B54707B" w14:textId="77777777" w:rsidR="00096644" w:rsidRPr="009F63DF" w:rsidRDefault="00096644" w:rsidP="00096644">
            <w:pPr>
              <w:pStyle w:val="SDMTableBoxParaNotNumbered"/>
            </w:pPr>
            <w:r w:rsidRPr="009F63DF">
              <w:rPr>
                <w:rFonts w:ascii="Cambria Math" w:hAnsi="Cambria Math"/>
                <w:i/>
                <w:color w:val="000000" w:themeColor="text1"/>
              </w:rPr>
              <w:t>y</w:t>
            </w:r>
          </w:p>
        </w:tc>
        <w:tc>
          <w:tcPr>
            <w:tcW w:w="345" w:type="dxa"/>
            <w:vAlign w:val="top"/>
          </w:tcPr>
          <w:p w14:paraId="016BF5D4" w14:textId="77777777" w:rsidR="00096644" w:rsidRPr="009F63DF" w:rsidRDefault="00096644" w:rsidP="00096644">
            <w:pPr>
              <w:pStyle w:val="SDMTableBoxParaNotNumbered"/>
            </w:pPr>
            <w:r w:rsidRPr="009F63DF">
              <w:t>=</w:t>
            </w:r>
          </w:p>
        </w:tc>
        <w:tc>
          <w:tcPr>
            <w:tcW w:w="0" w:type="auto"/>
            <w:vAlign w:val="top"/>
          </w:tcPr>
          <w:p w14:paraId="25C28302" w14:textId="77777777" w:rsidR="00096644" w:rsidRPr="009F63DF" w:rsidRDefault="00096644" w:rsidP="00096644">
            <w:pPr>
              <w:pStyle w:val="SDMTableBoxParaNotNumbered"/>
            </w:pPr>
            <w:r w:rsidRPr="009F63DF">
              <w:t>Calendar year of the crediting period (number)</w:t>
            </w:r>
          </w:p>
        </w:tc>
      </w:tr>
    </w:tbl>
    <w:p w14:paraId="226C1F34" w14:textId="719A0664" w:rsidR="001C2394" w:rsidRPr="009F63DF" w:rsidRDefault="005C15B2" w:rsidP="00F91295">
      <w:pPr>
        <w:pStyle w:val="SDMHead1"/>
      </w:pPr>
      <w:bookmarkStart w:id="457" w:name="_Toc226502284"/>
      <w:bookmarkStart w:id="458" w:name="_Toc226576237"/>
      <w:bookmarkStart w:id="459" w:name="_Toc226983087"/>
      <w:bookmarkStart w:id="460" w:name="_Toc227677284"/>
      <w:bookmarkStart w:id="461" w:name="_Toc227694806"/>
      <w:bookmarkStart w:id="462" w:name="_Toc227920920"/>
      <w:bookmarkStart w:id="463" w:name="_Toc227938821"/>
      <w:bookmarkStart w:id="464" w:name="_Toc227948072"/>
      <w:bookmarkStart w:id="465" w:name="_Toc233388631"/>
      <w:bookmarkStart w:id="466" w:name="_Toc233961438"/>
      <w:bookmarkStart w:id="467" w:name="_Toc233970247"/>
      <w:bookmarkStart w:id="468" w:name="_Toc240546577"/>
      <w:bookmarkStart w:id="469" w:name="_Toc240631978"/>
      <w:bookmarkStart w:id="470" w:name="_Toc242471163"/>
      <w:bookmarkEnd w:id="427"/>
      <w:r w:rsidRPr="009F63DF">
        <w:rPr>
          <w:rFonts w:eastAsia="Montserrat"/>
          <w:color w:val="000000" w:themeColor="text1"/>
        </w:rPr>
        <w:t xml:space="preserve">Activity </w:t>
      </w:r>
      <w:r w:rsidR="001C2394" w:rsidRPr="009F63DF">
        <w:rPr>
          <w:rFonts w:eastAsia="Montserrat"/>
          <w:color w:val="000000" w:themeColor="text1"/>
        </w:rPr>
        <w:t>scenario</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28F5C244" w14:textId="3CF41E18" w:rsidR="001C2394" w:rsidRPr="009F63DF" w:rsidRDefault="001C2394" w:rsidP="00F91295">
      <w:pPr>
        <w:pStyle w:val="SDMHead2"/>
      </w:pPr>
      <w:bookmarkStart w:id="471" w:name="_Toc226502285"/>
      <w:bookmarkStart w:id="472" w:name="_Toc226576238"/>
      <w:bookmarkStart w:id="473" w:name="_Toc226983088"/>
      <w:bookmarkStart w:id="474" w:name="_Toc227677285"/>
      <w:bookmarkStart w:id="475" w:name="_Toc227694807"/>
      <w:bookmarkStart w:id="476" w:name="_Toc227920921"/>
      <w:bookmarkStart w:id="477" w:name="_Toc227938822"/>
      <w:bookmarkStart w:id="478" w:name="_Toc227948073"/>
      <w:bookmarkStart w:id="479" w:name="_Toc233388632"/>
      <w:bookmarkStart w:id="480" w:name="_Toc233961439"/>
      <w:bookmarkStart w:id="481" w:name="_Toc233970248"/>
      <w:bookmarkStart w:id="482" w:name="_Toc240546578"/>
      <w:bookmarkStart w:id="483" w:name="_Toc240631979"/>
      <w:bookmarkStart w:id="484" w:name="_Toc242471164"/>
      <w:r w:rsidRPr="009F63DF">
        <w:t xml:space="preserve">Application of multiple </w:t>
      </w:r>
      <w:r w:rsidR="005C15B2" w:rsidRPr="009F63DF">
        <w:t xml:space="preserve">activity </w:t>
      </w:r>
      <w:r w:rsidRPr="009F63DF">
        <w:t>scenarios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772A8344" w14:textId="54B227ED" w:rsidR="001C2394" w:rsidRPr="009F63DF" w:rsidRDefault="001C2394" w:rsidP="00E03E61">
      <w:pPr>
        <w:pStyle w:val="SDMPara"/>
      </w:pPr>
      <w:r w:rsidRPr="009F63DF">
        <w:rPr>
          <w:rFonts w:eastAsia="Montserrat"/>
          <w:color w:val="000000" w:themeColor="text1"/>
        </w:rPr>
        <w:t>If a</w:t>
      </w:r>
      <w:r w:rsidR="00624C30" w:rsidRPr="009F63DF">
        <w:rPr>
          <w:rFonts w:eastAsia="Montserrat"/>
          <w:color w:val="000000" w:themeColor="text1"/>
        </w:rPr>
        <w:t xml:space="preserve">n Article 6.4 activity </w:t>
      </w:r>
      <w:r w:rsidRPr="009F63DF">
        <w:rPr>
          <w:rFonts w:eastAsia="Montserrat"/>
          <w:color w:val="000000" w:themeColor="text1"/>
        </w:rPr>
        <w:t xml:space="preserve">is promoting </w:t>
      </w:r>
      <w:r w:rsidRPr="009F63DF">
        <w:rPr>
          <w:rFonts w:eastAsia="Montserrat"/>
        </w:rPr>
        <w:t>multiple</w:t>
      </w:r>
      <w:r w:rsidRPr="009F63DF">
        <w:rPr>
          <w:rFonts w:eastAsia="Montserrat"/>
          <w:color w:val="000000" w:themeColor="text1"/>
        </w:rPr>
        <w:t xml:space="preserve"> project </w:t>
      </w:r>
      <w:r w:rsidR="0025434F" w:rsidRPr="009F63DF">
        <w:rPr>
          <w:rFonts w:eastAsia="Montserrat"/>
          <w:color w:val="000000" w:themeColor="text1"/>
        </w:rPr>
        <w:t>cookstove</w:t>
      </w:r>
      <w:r w:rsidRPr="009F63DF">
        <w:rPr>
          <w:rFonts w:eastAsia="Montserrat"/>
          <w:color w:val="000000" w:themeColor="text1"/>
        </w:rPr>
        <w:t xml:space="preserve"> technologies, project </w:t>
      </w:r>
      <w:r w:rsidR="0025434F" w:rsidRPr="009F63DF">
        <w:rPr>
          <w:rFonts w:eastAsia="Montserrat"/>
          <w:color w:val="000000" w:themeColor="text1"/>
        </w:rPr>
        <w:t>cookstoves</w:t>
      </w:r>
      <w:r w:rsidRPr="009F63DF">
        <w:rPr>
          <w:rFonts w:eastAsia="Montserrat"/>
          <w:color w:val="000000" w:themeColor="text1"/>
        </w:rPr>
        <w:t xml:space="preserve"> with similar design and performance characteristics (defined as having the same combustion technology and within 5</w:t>
      </w:r>
      <w:r w:rsidR="00E14AC2" w:rsidRPr="009F63DF">
        <w:t xml:space="preserve"> per cent</w:t>
      </w:r>
      <w:r w:rsidRPr="009F63DF">
        <w:rPr>
          <w:rFonts w:eastAsia="Montserrat"/>
          <w:color w:val="000000" w:themeColor="text1"/>
        </w:rPr>
        <w:t xml:space="preserve"> thermal efficiency per ISO 19867-1</w:t>
      </w:r>
      <w:r w:rsidR="00157AE4" w:rsidRPr="009F63DF">
        <w:rPr>
          <w:rFonts w:eastAsia="Montserrat"/>
          <w:color w:val="000000" w:themeColor="text1"/>
        </w:rPr>
        <w:t xml:space="preserve"> or equivalent national standards where an accredited laboratory with this capacity is not available in the host country</w:t>
      </w:r>
      <w:r w:rsidRPr="009F63DF">
        <w:rPr>
          <w:rFonts w:eastAsia="Montserrat"/>
          <w:color w:val="000000" w:themeColor="text1"/>
        </w:rPr>
        <w:t xml:space="preserve"> may be included under a single </w:t>
      </w:r>
      <w:r w:rsidR="00833B44" w:rsidRPr="009F63DF">
        <w:rPr>
          <w:rFonts w:eastAsia="Montserrat"/>
          <w:color w:val="000000" w:themeColor="text1"/>
        </w:rPr>
        <w:t xml:space="preserve">activity </w:t>
      </w:r>
      <w:r w:rsidRPr="009F63DF">
        <w:rPr>
          <w:rFonts w:eastAsia="Montserrat"/>
          <w:color w:val="000000" w:themeColor="text1"/>
        </w:rPr>
        <w:t xml:space="preserve">scenario. If not, they must be treated as independent </w:t>
      </w:r>
      <w:r w:rsidR="005C15B2" w:rsidRPr="009F63DF">
        <w:rPr>
          <w:rFonts w:eastAsia="Montserrat"/>
          <w:color w:val="000000" w:themeColor="text1"/>
        </w:rPr>
        <w:t>activity</w:t>
      </w:r>
      <w:r w:rsidRPr="009F63DF">
        <w:rPr>
          <w:rFonts w:eastAsia="Montserrat"/>
          <w:color w:val="000000" w:themeColor="text1"/>
        </w:rPr>
        <w:t xml:space="preserve"> scenarios and </w:t>
      </w:r>
      <w:r w:rsidR="002E5252" w:rsidRPr="009F63DF">
        <w:rPr>
          <w:rFonts w:eastAsia="Montserrat"/>
          <w:color w:val="000000" w:themeColor="text1"/>
        </w:rPr>
        <w:t xml:space="preserve">included as different CPs in a </w:t>
      </w:r>
      <w:r w:rsidR="00A772C7" w:rsidRPr="009F63DF">
        <w:rPr>
          <w:rFonts w:eastAsia="Montserrat"/>
          <w:color w:val="000000" w:themeColor="text1"/>
        </w:rPr>
        <w:t>PoA</w:t>
      </w:r>
      <w:r w:rsidRPr="009F63DF">
        <w:rPr>
          <w:rFonts w:eastAsia="Montserrat"/>
          <w:color w:val="000000" w:themeColor="text1"/>
        </w:rPr>
        <w:t>.</w:t>
      </w:r>
    </w:p>
    <w:p w14:paraId="34FABC5E" w14:textId="1B13201C" w:rsidR="001C2394" w:rsidRPr="007930FD" w:rsidRDefault="00B63BFD" w:rsidP="00F91295">
      <w:pPr>
        <w:pStyle w:val="SDMHead2"/>
      </w:pPr>
      <w:bookmarkStart w:id="485" w:name="_Ref181616922"/>
      <w:bookmarkStart w:id="486" w:name="_Toc226502286"/>
      <w:bookmarkStart w:id="487" w:name="_Toc226576239"/>
      <w:bookmarkStart w:id="488" w:name="_Toc226983089"/>
      <w:bookmarkStart w:id="489" w:name="_Toc227677286"/>
      <w:bookmarkStart w:id="490" w:name="_Toc227694808"/>
      <w:bookmarkStart w:id="491" w:name="_Toc227920922"/>
      <w:bookmarkStart w:id="492" w:name="_Toc227938823"/>
      <w:bookmarkStart w:id="493" w:name="_Toc227948074"/>
      <w:bookmarkStart w:id="494" w:name="_Toc233388633"/>
      <w:bookmarkStart w:id="495" w:name="_Toc233961440"/>
      <w:bookmarkStart w:id="496" w:name="_Toc233970249"/>
      <w:bookmarkStart w:id="497" w:name="_Toc240546579"/>
      <w:bookmarkStart w:id="498" w:name="_Toc240631980"/>
      <w:bookmarkStart w:id="499" w:name="_Toc242471165"/>
      <w:r w:rsidRPr="007930FD">
        <w:rPr>
          <w:color w:val="000000" w:themeColor="text1"/>
        </w:rPr>
        <w:t>Activity</w:t>
      </w:r>
      <w:r w:rsidR="001C2394" w:rsidRPr="007930FD">
        <w:rPr>
          <w:color w:val="000000" w:themeColor="text1"/>
        </w:rPr>
        <w:t xml:space="preserve"> emissions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14:paraId="4CE53BA7" w14:textId="19E529DC" w:rsidR="00AC74CA" w:rsidRPr="007930FD" w:rsidRDefault="00AC74CA" w:rsidP="002A433D">
      <w:pPr>
        <w:pStyle w:val="SDMHead3"/>
      </w:pPr>
      <w:bookmarkStart w:id="500" w:name="_Toc226983090"/>
      <w:bookmarkStart w:id="501" w:name="_Toc227677287"/>
      <w:bookmarkStart w:id="502" w:name="_Toc227694809"/>
      <w:bookmarkStart w:id="503" w:name="_Toc227920923"/>
      <w:bookmarkStart w:id="504" w:name="_Toc227938824"/>
      <w:bookmarkStart w:id="505" w:name="_Toc227948075"/>
      <w:bookmarkStart w:id="506" w:name="_Toc233388634"/>
      <w:bookmarkStart w:id="507" w:name="_Toc233961441"/>
      <w:bookmarkStart w:id="508" w:name="_Toc233970250"/>
      <w:bookmarkStart w:id="509" w:name="_Toc240546580"/>
      <w:bookmarkStart w:id="510" w:name="_Toc240631981"/>
      <w:bookmarkStart w:id="511" w:name="_Toc242471166"/>
      <w:r w:rsidRPr="007930FD">
        <w:t xml:space="preserve">Fuel consumption in the </w:t>
      </w:r>
      <w:r w:rsidR="005C15B2" w:rsidRPr="007930FD">
        <w:t xml:space="preserve">activity </w:t>
      </w:r>
      <w:r w:rsidRPr="007930FD">
        <w:t>scenario</w:t>
      </w:r>
      <w:bookmarkEnd w:id="500"/>
      <w:bookmarkEnd w:id="501"/>
      <w:bookmarkEnd w:id="502"/>
      <w:bookmarkEnd w:id="503"/>
      <w:bookmarkEnd w:id="504"/>
      <w:bookmarkEnd w:id="505"/>
      <w:bookmarkEnd w:id="506"/>
      <w:bookmarkEnd w:id="507"/>
      <w:bookmarkEnd w:id="508"/>
      <w:bookmarkEnd w:id="509"/>
      <w:bookmarkEnd w:id="510"/>
      <w:bookmarkEnd w:id="511"/>
    </w:p>
    <w:p w14:paraId="121934F3" w14:textId="48FAE259" w:rsidR="001C2394" w:rsidRPr="007930FD" w:rsidRDefault="00B63BFD" w:rsidP="00655F47">
      <w:pPr>
        <w:pStyle w:val="SDMPara"/>
        <w:keepNext/>
      </w:pPr>
      <w:r w:rsidRPr="007930FD">
        <w:t>Activity</w:t>
      </w:r>
      <w:r w:rsidR="00024D10" w:rsidRPr="007930FD">
        <w:t xml:space="preserve"> e</w:t>
      </w:r>
      <w:r w:rsidR="001C2394" w:rsidRPr="007930FD">
        <w:t xml:space="preserve">missions are calculated on an energy basis, </w:t>
      </w:r>
      <w:r w:rsidR="00BA4C70" w:rsidRPr="007930FD">
        <w:t xml:space="preserve">while </w:t>
      </w:r>
      <w:r w:rsidR="009C5D3C" w:rsidRPr="007930FD">
        <w:t xml:space="preserve">the amount of fuel consumed by the Article 6.4 activity </w:t>
      </w:r>
      <w:r w:rsidR="00B21983" w:rsidRPr="007930FD">
        <w:t xml:space="preserve">is </w:t>
      </w:r>
      <w:r w:rsidR="00BA4C70" w:rsidRPr="007930FD">
        <w:t xml:space="preserve">measured on a mass basis in the KPTs. </w:t>
      </w:r>
      <w:r w:rsidR="00B82540" w:rsidRPr="007930FD">
        <w:t>Generally, the necessary c</w:t>
      </w:r>
      <w:r w:rsidR="001C2394" w:rsidRPr="007930FD">
        <w:t xml:space="preserve">onversions from mass to energy are conducted using </w:t>
      </w:r>
      <w:r w:rsidR="00DA6116" w:rsidRPr="007930FD">
        <w:t>e</w:t>
      </w:r>
      <w:r w:rsidR="001C2394" w:rsidRPr="007930FD">
        <w:t>quation (</w:t>
      </w:r>
      <w:r w:rsidR="00F940AE" w:rsidRPr="007930FD">
        <w:t>2</w:t>
      </w:r>
      <w:r w:rsidR="001507B9" w:rsidRPr="007930FD">
        <w:t>5</w:t>
      </w:r>
      <w:r w:rsidR="001C2394" w:rsidRPr="007930FD">
        <w:t>):</w:t>
      </w:r>
    </w:p>
    <w:tbl>
      <w:tblPr>
        <w:tblStyle w:val="SDMMethTableEquation"/>
        <w:tblW w:w="8760" w:type="dxa"/>
        <w:tblLook w:val="0600" w:firstRow="0" w:lastRow="0" w:firstColumn="0" w:lastColumn="0" w:noHBand="1" w:noVBand="1"/>
      </w:tblPr>
      <w:tblGrid>
        <w:gridCol w:w="7090"/>
        <w:gridCol w:w="1670"/>
      </w:tblGrid>
      <w:tr w:rsidR="00BA0F6D" w:rsidRPr="007930FD" w14:paraId="6D5E29CD" w14:textId="77777777" w:rsidTr="00BA0F6D">
        <w:tc>
          <w:tcPr>
            <w:tcW w:w="7090" w:type="dxa"/>
          </w:tcPr>
          <w:p w14:paraId="70634519" w14:textId="236D7877" w:rsidR="00BA0F6D" w:rsidRPr="007930FD" w:rsidRDefault="001549D8" w:rsidP="00C5477B">
            <w:pPr>
              <w:pStyle w:val="SDMMethEquation"/>
            </w:pPr>
            <m:oMathPara>
              <m:oMathParaPr>
                <m:jc m:val="left"/>
              </m:oMathParaPr>
              <m:oMath>
                <m:sSub>
                  <m:sSubPr>
                    <m:ctrlPr>
                      <w:rPr>
                        <w:rFonts w:ascii="Cambria Math" w:eastAsia="Cambria Math" w:hAnsi="Cambria Math" w:cs="Cambria Math"/>
                      </w:rPr>
                    </m:ctrlPr>
                  </m:sSubPr>
                  <m:e>
                    <m:r>
                      <w:rPr>
                        <w:rFonts w:ascii="Cambria Math" w:eastAsia="Cambria Math" w:hAnsi="Cambria Math" w:cs="Cambria Math"/>
                      </w:rPr>
                      <m:t>EC</m:t>
                    </m:r>
                  </m:e>
                  <m:sub>
                    <m:r>
                      <w:rPr>
                        <w:rFonts w:ascii="Cambria Math" w:eastAsia="Cambria Math" w:hAnsi="Cambria Math" w:cs="Cambria Math"/>
                      </w:rPr>
                      <m:t>i</m:t>
                    </m:r>
                  </m:sub>
                </m:sSub>
                <m:r>
                  <w:rPr>
                    <w:rFonts w:ascii="Cambria Math" w:eastAsia="Cambria Math" w:hAnsi="Cambria Math" w:cs="Cambria Math"/>
                  </w:rPr>
                  <m:t>=</m:t>
                </m:r>
                <m:sSub>
                  <m:sSubPr>
                    <m:ctrlPr>
                      <w:rPr>
                        <w:rFonts w:ascii="Cambria Math" w:eastAsia="Cambria Math" w:hAnsi="Cambria Math" w:cs="Cambria Math"/>
                      </w:rPr>
                    </m:ctrlPr>
                  </m:sSubPr>
                  <m:e>
                    <m:sSub>
                      <m:sSubPr>
                        <m:ctrlPr>
                          <w:rPr>
                            <w:rFonts w:ascii="Cambria Math" w:eastAsia="Cambria Math" w:hAnsi="Cambria Math" w:cs="Cambria Math"/>
                          </w:rPr>
                        </m:ctrlPr>
                      </m:sSubPr>
                      <m:e>
                        <m:r>
                          <w:rPr>
                            <w:rFonts w:ascii="Cambria Math" w:eastAsia="Cambria Math" w:hAnsi="Cambria Math" w:cs="Cambria Math"/>
                          </w:rPr>
                          <m:t>FC</m:t>
                        </m:r>
                      </m:e>
                      <m:sub>
                        <m:r>
                          <w:rPr>
                            <w:rFonts w:ascii="Cambria Math" w:eastAsia="Cambria Math" w:hAnsi="Cambria Math" w:cs="Cambria Math"/>
                          </w:rPr>
                          <m:t>i</m:t>
                        </m:r>
                      </m:sub>
                    </m:sSub>
                    <m:r>
                      <w:rPr>
                        <w:rFonts w:ascii="Cambria Math" w:eastAsia="Cambria Math" w:hAnsi="Cambria Math" w:cs="Cambria Math"/>
                      </w:rPr>
                      <m:t>×</m:t>
                    </m:r>
                    <m:r>
                      <w:rPr>
                        <w:rFonts w:ascii="Cambria Math" w:eastAsia="Cambria Math" w:hAnsi="Cambria Math" w:cs="Cambria Math"/>
                        <w:vertAlign w:val="subscript"/>
                      </w:rPr>
                      <m:t xml:space="preserve"> </m:t>
                    </m:r>
                    <m:r>
                      <w:rPr>
                        <w:rFonts w:ascii="Cambria Math" w:eastAsia="Cambria Math" w:hAnsi="Cambria Math" w:cs="Cambria Math"/>
                      </w:rPr>
                      <m:t>NCV</m:t>
                    </m:r>
                  </m:e>
                  <m:sub>
                    <m:r>
                      <w:rPr>
                        <w:rFonts w:ascii="Cambria Math" w:eastAsia="Cambria Math" w:hAnsi="Cambria Math" w:cs="Cambria Math"/>
                      </w:rPr>
                      <m:t>i</m:t>
                    </m:r>
                  </m:sub>
                </m:sSub>
              </m:oMath>
            </m:oMathPara>
          </w:p>
        </w:tc>
        <w:tc>
          <w:tcPr>
            <w:tcW w:w="1670" w:type="dxa"/>
          </w:tcPr>
          <w:p w14:paraId="1017ED8C" w14:textId="77777777" w:rsidR="00BA0F6D" w:rsidRPr="007930FD" w:rsidRDefault="00BA0F6D" w:rsidP="00AF1AC1">
            <w:pPr>
              <w:pStyle w:val="SDMMethEquationNr"/>
              <w:numPr>
                <w:ilvl w:val="0"/>
                <w:numId w:val="29"/>
              </w:numPr>
            </w:pPr>
          </w:p>
        </w:tc>
      </w:tr>
    </w:tbl>
    <w:p w14:paraId="507692F6" w14:textId="77777777" w:rsidR="009F6193" w:rsidRPr="007930FD" w:rsidRDefault="009F6193" w:rsidP="00655F47">
      <w:pPr>
        <w:pStyle w:val="SDMMethCaptionEquationParametersTable"/>
      </w:pPr>
      <w:r w:rsidRPr="007930FD">
        <w:t>Where:</w:t>
      </w:r>
    </w:p>
    <w:tbl>
      <w:tblPr>
        <w:tblStyle w:val="SDMMethTableEquationParameters"/>
        <w:tblW w:w="8760" w:type="dxa"/>
        <w:tblLook w:val="04A0" w:firstRow="1" w:lastRow="0" w:firstColumn="1" w:lastColumn="0" w:noHBand="0" w:noVBand="1"/>
      </w:tblPr>
      <w:tblGrid>
        <w:gridCol w:w="1701"/>
        <w:gridCol w:w="345"/>
        <w:gridCol w:w="6714"/>
      </w:tblGrid>
      <w:tr w:rsidR="009F6193" w:rsidRPr="007930FD" w14:paraId="1AE915EA" w14:textId="77777777" w:rsidTr="00F04DE3">
        <w:tc>
          <w:tcPr>
            <w:tcW w:w="1701" w:type="dxa"/>
            <w:vAlign w:val="top"/>
          </w:tcPr>
          <w:p w14:paraId="6FF0BA03" w14:textId="3F5D4EB8" w:rsidR="009F6193" w:rsidRPr="007930FD" w:rsidRDefault="001549D8" w:rsidP="00C141F1">
            <w:pPr>
              <w:pStyle w:val="SDMTableBoxParaNotNumbered"/>
            </w:pPr>
            <m:oMathPara>
              <m:oMathParaPr>
                <m:jc m:val="left"/>
              </m:oMathParaPr>
              <m:oMath>
                <m:sSub>
                  <m:sSubPr>
                    <m:ctrlPr>
                      <w:rPr>
                        <w:rFonts w:ascii="Cambria Math" w:eastAsia="Cambria Math" w:hAnsi="Cambria Math" w:cs="Arial"/>
                      </w:rPr>
                    </m:ctrlPr>
                  </m:sSubPr>
                  <m:e>
                    <m:r>
                      <w:rPr>
                        <w:rFonts w:ascii="Cambria Math" w:eastAsia="Cambria Math" w:hAnsi="Cambria Math" w:cs="Arial"/>
                      </w:rPr>
                      <m:t>EC</m:t>
                    </m:r>
                  </m:e>
                  <m:sub>
                    <m:r>
                      <w:rPr>
                        <w:rFonts w:ascii="Cambria Math" w:eastAsia="Cambria Math" w:hAnsi="Cambria Math" w:cs="Arial"/>
                      </w:rPr>
                      <m:t>i</m:t>
                    </m:r>
                  </m:sub>
                </m:sSub>
              </m:oMath>
            </m:oMathPara>
          </w:p>
        </w:tc>
        <w:tc>
          <w:tcPr>
            <w:tcW w:w="345" w:type="dxa"/>
            <w:vAlign w:val="top"/>
          </w:tcPr>
          <w:p w14:paraId="011CEC58" w14:textId="77777777" w:rsidR="009F6193" w:rsidRPr="007930FD" w:rsidRDefault="009F6193" w:rsidP="00C141F1">
            <w:pPr>
              <w:pStyle w:val="SDMTableBoxParaNotNumbered"/>
            </w:pPr>
            <w:r w:rsidRPr="007930FD">
              <w:t>=</w:t>
            </w:r>
          </w:p>
        </w:tc>
        <w:tc>
          <w:tcPr>
            <w:tcW w:w="0" w:type="auto"/>
            <w:vAlign w:val="top"/>
          </w:tcPr>
          <w:p w14:paraId="4DA3AB22" w14:textId="506BFFC1" w:rsidR="009F6193" w:rsidRPr="007930FD" w:rsidRDefault="00C141F1" w:rsidP="00C141F1">
            <w:pPr>
              <w:pStyle w:val="SDMTableBoxParaNotNumbered"/>
            </w:pPr>
            <w:r w:rsidRPr="007930FD">
              <w:t xml:space="preserve">Energy consumption for the fuel </w:t>
            </w:r>
            <w:r w:rsidRPr="007930FD">
              <w:rPr>
                <w:i/>
              </w:rPr>
              <w:t>i</w:t>
            </w:r>
            <w:r w:rsidRPr="007930FD">
              <w:t xml:space="preserve"> (TJ)</w:t>
            </w:r>
          </w:p>
        </w:tc>
      </w:tr>
      <w:tr w:rsidR="009F6193" w:rsidRPr="007930FD" w14:paraId="4F59DDEB" w14:textId="77777777" w:rsidTr="00F04DE3">
        <w:tc>
          <w:tcPr>
            <w:tcW w:w="1701" w:type="dxa"/>
            <w:vAlign w:val="top"/>
          </w:tcPr>
          <w:p w14:paraId="7AFA79C9" w14:textId="085FB4ED" w:rsidR="009F6193" w:rsidRPr="007930FD" w:rsidRDefault="001549D8" w:rsidP="00C141F1">
            <w:pPr>
              <w:pStyle w:val="SDMTableBoxParaNotNumbered"/>
            </w:pPr>
            <m:oMathPara>
              <m:oMathParaPr>
                <m:jc m:val="left"/>
              </m:oMathParaPr>
              <m:oMath>
                <m:sSub>
                  <m:sSubPr>
                    <m:ctrlPr>
                      <w:rPr>
                        <w:rFonts w:ascii="Cambria Math" w:eastAsia="Cambria Math" w:hAnsi="Cambria Math" w:cs="Arial"/>
                      </w:rPr>
                    </m:ctrlPr>
                  </m:sSubPr>
                  <m:e>
                    <m:r>
                      <w:rPr>
                        <w:rFonts w:ascii="Cambria Math" w:eastAsia="Cambria Math" w:hAnsi="Cambria Math" w:cs="Arial"/>
                      </w:rPr>
                      <m:t>FC</m:t>
                    </m:r>
                  </m:e>
                  <m:sub>
                    <m:r>
                      <w:rPr>
                        <w:rFonts w:ascii="Cambria Math" w:eastAsia="Cambria Math" w:hAnsi="Cambria Math" w:cs="Arial"/>
                      </w:rPr>
                      <m:t>i</m:t>
                    </m:r>
                  </m:sub>
                </m:sSub>
              </m:oMath>
            </m:oMathPara>
          </w:p>
        </w:tc>
        <w:tc>
          <w:tcPr>
            <w:tcW w:w="345" w:type="dxa"/>
            <w:vAlign w:val="top"/>
          </w:tcPr>
          <w:p w14:paraId="761F14AB" w14:textId="77777777" w:rsidR="009F6193" w:rsidRPr="007930FD" w:rsidRDefault="009F6193" w:rsidP="00C141F1">
            <w:pPr>
              <w:pStyle w:val="SDMTableBoxParaNotNumbered"/>
            </w:pPr>
            <w:r w:rsidRPr="007930FD">
              <w:t>=</w:t>
            </w:r>
          </w:p>
        </w:tc>
        <w:tc>
          <w:tcPr>
            <w:tcW w:w="0" w:type="auto"/>
            <w:vAlign w:val="top"/>
          </w:tcPr>
          <w:p w14:paraId="2168DFAE" w14:textId="0B540B84" w:rsidR="009F6193" w:rsidRPr="007930FD" w:rsidRDefault="00C141F1" w:rsidP="00C141F1">
            <w:pPr>
              <w:pStyle w:val="SDMTableBoxParaNotNumbered"/>
            </w:pPr>
            <w:r w:rsidRPr="007930FD">
              <w:t xml:space="preserve">Quantity of primary fuel type </w:t>
            </w:r>
            <w:r w:rsidRPr="007930FD">
              <w:rPr>
                <w:i/>
              </w:rPr>
              <w:t>i</w:t>
            </w:r>
            <w:r w:rsidRPr="007930FD">
              <w:t xml:space="preserve"> consumed (tonnes)</w:t>
            </w:r>
          </w:p>
        </w:tc>
      </w:tr>
      <w:tr w:rsidR="009F6193" w:rsidRPr="007930FD" w14:paraId="146AED04" w14:textId="77777777" w:rsidTr="00F04DE3">
        <w:tc>
          <w:tcPr>
            <w:tcW w:w="1701" w:type="dxa"/>
            <w:vAlign w:val="top"/>
          </w:tcPr>
          <w:p w14:paraId="45A353B1" w14:textId="2A0980A6" w:rsidR="009F6193" w:rsidRPr="007930FD" w:rsidRDefault="001549D8" w:rsidP="00C141F1">
            <w:pPr>
              <w:pStyle w:val="SDMTableBoxParaNotNumbered"/>
            </w:pPr>
            <m:oMathPara>
              <m:oMathParaPr>
                <m:jc m:val="left"/>
              </m:oMathParaPr>
              <m:oMath>
                <m:sSub>
                  <m:sSubPr>
                    <m:ctrlPr>
                      <w:rPr>
                        <w:rFonts w:ascii="Cambria Math" w:eastAsia="Cambria Math" w:hAnsi="Cambria Math" w:cs="Arial"/>
                        <w:i/>
                      </w:rPr>
                    </m:ctrlPr>
                  </m:sSubPr>
                  <m:e>
                    <m:r>
                      <w:rPr>
                        <w:rFonts w:ascii="Cambria Math" w:eastAsia="Cambria Math" w:hAnsi="Cambria Math" w:cs="Arial"/>
                      </w:rPr>
                      <m:t>NCV</m:t>
                    </m:r>
                  </m:e>
                  <m:sub>
                    <m:r>
                      <w:rPr>
                        <w:rFonts w:ascii="Cambria Math" w:eastAsia="Cambria Math" w:hAnsi="Cambria Math" w:cs="Arial"/>
                      </w:rPr>
                      <m:t>i</m:t>
                    </m:r>
                  </m:sub>
                </m:sSub>
              </m:oMath>
            </m:oMathPara>
          </w:p>
        </w:tc>
        <w:tc>
          <w:tcPr>
            <w:tcW w:w="345" w:type="dxa"/>
            <w:vAlign w:val="top"/>
          </w:tcPr>
          <w:p w14:paraId="25CE868B" w14:textId="77777777" w:rsidR="009F6193" w:rsidRPr="007930FD" w:rsidRDefault="009F6193" w:rsidP="00C141F1">
            <w:pPr>
              <w:pStyle w:val="SDMTableBoxParaNotNumbered"/>
            </w:pPr>
            <w:r w:rsidRPr="007930FD">
              <w:t>=</w:t>
            </w:r>
          </w:p>
        </w:tc>
        <w:tc>
          <w:tcPr>
            <w:tcW w:w="0" w:type="auto"/>
            <w:vAlign w:val="top"/>
          </w:tcPr>
          <w:p w14:paraId="7F0C42C8" w14:textId="00577DE9" w:rsidR="009F6193" w:rsidRPr="007930FD" w:rsidRDefault="00C141F1" w:rsidP="00C141F1">
            <w:pPr>
              <w:pStyle w:val="SDMTableBoxParaNotNumbered"/>
            </w:pPr>
            <w:r w:rsidRPr="007930FD">
              <w:t xml:space="preserve">Net calorific value for primary fuel type </w:t>
            </w:r>
            <w:r w:rsidRPr="007930FD">
              <w:rPr>
                <w:i/>
              </w:rPr>
              <w:t>i</w:t>
            </w:r>
            <w:r w:rsidRPr="007930FD">
              <w:t xml:space="preserve"> (TJ</w:t>
            </w:r>
            <w:r w:rsidR="00863463" w:rsidRPr="007930FD">
              <w:t xml:space="preserve"> </w:t>
            </w:r>
            <w:r w:rsidRPr="007930FD">
              <w:t>/</w:t>
            </w:r>
            <w:r w:rsidR="00863463" w:rsidRPr="007930FD">
              <w:t xml:space="preserve"> </w:t>
            </w:r>
            <w:r w:rsidRPr="007930FD">
              <w:t>tonnes)</w:t>
            </w:r>
          </w:p>
        </w:tc>
      </w:tr>
      <w:tr w:rsidR="00C141F1" w:rsidRPr="007930FD" w14:paraId="2156AC17" w14:textId="77777777" w:rsidTr="00F04DE3">
        <w:tc>
          <w:tcPr>
            <w:tcW w:w="1701" w:type="dxa"/>
            <w:vAlign w:val="top"/>
          </w:tcPr>
          <w:p w14:paraId="16F6F86F" w14:textId="4A4FFE31" w:rsidR="00C141F1" w:rsidRPr="007930FD" w:rsidRDefault="00C141F1" w:rsidP="00C141F1">
            <w:pPr>
              <w:pStyle w:val="SDMTableBoxParaNotNumbered"/>
            </w:pPr>
            <w:r w:rsidRPr="007930FD">
              <w:rPr>
                <w:rFonts w:ascii="Cambria Math" w:hAnsi="Cambria Math"/>
                <w:i/>
              </w:rPr>
              <w:t>i</w:t>
            </w:r>
          </w:p>
        </w:tc>
        <w:tc>
          <w:tcPr>
            <w:tcW w:w="345" w:type="dxa"/>
            <w:vAlign w:val="top"/>
          </w:tcPr>
          <w:p w14:paraId="1BA57898" w14:textId="13F5D175" w:rsidR="00C141F1" w:rsidRPr="007930FD" w:rsidRDefault="00C141F1" w:rsidP="00C141F1">
            <w:pPr>
              <w:pStyle w:val="SDMTableBoxParaNotNumbered"/>
            </w:pPr>
            <w:r w:rsidRPr="007930FD">
              <w:t>=</w:t>
            </w:r>
          </w:p>
        </w:tc>
        <w:tc>
          <w:tcPr>
            <w:tcW w:w="0" w:type="auto"/>
            <w:vAlign w:val="top"/>
          </w:tcPr>
          <w:p w14:paraId="36101086" w14:textId="73517E31" w:rsidR="00C141F1" w:rsidRPr="007930FD" w:rsidRDefault="00C141F1" w:rsidP="00C141F1">
            <w:pPr>
              <w:pStyle w:val="SDMTableBoxParaNotNumbered"/>
            </w:pPr>
            <w:r w:rsidRPr="007930FD">
              <w:t>Primary fuel types (fuelwood or charcoal)</w:t>
            </w:r>
          </w:p>
        </w:tc>
      </w:tr>
    </w:tbl>
    <w:p w14:paraId="3CFD5919" w14:textId="763272B6" w:rsidR="001C2394" w:rsidRPr="007930FD" w:rsidRDefault="00B63BFD" w:rsidP="00F91295">
      <w:pPr>
        <w:pStyle w:val="SDMHead3"/>
      </w:pPr>
      <w:bookmarkStart w:id="512" w:name="_Toc226502287"/>
      <w:bookmarkStart w:id="513" w:name="_Toc226576240"/>
      <w:bookmarkStart w:id="514" w:name="_Toc226983091"/>
      <w:bookmarkStart w:id="515" w:name="_Toc227677288"/>
      <w:bookmarkStart w:id="516" w:name="_Toc227694810"/>
      <w:bookmarkStart w:id="517" w:name="_Toc227920924"/>
      <w:bookmarkStart w:id="518" w:name="_Toc227938825"/>
      <w:bookmarkStart w:id="519" w:name="_Toc227948076"/>
      <w:bookmarkStart w:id="520" w:name="_Toc233388635"/>
      <w:bookmarkStart w:id="521" w:name="_Toc233961442"/>
      <w:bookmarkStart w:id="522" w:name="_Toc233970251"/>
      <w:bookmarkStart w:id="523" w:name="_Toc240546581"/>
      <w:bookmarkStart w:id="524" w:name="_Toc240631982"/>
      <w:bookmarkStart w:id="525" w:name="_Toc242471167"/>
      <w:r w:rsidRPr="007930FD">
        <w:t>Activity</w:t>
      </w:r>
      <w:r w:rsidR="001C2394" w:rsidRPr="007930FD">
        <w:t xml:space="preserve"> emissions prior to Hawthorne effect adjustment</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5E4FDF29" w14:textId="677F568F" w:rsidR="001C2394" w:rsidRPr="007930FD" w:rsidRDefault="00B63BFD" w:rsidP="00655F47">
      <w:pPr>
        <w:pStyle w:val="SDMPara"/>
        <w:keepNext/>
      </w:pPr>
      <w:r w:rsidRPr="007930FD">
        <w:rPr>
          <w:rFonts w:eastAsia="Montserrat"/>
          <w:color w:val="000000" w:themeColor="text1"/>
        </w:rPr>
        <w:t>Activity</w:t>
      </w:r>
      <w:r w:rsidR="001C2394" w:rsidRPr="007930FD">
        <w:rPr>
          <w:rFonts w:eastAsia="Montserrat"/>
          <w:color w:val="000000" w:themeColor="text1"/>
        </w:rPr>
        <w:t xml:space="preserve"> emissions before any </w:t>
      </w:r>
      <w:r w:rsidR="001C2394" w:rsidRPr="007930FD">
        <w:rPr>
          <w:rFonts w:eastAsia="Montserrat"/>
        </w:rPr>
        <w:t>Hawthorne</w:t>
      </w:r>
      <w:r w:rsidR="001C2394" w:rsidRPr="007930FD">
        <w:rPr>
          <w:rFonts w:eastAsia="Montserrat"/>
          <w:color w:val="000000" w:themeColor="text1"/>
        </w:rPr>
        <w:t xml:space="preserve"> effect adjustment are calculated using </w:t>
      </w:r>
      <w:r w:rsidR="00DA6116" w:rsidRPr="007930FD">
        <w:rPr>
          <w:rFonts w:eastAsia="Montserrat"/>
          <w:color w:val="000000" w:themeColor="text1"/>
        </w:rPr>
        <w:t>e</w:t>
      </w:r>
      <w:r w:rsidR="001C2394" w:rsidRPr="007930FD">
        <w:rPr>
          <w:rFonts w:eastAsia="Montserrat"/>
          <w:color w:val="000000" w:themeColor="text1"/>
        </w:rPr>
        <w:t>quation (</w:t>
      </w:r>
      <w:r w:rsidR="00250C92" w:rsidRPr="007930FD">
        <w:rPr>
          <w:rFonts w:eastAsia="Montserrat"/>
          <w:color w:val="000000" w:themeColor="text1"/>
        </w:rPr>
        <w:t>2</w:t>
      </w:r>
      <w:r w:rsidR="001507B9" w:rsidRPr="007930FD">
        <w:rPr>
          <w:rFonts w:eastAsia="Montserrat"/>
          <w:color w:val="000000" w:themeColor="text1"/>
        </w:rPr>
        <w:t>6</w:t>
      </w:r>
      <w:r w:rsidR="001C2394" w:rsidRPr="007930FD">
        <w:rPr>
          <w:rFonts w:eastAsia="Montserrat"/>
          <w:color w:val="000000" w:themeColor="text1"/>
        </w:rPr>
        <w:t>)</w:t>
      </w:r>
      <w:r w:rsidR="0060169D" w:rsidRPr="007930FD">
        <w:rPr>
          <w:rFonts w:eastAsia="Montserrat"/>
          <w:color w:val="000000" w:themeColor="text1"/>
        </w:rPr>
        <w:t>:</w:t>
      </w:r>
    </w:p>
    <w:tbl>
      <w:tblPr>
        <w:tblStyle w:val="SDMMethTableEquation"/>
        <w:tblW w:w="8760" w:type="dxa"/>
        <w:tblLook w:val="0600" w:firstRow="0" w:lastRow="0" w:firstColumn="0" w:lastColumn="0" w:noHBand="1" w:noVBand="1"/>
      </w:tblPr>
      <w:tblGrid>
        <w:gridCol w:w="7093"/>
        <w:gridCol w:w="1667"/>
      </w:tblGrid>
      <w:tr w:rsidR="00AA725F" w:rsidRPr="007930FD" w14:paraId="2182A9A2" w14:textId="77777777" w:rsidTr="00C5477B">
        <w:tc>
          <w:tcPr>
            <w:tcW w:w="7224" w:type="dxa"/>
          </w:tcPr>
          <w:p w14:paraId="4958427D" w14:textId="585D84AE" w:rsidR="00AA725F" w:rsidRPr="007930FD" w:rsidRDefault="001549D8" w:rsidP="00C5477B">
            <w:pPr>
              <w:pStyle w:val="SDMMethEquation"/>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unadj,y</m:t>
                    </m:r>
                  </m:sub>
                </m:sSub>
                <m:r>
                  <w:rPr>
                    <w:rFonts w:ascii="Cambria Math" w:eastAsia="Cambria Math" w:hAnsi="Cambria Math" w:cs="Cambria Math"/>
                    <w:lang w:eastAsia="en-US"/>
                  </w:rPr>
                  <m:t xml:space="preserve"> = </m:t>
                </m:r>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CO2,rr,i,y</m:t>
                    </m:r>
                  </m:sub>
                </m:sSub>
                <m:r>
                  <w:rPr>
                    <w:rFonts w:ascii="Cambria Math" w:eastAsia="Cambria Math" w:hAnsi="Cambria Math" w:cs="Cambria Math"/>
                    <w:lang w:eastAsia="en-US"/>
                  </w:rPr>
                  <m:t>+</m:t>
                </m:r>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nonCO2,i,y</m:t>
                    </m:r>
                  </m:sub>
                </m:sSub>
                <m:r>
                  <w:rPr>
                    <w:rFonts w:ascii="Cambria Math" w:eastAsia="Cambria Math" w:hAnsi="Cambria Math" w:cs="Cambria Math"/>
                    <w:lang w:eastAsia="en-US"/>
                  </w:rPr>
                  <m:t>+</m:t>
                </m:r>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CO2,</m:t>
                    </m:r>
                    <m:r>
                      <w:rPr>
                        <w:rFonts w:ascii="Cambria Math" w:eastAsia="Cambria Math" w:hAnsi="Cambria Math" w:cs="Cambria Math"/>
                      </w:rPr>
                      <m:t>j</m:t>
                    </m:r>
                    <m:r>
                      <w:rPr>
                        <w:rFonts w:ascii="Cambria Math" w:eastAsia="Cambria Math" w:hAnsi="Cambria Math" w:cs="Cambria Math"/>
                        <w:lang w:eastAsia="en-US"/>
                      </w:rPr>
                      <m:t>,y</m:t>
                    </m:r>
                  </m:sub>
                </m:sSub>
                <m:r>
                  <w:rPr>
                    <w:rFonts w:ascii="Cambria Math" w:eastAsia="Cambria Math" w:hAnsi="Cambria Math" w:cs="Cambria Math"/>
                    <w:lang w:eastAsia="en-US"/>
                  </w:rPr>
                  <m:t>+</m:t>
                </m:r>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nonCO2,</m:t>
                    </m:r>
                    <m:r>
                      <w:rPr>
                        <w:rFonts w:ascii="Cambria Math" w:eastAsia="Cambria Math" w:hAnsi="Cambria Math" w:cs="Cambria Math"/>
                      </w:rPr>
                      <m:t>j</m:t>
                    </m:r>
                    <m:r>
                      <w:rPr>
                        <w:rFonts w:ascii="Cambria Math" w:eastAsia="Cambria Math" w:hAnsi="Cambria Math" w:cs="Cambria Math"/>
                        <w:lang w:eastAsia="en-US"/>
                      </w:rPr>
                      <m:t>,y</m:t>
                    </m:r>
                  </m:sub>
                </m:sSub>
              </m:oMath>
            </m:oMathPara>
          </w:p>
        </w:tc>
        <w:tc>
          <w:tcPr>
            <w:tcW w:w="1701" w:type="dxa"/>
          </w:tcPr>
          <w:p w14:paraId="59FB874E" w14:textId="77777777" w:rsidR="00AA725F" w:rsidRPr="007930FD" w:rsidRDefault="00AA725F" w:rsidP="00AF1AC1">
            <w:pPr>
              <w:pStyle w:val="SDMMethEquationNr"/>
              <w:numPr>
                <w:ilvl w:val="0"/>
                <w:numId w:val="29"/>
              </w:numPr>
            </w:pPr>
          </w:p>
        </w:tc>
      </w:tr>
    </w:tbl>
    <w:p w14:paraId="2CB26DB7" w14:textId="77777777" w:rsidR="00AA725F" w:rsidRPr="007930FD" w:rsidRDefault="00AA725F" w:rsidP="00655F47">
      <w:pPr>
        <w:pStyle w:val="SDMMethCaptionEquationParametersTable"/>
      </w:pPr>
      <w:r w:rsidRPr="007930FD">
        <w:t>Where:</w:t>
      </w:r>
    </w:p>
    <w:tbl>
      <w:tblPr>
        <w:tblStyle w:val="SDMMethTableEquationParameters"/>
        <w:tblW w:w="8760" w:type="dxa"/>
        <w:tblLook w:val="04A0" w:firstRow="1" w:lastRow="0" w:firstColumn="1" w:lastColumn="0" w:noHBand="0" w:noVBand="1"/>
      </w:tblPr>
      <w:tblGrid>
        <w:gridCol w:w="1701"/>
        <w:gridCol w:w="345"/>
        <w:gridCol w:w="6714"/>
      </w:tblGrid>
      <w:tr w:rsidR="00AA725F" w:rsidRPr="007930FD" w14:paraId="4F70751F" w14:textId="77777777" w:rsidTr="00F04DE3">
        <w:tc>
          <w:tcPr>
            <w:tcW w:w="1701" w:type="dxa"/>
            <w:vAlign w:val="top"/>
          </w:tcPr>
          <w:p w14:paraId="5427D25B" w14:textId="24F411FE" w:rsidR="00AA725F" w:rsidRPr="007930FD" w:rsidRDefault="001549D8" w:rsidP="0060169D">
            <w:pPr>
              <w:pStyle w:val="SDMTableBoxParaNotNumbered"/>
              <w:suppressAutoHyphens/>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AE</m:t>
                    </m:r>
                  </m:e>
                  <m:sub>
                    <m:r>
                      <w:rPr>
                        <w:rFonts w:ascii="Cambria Math" w:eastAsia="Cambria Math" w:hAnsi="Cambria Math" w:cs="Arial"/>
                        <w:color w:val="000000" w:themeColor="text1"/>
                      </w:rPr>
                      <m:t>unadj,y</m:t>
                    </m:r>
                  </m:sub>
                </m:sSub>
              </m:oMath>
            </m:oMathPara>
          </w:p>
        </w:tc>
        <w:tc>
          <w:tcPr>
            <w:tcW w:w="345" w:type="dxa"/>
            <w:vAlign w:val="top"/>
          </w:tcPr>
          <w:p w14:paraId="16BDD4D6" w14:textId="77777777" w:rsidR="00AA725F" w:rsidRPr="007930FD" w:rsidRDefault="00AA725F" w:rsidP="0060169D">
            <w:pPr>
              <w:pStyle w:val="SDMTableBoxParaNotNumbered"/>
              <w:suppressAutoHyphens/>
            </w:pPr>
            <w:r w:rsidRPr="007930FD">
              <w:t>=</w:t>
            </w:r>
          </w:p>
        </w:tc>
        <w:tc>
          <w:tcPr>
            <w:tcW w:w="0" w:type="auto"/>
            <w:vAlign w:val="top"/>
          </w:tcPr>
          <w:p w14:paraId="0B9ADF2D" w14:textId="5BF3993B" w:rsidR="00AA725F" w:rsidRPr="007930FD" w:rsidRDefault="00B63BFD" w:rsidP="00BA0F6D">
            <w:pPr>
              <w:pStyle w:val="SDMTableBoxParaNotNumbered"/>
              <w:suppressAutoHyphens/>
            </w:pPr>
            <w:r w:rsidRPr="007930FD">
              <w:t>Activity</w:t>
            </w:r>
            <w:r w:rsidR="00AA725F" w:rsidRPr="007930FD">
              <w:t xml:space="preserve"> emissions during year y, before applying any Hawthorne effect adjustment (</w:t>
            </w:r>
            <w:r w:rsidR="00BA0F6D" w:rsidRPr="007930FD">
              <w:t>t CO</w:t>
            </w:r>
            <w:r w:rsidR="00BA0F6D" w:rsidRPr="007930FD">
              <w:rPr>
                <w:vertAlign w:val="subscript"/>
              </w:rPr>
              <w:t>2</w:t>
            </w:r>
            <w:r w:rsidR="00935CAB" w:rsidRPr="007930FD">
              <w:t xml:space="preserve"> </w:t>
            </w:r>
            <w:r w:rsidR="00BA0F6D" w:rsidRPr="007930FD">
              <w:t>eq</w:t>
            </w:r>
            <w:r w:rsidR="00AA725F" w:rsidRPr="007930FD">
              <w:t>)</w:t>
            </w:r>
          </w:p>
        </w:tc>
      </w:tr>
      <w:tr w:rsidR="00AA725F" w:rsidRPr="007930FD" w14:paraId="2087F170" w14:textId="77777777" w:rsidTr="00F04DE3">
        <w:tc>
          <w:tcPr>
            <w:tcW w:w="1701" w:type="dxa"/>
            <w:vAlign w:val="top"/>
          </w:tcPr>
          <w:p w14:paraId="284A13CF" w14:textId="3E9AB60C" w:rsidR="00AA725F" w:rsidRPr="007930FD" w:rsidRDefault="001549D8" w:rsidP="0060169D">
            <w:pPr>
              <w:pStyle w:val="SDMTableBoxParaNotNumbered"/>
              <w:suppressAutoHyphens/>
            </w:pPr>
            <m:oMathPara>
              <m:oMathParaPr>
                <m:jc m:val="left"/>
              </m:oMathParaPr>
              <m:oMath>
                <m:sSub>
                  <m:sSubPr>
                    <m:ctrlPr>
                      <w:rPr>
                        <w:rFonts w:ascii="Cambria Math" w:hAnsi="Cambria Math"/>
                      </w:rPr>
                    </m:ctrlPr>
                  </m:sSubPr>
                  <m:e>
                    <m:r>
                      <w:rPr>
                        <w:rFonts w:ascii="Cambria Math" w:hAnsi="Cambria Math"/>
                      </w:rPr>
                      <m:t>AE</m:t>
                    </m:r>
                  </m:e>
                  <m:sub>
                    <m:r>
                      <w:rPr>
                        <w:rFonts w:ascii="Cambria Math" w:hAnsi="Cambria Math"/>
                      </w:rPr>
                      <m:t>CO2,rr,i,y</m:t>
                    </m:r>
                  </m:sub>
                </m:sSub>
              </m:oMath>
            </m:oMathPara>
          </w:p>
        </w:tc>
        <w:tc>
          <w:tcPr>
            <w:tcW w:w="345" w:type="dxa"/>
            <w:vAlign w:val="top"/>
          </w:tcPr>
          <w:p w14:paraId="3CE6B51B" w14:textId="77777777" w:rsidR="00AA725F" w:rsidRPr="007930FD" w:rsidRDefault="00AA725F" w:rsidP="0060169D">
            <w:pPr>
              <w:pStyle w:val="SDMTableBoxParaNotNumbered"/>
              <w:suppressAutoHyphens/>
            </w:pPr>
            <w:r w:rsidRPr="007930FD">
              <w:t>=</w:t>
            </w:r>
          </w:p>
        </w:tc>
        <w:tc>
          <w:tcPr>
            <w:tcW w:w="0" w:type="auto"/>
            <w:vAlign w:val="top"/>
          </w:tcPr>
          <w:p w14:paraId="79BE9C87" w14:textId="1A624A21" w:rsidR="00AA725F" w:rsidRPr="007930FD" w:rsidRDefault="00B63BFD" w:rsidP="0060169D">
            <w:pPr>
              <w:pStyle w:val="SDMTableBoxParaNotNumbered"/>
              <w:suppressAutoHyphens/>
            </w:pPr>
            <w:r w:rsidRPr="007930FD">
              <w:t>Activity</w:t>
            </w:r>
            <w:r w:rsidR="00AA725F" w:rsidRPr="007930FD">
              <w:t xml:space="preserve"> emissions of CO</w:t>
            </w:r>
            <w:r w:rsidR="00AA725F" w:rsidRPr="007930FD">
              <w:rPr>
                <w:vertAlign w:val="subscript"/>
              </w:rPr>
              <w:t>2</w:t>
            </w:r>
            <w:r w:rsidR="00AA725F" w:rsidRPr="007930FD">
              <w:t xml:space="preserve"> from </w:t>
            </w:r>
            <w:r w:rsidR="00427F5A" w:rsidRPr="007930FD">
              <w:t>GHG</w:t>
            </w:r>
            <w:r w:rsidR="00AA725F" w:rsidRPr="007930FD">
              <w:t xml:space="preserve"> reservoirs that are subject to reversal risk for fuel </w:t>
            </w:r>
            <w:r w:rsidR="00AA725F" w:rsidRPr="007930FD">
              <w:rPr>
                <w:i/>
              </w:rPr>
              <w:t>i</w:t>
            </w:r>
            <w:r w:rsidR="00AA725F" w:rsidRPr="007930FD">
              <w:t xml:space="preserve"> in year </w:t>
            </w:r>
            <w:r w:rsidR="00AA725F" w:rsidRPr="007930FD">
              <w:rPr>
                <w:i/>
              </w:rPr>
              <w:t>y</w:t>
            </w:r>
            <w:r w:rsidR="00AA725F" w:rsidRPr="007930FD">
              <w:t xml:space="preserve"> (t CO</w:t>
            </w:r>
            <w:r w:rsidR="00AA725F" w:rsidRPr="007930FD">
              <w:rPr>
                <w:vertAlign w:val="subscript"/>
              </w:rPr>
              <w:t>2</w:t>
            </w:r>
            <w:r w:rsidR="00AA725F" w:rsidRPr="007930FD">
              <w:t>)</w:t>
            </w:r>
          </w:p>
        </w:tc>
      </w:tr>
      <w:tr w:rsidR="00AA725F" w:rsidRPr="007930FD" w14:paraId="55712C84" w14:textId="77777777" w:rsidTr="00F04DE3">
        <w:tc>
          <w:tcPr>
            <w:tcW w:w="1701" w:type="dxa"/>
            <w:vAlign w:val="top"/>
          </w:tcPr>
          <w:p w14:paraId="1A461C0C" w14:textId="691FDB8F" w:rsidR="00AA725F" w:rsidRPr="007930FD" w:rsidRDefault="001549D8" w:rsidP="0060169D">
            <w:pPr>
              <w:pStyle w:val="SDMTableBoxParaNotNumbered"/>
              <w:suppressAutoHyphens/>
            </w:pPr>
            <m:oMathPara>
              <m:oMathParaPr>
                <m:jc m:val="left"/>
              </m:oMathParaPr>
              <m:oMath>
                <m:sSub>
                  <m:sSubPr>
                    <m:ctrlPr>
                      <w:rPr>
                        <w:rFonts w:ascii="Cambria Math" w:hAnsi="Cambria Math"/>
                      </w:rPr>
                    </m:ctrlPr>
                  </m:sSubPr>
                  <m:e>
                    <m:r>
                      <w:rPr>
                        <w:rFonts w:ascii="Cambria Math" w:hAnsi="Cambria Math"/>
                      </w:rPr>
                      <m:t>AE</m:t>
                    </m:r>
                  </m:e>
                  <m:sub>
                    <m:r>
                      <w:rPr>
                        <w:rFonts w:ascii="Cambria Math" w:hAnsi="Cambria Math"/>
                      </w:rPr>
                      <m:t>nonCO2,i,y</m:t>
                    </m:r>
                  </m:sub>
                </m:sSub>
              </m:oMath>
            </m:oMathPara>
          </w:p>
        </w:tc>
        <w:tc>
          <w:tcPr>
            <w:tcW w:w="345" w:type="dxa"/>
            <w:vAlign w:val="top"/>
          </w:tcPr>
          <w:p w14:paraId="0EAEC158" w14:textId="77777777" w:rsidR="00AA725F" w:rsidRPr="007930FD" w:rsidRDefault="00AA725F" w:rsidP="0060169D">
            <w:pPr>
              <w:pStyle w:val="SDMTableBoxParaNotNumbered"/>
              <w:suppressAutoHyphens/>
            </w:pPr>
            <w:r w:rsidRPr="007930FD">
              <w:t>=</w:t>
            </w:r>
          </w:p>
        </w:tc>
        <w:tc>
          <w:tcPr>
            <w:tcW w:w="0" w:type="auto"/>
            <w:vAlign w:val="top"/>
          </w:tcPr>
          <w:p w14:paraId="613BFD4C" w14:textId="1CB188DD" w:rsidR="00AA725F" w:rsidRPr="007930FD" w:rsidRDefault="00AA725F" w:rsidP="0060169D">
            <w:pPr>
              <w:pStyle w:val="SDMTableBoxParaNotNumbered"/>
              <w:suppressAutoHyphens/>
            </w:pPr>
            <w:r w:rsidRPr="007930FD">
              <w:t>Non-CO</w:t>
            </w:r>
            <w:r w:rsidRPr="007930FD">
              <w:rPr>
                <w:vertAlign w:val="subscript"/>
              </w:rPr>
              <w:t>2</w:t>
            </w:r>
            <w:r w:rsidRPr="007930FD">
              <w:t xml:space="preserve"> </w:t>
            </w:r>
            <w:r w:rsidR="00B63BFD" w:rsidRPr="007930FD">
              <w:t>activity</w:t>
            </w:r>
            <w:r w:rsidRPr="007930FD">
              <w:t xml:space="preserve"> emissions from </w:t>
            </w:r>
            <w:r w:rsidR="00427F5A" w:rsidRPr="007930FD">
              <w:t>GHG</w:t>
            </w:r>
            <w:r w:rsidRPr="007930FD">
              <w:t xml:space="preserve"> reservoirs that are not subject to reversal risk for fuel </w:t>
            </w:r>
            <w:r w:rsidRPr="007930FD">
              <w:rPr>
                <w:i/>
              </w:rPr>
              <w:t>i</w:t>
            </w:r>
            <w:r w:rsidRPr="007930FD">
              <w:t xml:space="preserve"> in year </w:t>
            </w:r>
            <w:r w:rsidRPr="007930FD">
              <w:rPr>
                <w:i/>
              </w:rPr>
              <w:t>y</w:t>
            </w:r>
            <w:r w:rsidRPr="007930FD">
              <w:t xml:space="preserve"> (</w:t>
            </w:r>
            <w:r w:rsidR="00BA0F6D" w:rsidRPr="007930FD">
              <w:t>t CO</w:t>
            </w:r>
            <w:r w:rsidR="00BA0F6D" w:rsidRPr="007930FD">
              <w:rPr>
                <w:vertAlign w:val="subscript"/>
              </w:rPr>
              <w:t>2</w:t>
            </w:r>
            <w:r w:rsidR="00935CAB" w:rsidRPr="007930FD">
              <w:t xml:space="preserve"> </w:t>
            </w:r>
            <w:r w:rsidR="00BA0F6D" w:rsidRPr="007930FD">
              <w:t>eq</w:t>
            </w:r>
            <w:r w:rsidRPr="007930FD">
              <w:t>)</w:t>
            </w:r>
          </w:p>
        </w:tc>
      </w:tr>
      <w:tr w:rsidR="00AA725F" w:rsidRPr="007930FD" w14:paraId="0984DD66" w14:textId="77777777" w:rsidTr="00F04DE3">
        <w:tc>
          <w:tcPr>
            <w:tcW w:w="1701" w:type="dxa"/>
            <w:vAlign w:val="top"/>
          </w:tcPr>
          <w:p w14:paraId="5AFEE073" w14:textId="4CB97D68" w:rsidR="00AA725F" w:rsidRPr="007930FD" w:rsidRDefault="001549D8" w:rsidP="0060169D">
            <w:pPr>
              <w:pStyle w:val="SDMTableBoxParaNotNumbered"/>
              <w:suppressAutoHyphens/>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CO2,</m:t>
                    </m:r>
                    <m:r>
                      <w:rPr>
                        <w:rFonts w:ascii="Cambria Math" w:eastAsia="Cambria Math" w:hAnsi="Cambria Math" w:cs="Cambria Math"/>
                      </w:rPr>
                      <m:t>j</m:t>
                    </m:r>
                    <m:r>
                      <w:rPr>
                        <w:rFonts w:ascii="Cambria Math" w:eastAsia="Cambria Math" w:hAnsi="Cambria Math" w:cs="Cambria Math"/>
                        <w:lang w:eastAsia="en-US"/>
                      </w:rPr>
                      <m:t>,y</m:t>
                    </m:r>
                  </m:sub>
                </m:sSub>
              </m:oMath>
            </m:oMathPara>
          </w:p>
        </w:tc>
        <w:tc>
          <w:tcPr>
            <w:tcW w:w="345" w:type="dxa"/>
            <w:vAlign w:val="top"/>
          </w:tcPr>
          <w:p w14:paraId="7EF571DE" w14:textId="0B63B2A0" w:rsidR="00AA725F" w:rsidRPr="007930FD" w:rsidRDefault="00AA725F" w:rsidP="0060169D">
            <w:pPr>
              <w:pStyle w:val="SDMTableBoxParaNotNumbered"/>
              <w:suppressAutoHyphens/>
            </w:pPr>
            <w:r w:rsidRPr="007930FD">
              <w:t>=</w:t>
            </w:r>
          </w:p>
        </w:tc>
        <w:tc>
          <w:tcPr>
            <w:tcW w:w="0" w:type="auto"/>
            <w:vAlign w:val="top"/>
          </w:tcPr>
          <w:p w14:paraId="291E468A" w14:textId="1987EECF" w:rsidR="00AA725F" w:rsidRPr="007930FD" w:rsidRDefault="00B63BFD" w:rsidP="0060169D">
            <w:pPr>
              <w:pStyle w:val="SDMTableBoxParaNotNumbered"/>
              <w:suppressAutoHyphens/>
            </w:pPr>
            <w:r w:rsidRPr="007930FD">
              <w:t>Activity</w:t>
            </w:r>
            <w:r w:rsidR="00AA725F" w:rsidRPr="007930FD">
              <w:t xml:space="preserve"> emissions of CO</w:t>
            </w:r>
            <w:r w:rsidR="00AA725F" w:rsidRPr="007930FD">
              <w:rPr>
                <w:vertAlign w:val="subscript"/>
              </w:rPr>
              <w:t>2</w:t>
            </w:r>
            <w:r w:rsidR="00AA725F" w:rsidRPr="007930FD">
              <w:t xml:space="preserve"> that are not subject to reversal risk from the combustion of secondary fuel types </w:t>
            </w:r>
            <w:r w:rsidR="00AA725F" w:rsidRPr="007930FD">
              <w:rPr>
                <w:i/>
              </w:rPr>
              <w:t>j</w:t>
            </w:r>
            <w:r w:rsidR="00AA725F" w:rsidRPr="007930FD">
              <w:t xml:space="preserve"> in year </w:t>
            </w:r>
            <w:r w:rsidR="00AA725F" w:rsidRPr="007930FD">
              <w:rPr>
                <w:i/>
              </w:rPr>
              <w:t>y</w:t>
            </w:r>
            <w:r w:rsidR="00AA725F" w:rsidRPr="007930FD">
              <w:t xml:space="preserve"> (t CO</w:t>
            </w:r>
            <w:r w:rsidR="00AA725F" w:rsidRPr="007930FD">
              <w:rPr>
                <w:vertAlign w:val="subscript"/>
              </w:rPr>
              <w:t>2</w:t>
            </w:r>
            <w:r w:rsidR="00AA725F" w:rsidRPr="007930FD">
              <w:t>)</w:t>
            </w:r>
          </w:p>
        </w:tc>
      </w:tr>
      <w:tr w:rsidR="00AA725F" w:rsidRPr="007930FD" w14:paraId="3E6952D1" w14:textId="77777777" w:rsidTr="00F04DE3">
        <w:tc>
          <w:tcPr>
            <w:tcW w:w="1701" w:type="dxa"/>
            <w:vAlign w:val="top"/>
          </w:tcPr>
          <w:p w14:paraId="1C6A5747" w14:textId="4E02EAD8" w:rsidR="00AA725F" w:rsidRPr="007930FD" w:rsidRDefault="001549D8" w:rsidP="0060169D">
            <w:pPr>
              <w:pStyle w:val="SDMTableBoxParaNotNumbered"/>
              <w:suppressAutoHyphens/>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nonCO2,</m:t>
                    </m:r>
                    <m:r>
                      <w:rPr>
                        <w:rFonts w:ascii="Cambria Math" w:eastAsia="Cambria Math" w:hAnsi="Cambria Math" w:cs="Cambria Math"/>
                      </w:rPr>
                      <m:t>j</m:t>
                    </m:r>
                    <m:r>
                      <w:rPr>
                        <w:rFonts w:ascii="Cambria Math" w:eastAsia="Cambria Math" w:hAnsi="Cambria Math" w:cs="Cambria Math"/>
                        <w:lang w:eastAsia="en-US"/>
                      </w:rPr>
                      <m:t>,y</m:t>
                    </m:r>
                  </m:sub>
                </m:sSub>
              </m:oMath>
            </m:oMathPara>
          </w:p>
        </w:tc>
        <w:tc>
          <w:tcPr>
            <w:tcW w:w="345" w:type="dxa"/>
            <w:vAlign w:val="top"/>
          </w:tcPr>
          <w:p w14:paraId="36A2F33F" w14:textId="0AC856C8" w:rsidR="00AA725F" w:rsidRPr="007930FD" w:rsidRDefault="00AA725F" w:rsidP="0060169D">
            <w:pPr>
              <w:pStyle w:val="SDMTableBoxParaNotNumbered"/>
              <w:suppressAutoHyphens/>
            </w:pPr>
            <w:r w:rsidRPr="007930FD">
              <w:t>=</w:t>
            </w:r>
          </w:p>
        </w:tc>
        <w:tc>
          <w:tcPr>
            <w:tcW w:w="0" w:type="auto"/>
            <w:vAlign w:val="top"/>
          </w:tcPr>
          <w:p w14:paraId="245A7C8F" w14:textId="386D1AE6" w:rsidR="00AA725F" w:rsidRPr="007930FD" w:rsidRDefault="00AA725F" w:rsidP="0060169D">
            <w:pPr>
              <w:pStyle w:val="SDMTableBoxParaNotNumbered"/>
              <w:suppressAutoHyphens/>
            </w:pPr>
            <w:r w:rsidRPr="007930FD">
              <w:t>Non-CO</w:t>
            </w:r>
            <w:r w:rsidRPr="007930FD">
              <w:rPr>
                <w:vertAlign w:val="subscript"/>
              </w:rPr>
              <w:t>2</w:t>
            </w:r>
            <w:r w:rsidRPr="007930FD">
              <w:t xml:space="preserve"> </w:t>
            </w:r>
            <w:r w:rsidR="00B63BFD" w:rsidRPr="007930FD">
              <w:t>activity</w:t>
            </w:r>
            <w:r w:rsidRPr="007930FD">
              <w:t xml:space="preserve"> emissions not subject to reversal risk for secondary fuel types </w:t>
            </w:r>
            <w:r w:rsidRPr="007930FD">
              <w:rPr>
                <w:i/>
              </w:rPr>
              <w:t>j</w:t>
            </w:r>
            <w:r w:rsidRPr="007930FD">
              <w:t xml:space="preserve"> in year </w:t>
            </w:r>
            <w:r w:rsidRPr="007930FD">
              <w:rPr>
                <w:i/>
              </w:rPr>
              <w:t>y</w:t>
            </w:r>
            <w:r w:rsidRPr="007930FD">
              <w:t xml:space="preserve"> (</w:t>
            </w:r>
            <w:r w:rsidR="00BA0F6D" w:rsidRPr="007930FD">
              <w:t>t CO</w:t>
            </w:r>
            <w:r w:rsidR="00BA0F6D" w:rsidRPr="001E15D7">
              <w:rPr>
                <w:vertAlign w:val="subscript"/>
              </w:rPr>
              <w:t>2</w:t>
            </w:r>
            <w:r w:rsidR="00AE65F9" w:rsidRPr="007930FD">
              <w:t xml:space="preserve"> </w:t>
            </w:r>
            <w:r w:rsidR="00BA0F6D" w:rsidRPr="007930FD">
              <w:t>eq</w:t>
            </w:r>
            <w:r w:rsidRPr="007930FD">
              <w:t>)</w:t>
            </w:r>
          </w:p>
        </w:tc>
      </w:tr>
      <w:tr w:rsidR="00AA725F" w:rsidRPr="007930FD" w14:paraId="7C8CE4F9" w14:textId="77777777" w:rsidTr="00F04DE3">
        <w:tc>
          <w:tcPr>
            <w:tcW w:w="1701" w:type="dxa"/>
            <w:vAlign w:val="top"/>
          </w:tcPr>
          <w:p w14:paraId="6A82F5BA" w14:textId="6C5D955B" w:rsidR="00AA725F" w:rsidRPr="007930FD" w:rsidRDefault="00AA725F" w:rsidP="0060169D">
            <w:pPr>
              <w:pStyle w:val="SDMTableBoxParaNotNumbered"/>
              <w:suppressAutoHyphens/>
            </w:pPr>
            <w:r w:rsidRPr="007930FD">
              <w:rPr>
                <w:rFonts w:ascii="Cambria Math" w:hAnsi="Cambria Math"/>
                <w:i/>
              </w:rPr>
              <w:t>i</w:t>
            </w:r>
          </w:p>
        </w:tc>
        <w:tc>
          <w:tcPr>
            <w:tcW w:w="345" w:type="dxa"/>
            <w:vAlign w:val="top"/>
          </w:tcPr>
          <w:p w14:paraId="3D19C38D" w14:textId="42B5E20A" w:rsidR="00AA725F" w:rsidRPr="007930FD" w:rsidRDefault="00AA725F" w:rsidP="0060169D">
            <w:pPr>
              <w:pStyle w:val="SDMTableBoxParaNotNumbered"/>
              <w:suppressAutoHyphens/>
            </w:pPr>
            <w:r w:rsidRPr="007930FD">
              <w:t>=</w:t>
            </w:r>
          </w:p>
        </w:tc>
        <w:tc>
          <w:tcPr>
            <w:tcW w:w="0" w:type="auto"/>
            <w:vAlign w:val="top"/>
          </w:tcPr>
          <w:p w14:paraId="206FD00A" w14:textId="3517D20A" w:rsidR="00AA725F" w:rsidRPr="007930FD" w:rsidRDefault="00AA725F" w:rsidP="0060169D">
            <w:pPr>
              <w:pStyle w:val="SDMTableBoxParaNotNumbered"/>
              <w:suppressAutoHyphens/>
            </w:pPr>
            <w:r w:rsidRPr="007930FD">
              <w:t>Primary fuel types (fuelwood or charcoal)</w:t>
            </w:r>
          </w:p>
        </w:tc>
      </w:tr>
      <w:tr w:rsidR="00AA725F" w:rsidRPr="007930FD" w14:paraId="0FE5FC5E" w14:textId="77777777" w:rsidTr="00F04DE3">
        <w:tc>
          <w:tcPr>
            <w:tcW w:w="1701" w:type="dxa"/>
            <w:vAlign w:val="top"/>
          </w:tcPr>
          <w:p w14:paraId="01E6D79D" w14:textId="0781EAC4" w:rsidR="00AA725F" w:rsidRPr="007930FD" w:rsidRDefault="00AA725F" w:rsidP="0060169D">
            <w:pPr>
              <w:pStyle w:val="SDMTableBoxParaNotNumbered"/>
              <w:suppressAutoHyphens/>
            </w:pPr>
            <w:r w:rsidRPr="007930FD">
              <w:rPr>
                <w:rFonts w:ascii="Cambria Math" w:hAnsi="Cambria Math"/>
                <w:i/>
              </w:rPr>
              <w:t>j</w:t>
            </w:r>
          </w:p>
        </w:tc>
        <w:tc>
          <w:tcPr>
            <w:tcW w:w="345" w:type="dxa"/>
            <w:vAlign w:val="top"/>
          </w:tcPr>
          <w:p w14:paraId="0FEA621A" w14:textId="56AD79FD" w:rsidR="00AA725F" w:rsidRPr="007930FD" w:rsidRDefault="00AA725F" w:rsidP="0060169D">
            <w:pPr>
              <w:pStyle w:val="SDMTableBoxParaNotNumbered"/>
              <w:suppressAutoHyphens/>
            </w:pPr>
            <w:r w:rsidRPr="007930FD">
              <w:t>=</w:t>
            </w:r>
          </w:p>
        </w:tc>
        <w:tc>
          <w:tcPr>
            <w:tcW w:w="0" w:type="auto"/>
            <w:vAlign w:val="top"/>
          </w:tcPr>
          <w:p w14:paraId="2DC23E8A" w14:textId="105AC88E" w:rsidR="00AA725F" w:rsidRPr="007930FD" w:rsidRDefault="00AA725F" w:rsidP="0060169D">
            <w:pPr>
              <w:pStyle w:val="SDMTableBoxParaNotNumbered"/>
              <w:suppressAutoHyphens/>
            </w:pPr>
            <w:r w:rsidRPr="007930FD">
              <w:t>Secondary fuel types (fuelwood or charcoal)</w:t>
            </w:r>
          </w:p>
        </w:tc>
      </w:tr>
      <w:tr w:rsidR="00AA725F" w:rsidRPr="007930FD" w14:paraId="4804D3D1" w14:textId="77777777" w:rsidTr="00F04DE3">
        <w:tc>
          <w:tcPr>
            <w:tcW w:w="1701" w:type="dxa"/>
            <w:vAlign w:val="top"/>
          </w:tcPr>
          <w:p w14:paraId="08419009" w14:textId="121F1A7A" w:rsidR="00AA725F" w:rsidRPr="007930FD" w:rsidRDefault="00AA725F" w:rsidP="0060169D">
            <w:pPr>
              <w:pStyle w:val="SDMTableBoxParaNotNumbered"/>
              <w:suppressAutoHyphens/>
            </w:pPr>
            <w:r w:rsidRPr="007930FD">
              <w:rPr>
                <w:rFonts w:ascii="Cambria Math" w:hAnsi="Cambria Math"/>
                <w:i/>
              </w:rPr>
              <w:t>y</w:t>
            </w:r>
          </w:p>
        </w:tc>
        <w:tc>
          <w:tcPr>
            <w:tcW w:w="345" w:type="dxa"/>
            <w:vAlign w:val="top"/>
          </w:tcPr>
          <w:p w14:paraId="563F6E94" w14:textId="582DCF60" w:rsidR="00AA725F" w:rsidRPr="007930FD" w:rsidRDefault="00AA725F" w:rsidP="0060169D">
            <w:pPr>
              <w:pStyle w:val="SDMTableBoxParaNotNumbered"/>
              <w:suppressAutoHyphens/>
            </w:pPr>
            <w:r w:rsidRPr="007930FD">
              <w:t>=</w:t>
            </w:r>
          </w:p>
        </w:tc>
        <w:tc>
          <w:tcPr>
            <w:tcW w:w="0" w:type="auto"/>
            <w:vAlign w:val="top"/>
          </w:tcPr>
          <w:p w14:paraId="5A81FE47" w14:textId="24B18602" w:rsidR="00AA725F" w:rsidRPr="007930FD" w:rsidRDefault="00AA725F" w:rsidP="0060169D">
            <w:pPr>
              <w:pStyle w:val="SDMTableBoxParaNotNumbered"/>
              <w:suppressAutoHyphens/>
            </w:pPr>
            <w:r w:rsidRPr="007930FD">
              <w:t>Calendar year of the crediting period (number)</w:t>
            </w:r>
          </w:p>
        </w:tc>
      </w:tr>
    </w:tbl>
    <w:p w14:paraId="5F5E8037" w14:textId="219CEB1F" w:rsidR="009B01DB" w:rsidRPr="007930FD" w:rsidRDefault="00B63BFD" w:rsidP="00655F47">
      <w:pPr>
        <w:pStyle w:val="SDMPara"/>
        <w:keepNext/>
      </w:pPr>
      <w:r w:rsidRPr="007930FD">
        <w:t>Activity</w:t>
      </w:r>
      <w:r w:rsidR="009B01DB" w:rsidRPr="007930FD">
        <w:rPr>
          <w:rFonts w:eastAsia="Montserrat"/>
        </w:rPr>
        <w:t xml:space="preserve"> emissions </w:t>
      </w:r>
      <w:r w:rsidR="009B01DB" w:rsidRPr="007930FD">
        <w:t>of CO</w:t>
      </w:r>
      <w:r w:rsidR="009B01DB" w:rsidRPr="007930FD">
        <w:rPr>
          <w:vertAlign w:val="subscript"/>
        </w:rPr>
        <w:t>2</w:t>
      </w:r>
      <w:r w:rsidR="009B01DB" w:rsidRPr="007930FD">
        <w:t xml:space="preserve"> </w:t>
      </w:r>
      <w:r w:rsidR="00614E2F" w:rsidRPr="007930FD">
        <w:t xml:space="preserve">from </w:t>
      </w:r>
      <w:r w:rsidR="00427F5A" w:rsidRPr="007930FD">
        <w:t>GHG</w:t>
      </w:r>
      <w:r w:rsidR="00614E2F" w:rsidRPr="007930FD">
        <w:t xml:space="preserve"> reservoirs that are </w:t>
      </w:r>
      <w:r w:rsidR="009B01DB" w:rsidRPr="007930FD">
        <w:t xml:space="preserve">subject to reversal risk </w:t>
      </w:r>
      <w:r w:rsidR="009B01DB" w:rsidRPr="007930FD">
        <w:rPr>
          <w:rFonts w:eastAsia="Montserrat"/>
        </w:rPr>
        <w:t xml:space="preserve">are calculated using </w:t>
      </w:r>
      <w:r w:rsidR="00250C92" w:rsidRPr="007930FD">
        <w:rPr>
          <w:rFonts w:eastAsia="Montserrat"/>
        </w:rPr>
        <w:t>equation (</w:t>
      </w:r>
      <w:r w:rsidR="00657174" w:rsidRPr="007930FD">
        <w:rPr>
          <w:rFonts w:eastAsia="Montserrat"/>
        </w:rPr>
        <w:t>27</w:t>
      </w:r>
      <w:r w:rsidR="00250C92" w:rsidRPr="007930FD">
        <w:rPr>
          <w:rFonts w:eastAsia="Montserrat"/>
        </w:rPr>
        <w:t>)</w:t>
      </w:r>
      <w:r w:rsidR="009B01DB" w:rsidRPr="007930FD">
        <w:rPr>
          <w:rFonts w:eastAsia="Montserrat"/>
        </w:rPr>
        <w:t xml:space="preserve">. </w:t>
      </w:r>
      <w:r w:rsidR="006B6EA7" w:rsidRPr="007930FD">
        <w:rPr>
          <w:rFonts w:eastAsia="Montserrat"/>
        </w:rPr>
        <w:t xml:space="preserve">Primary </w:t>
      </w:r>
      <w:r w:rsidR="009B01DB" w:rsidRPr="007930FD">
        <w:rPr>
          <w:rFonts w:eastAsia="Montserrat"/>
        </w:rPr>
        <w:t xml:space="preserve">fuels </w:t>
      </w:r>
      <w:r w:rsidR="009B01DB" w:rsidRPr="007930FD">
        <w:rPr>
          <w:rFonts w:eastAsia="Montserrat"/>
          <w:i/>
        </w:rPr>
        <w:t>i</w:t>
      </w:r>
      <w:r w:rsidR="00F85E9B" w:rsidRPr="007930FD">
        <w:rPr>
          <w:rFonts w:eastAsia="Montserrat"/>
          <w:iCs/>
        </w:rPr>
        <w:t>,</w:t>
      </w:r>
      <w:r w:rsidR="009B01DB" w:rsidRPr="007930FD">
        <w:rPr>
          <w:rFonts w:eastAsia="Montserrat"/>
        </w:rPr>
        <w:t xml:space="preserve"> including fuelwood and charcoal</w:t>
      </w:r>
      <w:r w:rsidR="009016A6" w:rsidRPr="007930FD">
        <w:rPr>
          <w:rFonts w:eastAsia="Montserrat"/>
        </w:rPr>
        <w:t>,</w:t>
      </w:r>
      <w:r w:rsidR="009B01DB" w:rsidRPr="007930FD">
        <w:rPr>
          <w:rFonts w:eastAsia="Montserrat"/>
        </w:rPr>
        <w:t xml:space="preserve"> shall apply this equation</w:t>
      </w:r>
      <w:r w:rsidR="0060169D" w:rsidRPr="007930FD">
        <w:rPr>
          <w:rFonts w:eastAsia="Montserrat"/>
        </w:rPr>
        <w:t>:</w:t>
      </w:r>
    </w:p>
    <w:tbl>
      <w:tblPr>
        <w:tblStyle w:val="SDMMethTableEquation"/>
        <w:tblW w:w="8760" w:type="dxa"/>
        <w:tblLook w:val="0600" w:firstRow="0" w:lastRow="0" w:firstColumn="0" w:lastColumn="0" w:noHBand="1" w:noVBand="1"/>
      </w:tblPr>
      <w:tblGrid>
        <w:gridCol w:w="7096"/>
        <w:gridCol w:w="1664"/>
      </w:tblGrid>
      <w:tr w:rsidR="00261B42" w:rsidRPr="007930FD" w14:paraId="79FC930C" w14:textId="77777777" w:rsidTr="00C5477B">
        <w:tc>
          <w:tcPr>
            <w:tcW w:w="7224" w:type="dxa"/>
          </w:tcPr>
          <w:p w14:paraId="0B921DCB" w14:textId="053DB68D" w:rsidR="00261B42" w:rsidRPr="007930FD" w:rsidRDefault="001549D8" w:rsidP="00C5477B">
            <w:pPr>
              <w:pStyle w:val="SDMMethEquation"/>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CO2,rr,i,y</m:t>
                    </m:r>
                  </m:sub>
                </m:sSub>
                <m:r>
                  <w:rPr>
                    <w:rFonts w:ascii="Cambria Math" w:eastAsia="Cambria Math" w:hAnsi="Cambria Math" w:cs="Cambria Math"/>
                    <w:lang w:eastAsia="en-US"/>
                  </w:rPr>
                  <m:t xml:space="preserve"> = </m:t>
                </m:r>
                <m:nary>
                  <m:naryPr>
                    <m:chr m:val="∑"/>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i</m:t>
                    </m:r>
                  </m:sub>
                  <m:sup/>
                  <m:e>
                    <m:r>
                      <w:rPr>
                        <w:rFonts w:ascii="Cambria Math" w:eastAsia="Cambria Math" w:hAnsi="Cambria Math" w:cs="Cambria Math"/>
                        <w:lang w:eastAsia="en-US"/>
                      </w:rPr>
                      <m:t xml:space="preserve"> </m:t>
                    </m:r>
                  </m:e>
                </m:nary>
                <m:d>
                  <m:dPr>
                    <m:endChr m:val=""/>
                    <m:ctrlPr>
                      <w:rPr>
                        <w:rFonts w:ascii="Cambria Math" w:eastAsia="Cambria Math" w:hAnsi="Cambria Math" w:cs="Cambria Math"/>
                        <w:i/>
                        <w:lang w:eastAsia="en-US"/>
                      </w:rPr>
                    </m:ctrlPr>
                  </m:dPr>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EC</m:t>
                        </m:r>
                      </m:e>
                      <m:sub>
                        <m:r>
                          <w:rPr>
                            <w:rFonts w:ascii="Cambria Math" w:eastAsia="Cambria Math" w:hAnsi="Cambria Math" w:cs="Cambria Math"/>
                            <w:lang w:eastAsia="en-US"/>
                          </w:rPr>
                          <m:t>proj,i,y</m:t>
                        </m:r>
                      </m:sub>
                    </m:sSub>
                    <m:r>
                      <w:rPr>
                        <w:rFonts w:ascii="Cambria Math" w:eastAsia="Cambria Math" w:hAnsi="Cambria Math" w:cs="Cambria Math"/>
                        <w:lang w:eastAsia="en-US"/>
                      </w:rPr>
                      <m:t>×</m:t>
                    </m:r>
                    <m:sSub>
                      <m:sSubPr>
                        <m:ctrlPr>
                          <w:rPr>
                            <w:rFonts w:ascii="Cambria Math" w:eastAsia="Cambria Math" w:hAnsi="Cambria Math" w:cs="Cambria Math"/>
                            <w:i/>
                            <w:lang w:eastAsia="en-US"/>
                          </w:rPr>
                        </m:ctrlPr>
                      </m:sSubPr>
                      <m:e>
                        <m:r>
                          <w:rPr>
                            <w:rFonts w:ascii="Cambria Math" w:eastAsia="Cambria Math" w:hAnsi="Cambria Math" w:cs="Cambria Math"/>
                            <w:lang w:eastAsia="en-US"/>
                          </w:rPr>
                          <m:t>fNRB</m:t>
                        </m:r>
                      </m:e>
                      <m:sub>
                        <m:r>
                          <w:rPr>
                            <w:rFonts w:ascii="Cambria Math" w:eastAsia="Cambria Math" w:hAnsi="Cambria Math" w:cs="Cambria Math"/>
                            <w:lang w:eastAsia="en-US"/>
                          </w:rPr>
                          <m:t>i,y</m:t>
                        </m:r>
                      </m:sub>
                    </m:sSub>
                    <m:r>
                      <w:rPr>
                        <w:rFonts w:ascii="Cambria Math" w:eastAsia="Cambria Math" w:hAnsi="Cambria Math" w:cs="Cambria Math"/>
                        <w:lang w:eastAsia="en-US"/>
                      </w:rPr>
                      <m:t>×</m:t>
                    </m:r>
                    <m:d>
                      <m:dPr>
                        <m:ctrlPr>
                          <w:rPr>
                            <w:rFonts w:ascii="Cambria Math" w:eastAsia="Cambria Math" w:hAnsi="Cambria Math" w:cs="Cambria Math"/>
                            <w:i/>
                            <w:lang w:eastAsia="en-US"/>
                          </w:rPr>
                        </m:ctrlPr>
                      </m:dPr>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EF</m:t>
                            </m:r>
                          </m:e>
                          <m:sub>
                            <m:r>
                              <w:rPr>
                                <w:rFonts w:ascii="Cambria Math" w:eastAsia="Cambria Math" w:hAnsi="Cambria Math" w:cs="Cambria Math"/>
                                <w:lang w:eastAsia="en-US"/>
                              </w:rPr>
                              <m:t>i,CO2</m:t>
                            </m:r>
                          </m:sub>
                        </m:sSub>
                        <m:r>
                          <w:rPr>
                            <w:rFonts w:ascii="Cambria Math" w:eastAsia="Cambria Math" w:hAnsi="Cambria Math" w:cs="Cambria Math"/>
                            <w:lang w:eastAsia="en-US"/>
                          </w:rPr>
                          <m:t>+</m:t>
                        </m:r>
                        <m:sSub>
                          <m:sSubPr>
                            <m:ctrlPr>
                              <w:rPr>
                                <w:rFonts w:ascii="Cambria Math" w:eastAsia="Cambria Math" w:hAnsi="Cambria Math" w:cs="Cambria Math"/>
                                <w:i/>
                                <w:lang w:eastAsia="en-US"/>
                              </w:rPr>
                            </m:ctrlPr>
                          </m:sSubPr>
                          <m:e>
                            <m:r>
                              <w:rPr>
                                <w:rFonts w:ascii="Cambria Math" w:eastAsia="Cambria Math" w:hAnsi="Cambria Math" w:cs="Cambria Math"/>
                                <w:lang w:eastAsia="en-US"/>
                              </w:rPr>
                              <m:t>EF</m:t>
                            </m:r>
                          </m:e>
                          <m:sub>
                            <m:r>
                              <w:rPr>
                                <w:rFonts w:ascii="Cambria Math" w:eastAsia="Cambria Math" w:hAnsi="Cambria Math" w:cs="Cambria Math"/>
                                <w:lang w:eastAsia="en-US"/>
                              </w:rPr>
                              <m:t>i,CO2,upstream</m:t>
                            </m:r>
                          </m:sub>
                        </m:sSub>
                        <m:r>
                          <w:rPr>
                            <w:rFonts w:ascii="Cambria Math" w:eastAsia="Cambria Math" w:hAnsi="Cambria Math" w:cs="Cambria Math"/>
                            <w:lang w:eastAsia="en-US"/>
                          </w:rPr>
                          <m:t>)</m:t>
                        </m:r>
                      </m:e>
                    </m:d>
                  </m:e>
                </m:d>
              </m:oMath>
            </m:oMathPara>
          </w:p>
        </w:tc>
        <w:tc>
          <w:tcPr>
            <w:tcW w:w="1701" w:type="dxa"/>
          </w:tcPr>
          <w:p w14:paraId="7F8DB242" w14:textId="77777777" w:rsidR="00261B42" w:rsidRPr="007930FD" w:rsidRDefault="00261B42" w:rsidP="00AF1AC1">
            <w:pPr>
              <w:pStyle w:val="SDMMethEquationNr"/>
              <w:numPr>
                <w:ilvl w:val="0"/>
                <w:numId w:val="29"/>
              </w:numPr>
            </w:pPr>
          </w:p>
        </w:tc>
      </w:tr>
    </w:tbl>
    <w:p w14:paraId="69A223F9" w14:textId="77777777" w:rsidR="00261B42" w:rsidRPr="007930FD" w:rsidRDefault="00261B42" w:rsidP="00655F47">
      <w:pPr>
        <w:pStyle w:val="SDMMethCaptionEquationParametersTable"/>
      </w:pPr>
      <w:r w:rsidRPr="007930FD">
        <w:t>Where:</w:t>
      </w:r>
    </w:p>
    <w:tbl>
      <w:tblPr>
        <w:tblStyle w:val="SDMMethTableEquationParameters"/>
        <w:tblW w:w="8760" w:type="dxa"/>
        <w:tblLook w:val="04A0" w:firstRow="1" w:lastRow="0" w:firstColumn="1" w:lastColumn="0" w:noHBand="0" w:noVBand="1"/>
      </w:tblPr>
      <w:tblGrid>
        <w:gridCol w:w="1701"/>
        <w:gridCol w:w="345"/>
        <w:gridCol w:w="6714"/>
      </w:tblGrid>
      <w:tr w:rsidR="00261B42" w:rsidRPr="007930FD" w14:paraId="7B1CAAB5" w14:textId="77777777" w:rsidTr="00F04DE3">
        <w:tc>
          <w:tcPr>
            <w:tcW w:w="1701" w:type="dxa"/>
            <w:vAlign w:val="top"/>
          </w:tcPr>
          <w:p w14:paraId="0C4B07F6" w14:textId="22D136E3" w:rsidR="00261B42" w:rsidRPr="007930FD" w:rsidRDefault="001549D8" w:rsidP="0060169D">
            <w:pPr>
              <w:pStyle w:val="SDMTableBoxParaNotNumbered"/>
              <w:suppressAutoHyphens/>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CO2,rr,i,y</m:t>
                    </m:r>
                  </m:sub>
                </m:sSub>
              </m:oMath>
            </m:oMathPara>
          </w:p>
        </w:tc>
        <w:tc>
          <w:tcPr>
            <w:tcW w:w="345" w:type="dxa"/>
            <w:vAlign w:val="top"/>
          </w:tcPr>
          <w:p w14:paraId="357D2F8D" w14:textId="77777777" w:rsidR="00261B42" w:rsidRPr="007930FD" w:rsidRDefault="00261B42" w:rsidP="0060169D">
            <w:pPr>
              <w:pStyle w:val="SDMTableBoxParaNotNumbered"/>
              <w:suppressAutoHyphens/>
            </w:pPr>
            <w:r w:rsidRPr="007930FD">
              <w:t>=</w:t>
            </w:r>
          </w:p>
        </w:tc>
        <w:tc>
          <w:tcPr>
            <w:tcW w:w="0" w:type="auto"/>
            <w:vAlign w:val="top"/>
          </w:tcPr>
          <w:p w14:paraId="1E95FD21" w14:textId="0F05520D" w:rsidR="00261B42" w:rsidRPr="007930FD" w:rsidRDefault="00B63BFD" w:rsidP="0060169D">
            <w:pPr>
              <w:pStyle w:val="SDMTableBoxParaNotNumbered"/>
              <w:suppressAutoHyphens/>
            </w:pPr>
            <w:r w:rsidRPr="007930FD">
              <w:t>Activity</w:t>
            </w:r>
            <w:r w:rsidR="00261B42" w:rsidRPr="007930FD">
              <w:t xml:space="preserve"> emissions of CO</w:t>
            </w:r>
            <w:r w:rsidR="00261B42" w:rsidRPr="007930FD">
              <w:rPr>
                <w:vertAlign w:val="subscript"/>
              </w:rPr>
              <w:t>2</w:t>
            </w:r>
            <w:r w:rsidR="00261B42" w:rsidRPr="007930FD">
              <w:t xml:space="preserve"> from </w:t>
            </w:r>
            <w:r w:rsidR="00427F5A" w:rsidRPr="007930FD">
              <w:t>GHG</w:t>
            </w:r>
            <w:r w:rsidR="00261B42" w:rsidRPr="007930FD">
              <w:t xml:space="preserve"> reservoirs that are subject to reversal risk (t CO</w:t>
            </w:r>
            <w:r w:rsidR="00261B42" w:rsidRPr="007930FD">
              <w:rPr>
                <w:vertAlign w:val="subscript"/>
              </w:rPr>
              <w:t>2</w:t>
            </w:r>
            <w:r w:rsidR="00261B42" w:rsidRPr="007930FD">
              <w:t>)</w:t>
            </w:r>
          </w:p>
        </w:tc>
      </w:tr>
      <w:tr w:rsidR="00261B42" w:rsidRPr="007930FD" w14:paraId="037A12DB" w14:textId="77777777" w:rsidTr="00F04DE3">
        <w:tc>
          <w:tcPr>
            <w:tcW w:w="1701" w:type="dxa"/>
            <w:vAlign w:val="top"/>
          </w:tcPr>
          <w:p w14:paraId="15CDEC26" w14:textId="051D498B" w:rsidR="00261B42" w:rsidRPr="007930FD" w:rsidRDefault="001549D8" w:rsidP="0060169D">
            <w:pPr>
              <w:pStyle w:val="SDMTableBoxParaNotNumbered"/>
              <w:suppressAutoHyphens/>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EC</m:t>
                    </m:r>
                  </m:e>
                  <m:sub>
                    <m:r>
                      <w:rPr>
                        <w:rFonts w:ascii="Cambria Math" w:eastAsia="Cambria Math" w:hAnsi="Cambria Math" w:cs="Arial"/>
                        <w:color w:val="000000" w:themeColor="text1"/>
                      </w:rPr>
                      <m:t>proj,i,y</m:t>
                    </m:r>
                  </m:sub>
                </m:sSub>
              </m:oMath>
            </m:oMathPara>
          </w:p>
        </w:tc>
        <w:tc>
          <w:tcPr>
            <w:tcW w:w="345" w:type="dxa"/>
            <w:vAlign w:val="top"/>
          </w:tcPr>
          <w:p w14:paraId="17E9342A" w14:textId="77777777" w:rsidR="00261B42" w:rsidRPr="007930FD" w:rsidRDefault="00261B42" w:rsidP="0060169D">
            <w:pPr>
              <w:pStyle w:val="SDMTableBoxParaNotNumbered"/>
              <w:suppressAutoHyphens/>
            </w:pPr>
            <w:r w:rsidRPr="007930FD">
              <w:t>=</w:t>
            </w:r>
          </w:p>
        </w:tc>
        <w:tc>
          <w:tcPr>
            <w:tcW w:w="0" w:type="auto"/>
            <w:vAlign w:val="top"/>
          </w:tcPr>
          <w:p w14:paraId="6882F83C" w14:textId="57CC1E33" w:rsidR="00261B42" w:rsidRPr="007930FD" w:rsidRDefault="00261B42" w:rsidP="0060169D">
            <w:pPr>
              <w:pStyle w:val="SDMTableBoxParaNotNumbered"/>
              <w:suppressAutoHyphens/>
            </w:pPr>
            <w:r w:rsidRPr="007930FD">
              <w:t xml:space="preserve">Consumption of primary fuel types </w:t>
            </w:r>
            <w:r w:rsidRPr="007930FD">
              <w:rPr>
                <w:i/>
              </w:rPr>
              <w:t>i</w:t>
            </w:r>
            <w:r w:rsidRPr="007930FD">
              <w:t xml:space="preserve"> in year </w:t>
            </w:r>
            <w:r w:rsidRPr="007930FD">
              <w:rPr>
                <w:i/>
              </w:rPr>
              <w:t>y</w:t>
            </w:r>
            <w:r w:rsidRPr="007930FD">
              <w:t xml:space="preserve"> (TJ)</w:t>
            </w:r>
          </w:p>
        </w:tc>
      </w:tr>
      <w:tr w:rsidR="00261B42" w:rsidRPr="007930FD" w14:paraId="3F79CF12" w14:textId="77777777" w:rsidTr="00F04DE3">
        <w:tc>
          <w:tcPr>
            <w:tcW w:w="1701" w:type="dxa"/>
            <w:vAlign w:val="top"/>
          </w:tcPr>
          <w:p w14:paraId="7D32151A" w14:textId="7FBAAC18" w:rsidR="00261B42" w:rsidRPr="007930FD" w:rsidRDefault="001549D8" w:rsidP="0060169D">
            <w:pPr>
              <w:pStyle w:val="SDMTableBoxParaNotNumbered"/>
              <w:suppressAutoHyphens/>
            </w:pPr>
            <m:oMathPara>
              <m:oMathParaPr>
                <m:jc m:val="left"/>
              </m:oMathParaPr>
              <m:oMath>
                <m:sSub>
                  <m:sSubPr>
                    <m:ctrlPr>
                      <w:rPr>
                        <w:rFonts w:ascii="Cambria Math" w:hAnsi="Cambria Math"/>
                      </w:rPr>
                    </m:ctrlPr>
                  </m:sSubPr>
                  <m:e>
                    <m:r>
                      <w:rPr>
                        <w:rFonts w:ascii="Cambria Math" w:hAnsi="Cambria Math"/>
                      </w:rPr>
                      <m:t>fNRB</m:t>
                    </m:r>
                  </m:e>
                  <m:sub>
                    <m:r>
                      <w:rPr>
                        <w:rFonts w:ascii="Cambria Math" w:hAnsi="Cambria Math"/>
                      </w:rPr>
                      <m:t>i,y</m:t>
                    </m:r>
                  </m:sub>
                </m:sSub>
              </m:oMath>
            </m:oMathPara>
          </w:p>
        </w:tc>
        <w:tc>
          <w:tcPr>
            <w:tcW w:w="345" w:type="dxa"/>
            <w:vAlign w:val="top"/>
          </w:tcPr>
          <w:p w14:paraId="05607378" w14:textId="77777777" w:rsidR="00261B42" w:rsidRPr="007930FD" w:rsidRDefault="00261B42" w:rsidP="0060169D">
            <w:pPr>
              <w:pStyle w:val="SDMTableBoxParaNotNumbered"/>
              <w:suppressAutoHyphens/>
            </w:pPr>
            <w:r w:rsidRPr="007930FD">
              <w:t>=</w:t>
            </w:r>
          </w:p>
        </w:tc>
        <w:tc>
          <w:tcPr>
            <w:tcW w:w="0" w:type="auto"/>
            <w:vAlign w:val="top"/>
          </w:tcPr>
          <w:p w14:paraId="603A8128" w14:textId="380DDA8C" w:rsidR="00261B42" w:rsidRPr="007930FD" w:rsidRDefault="00261B42" w:rsidP="0060169D">
            <w:pPr>
              <w:pStyle w:val="SDMTableBoxParaNotNumbered"/>
              <w:suppressAutoHyphens/>
            </w:pPr>
            <w:r w:rsidRPr="007930FD">
              <w:t xml:space="preserve">Fraction of non-renewable biomass of primary fuel types </w:t>
            </w:r>
            <w:r w:rsidRPr="007930FD">
              <w:rPr>
                <w:i/>
              </w:rPr>
              <w:t>i</w:t>
            </w:r>
            <w:r w:rsidRPr="007930FD">
              <w:t xml:space="preserve"> consumed in year </w:t>
            </w:r>
            <w:r w:rsidRPr="007930FD">
              <w:rPr>
                <w:i/>
              </w:rPr>
              <w:t>y</w:t>
            </w:r>
            <w:r w:rsidRPr="007930FD">
              <w:t xml:space="preserve"> (</w:t>
            </w:r>
            <w:r w:rsidR="00DE7B9B" w:rsidRPr="007930FD">
              <w:t>per cent</w:t>
            </w:r>
            <w:r w:rsidRPr="007930FD">
              <w:t>)</w:t>
            </w:r>
          </w:p>
        </w:tc>
      </w:tr>
      <w:tr w:rsidR="00261B42" w:rsidRPr="007930FD" w14:paraId="78D5040D" w14:textId="77777777" w:rsidTr="00F04DE3">
        <w:tc>
          <w:tcPr>
            <w:tcW w:w="1701" w:type="dxa"/>
            <w:vAlign w:val="top"/>
          </w:tcPr>
          <w:p w14:paraId="16E178AA" w14:textId="5051E24B" w:rsidR="00261B42" w:rsidRPr="007930FD" w:rsidRDefault="001549D8" w:rsidP="0060169D">
            <w:pPr>
              <w:pStyle w:val="SDMTableBoxParaNotNumbered"/>
              <w:suppressAutoHyphens/>
            </w:pPr>
            <m:oMathPara>
              <m:oMathParaPr>
                <m:jc m:val="left"/>
              </m:oMathParaPr>
              <m:oMath>
                <m:sSub>
                  <m:sSubPr>
                    <m:ctrlPr>
                      <w:rPr>
                        <w:rFonts w:ascii="Cambria Math" w:hAnsi="Cambria Math"/>
                      </w:rPr>
                    </m:ctrlPr>
                  </m:sSubPr>
                  <m:e>
                    <m:r>
                      <w:rPr>
                        <w:rFonts w:ascii="Cambria Math" w:hAnsi="Cambria Math"/>
                      </w:rPr>
                      <m:t>EF</m:t>
                    </m:r>
                  </m:e>
                  <m:sub>
                    <m:r>
                      <w:rPr>
                        <w:rFonts w:ascii="Cambria Math" w:hAnsi="Cambria Math"/>
                      </w:rPr>
                      <m:t>i,CO2</m:t>
                    </m:r>
                  </m:sub>
                </m:sSub>
              </m:oMath>
            </m:oMathPara>
          </w:p>
        </w:tc>
        <w:tc>
          <w:tcPr>
            <w:tcW w:w="345" w:type="dxa"/>
            <w:vAlign w:val="top"/>
          </w:tcPr>
          <w:p w14:paraId="62DED651" w14:textId="48F8F8C4" w:rsidR="00261B42" w:rsidRPr="007930FD" w:rsidRDefault="00261B42" w:rsidP="0060169D">
            <w:pPr>
              <w:pStyle w:val="SDMTableBoxParaNotNumbered"/>
              <w:suppressAutoHyphens/>
            </w:pPr>
            <w:r w:rsidRPr="007930FD">
              <w:t>=</w:t>
            </w:r>
          </w:p>
        </w:tc>
        <w:tc>
          <w:tcPr>
            <w:tcW w:w="0" w:type="auto"/>
            <w:vAlign w:val="top"/>
          </w:tcPr>
          <w:p w14:paraId="19D0C2FC" w14:textId="6B289369" w:rsidR="00261B42" w:rsidRPr="007930FD" w:rsidRDefault="00261B42" w:rsidP="0060169D">
            <w:pPr>
              <w:pStyle w:val="SDMTableBoxParaNotNumbered"/>
              <w:suppressAutoHyphens/>
            </w:pPr>
            <w:r w:rsidRPr="007930FD">
              <w:t>CO</w:t>
            </w:r>
            <w:r w:rsidRPr="007930FD">
              <w:rPr>
                <w:vertAlign w:val="subscript"/>
              </w:rPr>
              <w:t>2</w:t>
            </w:r>
            <w:r w:rsidRPr="007930FD">
              <w:t xml:space="preserve"> emission factor for primary fuel types </w:t>
            </w:r>
            <w:r w:rsidRPr="007930FD">
              <w:rPr>
                <w:i/>
              </w:rPr>
              <w:t>i</w:t>
            </w:r>
            <w:r w:rsidRPr="007930FD">
              <w:t xml:space="preserve"> (t CO</w:t>
            </w:r>
            <w:r w:rsidRPr="007930FD">
              <w:rPr>
                <w:vertAlign w:val="subscript"/>
              </w:rPr>
              <w:t>2</w:t>
            </w:r>
            <w:r w:rsidR="00B17B66" w:rsidRPr="007930FD">
              <w:t xml:space="preserve"> </w:t>
            </w:r>
            <w:r w:rsidRPr="007930FD">
              <w:t>/</w:t>
            </w:r>
            <w:r w:rsidR="00B17B66" w:rsidRPr="007930FD">
              <w:t xml:space="preserve"> </w:t>
            </w:r>
            <w:r w:rsidRPr="007930FD">
              <w:t>TJ)</w:t>
            </w:r>
          </w:p>
        </w:tc>
      </w:tr>
      <w:tr w:rsidR="00261B42" w:rsidRPr="007930FD" w14:paraId="47B98D80" w14:textId="77777777" w:rsidTr="00F04DE3">
        <w:tc>
          <w:tcPr>
            <w:tcW w:w="1701" w:type="dxa"/>
            <w:vAlign w:val="top"/>
          </w:tcPr>
          <w:p w14:paraId="51898C4B" w14:textId="24EE61D3" w:rsidR="00261B42" w:rsidRPr="007930FD" w:rsidRDefault="001549D8" w:rsidP="0060169D">
            <w:pPr>
              <w:pStyle w:val="SDMTableBoxParaNotNumbered"/>
              <w:suppressAutoHyphens/>
            </w:pPr>
            <m:oMathPara>
              <m:oMathParaPr>
                <m:jc m:val="left"/>
              </m:oMathParaPr>
              <m:oMath>
                <m:sSub>
                  <m:sSubPr>
                    <m:ctrlPr>
                      <w:rPr>
                        <w:rFonts w:ascii="Cambria Math" w:hAnsi="Cambria Math"/>
                      </w:rPr>
                    </m:ctrlPr>
                  </m:sSubPr>
                  <m:e>
                    <m:r>
                      <w:rPr>
                        <w:rFonts w:ascii="Cambria Math" w:hAnsi="Cambria Math"/>
                      </w:rPr>
                      <m:t>EF</m:t>
                    </m:r>
                  </m:e>
                  <m:sub>
                    <m:r>
                      <w:rPr>
                        <w:rFonts w:ascii="Cambria Math" w:hAnsi="Cambria Math"/>
                      </w:rPr>
                      <m:t>i,CO2,upstream</m:t>
                    </m:r>
                  </m:sub>
                </m:sSub>
              </m:oMath>
            </m:oMathPara>
          </w:p>
        </w:tc>
        <w:tc>
          <w:tcPr>
            <w:tcW w:w="345" w:type="dxa"/>
            <w:vAlign w:val="top"/>
          </w:tcPr>
          <w:p w14:paraId="24D801EC" w14:textId="126C5EFB" w:rsidR="00261B42" w:rsidRPr="007930FD" w:rsidRDefault="00261B42" w:rsidP="0060169D">
            <w:pPr>
              <w:pStyle w:val="SDMTableBoxParaNotNumbered"/>
              <w:suppressAutoHyphens/>
            </w:pPr>
            <w:r w:rsidRPr="007930FD">
              <w:t>=</w:t>
            </w:r>
          </w:p>
        </w:tc>
        <w:tc>
          <w:tcPr>
            <w:tcW w:w="0" w:type="auto"/>
            <w:vAlign w:val="top"/>
          </w:tcPr>
          <w:p w14:paraId="0DCE8B10" w14:textId="747A3B16" w:rsidR="00261B42" w:rsidRPr="007930FD" w:rsidRDefault="00261B42" w:rsidP="0060169D">
            <w:pPr>
              <w:pStyle w:val="SDMTableBoxParaNotNumbered"/>
              <w:suppressAutoHyphens/>
            </w:pPr>
            <w:r w:rsidRPr="007930FD">
              <w:t>CO</w:t>
            </w:r>
            <w:r w:rsidRPr="007930FD">
              <w:rPr>
                <w:vertAlign w:val="subscript"/>
              </w:rPr>
              <w:t>2</w:t>
            </w:r>
            <w:r w:rsidRPr="007930FD">
              <w:t xml:space="preserve"> emission factor for upstream emissions for primary fuel types </w:t>
            </w:r>
            <w:r w:rsidRPr="007930FD">
              <w:rPr>
                <w:i/>
              </w:rPr>
              <w:t>i</w:t>
            </w:r>
            <w:r w:rsidRPr="007930FD">
              <w:t xml:space="preserve"> (t</w:t>
            </w:r>
            <w:r w:rsidR="00BA0F6D" w:rsidRPr="007930FD">
              <w:t> </w:t>
            </w:r>
            <w:r w:rsidRPr="007930FD">
              <w:t>CO</w:t>
            </w:r>
            <w:r w:rsidRPr="007930FD">
              <w:rPr>
                <w:vertAlign w:val="subscript"/>
              </w:rPr>
              <w:t>2</w:t>
            </w:r>
            <w:r w:rsidR="00B17B66" w:rsidRPr="007930FD">
              <w:t xml:space="preserve"> </w:t>
            </w:r>
            <w:r w:rsidRPr="007930FD">
              <w:t>/</w:t>
            </w:r>
            <w:r w:rsidR="00B17B66" w:rsidRPr="007930FD">
              <w:t xml:space="preserve"> </w:t>
            </w:r>
            <w:r w:rsidRPr="007930FD">
              <w:t>TJ)</w:t>
            </w:r>
          </w:p>
        </w:tc>
      </w:tr>
      <w:tr w:rsidR="00261B42" w:rsidRPr="007930FD" w14:paraId="46D51316" w14:textId="77777777" w:rsidTr="00F04DE3">
        <w:tc>
          <w:tcPr>
            <w:tcW w:w="1701" w:type="dxa"/>
            <w:vAlign w:val="top"/>
          </w:tcPr>
          <w:p w14:paraId="085181FB" w14:textId="692B36A5" w:rsidR="00261B42" w:rsidRPr="007930FD" w:rsidRDefault="00261B42" w:rsidP="0060169D">
            <w:pPr>
              <w:pStyle w:val="SDMTableBoxParaNotNumbered"/>
              <w:suppressAutoHyphens/>
            </w:pPr>
            <w:r w:rsidRPr="007930FD">
              <w:rPr>
                <w:rFonts w:ascii="Cambria Math" w:hAnsi="Cambria Math"/>
                <w:i/>
              </w:rPr>
              <w:t>i</w:t>
            </w:r>
          </w:p>
        </w:tc>
        <w:tc>
          <w:tcPr>
            <w:tcW w:w="345" w:type="dxa"/>
            <w:vAlign w:val="top"/>
          </w:tcPr>
          <w:p w14:paraId="39F43A53" w14:textId="62848C9D" w:rsidR="00261B42" w:rsidRPr="007930FD" w:rsidRDefault="00261B42" w:rsidP="0060169D">
            <w:pPr>
              <w:pStyle w:val="SDMTableBoxParaNotNumbered"/>
              <w:suppressAutoHyphens/>
            </w:pPr>
            <w:r w:rsidRPr="007930FD">
              <w:t>=</w:t>
            </w:r>
          </w:p>
        </w:tc>
        <w:tc>
          <w:tcPr>
            <w:tcW w:w="0" w:type="auto"/>
            <w:vAlign w:val="top"/>
          </w:tcPr>
          <w:p w14:paraId="696E4835" w14:textId="165389AA" w:rsidR="00261B42" w:rsidRPr="007930FD" w:rsidRDefault="00261B42" w:rsidP="0060169D">
            <w:pPr>
              <w:pStyle w:val="SDMTableBoxParaNotNumbered"/>
              <w:suppressAutoHyphens/>
            </w:pPr>
            <w:r w:rsidRPr="007930FD">
              <w:t>Primary fuel types (fuelwood or charcoal)</w:t>
            </w:r>
          </w:p>
        </w:tc>
      </w:tr>
      <w:tr w:rsidR="00261B42" w:rsidRPr="007930FD" w14:paraId="6F3892B9" w14:textId="77777777" w:rsidTr="00F04DE3">
        <w:tc>
          <w:tcPr>
            <w:tcW w:w="1701" w:type="dxa"/>
            <w:vAlign w:val="top"/>
          </w:tcPr>
          <w:p w14:paraId="38B973A9" w14:textId="01BB9F19" w:rsidR="00261B42" w:rsidRPr="007930FD" w:rsidRDefault="00261B42" w:rsidP="0060169D">
            <w:pPr>
              <w:pStyle w:val="SDMTableBoxParaNotNumbered"/>
              <w:suppressAutoHyphens/>
            </w:pPr>
            <w:r w:rsidRPr="007930FD">
              <w:rPr>
                <w:rFonts w:ascii="Cambria Math" w:hAnsi="Cambria Math"/>
                <w:i/>
                <w:iCs/>
              </w:rPr>
              <w:t>y</w:t>
            </w:r>
          </w:p>
        </w:tc>
        <w:tc>
          <w:tcPr>
            <w:tcW w:w="345" w:type="dxa"/>
            <w:vAlign w:val="top"/>
          </w:tcPr>
          <w:p w14:paraId="3D96E4A6" w14:textId="12133D2D" w:rsidR="00261B42" w:rsidRPr="007930FD" w:rsidRDefault="00261B42" w:rsidP="0060169D">
            <w:pPr>
              <w:pStyle w:val="SDMTableBoxParaNotNumbered"/>
              <w:suppressAutoHyphens/>
            </w:pPr>
            <w:r w:rsidRPr="007930FD">
              <w:t>=</w:t>
            </w:r>
          </w:p>
        </w:tc>
        <w:tc>
          <w:tcPr>
            <w:tcW w:w="0" w:type="auto"/>
            <w:vAlign w:val="top"/>
          </w:tcPr>
          <w:p w14:paraId="60CE8E5E" w14:textId="778B7B4A" w:rsidR="00261B42" w:rsidRPr="007930FD" w:rsidRDefault="00261B42" w:rsidP="0060169D">
            <w:pPr>
              <w:pStyle w:val="SDMTableBoxParaNotNumbered"/>
              <w:suppressAutoHyphens/>
            </w:pPr>
            <w:r w:rsidRPr="007930FD">
              <w:t>Calendar year of the crediting period</w:t>
            </w:r>
          </w:p>
        </w:tc>
      </w:tr>
    </w:tbl>
    <w:p w14:paraId="525C3176" w14:textId="3EEEBD84" w:rsidR="00B079F5" w:rsidRPr="007930FD" w:rsidRDefault="00E0657C" w:rsidP="00E03E61">
      <w:pPr>
        <w:pStyle w:val="SDMPara"/>
      </w:pPr>
      <w:r w:rsidRPr="007930FD">
        <w:rPr>
          <w:rFonts w:eastAsia="Montserrat"/>
        </w:rPr>
        <w:t xml:space="preserve">Other </w:t>
      </w:r>
      <w:r w:rsidR="00B63BFD" w:rsidRPr="007930FD">
        <w:rPr>
          <w:rFonts w:eastAsia="Montserrat"/>
        </w:rPr>
        <w:t>activity</w:t>
      </w:r>
      <w:r w:rsidR="00B079F5" w:rsidRPr="007930FD">
        <w:rPr>
          <w:rFonts w:eastAsia="Montserrat"/>
        </w:rPr>
        <w:t xml:space="preserve"> emissions </w:t>
      </w:r>
      <w:r w:rsidR="00B079F5" w:rsidRPr="007930FD">
        <w:t>of CO</w:t>
      </w:r>
      <w:r w:rsidR="00B079F5" w:rsidRPr="007930FD">
        <w:rPr>
          <w:vertAlign w:val="subscript"/>
        </w:rPr>
        <w:t>2</w:t>
      </w:r>
      <w:r w:rsidR="00B079F5" w:rsidRPr="007930FD">
        <w:t xml:space="preserve"> </w:t>
      </w:r>
      <w:r w:rsidR="00B079F5" w:rsidRPr="007930FD">
        <w:rPr>
          <w:rFonts w:eastAsia="Montserrat"/>
        </w:rPr>
        <w:t xml:space="preserve">are calculated using </w:t>
      </w:r>
      <w:r w:rsidR="00BA2272" w:rsidRPr="007930FD">
        <w:rPr>
          <w:rFonts w:eastAsia="Montserrat"/>
        </w:rPr>
        <w:t>equation (</w:t>
      </w:r>
      <w:r w:rsidR="00810D0D" w:rsidRPr="007930FD">
        <w:rPr>
          <w:rFonts w:eastAsia="Montserrat"/>
        </w:rPr>
        <w:t>28</w:t>
      </w:r>
      <w:r w:rsidR="00DA6116" w:rsidRPr="007930FD">
        <w:rPr>
          <w:rFonts w:eastAsia="Montserrat"/>
        </w:rPr>
        <w:t>)</w:t>
      </w:r>
      <w:r w:rsidR="00B079F5" w:rsidRPr="007930FD">
        <w:rPr>
          <w:rFonts w:eastAsia="Montserrat"/>
        </w:rPr>
        <w:t xml:space="preserve">. This equation shall only be applied when </w:t>
      </w:r>
      <w:r w:rsidR="00F70913" w:rsidRPr="007930FD">
        <w:rPr>
          <w:rFonts w:eastAsia="Montserrat"/>
        </w:rPr>
        <w:t xml:space="preserve">secondary </w:t>
      </w:r>
      <w:r w:rsidR="00B079F5" w:rsidRPr="007930FD">
        <w:rPr>
          <w:rFonts w:eastAsia="Montserrat"/>
        </w:rPr>
        <w:t xml:space="preserve">use of fuels </w:t>
      </w:r>
      <w:r w:rsidR="00BA2272" w:rsidRPr="007930FD">
        <w:rPr>
          <w:rFonts w:eastAsia="Montserrat"/>
          <w:i/>
        </w:rPr>
        <w:t>j</w:t>
      </w:r>
      <w:r w:rsidR="00B079F5" w:rsidRPr="007930FD">
        <w:rPr>
          <w:rFonts w:eastAsia="Montserrat"/>
        </w:rPr>
        <w:t xml:space="preserve"> is identified in the pre-</w:t>
      </w:r>
      <w:r w:rsidR="00511F36" w:rsidRPr="007930FD">
        <w:rPr>
          <w:rFonts w:eastAsia="Montserrat"/>
        </w:rPr>
        <w:t xml:space="preserve">activity </w:t>
      </w:r>
      <w:r w:rsidR="00B079F5" w:rsidRPr="007930FD">
        <w:rPr>
          <w:rFonts w:eastAsia="Montserrat"/>
        </w:rPr>
        <w:t>survey and incorporated proportionally in the baseline benchmark</w:t>
      </w:r>
      <w:r w:rsidR="008D6AA7" w:rsidRPr="007930FD">
        <w:rPr>
          <w:rFonts w:eastAsia="Montserrat"/>
        </w:rPr>
        <w:t xml:space="preserve"> o</w:t>
      </w:r>
      <w:r w:rsidR="007D1C85" w:rsidRPr="007930FD">
        <w:rPr>
          <w:rFonts w:eastAsia="Montserrat"/>
        </w:rPr>
        <w:t xml:space="preserve">r in case </w:t>
      </w:r>
      <w:r w:rsidR="00A44CC0" w:rsidRPr="007930FD">
        <w:rPr>
          <w:rFonts w:eastAsia="Montserrat"/>
        </w:rPr>
        <w:t>the use of new secondary fuels</w:t>
      </w:r>
      <w:r w:rsidR="00E57E6F" w:rsidRPr="007930FD">
        <w:rPr>
          <w:rFonts w:eastAsia="Montserrat"/>
        </w:rPr>
        <w:t xml:space="preserve"> that were not present during the pre-activity survey are</w:t>
      </w:r>
      <w:r w:rsidR="00A44CC0" w:rsidRPr="007930FD">
        <w:rPr>
          <w:rFonts w:eastAsia="Montserrat"/>
        </w:rPr>
        <w:t xml:space="preserve"> detected during the KPT</w:t>
      </w:r>
      <w:r w:rsidR="00B079F5" w:rsidRPr="007930FD">
        <w:rPr>
          <w:rFonts w:eastAsia="Montserrat"/>
        </w:rPr>
        <w:t>.</w:t>
      </w:r>
    </w:p>
    <w:tbl>
      <w:tblPr>
        <w:tblStyle w:val="SDMMethTableEquation"/>
        <w:tblW w:w="8760" w:type="dxa"/>
        <w:tblLook w:val="0600" w:firstRow="0" w:lastRow="0" w:firstColumn="0" w:lastColumn="0" w:noHBand="1" w:noVBand="1"/>
      </w:tblPr>
      <w:tblGrid>
        <w:gridCol w:w="7094"/>
        <w:gridCol w:w="1666"/>
      </w:tblGrid>
      <w:tr w:rsidR="001D5CA4" w:rsidRPr="009F63DF" w14:paraId="579B0DDE" w14:textId="77777777" w:rsidTr="00C5477B">
        <w:tc>
          <w:tcPr>
            <w:tcW w:w="7224" w:type="dxa"/>
          </w:tcPr>
          <w:p w14:paraId="4715D6AE" w14:textId="6696DDD3" w:rsidR="001D5CA4" w:rsidRPr="007930FD" w:rsidRDefault="001549D8" w:rsidP="00C5477B">
            <w:pPr>
              <w:pStyle w:val="SDMMethEquation"/>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CO2,j,y</m:t>
                    </m:r>
                  </m:sub>
                </m:sSub>
                <m:r>
                  <w:rPr>
                    <w:rFonts w:ascii="Cambria Math" w:eastAsia="Cambria Math" w:hAnsi="Cambria Math" w:cs="Cambria Math"/>
                    <w:lang w:eastAsia="en-US"/>
                  </w:rPr>
                  <m:t xml:space="preserve"> = </m:t>
                </m:r>
                <m:nary>
                  <m:naryPr>
                    <m:chr m:val="∑"/>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j</m:t>
                    </m:r>
                  </m:sub>
                  <m:sup/>
                  <m:e>
                    <m:r>
                      <w:rPr>
                        <w:rFonts w:ascii="Cambria Math" w:eastAsia="Cambria Math" w:hAnsi="Cambria Math" w:cs="Cambria Math"/>
                        <w:lang w:eastAsia="en-US"/>
                      </w:rPr>
                      <m:t xml:space="preserve"> </m:t>
                    </m:r>
                  </m:e>
                </m:nary>
                <m:sSub>
                  <m:sSubPr>
                    <m:ctrlPr>
                      <w:rPr>
                        <w:rFonts w:ascii="Cambria Math" w:eastAsia="Cambria Math" w:hAnsi="Cambria Math" w:cs="Cambria Math"/>
                        <w:i/>
                        <w:lang w:eastAsia="en-US"/>
                      </w:rPr>
                    </m:ctrlPr>
                  </m:sSubPr>
                  <m:e>
                    <m:r>
                      <w:rPr>
                        <w:rFonts w:ascii="Cambria Math" w:eastAsia="Cambria Math" w:hAnsi="Cambria Math" w:cs="Cambria Math"/>
                        <w:lang w:eastAsia="en-US"/>
                      </w:rPr>
                      <m:t>EC</m:t>
                    </m:r>
                  </m:e>
                  <m:sub>
                    <m:r>
                      <w:rPr>
                        <w:rFonts w:ascii="Cambria Math" w:eastAsia="Cambria Math" w:hAnsi="Cambria Math" w:cs="Cambria Math"/>
                        <w:lang w:eastAsia="en-US"/>
                      </w:rPr>
                      <m:t>proj,j,y</m:t>
                    </m:r>
                  </m:sub>
                </m:sSub>
                <m:r>
                  <w:rPr>
                    <w:rFonts w:ascii="Cambria Math" w:eastAsia="Cambria Math" w:hAnsi="Cambria Math" w:cs="Cambria Math"/>
                    <w:lang w:eastAsia="en-US"/>
                  </w:rPr>
                  <m:t>×</m:t>
                </m:r>
                <m:sSub>
                  <m:sSubPr>
                    <m:ctrlPr>
                      <w:rPr>
                        <w:rFonts w:ascii="Cambria Math" w:eastAsia="Cambria Math" w:hAnsi="Cambria Math" w:cs="Cambria Math"/>
                        <w:i/>
                        <w:lang w:eastAsia="en-US"/>
                      </w:rPr>
                    </m:ctrlPr>
                  </m:sSubPr>
                  <m:e>
                    <m:r>
                      <w:rPr>
                        <w:rFonts w:ascii="Cambria Math" w:eastAsia="Cambria Math" w:hAnsi="Cambria Math" w:cs="Cambria Math"/>
                        <w:lang w:eastAsia="en-US"/>
                      </w:rPr>
                      <m:t>EF</m:t>
                    </m:r>
                  </m:e>
                  <m:sub>
                    <m:r>
                      <w:rPr>
                        <w:rFonts w:ascii="Cambria Math" w:eastAsia="Cambria Math" w:hAnsi="Cambria Math" w:cs="Cambria Math"/>
                        <w:lang w:eastAsia="en-US"/>
                      </w:rPr>
                      <m:t>j,CO2</m:t>
                    </m:r>
                  </m:sub>
                </m:sSub>
              </m:oMath>
            </m:oMathPara>
          </w:p>
        </w:tc>
        <w:tc>
          <w:tcPr>
            <w:tcW w:w="1701" w:type="dxa"/>
          </w:tcPr>
          <w:p w14:paraId="2BD9A4FB" w14:textId="77777777" w:rsidR="001D5CA4" w:rsidRPr="007930FD" w:rsidRDefault="001D5CA4" w:rsidP="00AF1AC1">
            <w:pPr>
              <w:pStyle w:val="SDMMethEquationNr"/>
              <w:numPr>
                <w:ilvl w:val="0"/>
                <w:numId w:val="29"/>
              </w:numPr>
              <w:ind w:right="119"/>
            </w:pPr>
          </w:p>
        </w:tc>
      </w:tr>
    </w:tbl>
    <w:p w14:paraId="726FF1EF" w14:textId="77777777" w:rsidR="001D5CA4" w:rsidRPr="009F63DF" w:rsidRDefault="001D5CA4"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1D5CA4" w:rsidRPr="009F63DF" w14:paraId="0585E9E6" w14:textId="77777777" w:rsidTr="00C5477B">
        <w:tc>
          <w:tcPr>
            <w:tcW w:w="1701" w:type="dxa"/>
          </w:tcPr>
          <w:p w14:paraId="4BA15A6E" w14:textId="545AEF50" w:rsidR="001D5CA4" w:rsidRPr="009F63DF" w:rsidRDefault="001549D8" w:rsidP="00C5477B">
            <w:pPr>
              <w:pStyle w:val="SDMTableBoxParaNotNumbered"/>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CO2,j,y</m:t>
                    </m:r>
                  </m:sub>
                </m:sSub>
              </m:oMath>
            </m:oMathPara>
          </w:p>
        </w:tc>
        <w:tc>
          <w:tcPr>
            <w:tcW w:w="345" w:type="dxa"/>
          </w:tcPr>
          <w:p w14:paraId="08170A80" w14:textId="77777777" w:rsidR="001D5CA4" w:rsidRPr="009F63DF" w:rsidRDefault="001D5CA4" w:rsidP="00C5477B">
            <w:pPr>
              <w:pStyle w:val="SDMTableBoxParaNotNumbered"/>
            </w:pPr>
            <w:r w:rsidRPr="009F63DF">
              <w:t>=</w:t>
            </w:r>
          </w:p>
        </w:tc>
        <w:tc>
          <w:tcPr>
            <w:tcW w:w="0" w:type="auto"/>
          </w:tcPr>
          <w:p w14:paraId="76FA907C" w14:textId="16EB266C" w:rsidR="001D5CA4" w:rsidRPr="009F63DF" w:rsidRDefault="001D5CA4" w:rsidP="00C5477B">
            <w:pPr>
              <w:pStyle w:val="SDMTableBoxParaNotNumbered"/>
            </w:pPr>
            <w:r w:rsidRPr="009F63DF">
              <w:t xml:space="preserve">Other </w:t>
            </w:r>
            <w:r w:rsidR="00B63BFD" w:rsidRPr="009F63DF">
              <w:t>activity</w:t>
            </w:r>
            <w:r w:rsidRPr="009F63DF">
              <w:t xml:space="preserve"> emissions of CO</w:t>
            </w:r>
            <w:r w:rsidRPr="009F63DF">
              <w:rPr>
                <w:vertAlign w:val="subscript"/>
              </w:rPr>
              <w:t>2</w:t>
            </w:r>
            <w:r w:rsidRPr="009F63DF">
              <w:t xml:space="preserve"> (t CO</w:t>
            </w:r>
            <w:r w:rsidRPr="009F63DF">
              <w:rPr>
                <w:vertAlign w:val="subscript"/>
              </w:rPr>
              <w:t>2</w:t>
            </w:r>
            <w:r w:rsidRPr="009F63DF">
              <w:t>)</w:t>
            </w:r>
          </w:p>
        </w:tc>
      </w:tr>
      <w:tr w:rsidR="001D5CA4" w:rsidRPr="009F63DF" w14:paraId="6821B107" w14:textId="77777777" w:rsidTr="00C5477B">
        <w:tc>
          <w:tcPr>
            <w:tcW w:w="1701" w:type="dxa"/>
          </w:tcPr>
          <w:p w14:paraId="7D6AD1FA" w14:textId="1760A32A" w:rsidR="001D5CA4" w:rsidRPr="009F63DF" w:rsidRDefault="001549D8" w:rsidP="00C5477B">
            <w:pPr>
              <w:pStyle w:val="SDMTableBoxParaNotNumbered"/>
            </w:pPr>
            <m:oMathPara>
              <m:oMathParaPr>
                <m:jc m:val="left"/>
              </m:oMathParaPr>
              <m:oMath>
                <m:sSub>
                  <m:sSubPr>
                    <m:ctrlPr>
                      <w:rPr>
                        <w:rFonts w:ascii="Cambria Math" w:hAnsi="Cambria Math"/>
                      </w:rPr>
                    </m:ctrlPr>
                  </m:sSubPr>
                  <m:e>
                    <m:r>
                      <w:rPr>
                        <w:rFonts w:ascii="Cambria Math" w:hAnsi="Cambria Math"/>
                      </w:rPr>
                      <m:t>EC</m:t>
                    </m:r>
                  </m:e>
                  <m:sub>
                    <m:r>
                      <w:rPr>
                        <w:rFonts w:ascii="Cambria Math" w:hAnsi="Cambria Math"/>
                      </w:rPr>
                      <m:t>proj,j,y</m:t>
                    </m:r>
                  </m:sub>
                </m:sSub>
              </m:oMath>
            </m:oMathPara>
          </w:p>
        </w:tc>
        <w:tc>
          <w:tcPr>
            <w:tcW w:w="345" w:type="dxa"/>
          </w:tcPr>
          <w:p w14:paraId="06065138" w14:textId="77777777" w:rsidR="001D5CA4" w:rsidRPr="009F63DF" w:rsidRDefault="001D5CA4" w:rsidP="00C5477B">
            <w:pPr>
              <w:pStyle w:val="SDMTableBoxParaNotNumbered"/>
            </w:pPr>
            <w:r w:rsidRPr="009F63DF">
              <w:t>=</w:t>
            </w:r>
          </w:p>
        </w:tc>
        <w:tc>
          <w:tcPr>
            <w:tcW w:w="0" w:type="auto"/>
          </w:tcPr>
          <w:p w14:paraId="3B668C50" w14:textId="0656B1EE" w:rsidR="001D5CA4" w:rsidRPr="009F63DF" w:rsidRDefault="001D5CA4" w:rsidP="00C5477B">
            <w:pPr>
              <w:pStyle w:val="SDMTableBoxParaNotNumbered"/>
            </w:pPr>
            <w:r w:rsidRPr="009F63DF">
              <w:t xml:space="preserve">Consumption of secondary fuel types </w:t>
            </w:r>
            <w:r w:rsidRPr="009F63DF">
              <w:rPr>
                <w:i/>
              </w:rPr>
              <w:t>j</w:t>
            </w:r>
            <w:r w:rsidRPr="009F63DF">
              <w:t xml:space="preserve"> in year </w:t>
            </w:r>
            <w:r w:rsidRPr="009F63DF">
              <w:rPr>
                <w:i/>
              </w:rPr>
              <w:t>y</w:t>
            </w:r>
            <w:r w:rsidRPr="009F63DF">
              <w:t xml:space="preserve"> (TJ)</w:t>
            </w:r>
          </w:p>
        </w:tc>
      </w:tr>
      <w:tr w:rsidR="001D5CA4" w:rsidRPr="009F63DF" w14:paraId="057D4611" w14:textId="77777777" w:rsidTr="00C5477B">
        <w:tc>
          <w:tcPr>
            <w:tcW w:w="1701" w:type="dxa"/>
          </w:tcPr>
          <w:p w14:paraId="6F913CD2" w14:textId="65EAA41D" w:rsidR="001D5CA4" w:rsidRPr="009F63DF" w:rsidRDefault="001549D8" w:rsidP="00C5477B">
            <w:pPr>
              <w:pStyle w:val="SDMTableBoxParaNotNumbered"/>
            </w:pPr>
            <m:oMathPara>
              <m:oMathParaPr>
                <m:jc m:val="left"/>
              </m:oMathParaPr>
              <m:oMath>
                <m:sSub>
                  <m:sSubPr>
                    <m:ctrlPr>
                      <w:rPr>
                        <w:rFonts w:ascii="Cambria Math" w:hAnsi="Cambria Math"/>
                      </w:rPr>
                    </m:ctrlPr>
                  </m:sSubPr>
                  <m:e>
                    <m:r>
                      <w:rPr>
                        <w:rFonts w:ascii="Cambria Math" w:hAnsi="Cambria Math"/>
                      </w:rPr>
                      <m:t>EF</m:t>
                    </m:r>
                  </m:e>
                  <m:sub>
                    <m:r>
                      <w:rPr>
                        <w:rFonts w:ascii="Cambria Math" w:hAnsi="Cambria Math"/>
                      </w:rPr>
                      <m:t>i,CO2</m:t>
                    </m:r>
                  </m:sub>
                </m:sSub>
              </m:oMath>
            </m:oMathPara>
          </w:p>
        </w:tc>
        <w:tc>
          <w:tcPr>
            <w:tcW w:w="345" w:type="dxa"/>
          </w:tcPr>
          <w:p w14:paraId="31D737FB" w14:textId="77777777" w:rsidR="001D5CA4" w:rsidRPr="009F63DF" w:rsidRDefault="001D5CA4" w:rsidP="00C5477B">
            <w:pPr>
              <w:pStyle w:val="SDMTableBoxParaNotNumbered"/>
            </w:pPr>
            <w:r w:rsidRPr="009F63DF">
              <w:t>=</w:t>
            </w:r>
          </w:p>
        </w:tc>
        <w:tc>
          <w:tcPr>
            <w:tcW w:w="0" w:type="auto"/>
          </w:tcPr>
          <w:p w14:paraId="288B5D0B" w14:textId="2E08ED61" w:rsidR="001D5CA4" w:rsidRPr="009F63DF" w:rsidRDefault="001D5CA4" w:rsidP="00C5477B">
            <w:pPr>
              <w:pStyle w:val="SDMTableBoxParaNotNumbered"/>
            </w:pPr>
            <w:r w:rsidRPr="009F63DF">
              <w:t>CO</w:t>
            </w:r>
            <w:r w:rsidRPr="009F63DF">
              <w:rPr>
                <w:vertAlign w:val="subscript"/>
              </w:rPr>
              <w:t>2</w:t>
            </w:r>
            <w:r w:rsidRPr="009F63DF">
              <w:t xml:space="preserve"> emission factor for secondary fuel types </w:t>
            </w:r>
            <w:r w:rsidRPr="009F63DF">
              <w:rPr>
                <w:i/>
              </w:rPr>
              <w:t>j</w:t>
            </w:r>
            <w:r w:rsidRPr="009F63DF">
              <w:t xml:space="preserve"> (t CO</w:t>
            </w:r>
            <w:r w:rsidRPr="009F63DF">
              <w:rPr>
                <w:vertAlign w:val="subscript"/>
              </w:rPr>
              <w:t>2</w:t>
            </w:r>
            <w:r w:rsidR="00615311" w:rsidRPr="009F63DF">
              <w:t xml:space="preserve"> </w:t>
            </w:r>
            <w:r w:rsidRPr="009F63DF">
              <w:t>/TJ)</w:t>
            </w:r>
          </w:p>
        </w:tc>
      </w:tr>
      <w:tr w:rsidR="001D5CA4" w:rsidRPr="009F63DF" w14:paraId="1CC274F9" w14:textId="77777777" w:rsidTr="008213A8">
        <w:tc>
          <w:tcPr>
            <w:tcW w:w="1701" w:type="dxa"/>
          </w:tcPr>
          <w:p w14:paraId="394AE4E1" w14:textId="521BE8BF" w:rsidR="001D5CA4" w:rsidRPr="009F63DF" w:rsidRDefault="001D5CA4" w:rsidP="001D5CA4">
            <w:pPr>
              <w:pStyle w:val="SDMTableBoxParaNotNumbered"/>
            </w:pPr>
            <w:r w:rsidRPr="009F63DF">
              <w:rPr>
                <w:rFonts w:ascii="Cambria Math" w:hAnsi="Cambria Math"/>
                <w:i/>
              </w:rPr>
              <w:t>j</w:t>
            </w:r>
          </w:p>
        </w:tc>
        <w:tc>
          <w:tcPr>
            <w:tcW w:w="345" w:type="dxa"/>
            <w:vAlign w:val="top"/>
          </w:tcPr>
          <w:p w14:paraId="093B6A74" w14:textId="0EC4479F" w:rsidR="001D5CA4" w:rsidRPr="009F63DF" w:rsidRDefault="001D5CA4" w:rsidP="001D5CA4">
            <w:pPr>
              <w:pStyle w:val="SDMTableBoxParaNotNumbered"/>
            </w:pPr>
            <w:r w:rsidRPr="009F63DF">
              <w:t>=</w:t>
            </w:r>
          </w:p>
        </w:tc>
        <w:tc>
          <w:tcPr>
            <w:tcW w:w="0" w:type="auto"/>
          </w:tcPr>
          <w:p w14:paraId="476F8808" w14:textId="29176333" w:rsidR="001D5CA4" w:rsidRPr="009F63DF" w:rsidRDefault="001D5CA4" w:rsidP="001D5CA4">
            <w:pPr>
              <w:pStyle w:val="SDMTableBoxParaNotNumbered"/>
            </w:pPr>
            <w:r w:rsidRPr="009F63DF">
              <w:t>Secondary fuel types (e.g. fossil fuels or dung)</w:t>
            </w:r>
          </w:p>
        </w:tc>
      </w:tr>
      <w:tr w:rsidR="001D5CA4" w:rsidRPr="009F63DF" w14:paraId="3DCA8BDC" w14:textId="77777777" w:rsidTr="008213A8">
        <w:tc>
          <w:tcPr>
            <w:tcW w:w="1701" w:type="dxa"/>
          </w:tcPr>
          <w:p w14:paraId="49FB200E" w14:textId="01573358" w:rsidR="001D5CA4" w:rsidRPr="009F63DF" w:rsidRDefault="001D5CA4" w:rsidP="001D5CA4">
            <w:pPr>
              <w:pStyle w:val="SDMTableBoxParaNotNumbered"/>
            </w:pPr>
            <w:r w:rsidRPr="009F63DF">
              <w:rPr>
                <w:rFonts w:ascii="Cambria Math" w:hAnsi="Cambria Math"/>
                <w:i/>
                <w:iCs/>
              </w:rPr>
              <w:t>y</w:t>
            </w:r>
          </w:p>
        </w:tc>
        <w:tc>
          <w:tcPr>
            <w:tcW w:w="345" w:type="dxa"/>
            <w:vAlign w:val="top"/>
          </w:tcPr>
          <w:p w14:paraId="42098EE1" w14:textId="1AFC5A42" w:rsidR="001D5CA4" w:rsidRPr="009F63DF" w:rsidRDefault="001D5CA4" w:rsidP="001D5CA4">
            <w:pPr>
              <w:pStyle w:val="SDMTableBoxParaNotNumbered"/>
            </w:pPr>
            <w:r w:rsidRPr="009F63DF">
              <w:t>=</w:t>
            </w:r>
          </w:p>
        </w:tc>
        <w:tc>
          <w:tcPr>
            <w:tcW w:w="0" w:type="auto"/>
          </w:tcPr>
          <w:p w14:paraId="03BB26C2" w14:textId="62C4A53B" w:rsidR="001D5CA4" w:rsidRPr="009F63DF" w:rsidRDefault="001D5CA4" w:rsidP="001D5CA4">
            <w:pPr>
              <w:pStyle w:val="SDMTableBoxParaNotNumbered"/>
            </w:pPr>
            <w:r w:rsidRPr="009F63DF">
              <w:t>Calendar year of the crediting period</w:t>
            </w:r>
          </w:p>
        </w:tc>
      </w:tr>
    </w:tbl>
    <w:p w14:paraId="0FA765ED" w14:textId="5BD98260" w:rsidR="003432C3" w:rsidRPr="009F63DF" w:rsidRDefault="004B01C8" w:rsidP="00E03E61">
      <w:pPr>
        <w:pStyle w:val="SDMPara"/>
      </w:pPr>
      <w:r w:rsidRPr="009F63DF">
        <w:rPr>
          <w:rFonts w:eastAsia="Montserrat"/>
        </w:rPr>
        <w:t>Non-</w:t>
      </w:r>
      <w:r w:rsidRPr="009F63DF">
        <w:t xml:space="preserve"> CO</w:t>
      </w:r>
      <w:r w:rsidRPr="009F63DF">
        <w:rPr>
          <w:vertAlign w:val="subscript"/>
        </w:rPr>
        <w:t>2</w:t>
      </w:r>
      <w:r w:rsidRPr="009F63DF">
        <w:rPr>
          <w:rFonts w:eastAsia="Montserrat"/>
        </w:rPr>
        <w:t xml:space="preserve"> </w:t>
      </w:r>
      <w:r w:rsidR="00B63BFD" w:rsidRPr="009F63DF">
        <w:rPr>
          <w:rFonts w:eastAsia="Montserrat"/>
        </w:rPr>
        <w:t>activity</w:t>
      </w:r>
      <w:r w:rsidRPr="009F63DF">
        <w:rPr>
          <w:rFonts w:eastAsia="Montserrat"/>
        </w:rPr>
        <w:t xml:space="preserve"> emissions from </w:t>
      </w:r>
      <w:r w:rsidR="004E7EF1" w:rsidRPr="009F63DF">
        <w:rPr>
          <w:rFonts w:eastAsia="Montserrat"/>
        </w:rPr>
        <w:t>all type of</w:t>
      </w:r>
      <w:r w:rsidRPr="009F63DF">
        <w:rPr>
          <w:rFonts w:eastAsia="Montserrat"/>
        </w:rPr>
        <w:t xml:space="preserve"> fuels are calculated using </w:t>
      </w:r>
      <w:r w:rsidR="00BC624E" w:rsidRPr="009F63DF">
        <w:rPr>
          <w:rFonts w:eastAsia="Montserrat"/>
        </w:rPr>
        <w:t>equation</w:t>
      </w:r>
      <w:r w:rsidR="00552108" w:rsidRPr="009F63DF">
        <w:rPr>
          <w:rFonts w:eastAsia="Montserrat"/>
        </w:rPr>
        <w:t>s</w:t>
      </w:r>
      <w:r w:rsidR="00BC624E" w:rsidRPr="009F63DF">
        <w:rPr>
          <w:rFonts w:eastAsia="Montserrat"/>
        </w:rPr>
        <w:t xml:space="preserve"> (</w:t>
      </w:r>
      <w:r w:rsidR="00810D0D" w:rsidRPr="009F63DF">
        <w:rPr>
          <w:rFonts w:eastAsia="Montserrat"/>
        </w:rPr>
        <w:t>29</w:t>
      </w:r>
      <w:r w:rsidR="00BC624E" w:rsidRPr="009F63DF">
        <w:rPr>
          <w:rFonts w:eastAsia="Montserrat"/>
        </w:rPr>
        <w:t>)</w:t>
      </w:r>
      <w:r w:rsidR="004E7EF1" w:rsidRPr="009F63DF">
        <w:rPr>
          <w:rFonts w:eastAsia="Montserrat"/>
        </w:rPr>
        <w:t xml:space="preserve"> and (</w:t>
      </w:r>
      <w:r w:rsidR="00810D0D" w:rsidRPr="009F63DF">
        <w:rPr>
          <w:rFonts w:eastAsia="Montserrat"/>
        </w:rPr>
        <w:t>30</w:t>
      </w:r>
      <w:r w:rsidR="004E7EF1" w:rsidRPr="009F63DF">
        <w:rPr>
          <w:rFonts w:eastAsia="Montserrat"/>
        </w:rPr>
        <w:t>)</w:t>
      </w:r>
      <w:r w:rsidRPr="009F63DF">
        <w:rPr>
          <w:rFonts w:eastAsia="Montserrat"/>
        </w:rPr>
        <w:t xml:space="preserve">. Upstream emissions shall not be calculated for </w:t>
      </w:r>
      <w:r w:rsidR="003432C3" w:rsidRPr="009F63DF">
        <w:rPr>
          <w:rFonts w:eastAsia="Montserrat"/>
        </w:rPr>
        <w:t xml:space="preserve">secondary fuel types </w:t>
      </w:r>
      <w:r w:rsidR="003432C3" w:rsidRPr="009F63DF">
        <w:rPr>
          <w:rFonts w:eastAsia="Montserrat"/>
          <w:i/>
          <w:iCs/>
        </w:rPr>
        <w:t>j</w:t>
      </w:r>
      <w:r w:rsidR="003F2EF5" w:rsidRPr="009F63DF">
        <w:rPr>
          <w:rFonts w:eastAsia="Montserrat"/>
        </w:rPr>
        <w:t>.</w:t>
      </w:r>
    </w:p>
    <w:tbl>
      <w:tblPr>
        <w:tblStyle w:val="SDMMethTableEquation"/>
        <w:tblW w:w="8760" w:type="dxa"/>
        <w:tblLook w:val="0600" w:firstRow="0" w:lastRow="0" w:firstColumn="0" w:lastColumn="0" w:noHBand="1" w:noVBand="1"/>
      </w:tblPr>
      <w:tblGrid>
        <w:gridCol w:w="7017"/>
        <w:gridCol w:w="1639"/>
        <w:gridCol w:w="104"/>
      </w:tblGrid>
      <w:tr w:rsidR="001D5CA4" w:rsidRPr="009F63DF" w14:paraId="665F0169" w14:textId="77777777" w:rsidTr="00C5477B">
        <w:tc>
          <w:tcPr>
            <w:tcW w:w="7224" w:type="dxa"/>
          </w:tcPr>
          <w:p w14:paraId="4D9D46D5" w14:textId="41273FC7" w:rsidR="001D5CA4" w:rsidRPr="009F63DF" w:rsidRDefault="001549D8" w:rsidP="00C5477B">
            <w:pPr>
              <w:pStyle w:val="SDMMethEquation"/>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nonCO2,i,y</m:t>
                    </m:r>
                  </m:sub>
                </m:sSub>
                <m:r>
                  <w:rPr>
                    <w:rFonts w:ascii="Cambria Math" w:eastAsia="Cambria Math" w:hAnsi="Cambria Math" w:cs="Cambria Math"/>
                    <w:lang w:eastAsia="en-US"/>
                  </w:rPr>
                  <m:t xml:space="preserve"> = </m:t>
                </m:r>
                <m:nary>
                  <m:naryPr>
                    <m:chr m:val="∑"/>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i</m:t>
                    </m:r>
                  </m:sub>
                  <m:sup/>
                  <m:e>
                    <m:r>
                      <w:rPr>
                        <w:rFonts w:ascii="Cambria Math" w:eastAsia="Cambria Math" w:hAnsi="Cambria Math" w:cs="Cambria Math"/>
                        <w:lang w:eastAsia="en-US"/>
                      </w:rPr>
                      <m:t xml:space="preserve"> </m:t>
                    </m:r>
                  </m:e>
                </m:nary>
                <m:d>
                  <m:dPr>
                    <m:endChr m:val=""/>
                    <m:ctrlPr>
                      <w:rPr>
                        <w:rFonts w:ascii="Cambria Math" w:eastAsia="Cambria Math" w:hAnsi="Cambria Math" w:cs="Cambria Math"/>
                        <w:i/>
                        <w:lang w:eastAsia="en-US"/>
                      </w:rPr>
                    </m:ctrlPr>
                  </m:dPr>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EC</m:t>
                        </m:r>
                      </m:e>
                      <m:sub>
                        <m:r>
                          <w:rPr>
                            <w:rFonts w:ascii="Cambria Math" w:eastAsia="Cambria Math" w:hAnsi="Cambria Math" w:cs="Cambria Math"/>
                            <w:lang w:eastAsia="en-US"/>
                          </w:rPr>
                          <m:t>proj,i,y</m:t>
                        </m:r>
                      </m:sub>
                    </m:sSub>
                    <m:r>
                      <w:rPr>
                        <w:rFonts w:ascii="Cambria Math" w:eastAsia="Cambria Math" w:hAnsi="Cambria Math" w:cs="Cambria Math"/>
                        <w:lang w:eastAsia="en-US"/>
                      </w:rPr>
                      <m:t>×</m:t>
                    </m:r>
                    <m:d>
                      <m:dPr>
                        <m:ctrlPr>
                          <w:rPr>
                            <w:rFonts w:ascii="Cambria Math" w:eastAsia="Cambria Math" w:hAnsi="Cambria Math" w:cs="Cambria Math"/>
                            <w:i/>
                            <w:lang w:eastAsia="en-US"/>
                          </w:rPr>
                        </m:ctrlPr>
                      </m:dPr>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EF</m:t>
                            </m:r>
                          </m:e>
                          <m:sub>
                            <m:r>
                              <w:rPr>
                                <w:rFonts w:ascii="Cambria Math" w:eastAsia="Cambria Math" w:hAnsi="Cambria Math" w:cs="Cambria Math"/>
                                <w:lang w:eastAsia="en-US"/>
                              </w:rPr>
                              <m:t>i,nonCO2</m:t>
                            </m:r>
                          </m:sub>
                        </m:sSub>
                        <m:r>
                          <w:rPr>
                            <w:rFonts w:ascii="Cambria Math" w:eastAsia="Cambria Math" w:hAnsi="Cambria Math" w:cs="Cambria Math"/>
                            <w:lang w:eastAsia="en-US"/>
                          </w:rPr>
                          <m:t>+</m:t>
                        </m:r>
                        <m:sSub>
                          <m:sSubPr>
                            <m:ctrlPr>
                              <w:rPr>
                                <w:rFonts w:ascii="Cambria Math" w:eastAsia="Cambria Math" w:hAnsi="Cambria Math" w:cs="Cambria Math"/>
                                <w:i/>
                                <w:lang w:eastAsia="en-US"/>
                              </w:rPr>
                            </m:ctrlPr>
                          </m:sSubPr>
                          <m:e>
                            <m:r>
                              <w:rPr>
                                <w:rFonts w:ascii="Cambria Math" w:eastAsia="Cambria Math" w:hAnsi="Cambria Math" w:cs="Cambria Math"/>
                                <w:lang w:eastAsia="en-US"/>
                              </w:rPr>
                              <m:t>EF</m:t>
                            </m:r>
                          </m:e>
                          <m:sub>
                            <m:r>
                              <w:rPr>
                                <w:rFonts w:ascii="Cambria Math" w:eastAsia="Cambria Math" w:hAnsi="Cambria Math" w:cs="Cambria Math"/>
                                <w:lang w:eastAsia="en-US"/>
                              </w:rPr>
                              <m:t>i,nonCO2,upstream</m:t>
                            </m:r>
                          </m:sub>
                        </m:sSub>
                      </m:e>
                    </m:d>
                  </m:e>
                </m:d>
              </m:oMath>
            </m:oMathPara>
          </w:p>
        </w:tc>
        <w:tc>
          <w:tcPr>
            <w:tcW w:w="1701" w:type="dxa"/>
            <w:gridSpan w:val="2"/>
          </w:tcPr>
          <w:p w14:paraId="25B330AC" w14:textId="77777777" w:rsidR="001D5CA4" w:rsidRPr="009F63DF" w:rsidRDefault="001D5CA4" w:rsidP="00AF1AC1">
            <w:pPr>
              <w:pStyle w:val="SDMMethEquationNr"/>
              <w:numPr>
                <w:ilvl w:val="0"/>
                <w:numId w:val="29"/>
              </w:numPr>
              <w:ind w:right="119"/>
            </w:pPr>
          </w:p>
        </w:tc>
      </w:tr>
      <w:tr w:rsidR="001D5CA4" w:rsidRPr="009F63DF" w14:paraId="0548C038" w14:textId="77777777" w:rsidTr="00C5477B">
        <w:trPr>
          <w:gridAfter w:val="1"/>
          <w:wAfter w:w="108" w:type="dxa"/>
        </w:trPr>
        <w:tc>
          <w:tcPr>
            <w:tcW w:w="7224" w:type="dxa"/>
          </w:tcPr>
          <w:p w14:paraId="1079C127" w14:textId="7BD1A962" w:rsidR="001D5CA4" w:rsidRPr="009F63DF" w:rsidRDefault="001549D8" w:rsidP="00C5477B">
            <w:pPr>
              <w:pStyle w:val="SDMMethEquation"/>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nonCO2,j,y</m:t>
                    </m:r>
                  </m:sub>
                </m:sSub>
                <m:r>
                  <w:rPr>
                    <w:rFonts w:ascii="Cambria Math" w:eastAsia="Cambria Math" w:hAnsi="Cambria Math" w:cs="Cambria Math"/>
                    <w:lang w:eastAsia="en-US"/>
                  </w:rPr>
                  <m:t xml:space="preserve"> = </m:t>
                </m:r>
                <m:nary>
                  <m:naryPr>
                    <m:chr m:val="∑"/>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j</m:t>
                    </m:r>
                  </m:sub>
                  <m:sup/>
                  <m:e>
                    <m:r>
                      <w:rPr>
                        <w:rFonts w:ascii="Cambria Math" w:eastAsia="Cambria Math" w:hAnsi="Cambria Math" w:cs="Cambria Math"/>
                        <w:lang w:eastAsia="en-US"/>
                      </w:rPr>
                      <m:t xml:space="preserve"> </m:t>
                    </m:r>
                  </m:e>
                </m:nary>
                <m:d>
                  <m:dPr>
                    <m:endChr m:val=""/>
                    <m:ctrlPr>
                      <w:rPr>
                        <w:rFonts w:ascii="Cambria Math" w:eastAsia="Cambria Math" w:hAnsi="Cambria Math" w:cs="Cambria Math"/>
                        <w:i/>
                        <w:lang w:eastAsia="en-US"/>
                      </w:rPr>
                    </m:ctrlPr>
                  </m:dPr>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EC</m:t>
                        </m:r>
                      </m:e>
                      <m:sub>
                        <m:r>
                          <w:rPr>
                            <w:rFonts w:ascii="Cambria Math" w:eastAsia="Cambria Math" w:hAnsi="Cambria Math" w:cs="Cambria Math"/>
                            <w:lang w:eastAsia="en-US"/>
                          </w:rPr>
                          <m:t>proj,j,y</m:t>
                        </m:r>
                      </m:sub>
                    </m:sSub>
                    <m:r>
                      <w:rPr>
                        <w:rFonts w:ascii="Cambria Math" w:eastAsia="Cambria Math" w:hAnsi="Cambria Math" w:cs="Cambria Math"/>
                        <w:lang w:eastAsia="en-US"/>
                      </w:rPr>
                      <m:t>×</m:t>
                    </m:r>
                    <m:sSub>
                      <m:sSubPr>
                        <m:ctrlPr>
                          <w:rPr>
                            <w:rFonts w:ascii="Cambria Math" w:hAnsi="Cambria Math"/>
                            <w:i/>
                            <w:lang w:eastAsia="en-US"/>
                          </w:rPr>
                        </m:ctrlPr>
                      </m:sSubPr>
                      <m:e>
                        <m:r>
                          <w:rPr>
                            <w:rFonts w:ascii="Cambria Math" w:hAnsi="Cambria Math"/>
                            <w:lang w:eastAsia="en-US"/>
                          </w:rPr>
                          <m:t>EF</m:t>
                        </m:r>
                      </m:e>
                      <m:sub>
                        <m:r>
                          <w:rPr>
                            <w:rFonts w:ascii="Cambria Math" w:hAnsi="Cambria Math"/>
                            <w:lang w:eastAsia="en-US"/>
                          </w:rPr>
                          <m:t>j,nonCO2</m:t>
                        </m:r>
                      </m:sub>
                    </m:sSub>
                    <m:r>
                      <w:rPr>
                        <w:rFonts w:ascii="Cambria Math" w:eastAsia="Cambria Math" w:hAnsi="Cambria Math" w:cs="Cambria Math"/>
                        <w:lang w:eastAsia="en-US"/>
                      </w:rPr>
                      <m:t xml:space="preserve"> )</m:t>
                    </m:r>
                  </m:e>
                </m:d>
              </m:oMath>
            </m:oMathPara>
          </w:p>
        </w:tc>
        <w:tc>
          <w:tcPr>
            <w:tcW w:w="1701" w:type="dxa"/>
          </w:tcPr>
          <w:p w14:paraId="29F3B3E2" w14:textId="77777777" w:rsidR="001D5CA4" w:rsidRPr="009F63DF" w:rsidRDefault="001D5CA4" w:rsidP="00AF1AC1">
            <w:pPr>
              <w:pStyle w:val="SDMMethEquationNr"/>
              <w:numPr>
                <w:ilvl w:val="0"/>
                <w:numId w:val="29"/>
              </w:numPr>
            </w:pPr>
          </w:p>
        </w:tc>
      </w:tr>
    </w:tbl>
    <w:p w14:paraId="5302D306" w14:textId="77777777" w:rsidR="001D5CA4" w:rsidRPr="009F63DF" w:rsidRDefault="001D5CA4"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68"/>
        <w:gridCol w:w="345"/>
        <w:gridCol w:w="6647"/>
      </w:tblGrid>
      <w:tr w:rsidR="001D5CA4" w:rsidRPr="009F63DF" w14:paraId="75862786" w14:textId="77777777" w:rsidTr="00F04DE3">
        <w:tc>
          <w:tcPr>
            <w:tcW w:w="1768" w:type="dxa"/>
            <w:vAlign w:val="top"/>
          </w:tcPr>
          <w:p w14:paraId="2E666D3D" w14:textId="6A5D356F" w:rsidR="001D5CA4" w:rsidRPr="009F63DF" w:rsidRDefault="001549D8" w:rsidP="00FD487A">
            <w:pPr>
              <w:pStyle w:val="SDMTableBoxParaNotNumbered"/>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nonCO2,i,y</m:t>
                    </m:r>
                  </m:sub>
                </m:sSub>
              </m:oMath>
            </m:oMathPara>
          </w:p>
        </w:tc>
        <w:tc>
          <w:tcPr>
            <w:tcW w:w="345" w:type="dxa"/>
            <w:vAlign w:val="top"/>
          </w:tcPr>
          <w:p w14:paraId="2A7991C1" w14:textId="77777777" w:rsidR="001D5CA4" w:rsidRPr="009F63DF" w:rsidRDefault="001D5CA4" w:rsidP="00FD487A">
            <w:pPr>
              <w:pStyle w:val="SDMTableBoxParaNotNumbered"/>
            </w:pPr>
            <w:r w:rsidRPr="009F63DF">
              <w:t>=</w:t>
            </w:r>
          </w:p>
        </w:tc>
        <w:tc>
          <w:tcPr>
            <w:tcW w:w="0" w:type="auto"/>
            <w:vAlign w:val="top"/>
          </w:tcPr>
          <w:p w14:paraId="14D975BA" w14:textId="35482F4F" w:rsidR="001D5CA4" w:rsidRPr="009F63DF" w:rsidRDefault="001D5CA4" w:rsidP="00FD487A">
            <w:pPr>
              <w:pStyle w:val="SDMTableBoxParaNotNumbered"/>
            </w:pPr>
            <w:r w:rsidRPr="009F63DF">
              <w:t>Non- CO</w:t>
            </w:r>
            <w:r w:rsidRPr="009F63DF">
              <w:rPr>
                <w:vertAlign w:val="subscript"/>
              </w:rPr>
              <w:t>2</w:t>
            </w:r>
            <w:r w:rsidRPr="009F63DF">
              <w:t xml:space="preserve"> </w:t>
            </w:r>
            <w:r w:rsidR="00B63BFD" w:rsidRPr="009F63DF">
              <w:t>activity</w:t>
            </w:r>
            <w:r w:rsidRPr="009F63DF">
              <w:t xml:space="preserve"> emissions from primary fuel types </w:t>
            </w:r>
            <w:r w:rsidRPr="009F63DF">
              <w:rPr>
                <w:i/>
              </w:rPr>
              <w:t>i</w:t>
            </w:r>
            <w:r w:rsidRPr="009F63DF">
              <w:t xml:space="preserve"> (</w:t>
            </w:r>
            <w:r w:rsidR="00BA0F6D" w:rsidRPr="00BA0F6D">
              <w:t>t CO</w:t>
            </w:r>
            <w:r w:rsidR="00BA0F6D" w:rsidRPr="00BA0F6D">
              <w:rPr>
                <w:vertAlign w:val="subscript"/>
              </w:rPr>
              <w:t>2</w:t>
            </w:r>
            <w:r w:rsidR="00B90CC8">
              <w:t xml:space="preserve"> </w:t>
            </w:r>
            <w:r w:rsidR="00BA0F6D" w:rsidRPr="00BA0F6D">
              <w:t>eq</w:t>
            </w:r>
            <w:r w:rsidRPr="009F63DF">
              <w:t>)</w:t>
            </w:r>
          </w:p>
        </w:tc>
      </w:tr>
      <w:tr w:rsidR="001D5CA4" w:rsidRPr="009F63DF" w14:paraId="44431037" w14:textId="77777777" w:rsidTr="00F04DE3">
        <w:tc>
          <w:tcPr>
            <w:tcW w:w="1768" w:type="dxa"/>
            <w:vAlign w:val="top"/>
          </w:tcPr>
          <w:p w14:paraId="36A74068" w14:textId="2AFA7281" w:rsidR="001D5CA4" w:rsidRPr="009F63DF" w:rsidRDefault="001549D8" w:rsidP="00FD487A">
            <w:pPr>
              <w:pStyle w:val="SDMTableBoxParaNotNumbered"/>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EC</m:t>
                    </m:r>
                  </m:e>
                  <m:sub>
                    <m:r>
                      <w:rPr>
                        <w:rFonts w:ascii="Cambria Math" w:eastAsia="Cambria Math" w:hAnsi="Cambria Math" w:cs="Cambria Math"/>
                        <w:lang w:eastAsia="en-US"/>
                      </w:rPr>
                      <m:t>proj,i,y</m:t>
                    </m:r>
                  </m:sub>
                </m:sSub>
              </m:oMath>
            </m:oMathPara>
          </w:p>
        </w:tc>
        <w:tc>
          <w:tcPr>
            <w:tcW w:w="345" w:type="dxa"/>
            <w:vAlign w:val="top"/>
          </w:tcPr>
          <w:p w14:paraId="495EB205" w14:textId="77777777" w:rsidR="001D5CA4" w:rsidRPr="009F63DF" w:rsidRDefault="001D5CA4" w:rsidP="00FD487A">
            <w:pPr>
              <w:pStyle w:val="SDMTableBoxParaNotNumbered"/>
            </w:pPr>
            <w:r w:rsidRPr="009F63DF">
              <w:t>=</w:t>
            </w:r>
          </w:p>
        </w:tc>
        <w:tc>
          <w:tcPr>
            <w:tcW w:w="0" w:type="auto"/>
            <w:vAlign w:val="top"/>
          </w:tcPr>
          <w:p w14:paraId="50E0344B" w14:textId="2CFDE7F3" w:rsidR="001D5CA4" w:rsidRPr="009F63DF" w:rsidRDefault="001D5CA4" w:rsidP="00FD487A">
            <w:pPr>
              <w:pStyle w:val="SDMTableBoxParaNotNumbered"/>
            </w:pPr>
            <w:r w:rsidRPr="009F63DF">
              <w:t xml:space="preserve">Consumption of primary fuel types </w:t>
            </w:r>
            <w:r w:rsidRPr="009F63DF">
              <w:rPr>
                <w:i/>
              </w:rPr>
              <w:t>i</w:t>
            </w:r>
            <w:r w:rsidRPr="009F63DF">
              <w:t xml:space="preserve"> in activity scenario in year </w:t>
            </w:r>
            <w:r w:rsidRPr="009F63DF">
              <w:rPr>
                <w:i/>
              </w:rPr>
              <w:t>y</w:t>
            </w:r>
            <w:r w:rsidRPr="009F63DF">
              <w:t xml:space="preserve"> (TJ)</w:t>
            </w:r>
          </w:p>
        </w:tc>
      </w:tr>
      <w:tr w:rsidR="001D5CA4" w:rsidRPr="009F63DF" w14:paraId="18F663B8" w14:textId="77777777" w:rsidTr="00F04DE3">
        <w:tc>
          <w:tcPr>
            <w:tcW w:w="1768" w:type="dxa"/>
            <w:vAlign w:val="top"/>
          </w:tcPr>
          <w:p w14:paraId="5BD1E831" w14:textId="121E6A2F" w:rsidR="001D5CA4" w:rsidRPr="009F63DF" w:rsidRDefault="001549D8" w:rsidP="00FD487A">
            <w:pPr>
              <w:pStyle w:val="SDMTableBoxParaNotNumbered"/>
            </w:pPr>
            <m:oMathPara>
              <m:oMathParaPr>
                <m:jc m:val="left"/>
              </m:oMathParaPr>
              <m:oMath>
                <m:sSub>
                  <m:sSubPr>
                    <m:ctrlPr>
                      <w:rPr>
                        <w:rFonts w:ascii="Cambria Math" w:hAnsi="Cambria Math"/>
                      </w:rPr>
                    </m:ctrlPr>
                  </m:sSubPr>
                  <m:e>
                    <m:r>
                      <w:rPr>
                        <w:rFonts w:ascii="Cambria Math" w:hAnsi="Cambria Math"/>
                      </w:rPr>
                      <m:t>EF</m:t>
                    </m:r>
                  </m:e>
                  <m:sub>
                    <m:r>
                      <w:rPr>
                        <w:rFonts w:ascii="Cambria Math" w:hAnsi="Cambria Math"/>
                      </w:rPr>
                      <m:t>i,nonCO2</m:t>
                    </m:r>
                  </m:sub>
                </m:sSub>
              </m:oMath>
            </m:oMathPara>
          </w:p>
        </w:tc>
        <w:tc>
          <w:tcPr>
            <w:tcW w:w="345" w:type="dxa"/>
            <w:vAlign w:val="top"/>
          </w:tcPr>
          <w:p w14:paraId="1EC59451" w14:textId="77777777" w:rsidR="001D5CA4" w:rsidRPr="009F63DF" w:rsidRDefault="001D5CA4" w:rsidP="00FD487A">
            <w:pPr>
              <w:pStyle w:val="SDMTableBoxParaNotNumbered"/>
            </w:pPr>
            <w:r w:rsidRPr="009F63DF">
              <w:t>=</w:t>
            </w:r>
          </w:p>
        </w:tc>
        <w:tc>
          <w:tcPr>
            <w:tcW w:w="0" w:type="auto"/>
            <w:vAlign w:val="top"/>
          </w:tcPr>
          <w:p w14:paraId="1CD7AC36" w14:textId="4E2C1BB8" w:rsidR="001D5CA4" w:rsidRPr="009F63DF" w:rsidRDefault="001D5CA4" w:rsidP="00FD487A">
            <w:pPr>
              <w:pStyle w:val="SDMTableBoxParaNotNumbered"/>
            </w:pPr>
            <w:r w:rsidRPr="009F63DF">
              <w:t>Non-CO</w:t>
            </w:r>
            <w:r w:rsidRPr="009F63DF">
              <w:rPr>
                <w:vertAlign w:val="subscript"/>
              </w:rPr>
              <w:t>2</w:t>
            </w:r>
            <w:r w:rsidRPr="009F63DF">
              <w:t xml:space="preserve"> emission factor for primary fuel types </w:t>
            </w:r>
            <w:r w:rsidR="00747AC5" w:rsidRPr="009F63DF">
              <w:rPr>
                <w:i/>
                <w:iCs/>
              </w:rPr>
              <w:t>i</w:t>
            </w:r>
            <w:r w:rsidRPr="009F63DF">
              <w:t xml:space="preserve"> (</w:t>
            </w:r>
            <w:r w:rsidR="00BA0F6D" w:rsidRPr="00BA0F6D">
              <w:t>t CO</w:t>
            </w:r>
            <w:r w:rsidR="00BA0F6D" w:rsidRPr="00BA0F6D">
              <w:rPr>
                <w:vertAlign w:val="subscript"/>
              </w:rPr>
              <w:t>2</w:t>
            </w:r>
            <w:r w:rsidR="00B90CC8">
              <w:t xml:space="preserve"> </w:t>
            </w:r>
            <w:r w:rsidR="00BA0F6D" w:rsidRPr="00BA0F6D">
              <w:t>eq</w:t>
            </w:r>
            <w:r w:rsidR="00BA0F6D" w:rsidRPr="009F63DF">
              <w:t xml:space="preserve"> </w:t>
            </w:r>
            <w:r w:rsidRPr="009F63DF">
              <w:t>/TJ)</w:t>
            </w:r>
          </w:p>
        </w:tc>
      </w:tr>
      <w:tr w:rsidR="001D5CA4" w:rsidRPr="009F63DF" w14:paraId="5455EADF" w14:textId="77777777" w:rsidTr="00F04DE3">
        <w:tc>
          <w:tcPr>
            <w:tcW w:w="1768" w:type="dxa"/>
            <w:vAlign w:val="top"/>
          </w:tcPr>
          <w:p w14:paraId="20635C63" w14:textId="44C68207" w:rsidR="001D5CA4" w:rsidRPr="009F63DF" w:rsidRDefault="001549D8" w:rsidP="00FD487A">
            <w:pPr>
              <w:pStyle w:val="SDMTableBoxParaNotNumbered"/>
            </w:pPr>
            <m:oMathPara>
              <m:oMathParaPr>
                <m:jc m:val="left"/>
              </m:oMathParaPr>
              <m:oMath>
                <m:sSub>
                  <m:sSubPr>
                    <m:ctrlPr>
                      <w:rPr>
                        <w:rFonts w:ascii="Cambria Math" w:hAnsi="Cambria Math"/>
                      </w:rPr>
                    </m:ctrlPr>
                  </m:sSubPr>
                  <m:e>
                    <m:r>
                      <w:rPr>
                        <w:rFonts w:ascii="Cambria Math" w:hAnsi="Cambria Math"/>
                      </w:rPr>
                      <m:t>EF</m:t>
                    </m:r>
                  </m:e>
                  <m:sub>
                    <m:r>
                      <w:rPr>
                        <w:rFonts w:ascii="Cambria Math" w:hAnsi="Cambria Math"/>
                      </w:rPr>
                      <m:t>i,nonCO2,upstream</m:t>
                    </m:r>
                  </m:sub>
                </m:sSub>
              </m:oMath>
            </m:oMathPara>
          </w:p>
        </w:tc>
        <w:tc>
          <w:tcPr>
            <w:tcW w:w="345" w:type="dxa"/>
            <w:vAlign w:val="top"/>
          </w:tcPr>
          <w:p w14:paraId="1EDC0A7F" w14:textId="0637CA49" w:rsidR="001D5CA4" w:rsidRPr="009F63DF" w:rsidRDefault="001D5CA4" w:rsidP="00FD487A">
            <w:pPr>
              <w:pStyle w:val="SDMTableBoxParaNotNumbered"/>
            </w:pPr>
            <w:r w:rsidRPr="009F63DF">
              <w:t>=</w:t>
            </w:r>
          </w:p>
        </w:tc>
        <w:tc>
          <w:tcPr>
            <w:tcW w:w="0" w:type="auto"/>
            <w:vAlign w:val="top"/>
          </w:tcPr>
          <w:p w14:paraId="7A8B7D61" w14:textId="0ED5F598" w:rsidR="001D5CA4" w:rsidRPr="009F63DF" w:rsidRDefault="001D5CA4" w:rsidP="00FD487A">
            <w:pPr>
              <w:pStyle w:val="SDMTableBoxParaNotNumbered"/>
            </w:pPr>
            <w:r w:rsidRPr="009F63DF">
              <w:t>Non-CO</w:t>
            </w:r>
            <w:r w:rsidRPr="009F63DF">
              <w:rPr>
                <w:vertAlign w:val="subscript"/>
              </w:rPr>
              <w:t>2</w:t>
            </w:r>
            <w:r w:rsidRPr="009F63DF">
              <w:t xml:space="preserve"> emission factor for upstream emissions for primary fuel types </w:t>
            </w:r>
            <w:r w:rsidR="00747AC5" w:rsidRPr="009F63DF">
              <w:rPr>
                <w:i/>
              </w:rPr>
              <w:t>i</w:t>
            </w:r>
            <w:r w:rsidR="00747AC5" w:rsidRPr="009F63DF">
              <w:t xml:space="preserve"> </w:t>
            </w:r>
            <w:r w:rsidRPr="009F63DF">
              <w:t>(</w:t>
            </w:r>
            <w:r w:rsidR="00BA0F6D" w:rsidRPr="00BA0F6D">
              <w:t>t CO</w:t>
            </w:r>
            <w:r w:rsidR="00BA0F6D" w:rsidRPr="00BA0F6D">
              <w:rPr>
                <w:vertAlign w:val="subscript"/>
              </w:rPr>
              <w:t>2</w:t>
            </w:r>
            <w:r w:rsidR="00B90CC8">
              <w:t xml:space="preserve"> </w:t>
            </w:r>
            <w:r w:rsidR="00BA0F6D" w:rsidRPr="00BA0F6D">
              <w:t>eq</w:t>
            </w:r>
            <w:r w:rsidR="00BA0F6D" w:rsidRPr="009F63DF">
              <w:t xml:space="preserve"> </w:t>
            </w:r>
            <w:r w:rsidRPr="009F63DF">
              <w:t>/</w:t>
            </w:r>
            <w:r w:rsidR="00747AC5" w:rsidRPr="009F63DF">
              <w:t xml:space="preserve"> </w:t>
            </w:r>
            <w:r w:rsidRPr="009F63DF">
              <w:t>TJ)</w:t>
            </w:r>
          </w:p>
        </w:tc>
      </w:tr>
      <w:tr w:rsidR="001D5CA4" w:rsidRPr="009F63DF" w14:paraId="7D20E605" w14:textId="77777777" w:rsidTr="00F04DE3">
        <w:tc>
          <w:tcPr>
            <w:tcW w:w="1768" w:type="dxa"/>
            <w:vAlign w:val="top"/>
          </w:tcPr>
          <w:p w14:paraId="1C9A6CC9" w14:textId="4F7CF4CA" w:rsidR="001D5CA4" w:rsidRPr="009F63DF" w:rsidRDefault="001549D8" w:rsidP="00FD487A">
            <w:pPr>
              <w:pStyle w:val="SDMTableBoxParaNotNumbered"/>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AE</m:t>
                    </m:r>
                  </m:e>
                  <m:sub>
                    <m:r>
                      <w:rPr>
                        <w:rFonts w:ascii="Cambria Math" w:eastAsia="Cambria Math" w:hAnsi="Cambria Math" w:cs="Cambria Math"/>
                        <w:lang w:eastAsia="en-US"/>
                      </w:rPr>
                      <m:t>nonCO2,j,y</m:t>
                    </m:r>
                  </m:sub>
                </m:sSub>
              </m:oMath>
            </m:oMathPara>
          </w:p>
        </w:tc>
        <w:tc>
          <w:tcPr>
            <w:tcW w:w="345" w:type="dxa"/>
            <w:vAlign w:val="top"/>
          </w:tcPr>
          <w:p w14:paraId="6B4C0F9E" w14:textId="25580E64" w:rsidR="001D5CA4" w:rsidRPr="009F63DF" w:rsidRDefault="001D5CA4" w:rsidP="00FD487A">
            <w:pPr>
              <w:pStyle w:val="SDMTableBoxParaNotNumbered"/>
            </w:pPr>
            <w:r w:rsidRPr="009F63DF">
              <w:t>=</w:t>
            </w:r>
          </w:p>
        </w:tc>
        <w:tc>
          <w:tcPr>
            <w:tcW w:w="0" w:type="auto"/>
            <w:vAlign w:val="top"/>
          </w:tcPr>
          <w:p w14:paraId="60000DDE" w14:textId="2D2B22A6" w:rsidR="001D5CA4" w:rsidRPr="009F63DF" w:rsidRDefault="001D5CA4" w:rsidP="00FD487A">
            <w:pPr>
              <w:pStyle w:val="SDMTableBoxParaNotNumbered"/>
            </w:pPr>
            <w:r w:rsidRPr="009F63DF">
              <w:t>Non- CO</w:t>
            </w:r>
            <w:r w:rsidRPr="009F63DF">
              <w:rPr>
                <w:vertAlign w:val="subscript"/>
              </w:rPr>
              <w:t>2</w:t>
            </w:r>
            <w:r w:rsidRPr="009F63DF">
              <w:t xml:space="preserve"> </w:t>
            </w:r>
            <w:r w:rsidR="00B63BFD" w:rsidRPr="009F63DF">
              <w:t>activity</w:t>
            </w:r>
            <w:r w:rsidRPr="009F63DF">
              <w:t xml:space="preserve"> emissions from secondary fuel types </w:t>
            </w:r>
            <w:r w:rsidRPr="009F63DF">
              <w:rPr>
                <w:i/>
              </w:rPr>
              <w:t>j</w:t>
            </w:r>
            <w:r w:rsidRPr="009F63DF">
              <w:t xml:space="preserve"> (</w:t>
            </w:r>
            <w:r w:rsidR="00BA0F6D" w:rsidRPr="00BA0F6D">
              <w:t>t CO</w:t>
            </w:r>
            <w:r w:rsidR="00BA0F6D" w:rsidRPr="00BA0F6D">
              <w:rPr>
                <w:vertAlign w:val="subscript"/>
              </w:rPr>
              <w:t>2</w:t>
            </w:r>
            <w:r w:rsidR="00B90CC8">
              <w:t xml:space="preserve"> </w:t>
            </w:r>
            <w:r w:rsidR="00BA0F6D" w:rsidRPr="00BA0F6D">
              <w:t>eq</w:t>
            </w:r>
            <w:r w:rsidRPr="009F63DF">
              <w:t>)</w:t>
            </w:r>
          </w:p>
        </w:tc>
      </w:tr>
      <w:tr w:rsidR="001D5CA4" w:rsidRPr="009F63DF" w14:paraId="71F4CA42" w14:textId="77777777" w:rsidTr="00F04DE3">
        <w:tc>
          <w:tcPr>
            <w:tcW w:w="1768" w:type="dxa"/>
            <w:vAlign w:val="top"/>
          </w:tcPr>
          <w:p w14:paraId="50D04191" w14:textId="7342EC30" w:rsidR="001D5CA4" w:rsidRPr="009F63DF" w:rsidRDefault="001549D8" w:rsidP="00FD487A">
            <w:pPr>
              <w:pStyle w:val="SDMTableBoxParaNotNumbered"/>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EC</m:t>
                    </m:r>
                  </m:e>
                  <m:sub>
                    <m:r>
                      <w:rPr>
                        <w:rFonts w:ascii="Cambria Math" w:eastAsia="Cambria Math" w:hAnsi="Cambria Math" w:cs="Cambria Math"/>
                        <w:lang w:eastAsia="en-US"/>
                      </w:rPr>
                      <m:t>proj,j,y</m:t>
                    </m:r>
                  </m:sub>
                </m:sSub>
              </m:oMath>
            </m:oMathPara>
          </w:p>
        </w:tc>
        <w:tc>
          <w:tcPr>
            <w:tcW w:w="345" w:type="dxa"/>
            <w:vAlign w:val="top"/>
          </w:tcPr>
          <w:p w14:paraId="60702B85" w14:textId="3E2CCAD3" w:rsidR="001D5CA4" w:rsidRPr="009F63DF" w:rsidRDefault="001D5CA4" w:rsidP="00FD487A">
            <w:pPr>
              <w:pStyle w:val="SDMTableBoxParaNotNumbered"/>
            </w:pPr>
            <w:r w:rsidRPr="009F63DF">
              <w:t>=</w:t>
            </w:r>
          </w:p>
        </w:tc>
        <w:tc>
          <w:tcPr>
            <w:tcW w:w="0" w:type="auto"/>
            <w:vAlign w:val="top"/>
          </w:tcPr>
          <w:p w14:paraId="4A4270F9" w14:textId="7DE741FA" w:rsidR="001D5CA4" w:rsidRPr="009F63DF" w:rsidRDefault="001D5CA4" w:rsidP="00FD487A">
            <w:pPr>
              <w:pStyle w:val="SDMTableBoxParaNotNumbered"/>
            </w:pPr>
            <w:r w:rsidRPr="009F63DF">
              <w:t xml:space="preserve">Consumption of secondary fuel types j in activity scenario in year </w:t>
            </w:r>
            <w:r w:rsidRPr="009F63DF">
              <w:rPr>
                <w:i/>
              </w:rPr>
              <w:t>y</w:t>
            </w:r>
            <w:r w:rsidRPr="009F63DF">
              <w:t xml:space="preserve"> (TJ)</w:t>
            </w:r>
          </w:p>
        </w:tc>
      </w:tr>
      <w:tr w:rsidR="001D5CA4" w:rsidRPr="009F63DF" w14:paraId="19C8C3DF" w14:textId="77777777" w:rsidTr="00F04DE3">
        <w:tc>
          <w:tcPr>
            <w:tcW w:w="1768" w:type="dxa"/>
            <w:vAlign w:val="top"/>
          </w:tcPr>
          <w:p w14:paraId="6E24D0CB" w14:textId="7FCF133E" w:rsidR="001D5CA4" w:rsidRPr="009F63DF" w:rsidRDefault="001549D8" w:rsidP="00FD487A">
            <w:pPr>
              <w:pStyle w:val="SDMTableBoxParaNotNumbered"/>
            </w:pPr>
            <m:oMathPara>
              <m:oMathParaPr>
                <m:jc m:val="left"/>
              </m:oMathParaPr>
              <m:oMath>
                <m:sSub>
                  <m:sSubPr>
                    <m:ctrlPr>
                      <w:rPr>
                        <w:rFonts w:ascii="Cambria Math" w:hAnsi="Cambria Math"/>
                        <w:i/>
                        <w:lang w:eastAsia="en-US"/>
                      </w:rPr>
                    </m:ctrlPr>
                  </m:sSubPr>
                  <m:e>
                    <m:r>
                      <w:rPr>
                        <w:rFonts w:ascii="Cambria Math" w:hAnsi="Cambria Math"/>
                        <w:lang w:eastAsia="en-US"/>
                      </w:rPr>
                      <m:t>EF</m:t>
                    </m:r>
                  </m:e>
                  <m:sub>
                    <m:r>
                      <w:rPr>
                        <w:rFonts w:ascii="Cambria Math" w:hAnsi="Cambria Math"/>
                        <w:lang w:eastAsia="en-US"/>
                      </w:rPr>
                      <m:t>j,nonCO2</m:t>
                    </m:r>
                  </m:sub>
                </m:sSub>
              </m:oMath>
            </m:oMathPara>
          </w:p>
        </w:tc>
        <w:tc>
          <w:tcPr>
            <w:tcW w:w="345" w:type="dxa"/>
            <w:vAlign w:val="top"/>
          </w:tcPr>
          <w:p w14:paraId="156AE46D" w14:textId="576DD8D8" w:rsidR="001D5CA4" w:rsidRPr="009F63DF" w:rsidRDefault="001D5CA4" w:rsidP="00FD487A">
            <w:pPr>
              <w:pStyle w:val="SDMTableBoxParaNotNumbered"/>
            </w:pPr>
            <w:r w:rsidRPr="009F63DF">
              <w:t>=</w:t>
            </w:r>
          </w:p>
        </w:tc>
        <w:tc>
          <w:tcPr>
            <w:tcW w:w="0" w:type="auto"/>
            <w:vAlign w:val="top"/>
          </w:tcPr>
          <w:p w14:paraId="40C9D3A2" w14:textId="22B76552" w:rsidR="001D5CA4" w:rsidRPr="009F63DF" w:rsidRDefault="001D5CA4" w:rsidP="00FD487A">
            <w:pPr>
              <w:pStyle w:val="SDMTableBoxParaNotNumbered"/>
            </w:pPr>
            <w:r w:rsidRPr="009F63DF">
              <w:t>Non-CO</w:t>
            </w:r>
            <w:r w:rsidRPr="009F63DF">
              <w:rPr>
                <w:vertAlign w:val="subscript"/>
              </w:rPr>
              <w:t>2</w:t>
            </w:r>
            <w:r w:rsidRPr="009F63DF">
              <w:t xml:space="preserve"> emission factor for secondary fuel types </w:t>
            </w:r>
            <w:r w:rsidRPr="009F63DF">
              <w:rPr>
                <w:i/>
              </w:rPr>
              <w:t>j</w:t>
            </w:r>
            <w:r w:rsidRPr="009F63DF">
              <w:t xml:space="preserve"> (</w:t>
            </w:r>
            <w:r w:rsidR="00BA0F6D" w:rsidRPr="00BA0F6D">
              <w:t>t CO</w:t>
            </w:r>
            <w:r w:rsidR="00BA0F6D" w:rsidRPr="00BA0F6D">
              <w:rPr>
                <w:vertAlign w:val="subscript"/>
              </w:rPr>
              <w:t>2</w:t>
            </w:r>
            <w:r w:rsidR="00B90CC8">
              <w:t xml:space="preserve"> </w:t>
            </w:r>
            <w:r w:rsidR="00BA0F6D" w:rsidRPr="00BA0F6D">
              <w:t>eq</w:t>
            </w:r>
            <w:r w:rsidR="00BA0F6D" w:rsidRPr="009F63DF">
              <w:t xml:space="preserve"> </w:t>
            </w:r>
            <w:r w:rsidRPr="009F63DF">
              <w:t>/</w:t>
            </w:r>
            <w:r w:rsidR="00747AC5" w:rsidRPr="009F63DF">
              <w:t xml:space="preserve"> </w:t>
            </w:r>
            <w:r w:rsidRPr="009F63DF">
              <w:t>TJ)</w:t>
            </w:r>
          </w:p>
        </w:tc>
      </w:tr>
      <w:tr w:rsidR="001D5CA4" w:rsidRPr="009F63DF" w14:paraId="18E5FA56" w14:textId="77777777" w:rsidTr="00F04DE3">
        <w:tc>
          <w:tcPr>
            <w:tcW w:w="1768" w:type="dxa"/>
            <w:vAlign w:val="top"/>
          </w:tcPr>
          <w:p w14:paraId="726763B3" w14:textId="0228D961" w:rsidR="001D5CA4" w:rsidRPr="009F63DF" w:rsidRDefault="001D5CA4" w:rsidP="00FD487A">
            <w:pPr>
              <w:pStyle w:val="SDMTableBoxParaNotNumbered"/>
            </w:pPr>
            <w:r w:rsidRPr="009F63DF">
              <w:rPr>
                <w:rFonts w:ascii="Cambria Math" w:hAnsi="Cambria Math"/>
                <w:i/>
              </w:rPr>
              <w:t>i</w:t>
            </w:r>
          </w:p>
        </w:tc>
        <w:tc>
          <w:tcPr>
            <w:tcW w:w="345" w:type="dxa"/>
            <w:vAlign w:val="top"/>
          </w:tcPr>
          <w:p w14:paraId="0368C1EB" w14:textId="2C24A84B" w:rsidR="001D5CA4" w:rsidRPr="009F63DF" w:rsidRDefault="001D5CA4" w:rsidP="00FD487A">
            <w:pPr>
              <w:pStyle w:val="SDMTableBoxParaNotNumbered"/>
            </w:pPr>
            <w:r w:rsidRPr="009F63DF">
              <w:t>=</w:t>
            </w:r>
          </w:p>
        </w:tc>
        <w:tc>
          <w:tcPr>
            <w:tcW w:w="0" w:type="auto"/>
            <w:vAlign w:val="top"/>
          </w:tcPr>
          <w:p w14:paraId="64E3F975" w14:textId="5BEC0F71" w:rsidR="001D5CA4" w:rsidRPr="009F63DF" w:rsidRDefault="001D5CA4" w:rsidP="00FD487A">
            <w:pPr>
              <w:pStyle w:val="SDMTableBoxParaNotNumbered"/>
            </w:pPr>
            <w:r w:rsidRPr="009F63DF">
              <w:t>Primary fuel types (fuelwood or charcoal)</w:t>
            </w:r>
          </w:p>
        </w:tc>
      </w:tr>
      <w:tr w:rsidR="001D5CA4" w:rsidRPr="009F63DF" w14:paraId="3F3192C4" w14:textId="77777777" w:rsidTr="00F04DE3">
        <w:tc>
          <w:tcPr>
            <w:tcW w:w="1768" w:type="dxa"/>
            <w:vAlign w:val="top"/>
          </w:tcPr>
          <w:p w14:paraId="33090546" w14:textId="67884F17" w:rsidR="001D5CA4" w:rsidRPr="009F63DF" w:rsidRDefault="001D5CA4" w:rsidP="00FD487A">
            <w:pPr>
              <w:pStyle w:val="SDMTableBoxParaNotNumbered"/>
            </w:pPr>
            <w:r w:rsidRPr="009F63DF">
              <w:rPr>
                <w:rFonts w:ascii="Cambria Math" w:hAnsi="Cambria Math"/>
                <w:i/>
              </w:rPr>
              <w:t>j</w:t>
            </w:r>
          </w:p>
        </w:tc>
        <w:tc>
          <w:tcPr>
            <w:tcW w:w="345" w:type="dxa"/>
            <w:vAlign w:val="top"/>
          </w:tcPr>
          <w:p w14:paraId="7C1C20EC" w14:textId="15590636" w:rsidR="001D5CA4" w:rsidRPr="009F63DF" w:rsidRDefault="001D5CA4" w:rsidP="00FD487A">
            <w:pPr>
              <w:pStyle w:val="SDMTableBoxParaNotNumbered"/>
            </w:pPr>
            <w:r w:rsidRPr="009F63DF">
              <w:t>=</w:t>
            </w:r>
          </w:p>
        </w:tc>
        <w:tc>
          <w:tcPr>
            <w:tcW w:w="0" w:type="auto"/>
            <w:vAlign w:val="top"/>
          </w:tcPr>
          <w:p w14:paraId="5E27FD69" w14:textId="38903246" w:rsidR="001D5CA4" w:rsidRPr="009F63DF" w:rsidRDefault="001D5CA4" w:rsidP="00FD487A">
            <w:pPr>
              <w:pStyle w:val="SDMTableBoxParaNotNumbered"/>
            </w:pPr>
            <w:r w:rsidRPr="009F63DF">
              <w:t>Secondary fuel types (e.g. fossil fuels or dung)</w:t>
            </w:r>
          </w:p>
        </w:tc>
      </w:tr>
      <w:tr w:rsidR="001D5CA4" w:rsidRPr="009F63DF" w14:paraId="21D3B979" w14:textId="77777777" w:rsidTr="00F04DE3">
        <w:tc>
          <w:tcPr>
            <w:tcW w:w="1768" w:type="dxa"/>
            <w:vAlign w:val="top"/>
          </w:tcPr>
          <w:p w14:paraId="0F1E4008" w14:textId="0736F86D" w:rsidR="001D5CA4" w:rsidRPr="009F63DF" w:rsidRDefault="001D5CA4" w:rsidP="00FD487A">
            <w:pPr>
              <w:pStyle w:val="SDMTableBoxParaNotNumbered"/>
            </w:pPr>
            <w:r w:rsidRPr="009F63DF">
              <w:rPr>
                <w:rFonts w:ascii="Cambria Math" w:hAnsi="Cambria Math"/>
                <w:i/>
              </w:rPr>
              <w:t>y</w:t>
            </w:r>
          </w:p>
        </w:tc>
        <w:tc>
          <w:tcPr>
            <w:tcW w:w="345" w:type="dxa"/>
            <w:vAlign w:val="top"/>
          </w:tcPr>
          <w:p w14:paraId="168B3871" w14:textId="5EE11B84" w:rsidR="001D5CA4" w:rsidRPr="009F63DF" w:rsidRDefault="001D5CA4" w:rsidP="00FD487A">
            <w:pPr>
              <w:pStyle w:val="SDMTableBoxParaNotNumbered"/>
            </w:pPr>
            <w:r w:rsidRPr="009F63DF">
              <w:t>=</w:t>
            </w:r>
          </w:p>
        </w:tc>
        <w:tc>
          <w:tcPr>
            <w:tcW w:w="0" w:type="auto"/>
            <w:vAlign w:val="top"/>
          </w:tcPr>
          <w:p w14:paraId="7601101A" w14:textId="1E53207F" w:rsidR="001D5CA4" w:rsidRPr="009F63DF" w:rsidRDefault="001D5CA4" w:rsidP="00FD487A">
            <w:pPr>
              <w:pStyle w:val="SDMTableBoxParaNotNumbered"/>
            </w:pPr>
            <w:r w:rsidRPr="009F63DF">
              <w:t>Calendar year of the crediting period</w:t>
            </w:r>
          </w:p>
        </w:tc>
      </w:tr>
    </w:tbl>
    <w:p w14:paraId="7209E290" w14:textId="12E18463" w:rsidR="001C2394" w:rsidRPr="009F63DF" w:rsidRDefault="009E57F5" w:rsidP="00E03E61">
      <w:pPr>
        <w:pStyle w:val="SDMPara"/>
      </w:pPr>
      <w:r w:rsidRPr="009F63DF">
        <w:rPr>
          <w:rFonts w:eastAsia="Montserrat"/>
          <w:color w:val="000000" w:themeColor="text1"/>
        </w:rPr>
        <w:t xml:space="preserve">Activities </w:t>
      </w:r>
      <w:r w:rsidR="00623EEC" w:rsidRPr="009F63DF">
        <w:rPr>
          <w:rFonts w:eastAsia="Montserrat"/>
          <w:color w:val="000000" w:themeColor="text1"/>
        </w:rPr>
        <w:t xml:space="preserve">shall </w:t>
      </w:r>
      <w:r w:rsidR="001C2394" w:rsidRPr="009F63DF">
        <w:rPr>
          <w:rFonts w:eastAsia="Montserrat"/>
          <w:color w:val="000000" w:themeColor="text1"/>
        </w:rPr>
        <w:t xml:space="preserve">determine energy consumption in the </w:t>
      </w:r>
      <w:r w:rsidR="00DC2023" w:rsidRPr="009F63DF">
        <w:rPr>
          <w:rFonts w:eastAsia="Montserrat"/>
          <w:color w:val="000000" w:themeColor="text1"/>
        </w:rPr>
        <w:t xml:space="preserve">activity </w:t>
      </w:r>
      <w:r w:rsidR="001C2394" w:rsidRPr="009F63DF">
        <w:rPr>
          <w:rFonts w:eastAsia="Montserrat"/>
          <w:color w:val="000000" w:themeColor="text1"/>
        </w:rPr>
        <w:t xml:space="preserve">scenario. Adjustments to account for the Hawthorne </w:t>
      </w:r>
      <w:r w:rsidR="003F57D7" w:rsidRPr="009F63DF">
        <w:rPr>
          <w:rFonts w:eastAsia="Montserrat"/>
          <w:color w:val="000000" w:themeColor="text1"/>
        </w:rPr>
        <w:t>e</w:t>
      </w:r>
      <w:r w:rsidR="001C2394" w:rsidRPr="009F63DF">
        <w:rPr>
          <w:rFonts w:eastAsia="Montserrat"/>
          <w:color w:val="000000" w:themeColor="text1"/>
        </w:rPr>
        <w:t>ffect are included below</w:t>
      </w:r>
      <w:r w:rsidR="003C6675" w:rsidRPr="009F63DF">
        <w:rPr>
          <w:rFonts w:eastAsia="Montserrat"/>
          <w:color w:val="000000" w:themeColor="text1"/>
        </w:rPr>
        <w:t xml:space="preserve"> </w:t>
      </w:r>
      <w:r w:rsidR="00AD524B" w:rsidRPr="009F63DF">
        <w:rPr>
          <w:rFonts w:eastAsia="Montserrat"/>
          <w:color w:val="000000" w:themeColor="text1"/>
        </w:rPr>
        <w:t>differentiated by application (or</w:t>
      </w:r>
      <w:r w:rsidR="00F11429" w:rsidRPr="009F63DF">
        <w:rPr>
          <w:rFonts w:eastAsia="Montserrat"/>
          <w:color w:val="000000" w:themeColor="text1"/>
        </w:rPr>
        <w:t> </w:t>
      </w:r>
      <w:r w:rsidR="00AD524B" w:rsidRPr="009F63DF">
        <w:rPr>
          <w:rFonts w:eastAsia="Montserrat"/>
          <w:color w:val="000000" w:themeColor="text1"/>
        </w:rPr>
        <w:t xml:space="preserve">non-application) of </w:t>
      </w:r>
      <w:r w:rsidR="00AD524B" w:rsidRPr="009F63DF">
        <w:rPr>
          <w:rFonts w:eastAsia="Montserrat"/>
        </w:rPr>
        <w:t>SUMs</w:t>
      </w:r>
      <w:r w:rsidR="001C2394" w:rsidRPr="009F63DF">
        <w:rPr>
          <w:rFonts w:eastAsia="Montserrat"/>
          <w:color w:val="000000" w:themeColor="text1"/>
        </w:rPr>
        <w:t>.</w:t>
      </w:r>
    </w:p>
    <w:p w14:paraId="0045A142" w14:textId="1FBDB3B5" w:rsidR="001C2394" w:rsidRPr="009F63DF" w:rsidRDefault="006B6EA7" w:rsidP="00E03E61">
      <w:pPr>
        <w:pStyle w:val="SDMPara"/>
      </w:pPr>
      <w:r w:rsidRPr="009F63DF">
        <w:rPr>
          <w:rFonts w:eastAsia="Montserrat"/>
          <w:color w:val="000000" w:themeColor="text2"/>
        </w:rPr>
        <w:t>F</w:t>
      </w:r>
      <w:r w:rsidR="00703E5A" w:rsidRPr="009F63DF">
        <w:rPr>
          <w:rFonts w:eastAsia="Montserrat"/>
          <w:color w:val="000000" w:themeColor="text2"/>
        </w:rPr>
        <w:t>uel consumption in the activity scenario</w:t>
      </w:r>
      <w:r w:rsidRPr="009F63DF">
        <w:rPr>
          <w:rFonts w:eastAsia="Montserrat"/>
          <w:color w:val="000000" w:themeColor="text2"/>
        </w:rPr>
        <w:t xml:space="preserve"> is determined</w:t>
      </w:r>
      <w:r w:rsidR="001C2394" w:rsidRPr="009F63DF">
        <w:rPr>
          <w:rFonts w:eastAsia="Montserrat"/>
          <w:color w:val="000000" w:themeColor="text2"/>
        </w:rPr>
        <w:t xml:space="preserve"> through a representative sample with direct measurements of fuel </w:t>
      </w:r>
      <w:r w:rsidR="001C2394" w:rsidRPr="009F63DF">
        <w:rPr>
          <w:rFonts w:eastAsia="Montserrat"/>
        </w:rPr>
        <w:t>using</w:t>
      </w:r>
      <w:r w:rsidR="001C2394" w:rsidRPr="009F63DF">
        <w:rPr>
          <w:rFonts w:eastAsia="Montserrat"/>
          <w:color w:val="000000" w:themeColor="text2"/>
        </w:rPr>
        <w:t xml:space="preserve"> KPT</w:t>
      </w:r>
      <w:r w:rsidR="00623EEC" w:rsidRPr="009F63DF">
        <w:rPr>
          <w:rFonts w:eastAsia="Montserrat"/>
          <w:color w:val="000000" w:themeColor="text2"/>
        </w:rPr>
        <w:t>s</w:t>
      </w:r>
      <w:r w:rsidR="004A423C" w:rsidRPr="009F63DF">
        <w:rPr>
          <w:rFonts w:eastAsia="Montserrat"/>
          <w:color w:val="000000" w:themeColor="text2"/>
        </w:rPr>
        <w:t xml:space="preserve"> in compliance with the </w:t>
      </w:r>
      <w:r w:rsidR="007D432A" w:rsidRPr="009F63DF">
        <w:rPr>
          <w:rFonts w:eastAsia="Montserrat"/>
          <w:color w:val="000000" w:themeColor="text2"/>
        </w:rPr>
        <w:t xml:space="preserve">sampling </w:t>
      </w:r>
      <w:r w:rsidR="007D432A" w:rsidRPr="009F63DF" w:rsidDel="002867F5">
        <w:rPr>
          <w:rFonts w:eastAsia="Montserrat"/>
          <w:color w:val="000000" w:themeColor="text2"/>
        </w:rPr>
        <w:t xml:space="preserve">and surveys </w:t>
      </w:r>
      <w:r w:rsidR="007D432A" w:rsidRPr="009F63DF">
        <w:rPr>
          <w:rFonts w:eastAsia="Montserrat"/>
          <w:color w:val="000000" w:themeColor="text2"/>
        </w:rPr>
        <w:t>tool</w:t>
      </w:r>
      <w:r w:rsidR="001C2394" w:rsidRPr="009F63DF">
        <w:rPr>
          <w:rFonts w:eastAsia="Montserrat"/>
          <w:color w:val="000000" w:themeColor="text2"/>
        </w:rPr>
        <w:t>. The KPT</w:t>
      </w:r>
      <w:r w:rsidR="00465F61" w:rsidRPr="009F63DF">
        <w:rPr>
          <w:rFonts w:eastAsia="Montserrat"/>
          <w:color w:val="000000" w:themeColor="text2"/>
        </w:rPr>
        <w:t>s</w:t>
      </w:r>
      <w:r w:rsidR="001C2394" w:rsidRPr="009F63DF">
        <w:rPr>
          <w:rFonts w:eastAsia="Montserrat"/>
          <w:color w:val="000000" w:themeColor="text2"/>
        </w:rPr>
        <w:t xml:space="preserve"> shall measure use of all fuel types by all cooking devices </w:t>
      </w:r>
      <w:r w:rsidR="00465F61" w:rsidRPr="009F63DF">
        <w:rPr>
          <w:rFonts w:eastAsia="Montserrat"/>
          <w:color w:val="000000" w:themeColor="text2"/>
        </w:rPr>
        <w:t>(</w:t>
      </w:r>
      <w:r w:rsidR="006B6B39" w:rsidRPr="009F63DF">
        <w:rPr>
          <w:rFonts w:eastAsia="Montserrat"/>
          <w:color w:val="000000" w:themeColor="text2"/>
        </w:rPr>
        <w:t xml:space="preserve">activity </w:t>
      </w:r>
      <w:r w:rsidR="00465F61" w:rsidRPr="009F63DF">
        <w:rPr>
          <w:rFonts w:eastAsia="Montserrat"/>
          <w:color w:val="000000" w:themeColor="text2"/>
        </w:rPr>
        <w:t>cookstoves and otherwise)</w:t>
      </w:r>
      <w:r w:rsidR="001C2394" w:rsidRPr="009F63DF">
        <w:rPr>
          <w:rFonts w:eastAsia="Montserrat"/>
          <w:color w:val="000000" w:themeColor="text2"/>
        </w:rPr>
        <w:t xml:space="preserve"> in the activity household.</w:t>
      </w:r>
      <w:r w:rsidR="00207F2E" w:rsidRPr="009F63DF">
        <w:rPr>
          <w:rFonts w:eastAsia="Montserrat"/>
          <w:color w:val="000000" w:themeColor="text2"/>
        </w:rPr>
        <w:t xml:space="preserve"> The results from the KPT</w:t>
      </w:r>
      <w:r w:rsidR="0035237B" w:rsidRPr="009F63DF">
        <w:rPr>
          <w:rFonts w:eastAsia="Montserrat"/>
          <w:color w:val="000000" w:themeColor="text2"/>
        </w:rPr>
        <w:t>s</w:t>
      </w:r>
      <w:r w:rsidR="00207F2E" w:rsidRPr="009F63DF">
        <w:rPr>
          <w:rFonts w:eastAsia="Montserrat"/>
          <w:color w:val="000000" w:themeColor="text2"/>
        </w:rPr>
        <w:t xml:space="preserve"> shall be converted to energy terms following </w:t>
      </w:r>
      <w:r w:rsidR="00FE5C2F" w:rsidRPr="009F63DF">
        <w:rPr>
          <w:rFonts w:eastAsia="Montserrat"/>
          <w:color w:val="000000" w:themeColor="text2"/>
        </w:rPr>
        <w:t>e</w:t>
      </w:r>
      <w:r w:rsidR="00207F2E" w:rsidRPr="009F63DF">
        <w:rPr>
          <w:rFonts w:eastAsia="Montserrat"/>
          <w:color w:val="000000" w:themeColor="text2"/>
        </w:rPr>
        <w:t>quation (</w:t>
      </w:r>
      <w:r w:rsidR="00A06436" w:rsidRPr="009F63DF">
        <w:rPr>
          <w:rFonts w:eastAsia="Montserrat"/>
          <w:color w:val="000000" w:themeColor="text2"/>
        </w:rPr>
        <w:t>25</w:t>
      </w:r>
      <w:r w:rsidR="00207F2E" w:rsidRPr="009F63DF">
        <w:rPr>
          <w:rFonts w:eastAsia="Montserrat"/>
          <w:color w:val="000000" w:themeColor="text2"/>
        </w:rPr>
        <w:t xml:space="preserve">) prior to </w:t>
      </w:r>
      <w:r w:rsidR="00DF5763" w:rsidRPr="009F63DF">
        <w:rPr>
          <w:rFonts w:eastAsia="Montserrat"/>
          <w:color w:val="000000" w:themeColor="text2"/>
        </w:rPr>
        <w:t xml:space="preserve">their </w:t>
      </w:r>
      <w:r w:rsidR="004A423C" w:rsidRPr="009F63DF">
        <w:rPr>
          <w:rFonts w:eastAsia="Montserrat"/>
          <w:color w:val="000000" w:themeColor="text2"/>
        </w:rPr>
        <w:t xml:space="preserve">aggregation and </w:t>
      </w:r>
      <w:r w:rsidR="00DF5763" w:rsidRPr="009F63DF">
        <w:rPr>
          <w:rFonts w:eastAsia="Montserrat"/>
          <w:color w:val="000000" w:themeColor="text2"/>
        </w:rPr>
        <w:t xml:space="preserve">use in </w:t>
      </w:r>
      <w:r w:rsidR="00FE5C2F" w:rsidRPr="009F63DF">
        <w:rPr>
          <w:rFonts w:eastAsia="Montserrat"/>
          <w:color w:val="000000" w:themeColor="text2"/>
        </w:rPr>
        <w:t>e</w:t>
      </w:r>
      <w:r w:rsidR="00DF5763" w:rsidRPr="009F63DF">
        <w:rPr>
          <w:rFonts w:eastAsia="Montserrat"/>
          <w:color w:val="000000" w:themeColor="text2"/>
        </w:rPr>
        <w:t>quation</w:t>
      </w:r>
      <w:r w:rsidR="00154794" w:rsidRPr="009F63DF">
        <w:rPr>
          <w:rFonts w:eastAsia="Montserrat"/>
          <w:color w:val="000000" w:themeColor="text2"/>
        </w:rPr>
        <w:t>s</w:t>
      </w:r>
      <w:r w:rsidR="00DF5763" w:rsidRPr="009F63DF">
        <w:rPr>
          <w:rFonts w:eastAsia="Montserrat"/>
          <w:color w:val="000000" w:themeColor="text2"/>
        </w:rPr>
        <w:t xml:space="preserve"> (</w:t>
      </w:r>
      <w:r w:rsidR="001672D1" w:rsidRPr="009F63DF">
        <w:rPr>
          <w:rFonts w:eastAsia="Montserrat"/>
          <w:color w:val="000000" w:themeColor="text2"/>
        </w:rPr>
        <w:t>31</w:t>
      </w:r>
      <w:r w:rsidR="00DF5763" w:rsidRPr="009F63DF">
        <w:rPr>
          <w:rFonts w:eastAsia="Montserrat"/>
          <w:color w:val="000000" w:themeColor="text2"/>
        </w:rPr>
        <w:t>)</w:t>
      </w:r>
      <w:r w:rsidR="00157394" w:rsidRPr="009F63DF">
        <w:rPr>
          <w:rFonts w:eastAsia="Montserrat"/>
          <w:iCs/>
        </w:rPr>
        <w:t xml:space="preserve"> </w:t>
      </w:r>
      <w:r w:rsidR="00154794" w:rsidRPr="009F63DF">
        <w:rPr>
          <w:rFonts w:eastAsia="Montserrat"/>
          <w:iCs/>
        </w:rPr>
        <w:t xml:space="preserve">and </w:t>
      </w:r>
      <w:r w:rsidR="00154794" w:rsidRPr="009F63DF">
        <w:rPr>
          <w:rFonts w:eastAsia="Montserrat"/>
          <w:color w:val="000000" w:themeColor="text2"/>
        </w:rPr>
        <w:t>(</w:t>
      </w:r>
      <w:r w:rsidR="001672D1" w:rsidRPr="009F63DF">
        <w:rPr>
          <w:rFonts w:eastAsia="Montserrat"/>
          <w:color w:val="000000" w:themeColor="text2"/>
        </w:rPr>
        <w:t>32</w:t>
      </w:r>
      <w:r w:rsidR="00154794" w:rsidRPr="009F63DF">
        <w:rPr>
          <w:rFonts w:eastAsia="Montserrat"/>
          <w:color w:val="000000" w:themeColor="text2"/>
        </w:rPr>
        <w:t>)</w:t>
      </w:r>
      <w:r w:rsidR="0035237B" w:rsidRPr="009F63DF">
        <w:rPr>
          <w:rFonts w:eastAsia="Montserrat"/>
          <w:color w:val="000000" w:themeColor="text2"/>
        </w:rPr>
        <w:t xml:space="preserve"> </w:t>
      </w:r>
      <w:r w:rsidR="00157394" w:rsidRPr="009F63DF">
        <w:rPr>
          <w:rFonts w:eastAsia="Montserrat"/>
          <w:iCs/>
        </w:rPr>
        <w:t xml:space="preserve">on the basis of each </w:t>
      </w:r>
      <w:r w:rsidR="00157394" w:rsidRPr="009F63DF">
        <w:t>calendar year (or partial calendar year) of the crediting period</w:t>
      </w:r>
      <w:r w:rsidR="00DF5763" w:rsidRPr="009F63DF">
        <w:rPr>
          <w:rFonts w:eastAsia="Montserrat"/>
          <w:color w:val="000000" w:themeColor="text2"/>
        </w:rPr>
        <w:t>.</w:t>
      </w:r>
    </w:p>
    <w:tbl>
      <w:tblPr>
        <w:tblStyle w:val="SDMMethTableEquation"/>
        <w:tblW w:w="8760" w:type="dxa"/>
        <w:tblLook w:val="0600" w:firstRow="0" w:lastRow="0" w:firstColumn="0" w:lastColumn="0" w:noHBand="1" w:noVBand="1"/>
      </w:tblPr>
      <w:tblGrid>
        <w:gridCol w:w="7017"/>
        <w:gridCol w:w="1639"/>
        <w:gridCol w:w="104"/>
      </w:tblGrid>
      <w:tr w:rsidR="00B21E9B" w:rsidRPr="009F63DF" w14:paraId="0BCE8FE0" w14:textId="77777777" w:rsidTr="00C5477B">
        <w:tc>
          <w:tcPr>
            <w:tcW w:w="7224" w:type="dxa"/>
          </w:tcPr>
          <w:p w14:paraId="5BF045FB" w14:textId="218359BE" w:rsidR="00B21E9B" w:rsidRPr="009F63DF" w:rsidRDefault="001549D8" w:rsidP="00C5477B">
            <w:pPr>
              <w:pStyle w:val="SDMMethEquation"/>
            </w:pPr>
            <m:oMathPara>
              <m:oMathParaPr>
                <m:jc m:val="left"/>
              </m:oMathParaPr>
              <m:oMath>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EC</m:t>
                    </m:r>
                  </m:e>
                  <m:sub>
                    <m:r>
                      <w:rPr>
                        <w:rFonts w:ascii="Cambria Math" w:eastAsia="Cambria Math" w:hAnsi="Cambria Math" w:cs="Cambria Math"/>
                        <w:color w:val="000000" w:themeColor="text1"/>
                        <w:sz w:val="24"/>
                        <w:szCs w:val="24"/>
                        <w:lang w:eastAsia="en-US"/>
                      </w:rPr>
                      <m:t>proj,i,y</m:t>
                    </m:r>
                  </m:sub>
                </m:sSub>
                <m:r>
                  <w:rPr>
                    <w:rFonts w:ascii="Cambria Math" w:eastAsia="Cambria Math" w:hAnsi="Cambria Math" w:cs="Cambria Math"/>
                    <w:color w:val="000000" w:themeColor="text1"/>
                    <w:sz w:val="24"/>
                    <w:szCs w:val="24"/>
                    <w:lang w:eastAsia="en-US"/>
                  </w:rPr>
                  <m:t>=</m:t>
                </m:r>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H</m:t>
                    </m:r>
                  </m:e>
                  <m:sub>
                    <m:r>
                      <w:rPr>
                        <w:rFonts w:ascii="Cambria Math" w:eastAsia="Cambria Math" w:hAnsi="Cambria Math" w:cs="Cambria Math"/>
                        <w:color w:val="000000" w:themeColor="text1"/>
                        <w:sz w:val="24"/>
                        <w:szCs w:val="24"/>
                        <w:lang w:eastAsia="en-US"/>
                      </w:rPr>
                      <m:t>y</m:t>
                    </m:r>
                  </m:sub>
                </m:sSub>
                <m:r>
                  <w:rPr>
                    <w:rFonts w:ascii="Cambria Math" w:eastAsia="Cambria Math" w:hAnsi="Cambria Math" w:cs="Cambria Math"/>
                    <w:color w:val="000000" w:themeColor="text1"/>
                    <w:sz w:val="24"/>
                    <w:szCs w:val="24"/>
                    <w:lang w:eastAsia="en-US"/>
                  </w:rPr>
                  <m:t>×</m:t>
                </m:r>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FEC</m:t>
                    </m:r>
                  </m:e>
                  <m:sub>
                    <m:r>
                      <w:rPr>
                        <w:rFonts w:ascii="Cambria Math" w:eastAsia="Cambria Math" w:hAnsi="Cambria Math" w:cs="Cambria Math"/>
                        <w:color w:val="000000" w:themeColor="text1"/>
                        <w:sz w:val="24"/>
                        <w:szCs w:val="24"/>
                        <w:lang w:eastAsia="en-US"/>
                      </w:rPr>
                      <m:t>proj,i,y</m:t>
                    </m:r>
                  </m:sub>
                </m:sSub>
                <m:r>
                  <w:rPr>
                    <w:rFonts w:ascii="Cambria Math" w:eastAsia="Cambria Math" w:hAnsi="Cambria Math" w:cs="Cambria Math"/>
                    <w:color w:val="000000" w:themeColor="text1"/>
                    <w:sz w:val="24"/>
                    <w:szCs w:val="24"/>
                    <w:lang w:eastAsia="en-US"/>
                  </w:rPr>
                  <m:t>×</m:t>
                </m:r>
                <m:f>
                  <m:fPr>
                    <m:ctrlPr>
                      <w:rPr>
                        <w:rFonts w:ascii="Cambria Math" w:eastAsia="Cambria Math" w:hAnsi="Cambria Math" w:cs="Cambria Math"/>
                        <w:i/>
                        <w:color w:val="000000" w:themeColor="text1"/>
                        <w:lang w:eastAsia="en-US"/>
                      </w:rPr>
                    </m:ctrlPr>
                  </m:fPr>
                  <m:num>
                    <m:sSub>
                      <m:sSubPr>
                        <m:ctrlPr>
                          <w:rPr>
                            <w:rFonts w:ascii="Cambria Math" w:eastAsia="Cambria Math" w:hAnsi="Cambria Math" w:cs="Cambria Math"/>
                            <w:i/>
                            <w:lang w:eastAsia="en-US"/>
                          </w:rPr>
                        </m:ctrlPr>
                      </m:sSubPr>
                      <m:e>
                        <m:sSub>
                          <m:sSubPr>
                            <m:ctrlPr>
                              <w:rPr>
                                <w:rFonts w:ascii="Cambria Math" w:eastAsia="Cambria Math" w:hAnsi="Cambria Math" w:cs="Cambria Math"/>
                                <w:sz w:val="24"/>
                                <w:szCs w:val="24"/>
                                <w:lang w:eastAsia="en-US"/>
                              </w:rPr>
                            </m:ctrlPr>
                          </m:sSubPr>
                          <m:e>
                            <m:r>
                              <w:rPr>
                                <w:rFonts w:ascii="Cambria Math" w:eastAsia="Roboto" w:hAnsi="Cambria Math" w:cs="Roboto"/>
                                <w:color w:val="040C28"/>
                                <w:sz w:val="30"/>
                                <w:szCs w:val="30"/>
                                <w:lang w:eastAsia="en-US"/>
                              </w:rPr>
                              <m:t>Ψ</m:t>
                            </m:r>
                          </m:e>
                          <m:sub>
                            <m:r>
                              <w:rPr>
                                <w:rFonts w:ascii="Cambria Math" w:eastAsia="Cambria Math" w:hAnsi="Cambria Math" w:cs="Cambria Math"/>
                                <w:sz w:val="24"/>
                                <w:szCs w:val="24"/>
                                <w:lang w:eastAsia="en-US"/>
                              </w:rPr>
                              <m:t>y</m:t>
                            </m:r>
                          </m:sub>
                        </m:sSub>
                        <m:r>
                          <w:rPr>
                            <w:rFonts w:ascii="Cambria Math" w:eastAsia="Cambria Math" w:hAnsi="Cambria Math" w:cs="Cambria Math"/>
                            <w:sz w:val="24"/>
                            <w:szCs w:val="24"/>
                            <w:lang w:eastAsia="en-US"/>
                          </w:rPr>
                          <m:t>×</m:t>
                        </m:r>
                        <m:nary>
                          <m:naryPr>
                            <m:chr m:val="∑"/>
                            <m:limLoc m:val="subSup"/>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h</m:t>
                            </m:r>
                          </m:sub>
                          <m:sup/>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Days</m:t>
                                </m:r>
                              </m:e>
                              <m:sub>
                                <m:r>
                                  <w:rPr>
                                    <w:rFonts w:ascii="Cambria Math" w:eastAsia="Cambria Math" w:hAnsi="Cambria Math" w:cs="Cambria Math"/>
                                    <w:lang w:eastAsia="en-US"/>
                                  </w:rPr>
                                  <m:t>y,h</m:t>
                                </m:r>
                              </m:sub>
                            </m:sSub>
                          </m:e>
                        </m:nary>
                      </m:e>
                      <m:sub/>
                    </m:sSub>
                    <m:ctrlPr>
                      <w:rPr>
                        <w:rFonts w:ascii="Cambria Math" w:eastAsia="Cambria Math" w:hAnsi="Cambria Math" w:cs="Cambria Math"/>
                        <w:i/>
                        <w:color w:val="000000" w:themeColor="text1"/>
                        <w:sz w:val="24"/>
                        <w:szCs w:val="24"/>
                        <w:lang w:eastAsia="en-US"/>
                      </w:rPr>
                    </m:ctrlPr>
                  </m:num>
                  <m:den>
                    <m:sSub>
                      <m:sSubPr>
                        <m:ctrlPr>
                          <w:rPr>
                            <w:rFonts w:ascii="Cambria Math" w:eastAsia="Cambria Math" w:hAnsi="Cambria Math"/>
                            <w:i/>
                            <w:color w:val="000000" w:themeColor="text1"/>
                            <w:sz w:val="20"/>
                          </w:rPr>
                        </m:ctrlPr>
                      </m:sSubPr>
                      <m:e>
                        <m:r>
                          <w:rPr>
                            <w:rFonts w:ascii="Cambria Math" w:eastAsia="Cambria Math" w:hAnsi="Cambria Math"/>
                            <w:color w:val="000000" w:themeColor="text1"/>
                          </w:rPr>
                          <m:t>CD</m:t>
                        </m:r>
                      </m:e>
                      <m:sub>
                        <m:r>
                          <w:rPr>
                            <w:rFonts w:ascii="Cambria Math" w:eastAsia="Cambria Math" w:hAnsi="Cambria Math"/>
                            <w:color w:val="000000" w:themeColor="text1"/>
                          </w:rPr>
                          <m:t>y</m:t>
                        </m:r>
                      </m:sub>
                    </m:sSub>
                  </m:den>
                </m:f>
              </m:oMath>
            </m:oMathPara>
          </w:p>
        </w:tc>
        <w:tc>
          <w:tcPr>
            <w:tcW w:w="1701" w:type="dxa"/>
            <w:gridSpan w:val="2"/>
          </w:tcPr>
          <w:p w14:paraId="2BB9A3D3" w14:textId="77777777" w:rsidR="00B21E9B" w:rsidRPr="009F63DF" w:rsidRDefault="00B21E9B" w:rsidP="00AF1AC1">
            <w:pPr>
              <w:pStyle w:val="SDMMethEquationNr"/>
              <w:numPr>
                <w:ilvl w:val="0"/>
                <w:numId w:val="29"/>
              </w:numPr>
              <w:ind w:right="119"/>
            </w:pPr>
          </w:p>
        </w:tc>
      </w:tr>
      <w:tr w:rsidR="00B21E9B" w:rsidRPr="009F63DF" w14:paraId="01925485" w14:textId="77777777" w:rsidTr="00C5477B">
        <w:trPr>
          <w:gridAfter w:val="1"/>
          <w:wAfter w:w="108" w:type="dxa"/>
        </w:trPr>
        <w:tc>
          <w:tcPr>
            <w:tcW w:w="7224" w:type="dxa"/>
          </w:tcPr>
          <w:p w14:paraId="0EC9D58C" w14:textId="30E62E79" w:rsidR="00B21E9B" w:rsidRPr="009F63DF" w:rsidRDefault="001549D8" w:rsidP="00C5477B">
            <w:pPr>
              <w:pStyle w:val="SDMMethEquation"/>
            </w:pPr>
            <m:oMathPara>
              <m:oMathParaPr>
                <m:jc m:val="left"/>
              </m:oMathParaPr>
              <m:oMath>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EC</m:t>
                    </m:r>
                  </m:e>
                  <m:sub>
                    <m:r>
                      <w:rPr>
                        <w:rFonts w:ascii="Cambria Math" w:eastAsia="Cambria Math" w:hAnsi="Cambria Math" w:cs="Cambria Math"/>
                        <w:color w:val="000000" w:themeColor="text1"/>
                        <w:sz w:val="24"/>
                        <w:szCs w:val="24"/>
                        <w:lang w:eastAsia="en-US"/>
                      </w:rPr>
                      <m:t>proj,j,y</m:t>
                    </m:r>
                  </m:sub>
                </m:sSub>
                <m:r>
                  <w:rPr>
                    <w:rFonts w:ascii="Cambria Math" w:eastAsia="Cambria Math" w:hAnsi="Cambria Math" w:cs="Cambria Math"/>
                    <w:color w:val="000000" w:themeColor="text1"/>
                    <w:sz w:val="24"/>
                    <w:szCs w:val="24"/>
                    <w:lang w:eastAsia="en-US"/>
                  </w:rPr>
                  <m:t>=</m:t>
                </m:r>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H</m:t>
                    </m:r>
                  </m:e>
                  <m:sub>
                    <m:r>
                      <w:rPr>
                        <w:rFonts w:ascii="Cambria Math" w:eastAsia="Cambria Math" w:hAnsi="Cambria Math" w:cs="Cambria Math"/>
                        <w:color w:val="000000" w:themeColor="text1"/>
                        <w:sz w:val="24"/>
                        <w:szCs w:val="24"/>
                        <w:lang w:eastAsia="en-US"/>
                      </w:rPr>
                      <m:t>y</m:t>
                    </m:r>
                  </m:sub>
                </m:sSub>
                <m:r>
                  <w:rPr>
                    <w:rFonts w:ascii="Cambria Math" w:eastAsia="Cambria Math" w:hAnsi="Cambria Math" w:cs="Cambria Math"/>
                    <w:color w:val="000000" w:themeColor="text1"/>
                    <w:sz w:val="24"/>
                    <w:szCs w:val="24"/>
                    <w:lang w:eastAsia="en-US"/>
                  </w:rPr>
                  <m:t>×</m:t>
                </m:r>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FEC</m:t>
                    </m:r>
                  </m:e>
                  <m:sub>
                    <m:r>
                      <w:rPr>
                        <w:rFonts w:ascii="Cambria Math" w:eastAsia="Cambria Math" w:hAnsi="Cambria Math" w:cs="Cambria Math"/>
                        <w:color w:val="000000" w:themeColor="text1"/>
                        <w:sz w:val="24"/>
                        <w:szCs w:val="24"/>
                        <w:lang w:eastAsia="en-US"/>
                      </w:rPr>
                      <m:t>proj,j,y</m:t>
                    </m:r>
                  </m:sub>
                </m:sSub>
                <m:r>
                  <w:rPr>
                    <w:rFonts w:ascii="Cambria Math" w:eastAsia="Cambria Math" w:hAnsi="Cambria Math" w:cs="Cambria Math"/>
                    <w:color w:val="000000" w:themeColor="text1"/>
                    <w:sz w:val="24"/>
                    <w:szCs w:val="24"/>
                    <w:lang w:eastAsia="en-US"/>
                  </w:rPr>
                  <m:t>×</m:t>
                </m:r>
                <m:f>
                  <m:fPr>
                    <m:ctrlPr>
                      <w:rPr>
                        <w:rFonts w:ascii="Cambria Math" w:eastAsia="Cambria Math" w:hAnsi="Cambria Math" w:cs="Cambria Math"/>
                        <w:i/>
                        <w:color w:val="000000" w:themeColor="text1"/>
                        <w:lang w:eastAsia="en-US"/>
                      </w:rPr>
                    </m:ctrlPr>
                  </m:fPr>
                  <m:num>
                    <m:sSub>
                      <m:sSubPr>
                        <m:ctrlPr>
                          <w:rPr>
                            <w:rFonts w:ascii="Cambria Math" w:eastAsia="Cambria Math" w:hAnsi="Cambria Math" w:cs="Cambria Math"/>
                            <w:i/>
                            <w:lang w:eastAsia="en-US"/>
                          </w:rPr>
                        </m:ctrlPr>
                      </m:sSubPr>
                      <m:e>
                        <m:sSub>
                          <m:sSubPr>
                            <m:ctrlPr>
                              <w:rPr>
                                <w:rFonts w:ascii="Cambria Math" w:eastAsia="Cambria Math" w:hAnsi="Cambria Math" w:cs="Cambria Math"/>
                                <w:sz w:val="24"/>
                                <w:szCs w:val="24"/>
                                <w:lang w:eastAsia="en-US"/>
                              </w:rPr>
                            </m:ctrlPr>
                          </m:sSubPr>
                          <m:e>
                            <m:r>
                              <w:rPr>
                                <w:rFonts w:ascii="Cambria Math" w:eastAsia="Roboto" w:hAnsi="Cambria Math" w:cs="Roboto"/>
                                <w:color w:val="040C28"/>
                                <w:sz w:val="30"/>
                                <w:szCs w:val="30"/>
                                <w:lang w:eastAsia="en-US"/>
                              </w:rPr>
                              <m:t>Ψ</m:t>
                            </m:r>
                          </m:e>
                          <m:sub>
                            <m:r>
                              <w:rPr>
                                <w:rFonts w:ascii="Cambria Math" w:eastAsia="Cambria Math" w:hAnsi="Cambria Math" w:cs="Cambria Math"/>
                                <w:sz w:val="24"/>
                                <w:szCs w:val="24"/>
                                <w:lang w:eastAsia="en-US"/>
                              </w:rPr>
                              <m:t>y</m:t>
                            </m:r>
                          </m:sub>
                        </m:sSub>
                        <m:r>
                          <w:rPr>
                            <w:rFonts w:ascii="Cambria Math" w:eastAsia="Cambria Math" w:hAnsi="Cambria Math" w:cs="Cambria Math"/>
                            <w:sz w:val="24"/>
                            <w:szCs w:val="24"/>
                            <w:lang w:eastAsia="en-US"/>
                          </w:rPr>
                          <m:t>×</m:t>
                        </m:r>
                        <m:nary>
                          <m:naryPr>
                            <m:chr m:val="∑"/>
                            <m:limLoc m:val="subSup"/>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h</m:t>
                            </m:r>
                          </m:sub>
                          <m:sup/>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Days</m:t>
                                </m:r>
                              </m:e>
                              <m:sub>
                                <m:r>
                                  <w:rPr>
                                    <w:rFonts w:ascii="Cambria Math" w:eastAsia="Cambria Math" w:hAnsi="Cambria Math" w:cs="Cambria Math"/>
                                    <w:lang w:eastAsia="en-US"/>
                                  </w:rPr>
                                  <m:t>y,h</m:t>
                                </m:r>
                              </m:sub>
                            </m:sSub>
                          </m:e>
                        </m:nary>
                      </m:e>
                      <m:sub/>
                    </m:sSub>
                    <m:ctrlPr>
                      <w:rPr>
                        <w:rFonts w:ascii="Cambria Math" w:eastAsia="Cambria Math" w:hAnsi="Cambria Math" w:cs="Cambria Math"/>
                        <w:i/>
                        <w:color w:val="000000" w:themeColor="text1"/>
                        <w:sz w:val="24"/>
                        <w:szCs w:val="24"/>
                        <w:lang w:eastAsia="en-US"/>
                      </w:rPr>
                    </m:ctrlPr>
                  </m:num>
                  <m:den>
                    <m:sSub>
                      <m:sSubPr>
                        <m:ctrlPr>
                          <w:rPr>
                            <w:rFonts w:ascii="Cambria Math" w:eastAsia="Cambria Math" w:hAnsi="Cambria Math"/>
                            <w:i/>
                            <w:color w:val="000000" w:themeColor="text1"/>
                            <w:sz w:val="20"/>
                          </w:rPr>
                        </m:ctrlPr>
                      </m:sSubPr>
                      <m:e>
                        <m:r>
                          <w:rPr>
                            <w:rFonts w:ascii="Cambria Math" w:eastAsia="Cambria Math" w:hAnsi="Cambria Math"/>
                            <w:color w:val="000000" w:themeColor="text1"/>
                          </w:rPr>
                          <m:t>CD</m:t>
                        </m:r>
                      </m:e>
                      <m:sub>
                        <m:r>
                          <w:rPr>
                            <w:rFonts w:ascii="Cambria Math" w:eastAsia="Cambria Math" w:hAnsi="Cambria Math"/>
                            <w:color w:val="000000" w:themeColor="text1"/>
                          </w:rPr>
                          <m:t>y</m:t>
                        </m:r>
                      </m:sub>
                    </m:sSub>
                  </m:den>
                </m:f>
                <m:r>
                  <w:rPr>
                    <w:rFonts w:ascii="Cambria Math" w:eastAsia="Cambria Math" w:hAnsi="Cambria Math" w:cs="Cambria Math"/>
                    <w:color w:val="000000" w:themeColor="text1"/>
                    <w:lang w:eastAsia="en-US"/>
                  </w:rPr>
                  <m:t xml:space="preserve"> </m:t>
                </m:r>
              </m:oMath>
            </m:oMathPara>
          </w:p>
        </w:tc>
        <w:tc>
          <w:tcPr>
            <w:tcW w:w="1701" w:type="dxa"/>
          </w:tcPr>
          <w:p w14:paraId="70121A92" w14:textId="77777777" w:rsidR="00B21E9B" w:rsidRPr="009F63DF" w:rsidRDefault="00B21E9B" w:rsidP="00AF1AC1">
            <w:pPr>
              <w:pStyle w:val="SDMMethEquationNr"/>
              <w:numPr>
                <w:ilvl w:val="0"/>
                <w:numId w:val="29"/>
              </w:numPr>
            </w:pPr>
          </w:p>
        </w:tc>
      </w:tr>
    </w:tbl>
    <w:p w14:paraId="65C120FF" w14:textId="77777777" w:rsidR="00B21E9B" w:rsidRPr="009F63DF" w:rsidRDefault="00B21E9B"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B21E9B" w:rsidRPr="009F63DF" w14:paraId="4FF84829" w14:textId="77777777" w:rsidTr="00F04DE3">
        <w:tc>
          <w:tcPr>
            <w:tcW w:w="1701" w:type="dxa"/>
            <w:vAlign w:val="top"/>
          </w:tcPr>
          <w:p w14:paraId="3D1BB6B2" w14:textId="06148117" w:rsidR="00B21E9B" w:rsidRPr="009F63DF" w:rsidRDefault="001549D8" w:rsidP="0060169D">
            <w:pPr>
              <w:pStyle w:val="SDMTableBoxParaNotNumbered"/>
              <w:suppressAutoHyphens/>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EC</m:t>
                    </m:r>
                  </m:e>
                  <m:sub>
                    <m:r>
                      <w:rPr>
                        <w:rFonts w:ascii="Cambria Math" w:eastAsia="Cambria Math" w:hAnsi="Cambria Math" w:cs="Arial"/>
                        <w:color w:val="000000" w:themeColor="text1"/>
                      </w:rPr>
                      <m:t>proj,i,y</m:t>
                    </m:r>
                  </m:sub>
                </m:sSub>
              </m:oMath>
            </m:oMathPara>
          </w:p>
        </w:tc>
        <w:tc>
          <w:tcPr>
            <w:tcW w:w="345" w:type="dxa"/>
            <w:vAlign w:val="top"/>
          </w:tcPr>
          <w:p w14:paraId="6B3CAAB8" w14:textId="77777777" w:rsidR="00B21E9B" w:rsidRPr="009F63DF" w:rsidRDefault="00B21E9B" w:rsidP="0060169D">
            <w:pPr>
              <w:pStyle w:val="SDMTableBoxParaNotNumbered"/>
              <w:suppressAutoHyphens/>
            </w:pPr>
            <w:r w:rsidRPr="009F63DF">
              <w:t>=</w:t>
            </w:r>
          </w:p>
        </w:tc>
        <w:tc>
          <w:tcPr>
            <w:tcW w:w="0" w:type="auto"/>
            <w:vAlign w:val="top"/>
          </w:tcPr>
          <w:p w14:paraId="116E4FCE" w14:textId="4E8E2EDA" w:rsidR="00B21E9B" w:rsidRPr="009F63DF" w:rsidRDefault="00B951DD" w:rsidP="0060169D">
            <w:pPr>
              <w:pStyle w:val="SDMTableBoxParaNotNumbered"/>
              <w:suppressAutoHyphens/>
            </w:pPr>
            <w:r w:rsidRPr="009F63DF">
              <w:t xml:space="preserve">Consumption of fuel </w:t>
            </w:r>
            <w:r w:rsidRPr="009F63DF">
              <w:rPr>
                <w:i/>
              </w:rPr>
              <w:t>i</w:t>
            </w:r>
            <w:r w:rsidRPr="009F63DF">
              <w:t xml:space="preserve"> in activity scenario in year </w:t>
            </w:r>
            <w:r w:rsidRPr="009F63DF">
              <w:rPr>
                <w:i/>
              </w:rPr>
              <w:t>y</w:t>
            </w:r>
            <w:r w:rsidRPr="009F63DF">
              <w:t xml:space="preserve"> (TJ)</w:t>
            </w:r>
          </w:p>
        </w:tc>
      </w:tr>
      <w:tr w:rsidR="00B21E9B" w:rsidRPr="009F63DF" w14:paraId="1BC8240A" w14:textId="77777777" w:rsidTr="00F04DE3">
        <w:tc>
          <w:tcPr>
            <w:tcW w:w="1701" w:type="dxa"/>
            <w:vAlign w:val="top"/>
          </w:tcPr>
          <w:p w14:paraId="02F51AD3" w14:textId="5A1768FD" w:rsidR="00B21E9B" w:rsidRPr="009F63DF" w:rsidRDefault="001549D8" w:rsidP="0060169D">
            <w:pPr>
              <w:pStyle w:val="SDMTableBoxParaNotNumbered"/>
              <w:suppressAutoHyphens/>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EC</m:t>
                    </m:r>
                  </m:e>
                  <m:sub>
                    <m:r>
                      <w:rPr>
                        <w:rFonts w:ascii="Cambria Math" w:eastAsia="Cambria Math" w:hAnsi="Cambria Math" w:cs="Arial"/>
                        <w:color w:val="000000" w:themeColor="text1"/>
                      </w:rPr>
                      <m:t>proj,j,y</m:t>
                    </m:r>
                  </m:sub>
                </m:sSub>
              </m:oMath>
            </m:oMathPara>
          </w:p>
        </w:tc>
        <w:tc>
          <w:tcPr>
            <w:tcW w:w="345" w:type="dxa"/>
            <w:vAlign w:val="top"/>
          </w:tcPr>
          <w:p w14:paraId="1012C089" w14:textId="77777777" w:rsidR="00B21E9B" w:rsidRPr="009F63DF" w:rsidRDefault="00B21E9B" w:rsidP="0060169D">
            <w:pPr>
              <w:pStyle w:val="SDMTableBoxParaNotNumbered"/>
              <w:suppressAutoHyphens/>
            </w:pPr>
            <w:r w:rsidRPr="009F63DF">
              <w:t>=</w:t>
            </w:r>
          </w:p>
        </w:tc>
        <w:tc>
          <w:tcPr>
            <w:tcW w:w="0" w:type="auto"/>
            <w:vAlign w:val="top"/>
          </w:tcPr>
          <w:p w14:paraId="3A70FDDF" w14:textId="54980A26" w:rsidR="00B21E9B" w:rsidRPr="009F63DF" w:rsidRDefault="00B951DD" w:rsidP="0060169D">
            <w:pPr>
              <w:pStyle w:val="SDMTableBoxParaNotNumbered"/>
              <w:suppressAutoHyphens/>
            </w:pPr>
            <w:r w:rsidRPr="009F63DF">
              <w:t xml:space="preserve">Consumption of secondary fuel </w:t>
            </w:r>
            <w:r w:rsidRPr="009F63DF">
              <w:rPr>
                <w:i/>
              </w:rPr>
              <w:t xml:space="preserve">j </w:t>
            </w:r>
            <w:r w:rsidRPr="009F63DF">
              <w:t xml:space="preserve">in activity scenario in year </w:t>
            </w:r>
            <w:r w:rsidRPr="009F63DF">
              <w:rPr>
                <w:i/>
              </w:rPr>
              <w:t>y</w:t>
            </w:r>
            <w:r w:rsidRPr="009F63DF">
              <w:t xml:space="preserve"> (TJ)</w:t>
            </w:r>
          </w:p>
        </w:tc>
      </w:tr>
      <w:tr w:rsidR="00B21E9B" w:rsidRPr="009F63DF" w14:paraId="0D263E6A" w14:textId="77777777" w:rsidTr="00F04DE3">
        <w:tc>
          <w:tcPr>
            <w:tcW w:w="1701" w:type="dxa"/>
            <w:vAlign w:val="top"/>
          </w:tcPr>
          <w:p w14:paraId="681B46CF" w14:textId="26F0631F" w:rsidR="00B21E9B" w:rsidRPr="009F63DF" w:rsidRDefault="001549D8" w:rsidP="0060169D">
            <w:pPr>
              <w:pStyle w:val="SDMTableBoxParaNotNumbered"/>
              <w:suppressAutoHyphens/>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H</m:t>
                    </m:r>
                  </m:e>
                  <m:sub>
                    <m:r>
                      <w:rPr>
                        <w:rFonts w:ascii="Cambria Math" w:eastAsia="Cambria Math" w:hAnsi="Cambria Math" w:cs="Arial"/>
                        <w:color w:val="000000" w:themeColor="text1"/>
                      </w:rPr>
                      <m:t>y</m:t>
                    </m:r>
                  </m:sub>
                </m:sSub>
              </m:oMath>
            </m:oMathPara>
          </w:p>
        </w:tc>
        <w:tc>
          <w:tcPr>
            <w:tcW w:w="345" w:type="dxa"/>
            <w:vAlign w:val="top"/>
          </w:tcPr>
          <w:p w14:paraId="79784F5C" w14:textId="77777777" w:rsidR="00B21E9B" w:rsidRPr="009F63DF" w:rsidRDefault="00B21E9B" w:rsidP="0060169D">
            <w:pPr>
              <w:pStyle w:val="SDMTableBoxParaNotNumbered"/>
              <w:suppressAutoHyphens/>
            </w:pPr>
            <w:r w:rsidRPr="009F63DF">
              <w:t>=</w:t>
            </w:r>
          </w:p>
        </w:tc>
        <w:tc>
          <w:tcPr>
            <w:tcW w:w="0" w:type="auto"/>
            <w:vAlign w:val="top"/>
          </w:tcPr>
          <w:p w14:paraId="1789664C" w14:textId="58113BDA" w:rsidR="00B21E9B" w:rsidRPr="009F63DF" w:rsidRDefault="00B951DD" w:rsidP="0060169D">
            <w:pPr>
              <w:pStyle w:val="SDMTableBoxParaNotNumbered"/>
              <w:suppressAutoHyphens/>
            </w:pPr>
            <w:r w:rsidRPr="009F63DF">
              <w:t xml:space="preserve">Average household size in year </w:t>
            </w:r>
            <w:r w:rsidRPr="009F63DF">
              <w:rPr>
                <w:i/>
              </w:rPr>
              <w:t>y</w:t>
            </w:r>
            <w:r w:rsidRPr="009F63DF">
              <w:t xml:space="preserve"> (number of persons in household)</w:t>
            </w:r>
          </w:p>
        </w:tc>
      </w:tr>
      <w:tr w:rsidR="00B951DD" w:rsidRPr="009F63DF" w14:paraId="1F2E26F4" w14:textId="77777777" w:rsidTr="00F04DE3">
        <w:tc>
          <w:tcPr>
            <w:tcW w:w="1701" w:type="dxa"/>
            <w:vAlign w:val="top"/>
          </w:tcPr>
          <w:p w14:paraId="6D518C2B" w14:textId="754B236C" w:rsidR="00B951DD" w:rsidRPr="009F63DF" w:rsidRDefault="001549D8" w:rsidP="0060169D">
            <w:pPr>
              <w:pStyle w:val="SDMTableBoxParaNotNumbered"/>
              <w:suppressAutoHyphens/>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FEC</m:t>
                    </m:r>
                  </m:e>
                  <m:sub>
                    <m:r>
                      <w:rPr>
                        <w:rFonts w:ascii="Cambria Math" w:eastAsia="Cambria Math" w:hAnsi="Cambria Math" w:cs="Arial"/>
                        <w:color w:val="000000" w:themeColor="text1"/>
                      </w:rPr>
                      <m:t>proj,i,y</m:t>
                    </m:r>
                  </m:sub>
                </m:sSub>
              </m:oMath>
            </m:oMathPara>
          </w:p>
        </w:tc>
        <w:tc>
          <w:tcPr>
            <w:tcW w:w="345" w:type="dxa"/>
            <w:vAlign w:val="top"/>
          </w:tcPr>
          <w:p w14:paraId="6C7B4547" w14:textId="53928163" w:rsidR="00B951DD" w:rsidRPr="009F63DF" w:rsidRDefault="00B951DD" w:rsidP="0060169D">
            <w:pPr>
              <w:pStyle w:val="SDMTableBoxParaNotNumbered"/>
              <w:suppressAutoHyphens/>
            </w:pPr>
            <w:r w:rsidRPr="009F63DF">
              <w:t>=</w:t>
            </w:r>
          </w:p>
        </w:tc>
        <w:tc>
          <w:tcPr>
            <w:tcW w:w="0" w:type="auto"/>
            <w:vAlign w:val="top"/>
          </w:tcPr>
          <w:p w14:paraId="501DB824" w14:textId="4370C14C" w:rsidR="00B951DD" w:rsidRPr="009F63DF" w:rsidRDefault="00B951DD" w:rsidP="0060169D">
            <w:pPr>
              <w:pStyle w:val="SDMTableBoxParaNotNumbered"/>
              <w:suppressAutoHyphens/>
            </w:pPr>
            <w:r w:rsidRPr="009F63DF">
              <w:t xml:space="preserve">Energy consumption of primary fuel </w:t>
            </w:r>
            <w:r w:rsidRPr="009F63DF">
              <w:rPr>
                <w:i/>
              </w:rPr>
              <w:t>i</w:t>
            </w:r>
            <w:r w:rsidRPr="009F63DF">
              <w:t xml:space="preserve"> for activity households as measured by the activity KPT during year </w:t>
            </w:r>
            <w:r w:rsidRPr="009F63DF">
              <w:rPr>
                <w:i/>
              </w:rPr>
              <w:t>y</w:t>
            </w:r>
            <w:r w:rsidRPr="009F63DF">
              <w:t xml:space="preserve"> (TJ</w:t>
            </w:r>
            <w:r w:rsidR="005B3F52" w:rsidRPr="009F63DF">
              <w:t xml:space="preserve"> </w:t>
            </w:r>
            <w:r w:rsidRPr="009F63DF">
              <w:t>/</w:t>
            </w:r>
            <w:r w:rsidR="005B3F52" w:rsidRPr="009F63DF">
              <w:t xml:space="preserve"> </w:t>
            </w:r>
            <w:r w:rsidRPr="009F63DF">
              <w:t>(person x year))</w:t>
            </w:r>
          </w:p>
        </w:tc>
      </w:tr>
      <w:tr w:rsidR="00B951DD" w:rsidRPr="00584010" w14:paraId="5257E3D4" w14:textId="77777777" w:rsidTr="00F04DE3">
        <w:tc>
          <w:tcPr>
            <w:tcW w:w="1701" w:type="dxa"/>
            <w:vAlign w:val="top"/>
          </w:tcPr>
          <w:p w14:paraId="5FBD2DC9" w14:textId="27114694" w:rsidR="00B951DD" w:rsidRPr="00584010" w:rsidRDefault="001549D8" w:rsidP="0060169D">
            <w:pPr>
              <w:pStyle w:val="SDMTableBoxParaNotNumbered"/>
              <w:suppressAutoHyphens/>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FEC</m:t>
                    </m:r>
                  </m:e>
                  <m:sub>
                    <m:r>
                      <w:rPr>
                        <w:rFonts w:ascii="Cambria Math" w:eastAsia="Cambria Math" w:hAnsi="Cambria Math" w:cs="Arial"/>
                        <w:color w:val="000000" w:themeColor="text1"/>
                      </w:rPr>
                      <m:t>proj,j,y</m:t>
                    </m:r>
                  </m:sub>
                </m:sSub>
              </m:oMath>
            </m:oMathPara>
          </w:p>
        </w:tc>
        <w:tc>
          <w:tcPr>
            <w:tcW w:w="345" w:type="dxa"/>
            <w:vAlign w:val="top"/>
          </w:tcPr>
          <w:p w14:paraId="77925680" w14:textId="367AA60E" w:rsidR="00B951DD" w:rsidRPr="00584010" w:rsidRDefault="00B951DD" w:rsidP="0060169D">
            <w:pPr>
              <w:pStyle w:val="SDMTableBoxParaNotNumbered"/>
              <w:suppressAutoHyphens/>
            </w:pPr>
            <w:r w:rsidRPr="00584010">
              <w:t>=</w:t>
            </w:r>
          </w:p>
        </w:tc>
        <w:tc>
          <w:tcPr>
            <w:tcW w:w="0" w:type="auto"/>
            <w:vAlign w:val="top"/>
          </w:tcPr>
          <w:p w14:paraId="440D6E93" w14:textId="75230FDD" w:rsidR="00B951DD" w:rsidRPr="00584010" w:rsidRDefault="00B951DD" w:rsidP="0060169D">
            <w:pPr>
              <w:pStyle w:val="SDMTableBoxParaNotNumbered"/>
              <w:suppressAutoHyphens/>
            </w:pPr>
            <w:r w:rsidRPr="00584010">
              <w:t xml:space="preserve">Energy consumption of secondary fuel </w:t>
            </w:r>
            <w:r w:rsidRPr="00584010">
              <w:rPr>
                <w:i/>
              </w:rPr>
              <w:t>j</w:t>
            </w:r>
            <w:r w:rsidRPr="00584010">
              <w:t xml:space="preserve"> for activity households as measured by the activity KPT during year </w:t>
            </w:r>
            <w:r w:rsidRPr="00584010">
              <w:rPr>
                <w:i/>
              </w:rPr>
              <w:t>y</w:t>
            </w:r>
            <w:r w:rsidRPr="00584010">
              <w:t xml:space="preserve"> (TJ</w:t>
            </w:r>
            <w:r w:rsidR="005B3F52" w:rsidRPr="00584010">
              <w:t xml:space="preserve"> </w:t>
            </w:r>
            <w:r w:rsidRPr="00584010">
              <w:t>/</w:t>
            </w:r>
            <w:r w:rsidR="005B3F52" w:rsidRPr="00584010">
              <w:t xml:space="preserve"> </w:t>
            </w:r>
            <w:r w:rsidRPr="00584010">
              <w:t>(person x year))</w:t>
            </w:r>
          </w:p>
        </w:tc>
      </w:tr>
      <w:tr w:rsidR="00B951DD" w:rsidRPr="00584010" w14:paraId="1BE2FF7F" w14:textId="77777777" w:rsidTr="00F04DE3">
        <w:tc>
          <w:tcPr>
            <w:tcW w:w="1701" w:type="dxa"/>
            <w:vAlign w:val="top"/>
          </w:tcPr>
          <w:p w14:paraId="7CB5AD8E" w14:textId="0E20F6D0" w:rsidR="00B951DD" w:rsidRPr="00584010" w:rsidRDefault="001549D8" w:rsidP="0060169D">
            <w:pPr>
              <w:pStyle w:val="SDMTableBoxParaNotNumbered"/>
              <w:suppressAutoHyphens/>
            </w:pPr>
            <m:oMathPara>
              <m:oMathParaPr>
                <m:jc m:val="left"/>
              </m:oMathParaPr>
              <m:oMath>
                <m:sSub>
                  <m:sSubPr>
                    <m:ctrlPr>
                      <w:rPr>
                        <w:rFonts w:ascii="Cambria Math" w:eastAsia="Cambria Math" w:hAnsi="Cambria Math" w:cs="Arial"/>
                      </w:rPr>
                    </m:ctrlPr>
                  </m:sSubPr>
                  <m:e>
                    <m:r>
                      <w:rPr>
                        <w:rFonts w:ascii="Cambria Math" w:eastAsia="Roboto" w:hAnsi="Cambria Math" w:cs="Arial"/>
                        <w:color w:val="040C28"/>
                      </w:rPr>
                      <m:t>Ψ</m:t>
                    </m:r>
                  </m:e>
                  <m:sub>
                    <m:r>
                      <w:rPr>
                        <w:rFonts w:ascii="Cambria Math" w:eastAsia="Cambria Math" w:hAnsi="Cambria Math" w:cs="Arial"/>
                      </w:rPr>
                      <m:t>y</m:t>
                    </m:r>
                  </m:sub>
                </m:sSub>
              </m:oMath>
            </m:oMathPara>
          </w:p>
        </w:tc>
        <w:tc>
          <w:tcPr>
            <w:tcW w:w="345" w:type="dxa"/>
            <w:vAlign w:val="top"/>
          </w:tcPr>
          <w:p w14:paraId="60D00DC6" w14:textId="1A4140ED" w:rsidR="00B951DD" w:rsidRPr="00584010" w:rsidRDefault="00B951DD" w:rsidP="0060169D">
            <w:pPr>
              <w:pStyle w:val="SDMTableBoxParaNotNumbered"/>
              <w:suppressAutoHyphens/>
            </w:pPr>
            <w:r w:rsidRPr="00584010">
              <w:t>=</w:t>
            </w:r>
          </w:p>
        </w:tc>
        <w:tc>
          <w:tcPr>
            <w:tcW w:w="0" w:type="auto"/>
            <w:vAlign w:val="top"/>
          </w:tcPr>
          <w:p w14:paraId="28AD5001" w14:textId="4B8D4973" w:rsidR="00B951DD" w:rsidRPr="00584010" w:rsidRDefault="00B951DD" w:rsidP="0060169D">
            <w:pPr>
              <w:pStyle w:val="SDMTableBoxParaNotNumbered"/>
              <w:suppressAutoHyphens/>
            </w:pPr>
            <w:r w:rsidRPr="00584010">
              <w:t xml:space="preserve">Percent of activity households with cookstoves present, that qualify as user households in year </w:t>
            </w:r>
            <w:r w:rsidRPr="00584010">
              <w:rPr>
                <w:i/>
              </w:rPr>
              <w:t>y</w:t>
            </w:r>
            <w:r w:rsidRPr="00584010">
              <w:t xml:space="preserve"> (</w:t>
            </w:r>
            <w:r w:rsidR="00DE7B9B" w:rsidRPr="00584010">
              <w:t>per cent</w:t>
            </w:r>
            <w:r w:rsidRPr="00584010">
              <w:t>)</w:t>
            </w:r>
          </w:p>
        </w:tc>
      </w:tr>
      <w:tr w:rsidR="00B951DD" w:rsidRPr="00584010" w14:paraId="33743F0E" w14:textId="77777777" w:rsidTr="00F04DE3">
        <w:tc>
          <w:tcPr>
            <w:tcW w:w="1701" w:type="dxa"/>
            <w:vAlign w:val="top"/>
          </w:tcPr>
          <w:p w14:paraId="17B2FBED" w14:textId="2F631242" w:rsidR="00B951DD" w:rsidRPr="00584010" w:rsidRDefault="001549D8" w:rsidP="0060169D">
            <w:pPr>
              <w:pStyle w:val="SDMTableBoxParaNotNumbered"/>
              <w:suppressAutoHyphens/>
            </w:pPr>
            <m:oMathPara>
              <m:oMathParaPr>
                <m:jc m:val="left"/>
              </m:oMathParaPr>
              <m:oMath>
                <m:sSub>
                  <m:sSubPr>
                    <m:ctrlPr>
                      <w:rPr>
                        <w:rFonts w:ascii="Cambria Math" w:eastAsia="Cambria Math" w:hAnsi="Cambria Math" w:cs="Cambria Math"/>
                        <w:i/>
                        <w:szCs w:val="22"/>
                        <w:lang w:eastAsia="en-US"/>
                      </w:rPr>
                    </m:ctrlPr>
                  </m:sSubPr>
                  <m:e>
                    <m:r>
                      <w:rPr>
                        <w:rFonts w:ascii="Cambria Math" w:eastAsia="Cambria Math" w:hAnsi="Cambria Math" w:cs="Cambria Math"/>
                        <w:szCs w:val="22"/>
                        <w:lang w:eastAsia="en-US"/>
                      </w:rPr>
                      <m:t>Days</m:t>
                    </m:r>
                  </m:e>
                  <m:sub>
                    <m:r>
                      <w:rPr>
                        <w:rFonts w:ascii="Cambria Math" w:eastAsia="Cambria Math" w:hAnsi="Cambria Math" w:cs="Cambria Math"/>
                        <w:szCs w:val="22"/>
                        <w:lang w:eastAsia="en-US"/>
                      </w:rPr>
                      <m:t>y,h</m:t>
                    </m:r>
                  </m:sub>
                </m:sSub>
              </m:oMath>
            </m:oMathPara>
          </w:p>
        </w:tc>
        <w:tc>
          <w:tcPr>
            <w:tcW w:w="345" w:type="dxa"/>
            <w:vAlign w:val="top"/>
          </w:tcPr>
          <w:p w14:paraId="48776141" w14:textId="546495C5" w:rsidR="00B951DD" w:rsidRPr="00584010" w:rsidRDefault="00B951DD" w:rsidP="0060169D">
            <w:pPr>
              <w:pStyle w:val="SDMTableBoxParaNotNumbered"/>
              <w:suppressAutoHyphens/>
            </w:pPr>
            <w:r w:rsidRPr="00584010">
              <w:t>=</w:t>
            </w:r>
          </w:p>
        </w:tc>
        <w:tc>
          <w:tcPr>
            <w:tcW w:w="0" w:type="auto"/>
            <w:vAlign w:val="top"/>
          </w:tcPr>
          <w:p w14:paraId="26DAD042" w14:textId="5FE8199F" w:rsidR="00B951DD" w:rsidRPr="00584010" w:rsidRDefault="00B951DD" w:rsidP="0060169D">
            <w:pPr>
              <w:pStyle w:val="SDMTableBoxParaNotNumbered"/>
              <w:suppressAutoHyphens/>
            </w:pPr>
            <w:r w:rsidRPr="00584010">
              <w:t xml:space="preserve">Number of total possible project cookstove days during the year </w:t>
            </w:r>
            <w:r w:rsidRPr="00584010">
              <w:rPr>
                <w:i/>
              </w:rPr>
              <w:t>y</w:t>
            </w:r>
            <w:r w:rsidRPr="00584010">
              <w:t xml:space="preserve"> in household </w:t>
            </w:r>
            <w:r w:rsidRPr="00584010">
              <w:rPr>
                <w:i/>
              </w:rPr>
              <w:t>h</w:t>
            </w:r>
          </w:p>
        </w:tc>
      </w:tr>
      <w:tr w:rsidR="00B951DD" w:rsidRPr="00584010" w14:paraId="6F431704" w14:textId="77777777" w:rsidTr="00F04DE3">
        <w:tc>
          <w:tcPr>
            <w:tcW w:w="1701" w:type="dxa"/>
            <w:vAlign w:val="top"/>
          </w:tcPr>
          <w:p w14:paraId="40F76380" w14:textId="22EFDF06" w:rsidR="00B951DD" w:rsidRPr="00584010" w:rsidRDefault="001549D8" w:rsidP="0060169D">
            <w:pPr>
              <w:pStyle w:val="SDMTableBoxParaNotNumbered"/>
              <w:suppressAutoHyphens/>
            </w:pPr>
            <m:oMathPara>
              <m:oMathParaPr>
                <m:jc m:val="left"/>
              </m:oMathParaPr>
              <m:oMath>
                <m:sSub>
                  <m:sSubPr>
                    <m:ctrlPr>
                      <w:rPr>
                        <w:rFonts w:ascii="Cambria Math" w:eastAsia="Cambria Math" w:hAnsi="Cambria Math" w:cs="Arial"/>
                        <w:i/>
                        <w:color w:val="000000" w:themeColor="text1"/>
                      </w:rPr>
                    </m:ctrlPr>
                  </m:sSubPr>
                  <m:e>
                    <m:r>
                      <w:rPr>
                        <w:rFonts w:ascii="Cambria Math" w:eastAsia="Cambria Math" w:hAnsi="Cambria Math" w:cs="Arial"/>
                        <w:color w:val="000000" w:themeColor="text1"/>
                      </w:rPr>
                      <m:t>CD</m:t>
                    </m:r>
                  </m:e>
                  <m:sub>
                    <m:r>
                      <w:rPr>
                        <w:rFonts w:ascii="Cambria Math" w:eastAsia="Cambria Math" w:hAnsi="Cambria Math" w:cs="Arial"/>
                        <w:color w:val="000000" w:themeColor="text1"/>
                      </w:rPr>
                      <m:t>y</m:t>
                    </m:r>
                  </m:sub>
                </m:sSub>
              </m:oMath>
            </m:oMathPara>
          </w:p>
        </w:tc>
        <w:tc>
          <w:tcPr>
            <w:tcW w:w="345" w:type="dxa"/>
            <w:vAlign w:val="top"/>
          </w:tcPr>
          <w:p w14:paraId="6DB0EF01" w14:textId="31D27FF5" w:rsidR="00B951DD" w:rsidRPr="00584010" w:rsidRDefault="00B951DD" w:rsidP="0060169D">
            <w:pPr>
              <w:pStyle w:val="SDMTableBoxParaNotNumbered"/>
              <w:suppressAutoHyphens/>
            </w:pPr>
            <w:r w:rsidRPr="00584010">
              <w:t>=</w:t>
            </w:r>
          </w:p>
        </w:tc>
        <w:tc>
          <w:tcPr>
            <w:tcW w:w="0" w:type="auto"/>
            <w:vAlign w:val="top"/>
          </w:tcPr>
          <w:p w14:paraId="37CDDA79" w14:textId="683E751F" w:rsidR="00B951DD" w:rsidRPr="00584010" w:rsidRDefault="00B951DD" w:rsidP="0060169D">
            <w:pPr>
              <w:pStyle w:val="SDMTableBoxParaNotNumbered"/>
              <w:suppressAutoHyphens/>
            </w:pPr>
            <w:r w:rsidRPr="00584010">
              <w:t xml:space="preserve">Days in a calendar year </w:t>
            </w:r>
            <w:r w:rsidRPr="00584010">
              <w:rPr>
                <w:i/>
              </w:rPr>
              <w:t>y</w:t>
            </w:r>
            <w:r w:rsidRPr="00584010">
              <w:t xml:space="preserve"> (days)</w:t>
            </w:r>
          </w:p>
        </w:tc>
      </w:tr>
      <w:tr w:rsidR="00B951DD" w:rsidRPr="00584010" w14:paraId="1DC7CE87" w14:textId="77777777" w:rsidTr="00F04DE3">
        <w:tc>
          <w:tcPr>
            <w:tcW w:w="1701" w:type="dxa"/>
            <w:vAlign w:val="top"/>
          </w:tcPr>
          <w:p w14:paraId="5BC718E5" w14:textId="10383AA1" w:rsidR="00B951DD" w:rsidRPr="00584010" w:rsidRDefault="00B951DD" w:rsidP="0060169D">
            <w:pPr>
              <w:pStyle w:val="SDMTableBoxParaNotNumbered"/>
              <w:suppressAutoHyphens/>
            </w:pPr>
            <w:r w:rsidRPr="00584010">
              <w:rPr>
                <w:rFonts w:ascii="Cambria Math" w:hAnsi="Cambria Math" w:cstheme="minorBidi"/>
                <w:i/>
              </w:rPr>
              <w:t>h</w:t>
            </w:r>
          </w:p>
        </w:tc>
        <w:tc>
          <w:tcPr>
            <w:tcW w:w="345" w:type="dxa"/>
            <w:vAlign w:val="top"/>
          </w:tcPr>
          <w:p w14:paraId="0012F757" w14:textId="7383A83A" w:rsidR="00B951DD" w:rsidRPr="00584010" w:rsidRDefault="00B951DD" w:rsidP="0060169D">
            <w:pPr>
              <w:pStyle w:val="SDMTableBoxParaNotNumbered"/>
              <w:suppressAutoHyphens/>
            </w:pPr>
            <w:r w:rsidRPr="00584010">
              <w:t>=</w:t>
            </w:r>
          </w:p>
        </w:tc>
        <w:tc>
          <w:tcPr>
            <w:tcW w:w="0" w:type="auto"/>
            <w:vAlign w:val="top"/>
          </w:tcPr>
          <w:p w14:paraId="72A77887" w14:textId="52F9F668" w:rsidR="00B951DD" w:rsidRPr="00584010" w:rsidRDefault="00B951DD" w:rsidP="0060169D">
            <w:pPr>
              <w:pStyle w:val="SDMTableBoxParaNotNumbered"/>
              <w:suppressAutoHyphens/>
            </w:pPr>
            <w:r w:rsidRPr="00584010">
              <w:t>A6.4 activity household</w:t>
            </w:r>
          </w:p>
        </w:tc>
      </w:tr>
      <w:tr w:rsidR="00B951DD" w:rsidRPr="00584010" w14:paraId="32AECF16" w14:textId="77777777" w:rsidTr="00F04DE3">
        <w:tc>
          <w:tcPr>
            <w:tcW w:w="1701" w:type="dxa"/>
            <w:vAlign w:val="top"/>
          </w:tcPr>
          <w:p w14:paraId="34A3318A" w14:textId="3C773A6C" w:rsidR="00B951DD" w:rsidRPr="00584010" w:rsidRDefault="00B951DD" w:rsidP="0060169D">
            <w:pPr>
              <w:pStyle w:val="SDMTableBoxParaNotNumbered"/>
              <w:suppressAutoHyphens/>
            </w:pPr>
            <w:r w:rsidRPr="00584010">
              <w:rPr>
                <w:rFonts w:ascii="Cambria Math" w:hAnsi="Cambria Math"/>
                <w:i/>
                <w:iCs/>
                <w:color w:val="000000" w:themeColor="text1"/>
              </w:rPr>
              <w:t>i</w:t>
            </w:r>
          </w:p>
        </w:tc>
        <w:tc>
          <w:tcPr>
            <w:tcW w:w="345" w:type="dxa"/>
            <w:vAlign w:val="top"/>
          </w:tcPr>
          <w:p w14:paraId="73B04BAE" w14:textId="1CD9AB30" w:rsidR="00B951DD" w:rsidRPr="00584010" w:rsidRDefault="00B951DD" w:rsidP="0060169D">
            <w:pPr>
              <w:pStyle w:val="SDMTableBoxParaNotNumbered"/>
              <w:suppressAutoHyphens/>
            </w:pPr>
            <w:r w:rsidRPr="00584010">
              <w:t>=</w:t>
            </w:r>
          </w:p>
        </w:tc>
        <w:tc>
          <w:tcPr>
            <w:tcW w:w="0" w:type="auto"/>
            <w:vAlign w:val="top"/>
          </w:tcPr>
          <w:p w14:paraId="4D54362A" w14:textId="46DE653B" w:rsidR="00B951DD" w:rsidRPr="00584010" w:rsidRDefault="00B951DD" w:rsidP="0060169D">
            <w:pPr>
              <w:pStyle w:val="SDMTableBoxParaNotNumbered"/>
              <w:suppressAutoHyphens/>
            </w:pPr>
            <w:r w:rsidRPr="00584010">
              <w:t>Primary fuel types (fuelwood or charcoal)</w:t>
            </w:r>
          </w:p>
        </w:tc>
      </w:tr>
      <w:tr w:rsidR="00B951DD" w:rsidRPr="00584010" w14:paraId="00E88C9A" w14:textId="77777777" w:rsidTr="00F04DE3">
        <w:tc>
          <w:tcPr>
            <w:tcW w:w="1701" w:type="dxa"/>
            <w:vAlign w:val="top"/>
          </w:tcPr>
          <w:p w14:paraId="05B51186" w14:textId="2E317D8B" w:rsidR="00B951DD" w:rsidRPr="00584010" w:rsidRDefault="00B951DD" w:rsidP="0060169D">
            <w:pPr>
              <w:pStyle w:val="SDMTableBoxParaNotNumbered"/>
              <w:suppressAutoHyphens/>
              <w:rPr>
                <w:rFonts w:ascii="Cambria Math" w:hAnsi="Cambria Math"/>
                <w:i/>
                <w:iCs/>
                <w:color w:val="000000" w:themeColor="text1"/>
              </w:rPr>
            </w:pPr>
            <w:r w:rsidRPr="00584010">
              <w:rPr>
                <w:rFonts w:ascii="Cambria Math" w:hAnsi="Cambria Math"/>
                <w:i/>
                <w:iCs/>
                <w:color w:val="000000" w:themeColor="text1"/>
              </w:rPr>
              <w:t>j</w:t>
            </w:r>
          </w:p>
        </w:tc>
        <w:tc>
          <w:tcPr>
            <w:tcW w:w="345" w:type="dxa"/>
            <w:vAlign w:val="top"/>
          </w:tcPr>
          <w:p w14:paraId="0E6DFDDA" w14:textId="77777777" w:rsidR="00B951DD" w:rsidRPr="00584010" w:rsidRDefault="00B951DD" w:rsidP="0060169D">
            <w:pPr>
              <w:pStyle w:val="SDMTableBoxParaNotNumbered"/>
              <w:suppressAutoHyphens/>
            </w:pPr>
          </w:p>
        </w:tc>
        <w:tc>
          <w:tcPr>
            <w:tcW w:w="0" w:type="auto"/>
            <w:vAlign w:val="top"/>
          </w:tcPr>
          <w:p w14:paraId="2CB04234" w14:textId="45B353FD" w:rsidR="00B951DD" w:rsidRPr="00584010" w:rsidRDefault="00B951DD" w:rsidP="0060169D">
            <w:pPr>
              <w:pStyle w:val="SDMTableBoxParaNotNumbered"/>
              <w:suppressAutoHyphens/>
            </w:pPr>
            <w:r w:rsidRPr="00584010">
              <w:t>Secondary fuel types (e.g. fossil fuel or dung)</w:t>
            </w:r>
          </w:p>
        </w:tc>
      </w:tr>
      <w:tr w:rsidR="00B951DD" w:rsidRPr="00584010" w14:paraId="4C6C7D5A" w14:textId="77777777" w:rsidTr="00F04DE3">
        <w:tc>
          <w:tcPr>
            <w:tcW w:w="1701" w:type="dxa"/>
            <w:vAlign w:val="top"/>
          </w:tcPr>
          <w:p w14:paraId="5973D47C" w14:textId="21565E5D" w:rsidR="00B951DD" w:rsidRPr="00584010" w:rsidRDefault="00B951DD" w:rsidP="0060169D">
            <w:pPr>
              <w:pStyle w:val="SDMTableBoxParaNotNumbered"/>
              <w:suppressAutoHyphens/>
            </w:pPr>
            <w:r w:rsidRPr="00584010">
              <w:rPr>
                <w:rFonts w:ascii="Cambria Math" w:hAnsi="Cambria Math"/>
                <w:i/>
                <w:iCs/>
                <w:color w:val="000000" w:themeColor="text1"/>
              </w:rPr>
              <w:t>y</w:t>
            </w:r>
          </w:p>
        </w:tc>
        <w:tc>
          <w:tcPr>
            <w:tcW w:w="345" w:type="dxa"/>
            <w:vAlign w:val="top"/>
          </w:tcPr>
          <w:p w14:paraId="4BAB6F4A" w14:textId="65891C7D" w:rsidR="00B951DD" w:rsidRPr="00584010" w:rsidRDefault="00B951DD" w:rsidP="0060169D">
            <w:pPr>
              <w:pStyle w:val="SDMTableBoxParaNotNumbered"/>
              <w:suppressAutoHyphens/>
            </w:pPr>
            <w:r w:rsidRPr="00584010">
              <w:t>=</w:t>
            </w:r>
          </w:p>
        </w:tc>
        <w:tc>
          <w:tcPr>
            <w:tcW w:w="0" w:type="auto"/>
            <w:vAlign w:val="top"/>
          </w:tcPr>
          <w:p w14:paraId="0AD94659" w14:textId="428075CA" w:rsidR="00B951DD" w:rsidRPr="00584010" w:rsidRDefault="00B951DD" w:rsidP="0060169D">
            <w:pPr>
              <w:pStyle w:val="SDMTableBoxParaNotNumbered"/>
              <w:suppressAutoHyphens/>
            </w:pPr>
            <w:r w:rsidRPr="00584010">
              <w:t>Calendar year of the crediting period</w:t>
            </w:r>
          </w:p>
        </w:tc>
      </w:tr>
    </w:tbl>
    <w:p w14:paraId="1A43F35C" w14:textId="2AB3BB6E" w:rsidR="006D2932" w:rsidRPr="009F63DF" w:rsidRDefault="009C34B1" w:rsidP="00E03E61">
      <w:pPr>
        <w:pStyle w:val="SDMPara"/>
        <w:rPr>
          <w:rFonts w:eastAsia="Montserrat"/>
          <w:color w:val="000000" w:themeColor="text2"/>
        </w:rPr>
      </w:pPr>
      <w:r w:rsidRPr="00584010">
        <w:rPr>
          <w:rFonts w:eastAsia="Montserrat"/>
          <w:color w:val="000000" w:themeColor="text1"/>
        </w:rPr>
        <w:t xml:space="preserve">Activity </w:t>
      </w:r>
      <w:r w:rsidR="00180890" w:rsidRPr="00584010">
        <w:rPr>
          <w:rFonts w:eastAsia="Montserrat"/>
          <w:color w:val="000000" w:themeColor="text1"/>
        </w:rPr>
        <w:t>participants</w:t>
      </w:r>
      <w:r w:rsidRPr="00584010">
        <w:rPr>
          <w:rFonts w:eastAsia="Montserrat"/>
          <w:color w:val="000000" w:themeColor="text1"/>
        </w:rPr>
        <w:t xml:space="preserve"> shall </w:t>
      </w:r>
      <w:r w:rsidR="00C2583C" w:rsidRPr="00584010">
        <w:rPr>
          <w:rFonts w:eastAsia="Montserrat"/>
          <w:color w:val="000000" w:themeColor="text1"/>
        </w:rPr>
        <w:t>estimate</w:t>
      </w:r>
      <w:r w:rsidR="00034061" w:rsidRPr="00584010">
        <w:rPr>
          <w:rFonts w:eastAsia="Montserrat"/>
          <w:color w:val="000000" w:themeColor="text1"/>
        </w:rPr>
        <w:t xml:space="preserve"> the amount of use</w:t>
      </w:r>
      <w:r w:rsidR="00AA6037" w:rsidRPr="00584010">
        <w:rPr>
          <w:rFonts w:eastAsia="Montserrat"/>
          <w:color w:val="000000" w:themeColor="text1"/>
        </w:rPr>
        <w:t>ful</w:t>
      </w:r>
      <w:r w:rsidR="00034061" w:rsidRPr="00584010">
        <w:rPr>
          <w:rFonts w:eastAsia="Montserrat"/>
          <w:color w:val="000000" w:themeColor="text1"/>
        </w:rPr>
        <w:t xml:space="preserve"> energy </w:t>
      </w:r>
      <w:r w:rsidR="00AA6037" w:rsidRPr="00584010">
        <w:rPr>
          <w:rFonts w:eastAsia="Montserrat"/>
          <w:color w:val="000000" w:themeColor="text1"/>
        </w:rPr>
        <w:t>delivered</w:t>
      </w:r>
      <w:r w:rsidR="00034061" w:rsidRPr="00584010">
        <w:rPr>
          <w:rFonts w:eastAsia="Montserrat"/>
          <w:color w:val="000000" w:themeColor="text1"/>
        </w:rPr>
        <w:t xml:space="preserve"> in the activity scenario</w:t>
      </w:r>
      <w:r w:rsidR="00B40DC5" w:rsidRPr="00584010">
        <w:rPr>
          <w:rFonts w:eastAsia="Montserrat"/>
          <w:color w:val="000000" w:themeColor="text1"/>
        </w:rPr>
        <w:t>,</w:t>
      </w:r>
      <w:r w:rsidRPr="00584010">
        <w:rPr>
          <w:rFonts w:eastAsia="Montserrat"/>
          <w:color w:val="000000" w:themeColor="text1"/>
        </w:rPr>
        <w:t xml:space="preserve"> </w:t>
      </w:r>
      <w:r w:rsidR="003B3A9A" w:rsidRPr="00584010">
        <w:rPr>
          <w:rFonts w:eastAsia="Montserrat"/>
          <w:color w:val="000000" w:themeColor="text1"/>
        </w:rPr>
        <w:t xml:space="preserve">by summing </w:t>
      </w:r>
      <w:r w:rsidR="003C435B" w:rsidRPr="00584010">
        <w:rPr>
          <w:rFonts w:eastAsia="Montserrat"/>
          <w:color w:val="000000" w:themeColor="text1"/>
        </w:rPr>
        <w:t xml:space="preserve">for all cookstove technology and fuel type combinations </w:t>
      </w:r>
      <w:r w:rsidR="003B3A9A" w:rsidRPr="00584010">
        <w:rPr>
          <w:rFonts w:eastAsia="Montserrat"/>
          <w:color w:val="000000" w:themeColor="text1"/>
        </w:rPr>
        <w:t xml:space="preserve">the </w:t>
      </w:r>
      <w:r w:rsidR="00876088" w:rsidRPr="00584010">
        <w:rPr>
          <w:rFonts w:eastAsia="Montserrat"/>
          <w:color w:val="000000" w:themeColor="text1"/>
        </w:rPr>
        <w:t xml:space="preserve">energy </w:t>
      </w:r>
      <w:r w:rsidR="003C435B" w:rsidRPr="00584010">
        <w:rPr>
          <w:rFonts w:eastAsia="Montserrat"/>
          <w:color w:val="000000" w:themeColor="text1"/>
        </w:rPr>
        <w:t>consumption</w:t>
      </w:r>
      <w:r w:rsidR="00876088" w:rsidRPr="00584010">
        <w:rPr>
          <w:rFonts w:eastAsia="Montserrat"/>
          <w:color w:val="000000" w:themeColor="text1"/>
        </w:rPr>
        <w:t xml:space="preserve"> of </w:t>
      </w:r>
      <w:r w:rsidR="00334D4E" w:rsidRPr="00584010">
        <w:rPr>
          <w:rFonts w:eastAsia="Montserrat"/>
          <w:color w:val="000000" w:themeColor="text1"/>
        </w:rPr>
        <w:t>the respective</w:t>
      </w:r>
      <w:r w:rsidR="00876088" w:rsidRPr="00584010">
        <w:rPr>
          <w:rFonts w:eastAsia="Montserrat"/>
          <w:color w:val="000000" w:themeColor="text1"/>
        </w:rPr>
        <w:t xml:space="preserve"> </w:t>
      </w:r>
      <w:r w:rsidR="00B47603" w:rsidRPr="00584010">
        <w:rPr>
          <w:rFonts w:eastAsia="Montserrat"/>
          <w:color w:val="000000" w:themeColor="text1"/>
        </w:rPr>
        <w:t>fuel</w:t>
      </w:r>
      <w:r w:rsidR="00C273C9" w:rsidRPr="00584010">
        <w:rPr>
          <w:rFonts w:eastAsia="Montserrat"/>
          <w:color w:val="000000" w:themeColor="text1"/>
        </w:rPr>
        <w:t xml:space="preserve"> type</w:t>
      </w:r>
      <w:r w:rsidR="00DE129F" w:rsidRPr="00584010">
        <w:rPr>
          <w:rFonts w:eastAsia="Montserrat"/>
          <w:color w:val="000000" w:themeColor="text1"/>
        </w:rPr>
        <w:t>s</w:t>
      </w:r>
      <w:r w:rsidR="003B3A9A" w:rsidRPr="00584010">
        <w:rPr>
          <w:rFonts w:eastAsia="Montserrat"/>
          <w:color w:val="000000" w:themeColor="text1"/>
        </w:rPr>
        <w:t xml:space="preserve"> </w:t>
      </w:r>
      <w:r w:rsidR="00876088" w:rsidRPr="00584010">
        <w:rPr>
          <w:rFonts w:eastAsia="Montserrat"/>
          <w:i/>
          <w:color w:val="000000" w:themeColor="text1"/>
        </w:rPr>
        <w:t>i</w:t>
      </w:r>
      <w:r w:rsidR="00F11429" w:rsidRPr="00584010">
        <w:rPr>
          <w:rFonts w:eastAsia="Montserrat"/>
          <w:color w:val="000000" w:themeColor="text1"/>
        </w:rPr>
        <w:t> </w:t>
      </w:r>
      <w:r w:rsidR="003F1A00" w:rsidRPr="00584010">
        <w:rPr>
          <w:rFonts w:eastAsia="Montserrat"/>
          <w:color w:val="000000" w:themeColor="text1"/>
        </w:rPr>
        <w:t>(</w:t>
      </w:r>
      <m:oMath>
        <m:sSub>
          <m:sSubPr>
            <m:ctrlPr>
              <w:rPr>
                <w:rFonts w:ascii="Cambria Math" w:eastAsia="Cambria Math" w:hAnsi="Cambria Math"/>
                <w:color w:val="000000" w:themeColor="text1"/>
              </w:rPr>
            </m:ctrlPr>
          </m:sSubPr>
          <m:e>
            <m:r>
              <w:rPr>
                <w:rFonts w:ascii="Cambria Math" w:eastAsia="Cambria Math" w:hAnsi="Cambria Math"/>
                <w:color w:val="000000" w:themeColor="text1"/>
              </w:rPr>
              <m:t>FEC</m:t>
            </m:r>
          </m:e>
          <m:sub>
            <m:r>
              <w:rPr>
                <w:rFonts w:ascii="Cambria Math" w:eastAsia="Cambria Math" w:hAnsi="Cambria Math"/>
                <w:color w:val="000000" w:themeColor="text1"/>
              </w:rPr>
              <m:t>proj,i,y</m:t>
            </m:r>
          </m:sub>
        </m:sSub>
      </m:oMath>
      <w:r w:rsidR="003F1A00" w:rsidRPr="00584010">
        <w:rPr>
          <w:rFonts w:eastAsia="Montserrat"/>
          <w:color w:val="000000" w:themeColor="text1"/>
        </w:rPr>
        <w:t xml:space="preserve">) </w:t>
      </w:r>
      <w:r w:rsidR="00B47603" w:rsidRPr="00584010">
        <w:rPr>
          <w:rFonts w:eastAsia="Montserrat"/>
          <w:color w:val="000000" w:themeColor="text1"/>
        </w:rPr>
        <w:t xml:space="preserve">multiplied by the </w:t>
      </w:r>
      <w:r w:rsidR="00662927" w:rsidRPr="00584010">
        <w:rPr>
          <w:rFonts w:eastAsia="Montserrat"/>
          <w:color w:val="000000" w:themeColor="text1"/>
        </w:rPr>
        <w:t>efficiency</w:t>
      </w:r>
      <w:r w:rsidR="00662927" w:rsidRPr="009F63DF">
        <w:rPr>
          <w:rFonts w:eastAsia="Montserrat"/>
          <w:color w:val="000000" w:themeColor="text1"/>
        </w:rPr>
        <w:t xml:space="preserve"> of the type of cookstove</w:t>
      </w:r>
      <w:r w:rsidR="00794226" w:rsidRPr="009F63DF">
        <w:rPr>
          <w:rFonts w:eastAsia="Montserrat"/>
          <w:color w:val="000000" w:themeColor="text1"/>
        </w:rPr>
        <w:t xml:space="preserve"> in which the fuel is used</w:t>
      </w:r>
      <w:r w:rsidR="003F1A00" w:rsidRPr="009F63DF">
        <w:rPr>
          <w:rFonts w:eastAsia="Montserrat"/>
          <w:color w:val="000000" w:themeColor="text1"/>
        </w:rPr>
        <w:t xml:space="preserve"> </w:t>
      </w:r>
      <w:r w:rsidR="00D2411F" w:rsidRPr="009F63DF">
        <w:rPr>
          <w:rFonts w:eastAsia="Montserrat"/>
          <w:color w:val="000000" w:themeColor="text1"/>
        </w:rPr>
        <w:t xml:space="preserve">in </w:t>
      </w:r>
      <w:r w:rsidR="003F1A00" w:rsidRPr="009F63DF">
        <w:rPr>
          <w:rFonts w:eastAsia="Montserrat"/>
          <w:color w:val="000000" w:themeColor="text1"/>
        </w:rPr>
        <w:t xml:space="preserve">the </w:t>
      </w:r>
      <w:r w:rsidR="00A8208C" w:rsidRPr="009F63DF">
        <w:rPr>
          <w:rFonts w:eastAsia="Montserrat"/>
          <w:color w:val="000000" w:themeColor="text1"/>
        </w:rPr>
        <w:t>activity</w:t>
      </w:r>
      <w:r w:rsidR="00D2411F" w:rsidRPr="009F63DF">
        <w:rPr>
          <w:rFonts w:eastAsia="Montserrat"/>
          <w:color w:val="000000" w:themeColor="text1"/>
        </w:rPr>
        <w:t xml:space="preserve"> scenario</w:t>
      </w:r>
      <w:r w:rsidR="003F1A00" w:rsidRPr="009F63DF">
        <w:rPr>
          <w:rFonts w:eastAsia="Montserrat"/>
          <w:color w:val="000000" w:themeColor="text1"/>
        </w:rPr>
        <w:t>. For</w:t>
      </w:r>
      <w:r w:rsidR="004023AA" w:rsidRPr="009F63DF">
        <w:rPr>
          <w:rFonts w:eastAsia="Montserrat"/>
          <w:color w:val="000000" w:themeColor="text1"/>
        </w:rPr>
        <w:t xml:space="preserve"> project cookstoves, the </w:t>
      </w:r>
      <w:r w:rsidR="0025331F" w:rsidRPr="009F63DF">
        <w:rPr>
          <w:rFonts w:eastAsia="Montserrat"/>
          <w:color w:val="000000" w:themeColor="text1"/>
        </w:rPr>
        <w:t xml:space="preserve">efficiency </w:t>
      </w:r>
      <w:r w:rsidR="003B77B9" w:rsidRPr="009F63DF">
        <w:rPr>
          <w:rFonts w:eastAsia="Montserrat"/>
          <w:color w:val="000000" w:themeColor="text1"/>
        </w:rPr>
        <w:t>shall be</w:t>
      </w:r>
      <w:r w:rsidR="0025331F" w:rsidRPr="009F63DF">
        <w:rPr>
          <w:rFonts w:eastAsia="Montserrat"/>
          <w:color w:val="000000" w:themeColor="text1"/>
        </w:rPr>
        <w:t xml:space="preserve"> the same as that reported in Data / Parameter table 2</w:t>
      </w:r>
      <w:r w:rsidR="00165196" w:rsidRPr="009F63DF">
        <w:rPr>
          <w:rFonts w:eastAsia="Montserrat"/>
          <w:color w:val="000000" w:themeColor="text1"/>
        </w:rPr>
        <w:t xml:space="preserve"> under section </w:t>
      </w:r>
      <w:r w:rsidR="007562D8" w:rsidRPr="009F63DF">
        <w:rPr>
          <w:rFonts w:eastAsia="Montserrat"/>
          <w:color w:val="000000" w:themeColor="text1"/>
        </w:rPr>
        <w:fldChar w:fldCharType="begin"/>
      </w:r>
      <w:r w:rsidR="007562D8" w:rsidRPr="009F63DF">
        <w:rPr>
          <w:rFonts w:eastAsia="Montserrat"/>
          <w:color w:val="000000" w:themeColor="text1"/>
        </w:rPr>
        <w:instrText xml:space="preserve"> REF S13 \r \h </w:instrText>
      </w:r>
      <w:r w:rsidR="007562D8" w:rsidRPr="009F63DF">
        <w:rPr>
          <w:rFonts w:eastAsia="Montserrat"/>
          <w:color w:val="000000" w:themeColor="text1"/>
        </w:rPr>
      </w:r>
      <w:r w:rsidR="007562D8"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15</w:t>
      </w:r>
      <w:r w:rsidR="007562D8" w:rsidRPr="009F63DF">
        <w:rPr>
          <w:rFonts w:eastAsia="Montserrat"/>
          <w:color w:val="000000" w:themeColor="text1"/>
        </w:rPr>
        <w:fldChar w:fldCharType="end"/>
      </w:r>
      <w:r w:rsidR="008B1389" w:rsidRPr="009F63DF">
        <w:rPr>
          <w:rFonts w:eastAsia="Montserrat"/>
          <w:color w:val="000000" w:themeColor="text1"/>
        </w:rPr>
        <w:t>.</w:t>
      </w:r>
      <w:r w:rsidR="003866AF" w:rsidRPr="009F63DF">
        <w:rPr>
          <w:rFonts w:eastAsia="Montserrat"/>
          <w:color w:val="000000" w:themeColor="text1"/>
        </w:rPr>
        <w:t xml:space="preserve"> For conventional </w:t>
      </w:r>
      <w:r w:rsidR="0013609B" w:rsidRPr="009F63DF">
        <w:rPr>
          <w:rFonts w:eastAsia="Montserrat"/>
          <w:color w:val="000000" w:themeColor="text1"/>
        </w:rPr>
        <w:t xml:space="preserve">fuelwood or charcoal cookstoves, the efficiency </w:t>
      </w:r>
      <w:r w:rsidR="001F5E0D" w:rsidRPr="009F63DF">
        <w:rPr>
          <w:rFonts w:eastAsia="Montserrat"/>
          <w:color w:val="000000" w:themeColor="text1"/>
        </w:rPr>
        <w:t>shall</w:t>
      </w:r>
      <w:r w:rsidR="003B77B9" w:rsidRPr="009F63DF">
        <w:rPr>
          <w:rFonts w:eastAsia="Montserrat"/>
          <w:color w:val="000000" w:themeColor="text1"/>
        </w:rPr>
        <w:t xml:space="preserve"> be the BAU value reported in </w:t>
      </w:r>
      <w:r w:rsidR="00C273C9" w:rsidRPr="009F63DF">
        <w:rPr>
          <w:rFonts w:eastAsia="Montserrat"/>
          <w:color w:val="000000" w:themeColor="text1"/>
        </w:rPr>
        <w:fldChar w:fldCharType="begin"/>
      </w:r>
      <w:r w:rsidR="00C273C9" w:rsidRPr="009F63DF">
        <w:rPr>
          <w:rFonts w:eastAsia="Montserrat"/>
          <w:color w:val="000000" w:themeColor="text1"/>
        </w:rPr>
        <w:instrText xml:space="preserve"> REF _Ref232969111 \h </w:instrText>
      </w:r>
      <w:r w:rsidR="00C273C9" w:rsidRPr="009F63DF">
        <w:rPr>
          <w:rFonts w:eastAsia="Montserrat"/>
          <w:color w:val="000000" w:themeColor="text1"/>
        </w:rPr>
      </w:r>
      <w:r w:rsidR="00C273C9" w:rsidRPr="009F63DF">
        <w:rPr>
          <w:rFonts w:eastAsia="Montserrat"/>
          <w:color w:val="000000" w:themeColor="text1"/>
        </w:rPr>
        <w:fldChar w:fldCharType="separate"/>
      </w:r>
      <w:r w:rsidR="00831DAE" w:rsidRPr="009F63DF">
        <w:t>Table </w:t>
      </w:r>
      <w:r w:rsidR="00831DAE">
        <w:rPr>
          <w:noProof/>
        </w:rPr>
        <w:t>4</w:t>
      </w:r>
      <w:r w:rsidR="00C273C9" w:rsidRPr="009F63DF">
        <w:rPr>
          <w:rFonts w:eastAsia="Montserrat"/>
          <w:color w:val="000000" w:themeColor="text1"/>
        </w:rPr>
        <w:fldChar w:fldCharType="end"/>
      </w:r>
      <w:r w:rsidR="003B77B9" w:rsidRPr="009F63DF">
        <w:rPr>
          <w:rFonts w:eastAsia="Montserrat"/>
          <w:color w:val="000000" w:themeColor="text1"/>
        </w:rPr>
        <w:t>.</w:t>
      </w:r>
      <w:r w:rsidR="0013609B" w:rsidRPr="009F63DF">
        <w:rPr>
          <w:rFonts w:eastAsia="Montserrat"/>
          <w:color w:val="000000" w:themeColor="text1"/>
        </w:rPr>
        <w:t xml:space="preserve"> </w:t>
      </w:r>
      <w:r w:rsidR="00AA0269" w:rsidRPr="009F63DF">
        <w:rPr>
          <w:rFonts w:eastAsia="Montserrat"/>
          <w:color w:val="000000" w:themeColor="text1"/>
        </w:rPr>
        <w:t>Any other improved fuelwood or charcoal cookstoves (e.g. gasifier, forced-draft) or fossil-fuel fired cookstoves (e.g.</w:t>
      </w:r>
      <w:r w:rsidR="7E274C6E" w:rsidRPr="009F63DF">
        <w:rPr>
          <w:rFonts w:eastAsia="Montserrat"/>
          <w:color w:val="000000" w:themeColor="text1"/>
        </w:rPr>
        <w:t>,</w:t>
      </w:r>
      <w:r w:rsidR="00F11429" w:rsidRPr="009F63DF">
        <w:rPr>
          <w:rFonts w:eastAsia="Montserrat"/>
          <w:color w:val="000000" w:themeColor="text1"/>
        </w:rPr>
        <w:t> </w:t>
      </w:r>
      <w:r w:rsidR="00AA0269" w:rsidRPr="009F63DF">
        <w:rPr>
          <w:rFonts w:eastAsia="Montserrat"/>
          <w:color w:val="000000" w:themeColor="text1"/>
        </w:rPr>
        <w:t>LPG) shall apply thermal efficiency values based on manufacturer's specifications</w:t>
      </w:r>
      <w:r w:rsidR="009A1F58" w:rsidRPr="009F63DF">
        <w:rPr>
          <w:rFonts w:eastAsia="Montserrat"/>
          <w:color w:val="000000" w:themeColor="text1"/>
        </w:rPr>
        <w:t>.</w:t>
      </w:r>
    </w:p>
    <w:p w14:paraId="5EAEE449" w14:textId="5C6B4849" w:rsidR="007B7982" w:rsidRPr="009F63DF" w:rsidDel="00C92F3C" w:rsidRDefault="002C682D" w:rsidP="00E03E61">
      <w:pPr>
        <w:pStyle w:val="SDMPara"/>
        <w:rPr>
          <w:rFonts w:eastAsia="Montserrat"/>
          <w:color w:val="000000" w:themeColor="text2"/>
        </w:rPr>
      </w:pPr>
      <w:r w:rsidRPr="009F63DF">
        <w:rPr>
          <w:rFonts w:eastAsia="Montserrat"/>
          <w:color w:val="000000" w:themeColor="text1"/>
        </w:rPr>
        <w:t>If</w:t>
      </w:r>
      <w:r w:rsidR="007B7982" w:rsidRPr="009F63DF">
        <w:rPr>
          <w:rFonts w:eastAsia="Montserrat"/>
          <w:color w:val="000000" w:themeColor="text1"/>
        </w:rPr>
        <w:t xml:space="preserve"> the </w:t>
      </w:r>
      <w:r w:rsidR="001C10D5" w:rsidRPr="009F63DF">
        <w:rPr>
          <w:rFonts w:eastAsia="Montserrat"/>
          <w:color w:val="000000" w:themeColor="text1"/>
        </w:rPr>
        <w:t>amount of</w:t>
      </w:r>
      <w:r w:rsidR="007B7982" w:rsidRPr="009F63DF">
        <w:rPr>
          <w:rFonts w:eastAsia="Montserrat"/>
          <w:color w:val="000000" w:themeColor="text1"/>
        </w:rPr>
        <w:t xml:space="preserve"> useful energy delivered in the </w:t>
      </w:r>
      <w:r w:rsidR="00584B97" w:rsidRPr="009F63DF">
        <w:rPr>
          <w:rFonts w:eastAsia="Montserrat"/>
          <w:color w:val="000000" w:themeColor="text1"/>
        </w:rPr>
        <w:t xml:space="preserve">activity </w:t>
      </w:r>
      <w:r w:rsidR="005024C0" w:rsidRPr="009F63DF">
        <w:rPr>
          <w:rFonts w:eastAsia="Montserrat"/>
          <w:color w:val="000000" w:themeColor="text1"/>
        </w:rPr>
        <w:t>scenario</w:t>
      </w:r>
      <w:r w:rsidR="00584B97" w:rsidRPr="009F63DF">
        <w:rPr>
          <w:rFonts w:eastAsia="Montserrat"/>
          <w:color w:val="000000" w:themeColor="text1"/>
        </w:rPr>
        <w:t xml:space="preserve"> </w:t>
      </w:r>
      <w:r w:rsidR="007B7982" w:rsidRPr="009F63DF">
        <w:rPr>
          <w:rFonts w:eastAsia="Montserrat"/>
          <w:color w:val="000000" w:themeColor="text1"/>
        </w:rPr>
        <w:t xml:space="preserve">is </w:t>
      </w:r>
      <w:r w:rsidR="00047C20" w:rsidRPr="009F63DF">
        <w:rPr>
          <w:rFonts w:eastAsia="Montserrat"/>
          <w:color w:val="000000" w:themeColor="text1"/>
        </w:rPr>
        <w:t xml:space="preserve">at least as much as </w:t>
      </w:r>
      <w:r w:rsidR="00C84BD4" w:rsidRPr="009F63DF">
        <w:t xml:space="preserve">the </w:t>
      </w:r>
      <w:r w:rsidR="00874C57" w:rsidRPr="009F63DF">
        <w:t>standardized</w:t>
      </w:r>
      <w:r w:rsidR="00CA1AF6" w:rsidRPr="009F63DF">
        <w:t xml:space="preserve"> </w:t>
      </w:r>
      <w:r w:rsidR="00C84BD4" w:rsidRPr="009F63DF">
        <w:t xml:space="preserve">value applied in the </w:t>
      </w:r>
      <w:r w:rsidR="00B27569" w:rsidRPr="009F63DF">
        <w:t xml:space="preserve">determination of the </w:t>
      </w:r>
      <w:r w:rsidR="00C84BD4" w:rsidRPr="009F63DF">
        <w:t>ambitious benchmark</w:t>
      </w:r>
      <w:r w:rsidR="00B27569" w:rsidRPr="009F63DF">
        <w:t xml:space="preserve"> (i.e. </w:t>
      </w:r>
      <w:r w:rsidR="001C10D5" w:rsidRPr="009F63DF">
        <w:t xml:space="preserve">0.001095 </w:t>
      </w:r>
      <w:r w:rsidR="001C10D5" w:rsidRPr="009F63DF">
        <w:rPr>
          <w:rFonts w:eastAsia="Montserrat"/>
          <w:color w:val="000000" w:themeColor="text1"/>
        </w:rPr>
        <w:t>TJ</w:t>
      </w:r>
      <w:r w:rsidR="008F30EE" w:rsidRPr="009F63DF">
        <w:rPr>
          <w:rFonts w:eastAsia="Montserrat"/>
          <w:color w:val="000000" w:themeColor="text1"/>
        </w:rPr>
        <w:t xml:space="preserve"> </w:t>
      </w:r>
      <w:r w:rsidR="001C10D5" w:rsidRPr="009F63DF">
        <w:rPr>
          <w:rFonts w:eastAsia="Montserrat"/>
          <w:color w:val="000000" w:themeColor="text1"/>
        </w:rPr>
        <w:t>/</w:t>
      </w:r>
      <w:r w:rsidR="008F30EE" w:rsidRPr="009F63DF">
        <w:rPr>
          <w:rFonts w:eastAsia="Montserrat"/>
          <w:color w:val="000000" w:themeColor="text1"/>
        </w:rPr>
        <w:t xml:space="preserve"> </w:t>
      </w:r>
      <w:r w:rsidR="001C10D5" w:rsidRPr="009F63DF">
        <w:rPr>
          <w:rFonts w:eastAsia="Montserrat"/>
          <w:color w:val="000000" w:themeColor="text1"/>
        </w:rPr>
        <w:t>(person</w:t>
      </w:r>
      <w:r w:rsidR="008F30EE" w:rsidRPr="009F63DF">
        <w:rPr>
          <w:rFonts w:eastAsia="Montserrat"/>
          <w:color w:val="000000" w:themeColor="text1"/>
        </w:rPr>
        <w:t xml:space="preserve"> x </w:t>
      </w:r>
      <w:r w:rsidR="001C10D5" w:rsidRPr="009F63DF">
        <w:rPr>
          <w:rFonts w:eastAsia="Montserrat"/>
          <w:color w:val="000000" w:themeColor="text1"/>
        </w:rPr>
        <w:t xml:space="preserve">year) </w:t>
      </w:r>
      <w:r w:rsidR="001C10D5" w:rsidRPr="009F63DF">
        <w:t>for charcoal as the primary fuel or 0.</w:t>
      </w:r>
      <w:r w:rsidR="001C10D5" w:rsidRPr="009F63DF" w:rsidDel="006762EA">
        <w:t>001</w:t>
      </w:r>
      <w:r w:rsidR="001C10D5" w:rsidRPr="009F63DF">
        <w:t xml:space="preserve">277 </w:t>
      </w:r>
      <w:r w:rsidR="001C10D5" w:rsidRPr="009F63DF">
        <w:rPr>
          <w:rFonts w:eastAsia="Montserrat"/>
          <w:color w:val="000000" w:themeColor="text1"/>
        </w:rPr>
        <w:t>TJ</w:t>
      </w:r>
      <w:r w:rsidR="008F30EE" w:rsidRPr="009F63DF">
        <w:rPr>
          <w:rFonts w:eastAsia="Montserrat"/>
          <w:color w:val="000000" w:themeColor="text1"/>
        </w:rPr>
        <w:t xml:space="preserve"> </w:t>
      </w:r>
      <w:r w:rsidR="001C10D5" w:rsidRPr="009F63DF">
        <w:rPr>
          <w:rFonts w:eastAsia="Montserrat"/>
          <w:color w:val="000000" w:themeColor="text1"/>
        </w:rPr>
        <w:t>/</w:t>
      </w:r>
      <w:r w:rsidR="008F30EE" w:rsidRPr="009F63DF">
        <w:rPr>
          <w:rFonts w:eastAsia="Montserrat"/>
          <w:color w:val="000000" w:themeColor="text1"/>
        </w:rPr>
        <w:t xml:space="preserve"> </w:t>
      </w:r>
      <w:r w:rsidR="001C10D5" w:rsidRPr="009F63DF">
        <w:rPr>
          <w:rFonts w:eastAsia="Montserrat"/>
          <w:color w:val="000000" w:themeColor="text1"/>
        </w:rPr>
        <w:t>(person</w:t>
      </w:r>
      <w:r w:rsidR="008F30EE" w:rsidRPr="009F63DF">
        <w:rPr>
          <w:rFonts w:eastAsia="Montserrat"/>
          <w:color w:val="000000" w:themeColor="text1"/>
        </w:rPr>
        <w:t xml:space="preserve"> x </w:t>
      </w:r>
      <w:r w:rsidR="001C10D5" w:rsidRPr="009F63DF">
        <w:rPr>
          <w:rFonts w:eastAsia="Montserrat"/>
          <w:color w:val="000000" w:themeColor="text1"/>
        </w:rPr>
        <w:t>year</w:t>
      </w:r>
      <w:r w:rsidR="00A65FE7">
        <w:rPr>
          <w:rFonts w:eastAsia="Montserrat"/>
          <w:color w:val="000000" w:themeColor="text1"/>
        </w:rPr>
        <w:t>)</w:t>
      </w:r>
      <w:r w:rsidR="001C10D5" w:rsidRPr="009F63DF">
        <w:rPr>
          <w:rFonts w:eastAsia="Montserrat"/>
          <w:color w:val="000000" w:themeColor="text1"/>
        </w:rPr>
        <w:t xml:space="preserve"> </w:t>
      </w:r>
      <w:r w:rsidR="001C10D5" w:rsidRPr="009F63DF">
        <w:t>for fuelwood as the primary fuel)</w:t>
      </w:r>
      <w:r w:rsidRPr="009F63DF">
        <w:rPr>
          <w:rFonts w:eastAsia="Montserrat"/>
          <w:color w:val="000000" w:themeColor="text1"/>
        </w:rPr>
        <w:t xml:space="preserve">, then no further action is required. If, on the other hand, it is lower than </w:t>
      </w:r>
      <w:r w:rsidR="00D86401" w:rsidRPr="009F63DF">
        <w:rPr>
          <w:rFonts w:eastAsia="Montserrat"/>
          <w:color w:val="000000" w:themeColor="text1"/>
        </w:rPr>
        <w:t xml:space="preserve">this value, then the baseline </w:t>
      </w:r>
      <w:r w:rsidR="000A08FB" w:rsidRPr="009F63DF">
        <w:rPr>
          <w:rFonts w:eastAsia="Montserrat"/>
          <w:color w:val="000000" w:themeColor="text1"/>
        </w:rPr>
        <w:t>emissions calculation</w:t>
      </w:r>
      <w:r w:rsidR="00D86401" w:rsidRPr="009F63DF">
        <w:rPr>
          <w:rFonts w:eastAsia="Montserrat"/>
          <w:color w:val="000000" w:themeColor="text1"/>
        </w:rPr>
        <w:t xml:space="preserve"> shall be pro-rated by </w:t>
      </w:r>
      <w:r w:rsidR="000A08FB" w:rsidRPr="009F63DF">
        <w:rPr>
          <w:rFonts w:eastAsia="Montserrat"/>
          <w:color w:val="000000" w:themeColor="text1"/>
        </w:rPr>
        <w:t>substituting</w:t>
      </w:r>
      <w:r w:rsidR="000A08FB" w:rsidRPr="009F63DF">
        <w:rPr>
          <w:rFonts w:eastAsia="Montserrat"/>
        </w:rPr>
        <w:t xml:space="preserve"> the </w:t>
      </w:r>
      <w:r w:rsidR="00167D07" w:rsidRPr="009F63DF">
        <w:rPr>
          <w:rFonts w:eastAsia="Montserrat"/>
        </w:rPr>
        <w:t>standardized values by</w:t>
      </w:r>
      <w:r w:rsidR="008204A7" w:rsidRPr="009F63DF">
        <w:rPr>
          <w:rFonts w:eastAsia="Montserrat"/>
        </w:rPr>
        <w:t xml:space="preserve"> </w:t>
      </w:r>
      <w:r w:rsidR="000A08FB" w:rsidRPr="009F63DF">
        <w:rPr>
          <w:rFonts w:eastAsia="Montserrat"/>
          <w:color w:val="000000" w:themeColor="text1"/>
        </w:rPr>
        <w:t xml:space="preserve">the </w:t>
      </w:r>
      <w:r w:rsidR="007441A9" w:rsidRPr="009F63DF">
        <w:rPr>
          <w:rFonts w:eastAsia="Montserrat"/>
          <w:color w:val="000000" w:themeColor="text1"/>
        </w:rPr>
        <w:t>real</w:t>
      </w:r>
      <w:r w:rsidR="000A08FB" w:rsidRPr="009F63DF">
        <w:rPr>
          <w:rFonts w:eastAsia="Montserrat"/>
          <w:color w:val="000000" w:themeColor="text1"/>
        </w:rPr>
        <w:t xml:space="preserve"> </w:t>
      </w:r>
      <w:r w:rsidR="007441A9" w:rsidRPr="009F63DF">
        <w:rPr>
          <w:rFonts w:eastAsia="Montserrat"/>
          <w:color w:val="000000" w:themeColor="text1"/>
        </w:rPr>
        <w:t>amount of useful energy</w:t>
      </w:r>
      <w:r w:rsidR="00D86401" w:rsidRPr="009F63DF">
        <w:rPr>
          <w:rFonts w:eastAsia="Montserrat"/>
          <w:color w:val="000000" w:themeColor="text1"/>
        </w:rPr>
        <w:t xml:space="preserve"> </w:t>
      </w:r>
      <w:r w:rsidR="00015523" w:rsidRPr="009F63DF">
        <w:rPr>
          <w:rFonts w:eastAsia="Montserrat"/>
          <w:color w:val="000000" w:themeColor="text1"/>
        </w:rPr>
        <w:t xml:space="preserve">delivered </w:t>
      </w:r>
      <w:r w:rsidR="007441A9" w:rsidRPr="009F63DF">
        <w:rPr>
          <w:rFonts w:eastAsia="Montserrat"/>
          <w:color w:val="000000" w:themeColor="text1"/>
        </w:rPr>
        <w:t xml:space="preserve">in the </w:t>
      </w:r>
      <w:r w:rsidR="00F53F89" w:rsidRPr="009F63DF">
        <w:rPr>
          <w:rFonts w:eastAsia="Montserrat"/>
          <w:color w:val="000000" w:themeColor="text1"/>
        </w:rPr>
        <w:t>activity</w:t>
      </w:r>
      <w:r w:rsidR="007441A9" w:rsidRPr="009F63DF">
        <w:rPr>
          <w:rFonts w:eastAsia="Montserrat"/>
          <w:color w:val="000000" w:themeColor="text1"/>
        </w:rPr>
        <w:t xml:space="preserve"> </w:t>
      </w:r>
      <w:r w:rsidR="00015523" w:rsidRPr="009F63DF">
        <w:rPr>
          <w:rFonts w:eastAsia="Montserrat"/>
          <w:color w:val="000000" w:themeColor="text1"/>
        </w:rPr>
        <w:t xml:space="preserve">scenario </w:t>
      </w:r>
      <w:r w:rsidR="00167D07" w:rsidRPr="009F63DF">
        <w:rPr>
          <w:rFonts w:eastAsia="Montserrat"/>
          <w:color w:val="000000" w:themeColor="text1"/>
        </w:rPr>
        <w:t>in the determination of the ambitious benchmark in section</w:t>
      </w:r>
      <w:r w:rsidR="000A38A4" w:rsidRPr="009F63DF">
        <w:rPr>
          <w:rFonts w:eastAsia="Montserrat"/>
          <w:color w:val="000000" w:themeColor="text1"/>
        </w:rPr>
        <w:t xml:space="preserve"> </w:t>
      </w:r>
      <w:r w:rsidR="009C2564" w:rsidRPr="009F63DF">
        <w:rPr>
          <w:rFonts w:eastAsia="Montserrat"/>
          <w:color w:val="000000" w:themeColor="text1"/>
        </w:rPr>
        <w:fldChar w:fldCharType="begin"/>
      </w:r>
      <w:r w:rsidR="009C2564" w:rsidRPr="009F63DF">
        <w:rPr>
          <w:rFonts w:eastAsia="Montserrat"/>
          <w:color w:val="000000" w:themeColor="text1"/>
        </w:rPr>
        <w:instrText xml:space="preserve"> REF _Ref233366440 \r \h </w:instrText>
      </w:r>
      <w:r w:rsidR="009C2564" w:rsidRPr="009F63DF">
        <w:rPr>
          <w:rFonts w:eastAsia="Montserrat"/>
          <w:color w:val="000000" w:themeColor="text1"/>
        </w:rPr>
      </w:r>
      <w:r w:rsidR="009C2564"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7.3</w:t>
      </w:r>
      <w:r w:rsidR="009C2564" w:rsidRPr="009F63DF">
        <w:rPr>
          <w:rFonts w:eastAsia="Montserrat"/>
          <w:color w:val="000000" w:themeColor="text1"/>
        </w:rPr>
        <w:fldChar w:fldCharType="end"/>
      </w:r>
      <w:r w:rsidR="000A38A4" w:rsidRPr="009F63DF">
        <w:rPr>
          <w:rFonts w:eastAsia="Montserrat"/>
          <w:color w:val="000000" w:themeColor="text1"/>
        </w:rPr>
        <w:t xml:space="preserve">, including </w:t>
      </w:r>
      <w:r w:rsidR="00EF68F0" w:rsidRPr="009F63DF">
        <w:rPr>
          <w:rFonts w:eastAsia="Montserrat"/>
          <w:color w:val="000000" w:themeColor="text1"/>
        </w:rPr>
        <w:t xml:space="preserve">for re-determining </w:t>
      </w:r>
      <w:r w:rsidR="000A38A4" w:rsidRPr="009F63DF">
        <w:rPr>
          <w:rFonts w:eastAsia="Montserrat"/>
          <w:color w:val="000000" w:themeColor="text1"/>
        </w:rPr>
        <w:t xml:space="preserve">the backstop values provided in </w:t>
      </w:r>
      <w:r w:rsidR="003E1FBB" w:rsidRPr="009F63DF">
        <w:rPr>
          <w:rFonts w:eastAsia="Montserrat"/>
          <w:color w:val="000000" w:themeColor="text1"/>
        </w:rPr>
        <w:fldChar w:fldCharType="begin"/>
      </w:r>
      <w:r w:rsidR="003E1FBB" w:rsidRPr="009F63DF">
        <w:rPr>
          <w:rFonts w:eastAsia="Montserrat"/>
          <w:color w:val="000000" w:themeColor="text1"/>
        </w:rPr>
        <w:instrText xml:space="preserve"> REF _Ref233191484 \h </w:instrText>
      </w:r>
      <w:r w:rsidR="005217F8" w:rsidRPr="009F63DF">
        <w:rPr>
          <w:rFonts w:eastAsia="Montserrat"/>
          <w:color w:val="000000" w:themeColor="text1"/>
        </w:rPr>
        <w:instrText xml:space="preserve"> \* MERGEFORMAT </w:instrText>
      </w:r>
      <w:r w:rsidR="003E1FBB" w:rsidRPr="009F63DF">
        <w:rPr>
          <w:rFonts w:eastAsia="Montserrat"/>
          <w:color w:val="000000" w:themeColor="text1"/>
        </w:rPr>
      </w:r>
      <w:r w:rsidR="003E1FBB" w:rsidRPr="009F63DF">
        <w:rPr>
          <w:rFonts w:eastAsia="Montserrat"/>
          <w:color w:val="000000" w:themeColor="text1"/>
        </w:rPr>
        <w:fldChar w:fldCharType="separate"/>
      </w:r>
      <w:r w:rsidR="00831DAE" w:rsidRPr="009F63DF">
        <w:t>Table </w:t>
      </w:r>
      <w:r w:rsidR="00831DAE">
        <w:t>3</w:t>
      </w:r>
      <w:r w:rsidR="003E1FBB" w:rsidRPr="009F63DF">
        <w:rPr>
          <w:rFonts w:eastAsia="Montserrat"/>
          <w:color w:val="000000" w:themeColor="text1"/>
        </w:rPr>
        <w:fldChar w:fldCharType="end"/>
      </w:r>
      <w:r w:rsidR="002E0363" w:rsidRPr="009F63DF">
        <w:rPr>
          <w:rFonts w:eastAsia="Montserrat"/>
          <w:color w:val="000000" w:themeColor="text1"/>
        </w:rPr>
        <w:t xml:space="preserve">, and the subsequent application of the benchmark values </w:t>
      </w:r>
      <w:r w:rsidR="007441A9" w:rsidRPr="009F63DF">
        <w:rPr>
          <w:rFonts w:eastAsia="Montserrat"/>
          <w:color w:val="000000" w:themeColor="text1"/>
        </w:rPr>
        <w:t>as the input to determine</w:t>
      </w:r>
      <w:r w:rsidR="00D86401" w:rsidRPr="009F63DF">
        <w:rPr>
          <w:rFonts w:eastAsia="Montserrat"/>
          <w:color w:val="000000" w:themeColor="text1"/>
        </w:rPr>
        <w:t xml:space="preserve"> </w:t>
      </w:r>
      <w:r w:rsidR="006F732A" w:rsidRPr="009F63DF">
        <w:rPr>
          <w:rFonts w:eastAsia="Montserrat"/>
          <w:color w:val="000000" w:themeColor="text1"/>
        </w:rPr>
        <w:t xml:space="preserve">the baseline fuel energy </w:t>
      </w:r>
      <w:r w:rsidR="00B60C5F" w:rsidRPr="009F63DF">
        <w:rPr>
          <w:rFonts w:eastAsia="Montserrat"/>
          <w:color w:val="000000" w:themeColor="text1"/>
        </w:rPr>
        <w:t>for use in equations</w:t>
      </w:r>
      <w:r w:rsidR="006F732A" w:rsidRPr="009F63DF">
        <w:rPr>
          <w:rFonts w:eastAsia="Montserrat"/>
          <w:color w:val="000000" w:themeColor="text1"/>
        </w:rPr>
        <w:t xml:space="preserve"> </w:t>
      </w:r>
      <w:r w:rsidR="001F73A1" w:rsidRPr="009F63DF">
        <w:rPr>
          <w:rFonts w:eastAsia="Montserrat"/>
          <w:color w:val="000000" w:themeColor="text1"/>
        </w:rPr>
        <w:t>(</w:t>
      </w:r>
      <w:r w:rsidR="00104734" w:rsidRPr="009F63DF">
        <w:rPr>
          <w:rFonts w:eastAsia="Montserrat"/>
          <w:color w:val="000000" w:themeColor="text1"/>
        </w:rPr>
        <w:t>6</w:t>
      </w:r>
      <w:r w:rsidR="001F73A1" w:rsidRPr="009F63DF">
        <w:rPr>
          <w:rFonts w:eastAsia="Montserrat"/>
          <w:color w:val="000000" w:themeColor="text1"/>
        </w:rPr>
        <w:t>)</w:t>
      </w:r>
      <w:r w:rsidR="00D52BC8" w:rsidRPr="009F63DF">
        <w:rPr>
          <w:rFonts w:eastAsia="Montserrat"/>
          <w:color w:val="000000" w:themeColor="text1"/>
        </w:rPr>
        <w:t xml:space="preserve"> and (7).</w:t>
      </w:r>
      <w:r w:rsidR="00626FD3" w:rsidRPr="009F63DF">
        <w:rPr>
          <w:rStyle w:val="FootnoteReference"/>
          <w:rFonts w:eastAsia="Montserrat"/>
          <w:color w:val="000000" w:themeColor="text1"/>
        </w:rPr>
        <w:footnoteReference w:id="37"/>
      </w:r>
    </w:p>
    <w:p w14:paraId="50A75975" w14:textId="0677653A" w:rsidR="001C2394" w:rsidRPr="009F63DF" w:rsidRDefault="001C2394" w:rsidP="00F91295">
      <w:pPr>
        <w:pStyle w:val="SDMHead3"/>
      </w:pPr>
      <w:bookmarkStart w:id="526" w:name="_Toc227233820"/>
      <w:bookmarkStart w:id="527" w:name="_Toc226502288"/>
      <w:bookmarkStart w:id="528" w:name="_Toc226576241"/>
      <w:bookmarkStart w:id="529" w:name="_Toc226983092"/>
      <w:bookmarkStart w:id="530" w:name="_Ref227017238"/>
      <w:bookmarkStart w:id="531" w:name="_Toc227677289"/>
      <w:bookmarkStart w:id="532" w:name="_Toc227694811"/>
      <w:bookmarkStart w:id="533" w:name="_Toc227920925"/>
      <w:bookmarkStart w:id="534" w:name="_Toc227938826"/>
      <w:bookmarkStart w:id="535" w:name="_Toc227948077"/>
      <w:bookmarkStart w:id="536" w:name="_Toc233388636"/>
      <w:bookmarkStart w:id="537" w:name="_Toc233961443"/>
      <w:bookmarkStart w:id="538" w:name="_Toc233970252"/>
      <w:bookmarkStart w:id="539" w:name="_Toc240546582"/>
      <w:bookmarkStart w:id="540" w:name="_Toc240631983"/>
      <w:bookmarkStart w:id="541" w:name="_Toc242471168"/>
      <w:bookmarkEnd w:id="526"/>
      <w:r w:rsidRPr="009F63DF">
        <w:rPr>
          <w:color w:val="000000" w:themeColor="text1"/>
        </w:rPr>
        <w:t xml:space="preserve">Adjustment for the potential impact of the </w:t>
      </w:r>
      <w:r w:rsidR="00137678" w:rsidRPr="009F63DF">
        <w:rPr>
          <w:rFonts w:eastAsia="Montserrat"/>
          <w:color w:val="000000" w:themeColor="text1"/>
        </w:rPr>
        <w:t xml:space="preserve">Hawthorne </w:t>
      </w:r>
      <w:r w:rsidRPr="009F63DF">
        <w:rPr>
          <w:color w:val="000000" w:themeColor="text1"/>
        </w:rPr>
        <w:t>effect</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3F1FC0C9" w14:textId="74E0456C" w:rsidR="001C2394" w:rsidRPr="009F63DF" w:rsidRDefault="001C2394" w:rsidP="00E03E61">
      <w:pPr>
        <w:pStyle w:val="SDMPara"/>
        <w:rPr>
          <w:rFonts w:eastAsia="Montserrat"/>
          <w:color w:val="000000" w:themeColor="text2"/>
        </w:rPr>
      </w:pPr>
      <w:r w:rsidRPr="009F63DF">
        <w:t>To</w:t>
      </w:r>
      <w:r w:rsidRPr="009F63DF">
        <w:rPr>
          <w:rFonts w:eastAsia="Montserrat"/>
          <w:color w:val="000000" w:themeColor="text1"/>
        </w:rPr>
        <w:t xml:space="preserve"> account for the potential impacts of the Hawthorne Effect on </w:t>
      </w:r>
      <w:r w:rsidR="00F53F89" w:rsidRPr="009F63DF">
        <w:rPr>
          <w:rFonts w:eastAsia="Montserrat"/>
          <w:color w:val="000000" w:themeColor="text1"/>
        </w:rPr>
        <w:t>activity</w:t>
      </w:r>
      <w:r w:rsidRPr="009F63DF">
        <w:rPr>
          <w:rFonts w:eastAsia="Montserrat"/>
          <w:color w:val="000000" w:themeColor="text1"/>
        </w:rPr>
        <w:t xml:space="preserve"> KPTs, the methodology </w:t>
      </w:r>
      <w:r w:rsidRPr="009F63DF">
        <w:rPr>
          <w:rFonts w:eastAsia="Montserrat"/>
        </w:rPr>
        <w:t>applies</w:t>
      </w:r>
      <w:r w:rsidRPr="009F63DF">
        <w:rPr>
          <w:rFonts w:eastAsia="Montserrat"/>
          <w:color w:val="000000" w:themeColor="text1"/>
        </w:rPr>
        <w:t xml:space="preserve"> a Hawthorne </w:t>
      </w:r>
      <w:r w:rsidR="00F47D89" w:rsidRPr="009F63DF">
        <w:rPr>
          <w:rFonts w:eastAsia="Montserrat"/>
          <w:color w:val="000000" w:themeColor="text1"/>
        </w:rPr>
        <w:t>e</w:t>
      </w:r>
      <w:r w:rsidRPr="009F63DF">
        <w:rPr>
          <w:rFonts w:eastAsia="Montserrat"/>
          <w:color w:val="000000" w:themeColor="text1"/>
        </w:rPr>
        <w:t>ffect adjustment factor (</w:t>
      </w:r>
      <m:oMath>
        <m:sSub>
          <m:sSubPr>
            <m:ctrlPr>
              <w:rPr>
                <w:rFonts w:ascii="Cambria Math" w:eastAsia="Cambria Math" w:hAnsi="Cambria Math"/>
                <w:i/>
                <w:color w:val="000000" w:themeColor="text1"/>
              </w:rPr>
            </m:ctrlPr>
          </m:sSubPr>
          <m:e>
            <m:r>
              <w:rPr>
                <w:rFonts w:ascii="Cambria Math" w:eastAsia="Cambria Math" w:hAnsi="Cambria Math"/>
                <w:color w:val="000000" w:themeColor="text1"/>
              </w:rPr>
              <m:t>HE</m:t>
            </m:r>
          </m:e>
          <m:sub>
            <m:r>
              <w:rPr>
                <w:rFonts w:ascii="Cambria Math" w:eastAsia="Cambria Math" w:hAnsi="Cambria Math"/>
                <w:color w:val="000000" w:themeColor="text1"/>
              </w:rPr>
              <m:t>ind</m:t>
            </m:r>
          </m:sub>
        </m:sSub>
      </m:oMath>
      <w:r w:rsidRPr="009F63DF">
        <w:rPr>
          <w:rFonts w:eastAsia="Montserrat"/>
          <w:color w:val="000000" w:themeColor="text1"/>
        </w:rPr>
        <w:t xml:space="preserve">). This factor adjusts the calculated emissions </w:t>
      </w:r>
      <w:r w:rsidRPr="009F63DF">
        <w:rPr>
          <w:rFonts w:eastAsia="Montserrat"/>
          <w:color w:val="000000" w:themeColor="text1"/>
          <w:sz w:val="24"/>
          <w:szCs w:val="24"/>
          <w:lang w:eastAsia="en-US"/>
        </w:rPr>
        <w:t xml:space="preserve">reductions. </w:t>
      </w:r>
      <w:r w:rsidRPr="009F63DF">
        <w:rPr>
          <w:rFonts w:eastAsia="Montserrat"/>
          <w:color w:val="000000" w:themeColor="text1"/>
          <w:lang w:eastAsia="en-US"/>
        </w:rPr>
        <w:t xml:space="preserve">For methodological consistency, the adjustment is incorporated directly in the </w:t>
      </w:r>
      <w:r w:rsidR="007E0A68" w:rsidRPr="009F63DF">
        <w:rPr>
          <w:rFonts w:eastAsia="Montserrat"/>
          <w:color w:val="000000" w:themeColor="text1"/>
          <w:lang w:eastAsia="en-US"/>
        </w:rPr>
        <w:t>activity</w:t>
      </w:r>
      <w:r w:rsidRPr="009F63DF">
        <w:rPr>
          <w:rFonts w:eastAsia="Montserrat"/>
          <w:color w:val="000000" w:themeColor="text1"/>
          <w:lang w:eastAsia="en-US"/>
        </w:rPr>
        <w:t xml:space="preserve"> emissions calculation</w:t>
      </w:r>
      <w:r w:rsidRPr="009F63DF">
        <w:rPr>
          <w:rFonts w:eastAsia="Montserrat"/>
          <w:color w:val="000000" w:themeColor="text1"/>
          <w:sz w:val="24"/>
          <w:szCs w:val="24"/>
          <w:lang w:eastAsia="en-US"/>
        </w:rPr>
        <w:t>.</w:t>
      </w:r>
    </w:p>
    <w:p w14:paraId="4033AC59" w14:textId="4E9A0295" w:rsidR="001C2394" w:rsidRPr="009F63DF" w:rsidRDefault="001C2394" w:rsidP="00E03E61">
      <w:pPr>
        <w:pStyle w:val="SDMPara"/>
        <w:rPr>
          <w:rFonts w:eastAsia="Montserrat"/>
          <w:color w:val="000000" w:themeColor="text2"/>
        </w:rPr>
      </w:pPr>
      <w:r w:rsidRPr="009F63DF">
        <w:rPr>
          <w:rFonts w:eastAsia="Montserrat"/>
          <w:color w:val="000000" w:themeColor="text1"/>
          <w:lang w:eastAsia="en-US"/>
        </w:rPr>
        <w:t xml:space="preserve">The final </w:t>
      </w:r>
      <w:r w:rsidR="007E0A68" w:rsidRPr="009F63DF">
        <w:rPr>
          <w:rFonts w:eastAsia="Montserrat"/>
          <w:color w:val="000000" w:themeColor="text1"/>
          <w:lang w:eastAsia="en-US"/>
        </w:rPr>
        <w:t>activity</w:t>
      </w:r>
      <w:r w:rsidRPr="009F63DF">
        <w:rPr>
          <w:rFonts w:eastAsia="Montserrat"/>
          <w:color w:val="000000" w:themeColor="text1"/>
          <w:lang w:eastAsia="en-US"/>
        </w:rPr>
        <w:t xml:space="preserve"> emissions (</w:t>
      </w:r>
      <m:oMath>
        <m:sSub>
          <m:sSubPr>
            <m:ctrlPr>
              <w:rPr>
                <w:rFonts w:ascii="Cambria Math" w:eastAsia="Cambria Math" w:hAnsi="Cambria Math"/>
                <w:i/>
                <w:color w:val="000000" w:themeColor="text1"/>
                <w:lang w:eastAsia="en-US"/>
              </w:rPr>
            </m:ctrlPr>
          </m:sSubPr>
          <m:e>
            <m:r>
              <w:rPr>
                <w:rFonts w:ascii="Cambria Math" w:eastAsia="Cambria Math" w:hAnsi="Cambria Math"/>
                <w:color w:val="000000" w:themeColor="text1"/>
                <w:lang w:eastAsia="en-US"/>
              </w:rPr>
              <m:t>AE</m:t>
            </m:r>
          </m:e>
          <m:sub>
            <m:r>
              <w:rPr>
                <w:rFonts w:ascii="Cambria Math" w:eastAsia="Cambria Math" w:hAnsi="Cambria Math"/>
                <w:color w:val="000000" w:themeColor="text1"/>
                <w:lang w:eastAsia="en-US"/>
              </w:rPr>
              <m:t>y</m:t>
            </m:r>
          </m:sub>
        </m:sSub>
      </m:oMath>
      <w:r w:rsidRPr="009F63DF">
        <w:rPr>
          <w:rFonts w:eastAsia="Montserrat"/>
          <w:color w:val="000000" w:themeColor="text1"/>
          <w:lang w:eastAsia="en-US"/>
        </w:rPr>
        <w:t xml:space="preserve">) are calculated using </w:t>
      </w:r>
      <w:r w:rsidR="007C6F34" w:rsidRPr="009F63DF">
        <w:rPr>
          <w:rFonts w:eastAsia="Montserrat"/>
          <w:color w:val="000000" w:themeColor="text1"/>
          <w:lang w:eastAsia="en-US"/>
        </w:rPr>
        <w:t>e</w:t>
      </w:r>
      <w:r w:rsidRPr="009F63DF">
        <w:rPr>
          <w:rFonts w:eastAsia="Montserrat"/>
          <w:color w:val="000000" w:themeColor="text1"/>
          <w:lang w:eastAsia="en-US"/>
        </w:rPr>
        <w:t>quation (</w:t>
      </w:r>
      <w:r w:rsidR="00A91CB2" w:rsidRPr="009F63DF">
        <w:rPr>
          <w:rFonts w:eastAsia="Montserrat"/>
          <w:color w:val="000000" w:themeColor="text1"/>
          <w:lang w:eastAsia="en-US"/>
        </w:rPr>
        <w:t>3</w:t>
      </w:r>
      <w:r w:rsidR="00015D8E" w:rsidRPr="009F63DF">
        <w:rPr>
          <w:rFonts w:eastAsia="Montserrat"/>
          <w:color w:val="000000" w:themeColor="text1"/>
          <w:lang w:eastAsia="en-US"/>
        </w:rPr>
        <w:t>3</w:t>
      </w:r>
      <w:r w:rsidRPr="009F63DF">
        <w:rPr>
          <w:rFonts w:eastAsia="Montserrat"/>
          <w:color w:val="000000" w:themeColor="text1"/>
          <w:lang w:eastAsia="en-US"/>
        </w:rPr>
        <w:t>).</w:t>
      </w:r>
    </w:p>
    <w:tbl>
      <w:tblPr>
        <w:tblStyle w:val="SDMMethTableEquation"/>
        <w:tblW w:w="8760" w:type="dxa"/>
        <w:tblLook w:val="0600" w:firstRow="0" w:lastRow="0" w:firstColumn="0" w:lastColumn="0" w:noHBand="1" w:noVBand="1"/>
      </w:tblPr>
      <w:tblGrid>
        <w:gridCol w:w="7093"/>
        <w:gridCol w:w="1667"/>
      </w:tblGrid>
      <w:tr w:rsidR="001A5C04" w:rsidRPr="009F63DF" w14:paraId="48FCB981" w14:textId="77777777" w:rsidTr="00C5477B">
        <w:tc>
          <w:tcPr>
            <w:tcW w:w="7224" w:type="dxa"/>
          </w:tcPr>
          <w:p w14:paraId="62DF484E" w14:textId="6399346E" w:rsidR="001A5C04" w:rsidRPr="009F63DF" w:rsidRDefault="001549D8" w:rsidP="00C5477B">
            <w:pPr>
              <w:pStyle w:val="SDMMethEquation"/>
            </w:pPr>
            <m:oMathPara>
              <m:oMathParaPr>
                <m:jc m:val="left"/>
              </m:oMathParaPr>
              <m:oMath>
                <m:sSub>
                  <m:sSubPr>
                    <m:ctrlPr>
                      <w:rPr>
                        <w:rFonts w:ascii="Cambria Math" w:eastAsia="Cambria Math" w:hAnsi="Cambria Math"/>
                        <w:i/>
                        <w:color w:val="000000" w:themeColor="text1"/>
                        <w:sz w:val="24"/>
                        <w:szCs w:val="24"/>
                        <w:lang w:eastAsia="en-US"/>
                      </w:rPr>
                    </m:ctrlPr>
                  </m:sSubPr>
                  <m:e>
                    <m:r>
                      <w:rPr>
                        <w:rFonts w:ascii="Cambria Math" w:eastAsia="Cambria Math" w:hAnsi="Cambria Math"/>
                        <w:color w:val="000000" w:themeColor="text1"/>
                        <w:sz w:val="24"/>
                        <w:szCs w:val="24"/>
                        <w:lang w:eastAsia="en-US"/>
                      </w:rPr>
                      <m:t>AE</m:t>
                    </m:r>
                  </m:e>
                  <m:sub>
                    <m:r>
                      <w:rPr>
                        <w:rFonts w:ascii="Cambria Math" w:eastAsia="Cambria Math" w:hAnsi="Cambria Math"/>
                        <w:color w:val="000000" w:themeColor="text1"/>
                        <w:sz w:val="24"/>
                        <w:szCs w:val="24"/>
                        <w:lang w:eastAsia="en-US"/>
                      </w:rPr>
                      <m:t>y</m:t>
                    </m:r>
                  </m:sub>
                </m:sSub>
                <m:r>
                  <w:rPr>
                    <w:rFonts w:ascii="Cambria Math" w:eastAsia="Cambria Math" w:hAnsi="Cambria Math"/>
                    <w:color w:val="000000" w:themeColor="text1"/>
                    <w:sz w:val="24"/>
                    <w:szCs w:val="24"/>
                    <w:lang w:eastAsia="en-US"/>
                  </w:rPr>
                  <m:t>=</m:t>
                </m:r>
                <m:sSub>
                  <m:sSubPr>
                    <m:ctrlPr>
                      <w:rPr>
                        <w:rFonts w:ascii="Cambria Math" w:eastAsia="Cambria Math" w:hAnsi="Cambria Math"/>
                        <w:i/>
                        <w:color w:val="000000" w:themeColor="text1"/>
                        <w:sz w:val="24"/>
                        <w:szCs w:val="24"/>
                        <w:lang w:eastAsia="en-US"/>
                      </w:rPr>
                    </m:ctrlPr>
                  </m:sSubPr>
                  <m:e>
                    <m:r>
                      <w:rPr>
                        <w:rFonts w:ascii="Cambria Math" w:eastAsia="Cambria Math" w:hAnsi="Cambria Math"/>
                        <w:color w:val="000000" w:themeColor="text1"/>
                        <w:sz w:val="24"/>
                        <w:szCs w:val="24"/>
                        <w:lang w:eastAsia="en-US"/>
                      </w:rPr>
                      <m:t>AE</m:t>
                    </m:r>
                  </m:e>
                  <m:sub>
                    <m:r>
                      <w:rPr>
                        <w:rFonts w:ascii="Cambria Math" w:eastAsia="Cambria Math" w:hAnsi="Cambria Math"/>
                        <w:color w:val="000000" w:themeColor="text1"/>
                        <w:sz w:val="24"/>
                        <w:szCs w:val="24"/>
                        <w:lang w:eastAsia="en-US"/>
                      </w:rPr>
                      <m:t>unadj,y</m:t>
                    </m:r>
                  </m:sub>
                </m:sSub>
                <m:r>
                  <w:rPr>
                    <w:rFonts w:ascii="Cambria Math" w:eastAsia="Cambria Math" w:hAnsi="Cambria Math"/>
                    <w:color w:val="000000" w:themeColor="text1"/>
                    <w:sz w:val="24"/>
                    <w:szCs w:val="24"/>
                    <w:lang w:eastAsia="en-US"/>
                  </w:rPr>
                  <m:t>+</m:t>
                </m:r>
                <m:d>
                  <m:dPr>
                    <m:ctrlPr>
                      <w:rPr>
                        <w:rFonts w:ascii="Cambria Math" w:eastAsia="Cambria Math" w:hAnsi="Cambria Math"/>
                        <w:color w:val="000000" w:themeColor="text1"/>
                        <w:sz w:val="24"/>
                        <w:szCs w:val="24"/>
                        <w:lang w:eastAsia="en-US"/>
                      </w:rPr>
                    </m:ctrlPr>
                  </m:dPr>
                  <m:e>
                    <m:sSub>
                      <m:sSubPr>
                        <m:ctrlPr>
                          <w:rPr>
                            <w:rFonts w:ascii="Cambria Math" w:eastAsia="Cambria Math" w:hAnsi="Cambria Math"/>
                            <w:color w:val="000000" w:themeColor="text1"/>
                            <w:sz w:val="24"/>
                            <w:szCs w:val="24"/>
                            <w:lang w:eastAsia="en-US"/>
                          </w:rPr>
                        </m:ctrlPr>
                      </m:sSubPr>
                      <m:e>
                        <m:r>
                          <w:rPr>
                            <w:rFonts w:ascii="Cambria Math" w:eastAsia="Cambria Math" w:hAnsi="Cambria Math"/>
                            <w:color w:val="000000" w:themeColor="text1"/>
                            <w:sz w:val="24"/>
                            <w:szCs w:val="24"/>
                            <w:lang w:eastAsia="en-US"/>
                          </w:rPr>
                          <m:t>BE</m:t>
                        </m:r>
                      </m:e>
                      <m:sub>
                        <m:r>
                          <w:rPr>
                            <w:rFonts w:ascii="Cambria Math" w:eastAsia="Cambria Math" w:hAnsi="Cambria Math"/>
                            <w:color w:val="000000" w:themeColor="text1"/>
                            <w:sz w:val="24"/>
                            <w:szCs w:val="24"/>
                            <w:lang w:eastAsia="en-US"/>
                          </w:rPr>
                          <m:t>final, y</m:t>
                        </m:r>
                      </m:sub>
                    </m:sSub>
                    <m:r>
                      <w:rPr>
                        <w:rFonts w:ascii="Cambria Math" w:eastAsia="Cambria Math" w:hAnsi="Cambria Math"/>
                        <w:color w:val="000000" w:themeColor="text1"/>
                        <w:sz w:val="24"/>
                        <w:szCs w:val="24"/>
                        <w:lang w:eastAsia="en-US"/>
                      </w:rPr>
                      <m:t>-</m:t>
                    </m:r>
                    <m:sSub>
                      <m:sSubPr>
                        <m:ctrlPr>
                          <w:rPr>
                            <w:rFonts w:ascii="Cambria Math" w:eastAsia="Cambria Math" w:hAnsi="Cambria Math"/>
                            <w:color w:val="000000" w:themeColor="text1"/>
                            <w:sz w:val="24"/>
                            <w:szCs w:val="24"/>
                            <w:lang w:eastAsia="en-US"/>
                          </w:rPr>
                        </m:ctrlPr>
                      </m:sSubPr>
                      <m:e>
                        <m:r>
                          <w:rPr>
                            <w:rFonts w:ascii="Cambria Math" w:eastAsia="Cambria Math" w:hAnsi="Cambria Math"/>
                            <w:color w:val="000000" w:themeColor="text1"/>
                            <w:sz w:val="24"/>
                            <w:szCs w:val="24"/>
                            <w:lang w:eastAsia="en-US"/>
                          </w:rPr>
                          <m:t>AE</m:t>
                        </m:r>
                      </m:e>
                      <m:sub>
                        <m:r>
                          <w:rPr>
                            <w:rFonts w:ascii="Cambria Math" w:eastAsia="Cambria Math" w:hAnsi="Cambria Math"/>
                            <w:color w:val="000000" w:themeColor="text1"/>
                            <w:sz w:val="24"/>
                            <w:szCs w:val="24"/>
                            <w:lang w:eastAsia="en-US"/>
                          </w:rPr>
                          <m:t>unadj,y</m:t>
                        </m:r>
                      </m:sub>
                    </m:sSub>
                  </m:e>
                </m:d>
                <m:r>
                  <w:rPr>
                    <w:rFonts w:ascii="Cambria Math" w:eastAsia="Cambria Math" w:hAnsi="Cambria Math"/>
                    <w:color w:val="000000" w:themeColor="text1"/>
                    <w:sz w:val="24"/>
                    <w:szCs w:val="24"/>
                    <w:lang w:eastAsia="en-US"/>
                  </w:rPr>
                  <m:t>×</m:t>
                </m:r>
                <m:d>
                  <m:dPr>
                    <m:ctrlPr>
                      <w:rPr>
                        <w:rFonts w:ascii="Cambria Math" w:eastAsia="Cambria Math" w:hAnsi="Cambria Math"/>
                        <w:i/>
                        <w:color w:val="000000" w:themeColor="text1"/>
                        <w:sz w:val="24"/>
                        <w:szCs w:val="24"/>
                        <w:lang w:eastAsia="en-US"/>
                      </w:rPr>
                    </m:ctrlPr>
                  </m:dPr>
                  <m:e>
                    <m:r>
                      <w:rPr>
                        <w:rFonts w:ascii="Cambria Math" w:eastAsia="Cambria Math" w:hAnsi="Cambria Math"/>
                        <w:color w:val="000000" w:themeColor="text1"/>
                        <w:sz w:val="24"/>
                        <w:szCs w:val="24"/>
                        <w:lang w:eastAsia="en-US"/>
                      </w:rPr>
                      <m:t>1-</m:t>
                    </m:r>
                    <m:sSub>
                      <m:sSubPr>
                        <m:ctrlPr>
                          <w:rPr>
                            <w:rFonts w:ascii="Cambria Math" w:eastAsia="Cambria Math" w:hAnsi="Cambria Math"/>
                            <w:color w:val="000000" w:themeColor="text1"/>
                            <w:sz w:val="24"/>
                            <w:szCs w:val="24"/>
                            <w:lang w:eastAsia="en-US"/>
                          </w:rPr>
                        </m:ctrlPr>
                      </m:sSubPr>
                      <m:e>
                        <m:r>
                          <w:rPr>
                            <w:rFonts w:ascii="Cambria Math" w:eastAsia="Cambria Math" w:hAnsi="Cambria Math"/>
                            <w:color w:val="000000" w:themeColor="text1"/>
                            <w:sz w:val="24"/>
                            <w:szCs w:val="24"/>
                            <w:lang w:eastAsia="en-US"/>
                          </w:rPr>
                          <m:t>HE</m:t>
                        </m:r>
                      </m:e>
                      <m:sub>
                        <m:r>
                          <w:rPr>
                            <w:rFonts w:ascii="Cambria Math" w:eastAsia="Cambria Math" w:hAnsi="Cambria Math"/>
                            <w:color w:val="000000" w:themeColor="text1"/>
                            <w:sz w:val="24"/>
                            <w:szCs w:val="24"/>
                            <w:lang w:eastAsia="en-US"/>
                          </w:rPr>
                          <m:t>ind</m:t>
                        </m:r>
                      </m:sub>
                    </m:sSub>
                  </m:e>
                </m:d>
              </m:oMath>
            </m:oMathPara>
          </w:p>
        </w:tc>
        <w:tc>
          <w:tcPr>
            <w:tcW w:w="1701" w:type="dxa"/>
          </w:tcPr>
          <w:p w14:paraId="2AE5B27A" w14:textId="77777777" w:rsidR="001A5C04" w:rsidRPr="009F63DF" w:rsidRDefault="001A5C04" w:rsidP="00AF1AC1">
            <w:pPr>
              <w:pStyle w:val="SDMMethEquationNr"/>
              <w:numPr>
                <w:ilvl w:val="0"/>
                <w:numId w:val="29"/>
              </w:numPr>
              <w:ind w:right="119"/>
            </w:pPr>
          </w:p>
        </w:tc>
      </w:tr>
    </w:tbl>
    <w:p w14:paraId="226552C5" w14:textId="77777777" w:rsidR="001A5C04" w:rsidRPr="009F63DF" w:rsidRDefault="001A5C04"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1A5C04" w:rsidRPr="009F63DF" w14:paraId="56B9FF42" w14:textId="77777777" w:rsidTr="00A91CB2">
        <w:tc>
          <w:tcPr>
            <w:tcW w:w="1701" w:type="dxa"/>
            <w:vAlign w:val="top"/>
          </w:tcPr>
          <w:p w14:paraId="24251F4B" w14:textId="416931C8" w:rsidR="001A5C04" w:rsidRPr="009F63DF" w:rsidRDefault="001549D8" w:rsidP="001A5C0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AE</m:t>
                    </m:r>
                  </m:e>
                  <m:sub>
                    <m:r>
                      <w:rPr>
                        <w:rFonts w:ascii="Cambria Math" w:eastAsia="Cambria Math" w:hAnsi="Cambria Math" w:cs="Arial"/>
                        <w:color w:val="000000" w:themeColor="text1"/>
                      </w:rPr>
                      <m:t>y</m:t>
                    </m:r>
                  </m:sub>
                </m:sSub>
              </m:oMath>
            </m:oMathPara>
          </w:p>
        </w:tc>
        <w:tc>
          <w:tcPr>
            <w:tcW w:w="345" w:type="dxa"/>
            <w:vAlign w:val="top"/>
          </w:tcPr>
          <w:p w14:paraId="3F2E3DEA" w14:textId="77777777" w:rsidR="001A5C04" w:rsidRPr="009F63DF" w:rsidRDefault="001A5C04" w:rsidP="001A5C04">
            <w:pPr>
              <w:pStyle w:val="SDMTableBoxParaNotNumbered"/>
            </w:pPr>
            <w:r w:rsidRPr="009F63DF">
              <w:t>=</w:t>
            </w:r>
          </w:p>
        </w:tc>
        <w:tc>
          <w:tcPr>
            <w:tcW w:w="0" w:type="auto"/>
            <w:vAlign w:val="top"/>
          </w:tcPr>
          <w:p w14:paraId="6C0A004A" w14:textId="036A5A91" w:rsidR="001A5C04" w:rsidRPr="009F63DF" w:rsidRDefault="001A5C04" w:rsidP="001A5C04">
            <w:pPr>
              <w:pStyle w:val="SDMTableBoxParaNotNumbered"/>
            </w:pPr>
            <w:r w:rsidRPr="009F63DF">
              <w:t xml:space="preserve">Final </w:t>
            </w:r>
            <w:r w:rsidR="007E0A68" w:rsidRPr="009F63DF">
              <w:t>activity</w:t>
            </w:r>
            <w:r w:rsidRPr="009F63DF">
              <w:t xml:space="preserve"> emissions during year </w:t>
            </w:r>
            <w:r w:rsidRPr="009F63DF">
              <w:rPr>
                <w:i/>
              </w:rPr>
              <w:t>y</w:t>
            </w:r>
            <w:r w:rsidRPr="009F63DF">
              <w:t xml:space="preserve"> (</w:t>
            </w:r>
            <w:r w:rsidR="00A65FE7" w:rsidRPr="00BA0F6D">
              <w:t>t CO</w:t>
            </w:r>
            <w:r w:rsidR="00A65FE7" w:rsidRPr="00BA0F6D">
              <w:rPr>
                <w:vertAlign w:val="subscript"/>
              </w:rPr>
              <w:t>2</w:t>
            </w:r>
            <w:r w:rsidR="00D57BBE">
              <w:t xml:space="preserve"> </w:t>
            </w:r>
            <w:r w:rsidR="00A65FE7" w:rsidRPr="00BA0F6D">
              <w:t>eq</w:t>
            </w:r>
            <w:r w:rsidRPr="009F63DF">
              <w:t>)</w:t>
            </w:r>
          </w:p>
        </w:tc>
      </w:tr>
      <w:tr w:rsidR="001A5C04" w:rsidRPr="009F63DF" w14:paraId="12CBCA99" w14:textId="77777777" w:rsidTr="00A91CB2">
        <w:tc>
          <w:tcPr>
            <w:tcW w:w="1701" w:type="dxa"/>
            <w:vAlign w:val="top"/>
          </w:tcPr>
          <w:p w14:paraId="388261DE" w14:textId="3CC834DC" w:rsidR="001A5C04" w:rsidRPr="009F63DF" w:rsidRDefault="001549D8" w:rsidP="001A5C0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AE</m:t>
                    </m:r>
                  </m:e>
                  <m:sub>
                    <m:r>
                      <w:rPr>
                        <w:rFonts w:ascii="Cambria Math" w:eastAsia="Cambria Math" w:hAnsi="Cambria Math" w:cs="Arial"/>
                        <w:color w:val="000000" w:themeColor="text1"/>
                      </w:rPr>
                      <m:t>unadj,y</m:t>
                    </m:r>
                  </m:sub>
                </m:sSub>
              </m:oMath>
            </m:oMathPara>
          </w:p>
        </w:tc>
        <w:tc>
          <w:tcPr>
            <w:tcW w:w="345" w:type="dxa"/>
            <w:vAlign w:val="top"/>
          </w:tcPr>
          <w:p w14:paraId="7CF141C9" w14:textId="77777777" w:rsidR="001A5C04" w:rsidRPr="009F63DF" w:rsidRDefault="001A5C04" w:rsidP="001A5C04">
            <w:pPr>
              <w:pStyle w:val="SDMTableBoxParaNotNumbered"/>
            </w:pPr>
            <w:r w:rsidRPr="009F63DF">
              <w:t>=</w:t>
            </w:r>
          </w:p>
        </w:tc>
        <w:tc>
          <w:tcPr>
            <w:tcW w:w="0" w:type="auto"/>
            <w:vAlign w:val="top"/>
          </w:tcPr>
          <w:p w14:paraId="4E75A871" w14:textId="6BC44ADF" w:rsidR="001A5C04" w:rsidRPr="009F63DF" w:rsidRDefault="007E0A68" w:rsidP="001A5C04">
            <w:pPr>
              <w:pStyle w:val="SDMTableBoxParaNotNumbered"/>
            </w:pPr>
            <w:r w:rsidRPr="009F63DF">
              <w:t>Activity</w:t>
            </w:r>
            <w:r w:rsidR="001A5C04" w:rsidRPr="009F63DF">
              <w:rPr>
                <w:rFonts w:eastAsia="Montserrat" w:cs="Arial"/>
                <w:color w:val="000000" w:themeColor="text1"/>
              </w:rPr>
              <w:t xml:space="preserve"> emissions during year </w:t>
            </w:r>
            <w:r w:rsidR="001A5C04" w:rsidRPr="009F63DF">
              <w:rPr>
                <w:rFonts w:eastAsia="Montserrat" w:cs="Arial"/>
                <w:i/>
                <w:color w:val="000000" w:themeColor="text1"/>
              </w:rPr>
              <w:t>y</w:t>
            </w:r>
            <w:r w:rsidR="001A5C04" w:rsidRPr="009F63DF">
              <w:rPr>
                <w:rFonts w:eastAsia="Montserrat" w:cs="Arial"/>
                <w:iCs/>
                <w:color w:val="000000" w:themeColor="text1"/>
              </w:rPr>
              <w:t>, before applying any Hawthorne effect adjustment (</w:t>
            </w:r>
            <w:r w:rsidR="00A65FE7" w:rsidRPr="00BA0F6D">
              <w:t>t CO</w:t>
            </w:r>
            <w:r w:rsidR="00A65FE7" w:rsidRPr="00BA0F6D">
              <w:rPr>
                <w:vertAlign w:val="subscript"/>
              </w:rPr>
              <w:t>2</w:t>
            </w:r>
            <w:r w:rsidR="00D57BBE">
              <w:t xml:space="preserve"> </w:t>
            </w:r>
            <w:r w:rsidR="00A65FE7" w:rsidRPr="00BA0F6D">
              <w:t>eq</w:t>
            </w:r>
            <w:r w:rsidR="001A5C04" w:rsidRPr="009F63DF">
              <w:rPr>
                <w:rFonts w:eastAsia="Montserrat" w:cs="Arial"/>
                <w:iCs/>
                <w:color w:val="000000" w:themeColor="text1"/>
              </w:rPr>
              <w:t>)</w:t>
            </w:r>
          </w:p>
        </w:tc>
      </w:tr>
      <w:tr w:rsidR="001A5C04" w:rsidRPr="009F63DF" w14:paraId="3B7EE9D8" w14:textId="77777777" w:rsidTr="00A91CB2">
        <w:tc>
          <w:tcPr>
            <w:tcW w:w="1701" w:type="dxa"/>
            <w:vAlign w:val="top"/>
          </w:tcPr>
          <w:p w14:paraId="2F28175D" w14:textId="5972AFF0" w:rsidR="001A5C04" w:rsidRPr="009F63DF" w:rsidRDefault="001549D8" w:rsidP="001A5C0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BE</m:t>
                    </m:r>
                  </m:e>
                  <m:sub>
                    <m:r>
                      <w:rPr>
                        <w:rFonts w:ascii="Cambria Math" w:eastAsia="Cambria Math" w:hAnsi="Cambria Math" w:cs="Arial"/>
                        <w:color w:val="000000" w:themeColor="text1"/>
                      </w:rPr>
                      <m:t>final, y</m:t>
                    </m:r>
                  </m:sub>
                </m:sSub>
              </m:oMath>
            </m:oMathPara>
          </w:p>
        </w:tc>
        <w:tc>
          <w:tcPr>
            <w:tcW w:w="345" w:type="dxa"/>
            <w:vAlign w:val="top"/>
          </w:tcPr>
          <w:p w14:paraId="30152513" w14:textId="77777777" w:rsidR="001A5C04" w:rsidRPr="009F63DF" w:rsidRDefault="001A5C04" w:rsidP="001A5C04">
            <w:pPr>
              <w:pStyle w:val="SDMTableBoxParaNotNumbered"/>
            </w:pPr>
            <w:r w:rsidRPr="009F63DF">
              <w:t>=</w:t>
            </w:r>
          </w:p>
        </w:tc>
        <w:tc>
          <w:tcPr>
            <w:tcW w:w="0" w:type="auto"/>
            <w:vAlign w:val="top"/>
          </w:tcPr>
          <w:p w14:paraId="363C1F06" w14:textId="1BB3D2D1" w:rsidR="001A5C04" w:rsidRPr="009F63DF" w:rsidRDefault="001A5C04" w:rsidP="001A5C04">
            <w:pPr>
              <w:pStyle w:val="SDMTableBoxParaNotNumbered"/>
            </w:pPr>
            <w:r w:rsidRPr="009F63DF">
              <w:rPr>
                <w:rFonts w:eastAsia="Montserrat" w:cs="Arial"/>
                <w:color w:val="000000" w:themeColor="text1"/>
              </w:rPr>
              <w:t xml:space="preserve">Final downward adjusted baseline emissions during year </w:t>
            </w:r>
            <w:r w:rsidRPr="009F63DF">
              <w:rPr>
                <w:rFonts w:eastAsia="Montserrat" w:cs="Arial"/>
                <w:i/>
                <w:color w:val="000000" w:themeColor="text1"/>
              </w:rPr>
              <w:t xml:space="preserve">y </w:t>
            </w:r>
            <w:r w:rsidRPr="009F63DF">
              <w:rPr>
                <w:rFonts w:eastAsia="Montserrat" w:cs="Arial"/>
                <w:iCs/>
                <w:color w:val="000000" w:themeColor="text1"/>
              </w:rPr>
              <w:t>(</w:t>
            </w:r>
            <w:r w:rsidR="00A65FE7" w:rsidRPr="00BA0F6D">
              <w:t>t CO</w:t>
            </w:r>
            <w:r w:rsidR="00A65FE7" w:rsidRPr="00BA0F6D">
              <w:rPr>
                <w:vertAlign w:val="subscript"/>
              </w:rPr>
              <w:t>2</w:t>
            </w:r>
            <w:r w:rsidR="00D57BBE" w:rsidRPr="00002CC3">
              <w:t xml:space="preserve"> </w:t>
            </w:r>
            <w:r w:rsidR="00A65FE7" w:rsidRPr="00BA0F6D">
              <w:t>eq</w:t>
            </w:r>
            <w:r w:rsidRPr="009F63DF">
              <w:rPr>
                <w:rFonts w:eastAsia="Montserrat" w:cs="Arial"/>
                <w:iCs/>
                <w:color w:val="000000" w:themeColor="text1"/>
              </w:rPr>
              <w:t>)</w:t>
            </w:r>
          </w:p>
        </w:tc>
      </w:tr>
      <w:tr w:rsidR="001A5C04" w:rsidRPr="009F63DF" w14:paraId="77F0BD31" w14:textId="77777777" w:rsidTr="00A91CB2">
        <w:tc>
          <w:tcPr>
            <w:tcW w:w="1701" w:type="dxa"/>
            <w:vAlign w:val="top"/>
          </w:tcPr>
          <w:p w14:paraId="5A4B5FB7" w14:textId="2A953812" w:rsidR="001A5C04" w:rsidRPr="009F63DF" w:rsidRDefault="001549D8" w:rsidP="001A5C0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HE</m:t>
                    </m:r>
                  </m:e>
                  <m:sub>
                    <m:r>
                      <w:rPr>
                        <w:rFonts w:ascii="Cambria Math" w:eastAsia="Cambria Math" w:hAnsi="Cambria Math" w:cs="Arial"/>
                        <w:color w:val="000000" w:themeColor="text1"/>
                      </w:rPr>
                      <m:t>ind</m:t>
                    </m:r>
                  </m:sub>
                </m:sSub>
              </m:oMath>
            </m:oMathPara>
          </w:p>
        </w:tc>
        <w:tc>
          <w:tcPr>
            <w:tcW w:w="345" w:type="dxa"/>
            <w:vAlign w:val="top"/>
          </w:tcPr>
          <w:p w14:paraId="18A3CB6C" w14:textId="102F5FF2" w:rsidR="001A5C04" w:rsidRPr="009F63DF" w:rsidRDefault="001A5C04" w:rsidP="001A5C04">
            <w:pPr>
              <w:pStyle w:val="SDMTableBoxParaNotNumbered"/>
            </w:pPr>
            <w:r w:rsidRPr="009F63DF">
              <w:t>=</w:t>
            </w:r>
          </w:p>
        </w:tc>
        <w:tc>
          <w:tcPr>
            <w:tcW w:w="0" w:type="auto"/>
            <w:vAlign w:val="top"/>
          </w:tcPr>
          <w:p w14:paraId="5EBF9CD7" w14:textId="553B7D07" w:rsidR="001A5C04" w:rsidRPr="009F63DF" w:rsidRDefault="001A5C04" w:rsidP="001A5C04">
            <w:pPr>
              <w:pStyle w:val="SDMTableBoxParaNotNumbered"/>
            </w:pPr>
            <w:r w:rsidRPr="009F63DF">
              <w:rPr>
                <w:rFonts w:eastAsia="Montserrat" w:cs="Arial"/>
                <w:color w:val="000000" w:themeColor="text1"/>
              </w:rPr>
              <w:t>Hawthorne Effect adjustment factor (</w:t>
            </w:r>
            <w:r w:rsidR="00DE7B9B" w:rsidRPr="009F63DF">
              <w:rPr>
                <w:rFonts w:eastAsia="Montserrat" w:cs="Arial"/>
                <w:color w:val="000000" w:themeColor="text1"/>
              </w:rPr>
              <w:t>per cent</w:t>
            </w:r>
            <w:r w:rsidRPr="009F63DF">
              <w:rPr>
                <w:rFonts w:eastAsia="Montserrat" w:cs="Arial"/>
                <w:color w:val="000000" w:themeColor="text1"/>
              </w:rPr>
              <w:t>)</w:t>
            </w:r>
          </w:p>
        </w:tc>
      </w:tr>
      <w:tr w:rsidR="001A5C04" w:rsidRPr="009F63DF" w14:paraId="78417374" w14:textId="77777777" w:rsidTr="00A91CB2">
        <w:tc>
          <w:tcPr>
            <w:tcW w:w="1701" w:type="dxa"/>
            <w:vAlign w:val="top"/>
          </w:tcPr>
          <w:p w14:paraId="6A8D0482" w14:textId="08CA031E" w:rsidR="001A5C04" w:rsidRPr="009F63DF" w:rsidRDefault="001A5C04" w:rsidP="001A5C04">
            <w:pPr>
              <w:pStyle w:val="SDMTableBoxParaNotNumbered"/>
            </w:pPr>
            <w:r w:rsidRPr="009F63DF">
              <w:rPr>
                <w:rFonts w:ascii="Cambria Math" w:hAnsi="Cambria Math"/>
                <w:i/>
                <w:color w:val="000000" w:themeColor="text1"/>
              </w:rPr>
              <w:t>y</w:t>
            </w:r>
          </w:p>
        </w:tc>
        <w:tc>
          <w:tcPr>
            <w:tcW w:w="345" w:type="dxa"/>
            <w:vAlign w:val="top"/>
          </w:tcPr>
          <w:p w14:paraId="3EF2EA7C" w14:textId="048074B3" w:rsidR="001A5C04" w:rsidRPr="009F63DF" w:rsidRDefault="001A5C04" w:rsidP="001A5C04">
            <w:pPr>
              <w:pStyle w:val="SDMTableBoxParaNotNumbered"/>
            </w:pPr>
            <w:r w:rsidRPr="009F63DF">
              <w:t>=</w:t>
            </w:r>
          </w:p>
        </w:tc>
        <w:tc>
          <w:tcPr>
            <w:tcW w:w="0" w:type="auto"/>
            <w:vAlign w:val="top"/>
          </w:tcPr>
          <w:p w14:paraId="081A692C" w14:textId="1522D66C" w:rsidR="001A5C04" w:rsidRPr="009F63DF" w:rsidRDefault="001A5C04" w:rsidP="001A5C04">
            <w:pPr>
              <w:pStyle w:val="SDMTableBoxParaNotNumbered"/>
            </w:pPr>
            <w:r w:rsidRPr="009F63DF">
              <w:t>Calendar year of the crediting period (number)</w:t>
            </w:r>
          </w:p>
        </w:tc>
      </w:tr>
    </w:tbl>
    <w:p w14:paraId="7D579602" w14:textId="6303F22E" w:rsidR="001C2394" w:rsidRPr="009F63DF" w:rsidRDefault="00DF1361" w:rsidP="00E03E61">
      <w:pPr>
        <w:pStyle w:val="SDMPara"/>
        <w:rPr>
          <w:rFonts w:eastAsia="Montserrat"/>
          <w:color w:val="000000" w:themeColor="text2"/>
        </w:rPr>
      </w:pPr>
      <w:r w:rsidRPr="009F63DF">
        <w:rPr>
          <w:rFonts w:eastAsia="Montserrat"/>
          <w:color w:val="000000" w:themeColor="text1"/>
        </w:rPr>
        <w:t>A</w:t>
      </w:r>
      <w:r w:rsidR="00584B97" w:rsidRPr="009F63DF">
        <w:rPr>
          <w:rFonts w:eastAsia="Montserrat"/>
          <w:color w:val="000000" w:themeColor="text1"/>
        </w:rPr>
        <w:t>ctivities</w:t>
      </w:r>
      <w:r w:rsidR="001C2394" w:rsidRPr="009F63DF" w:rsidDel="00B401AD">
        <w:rPr>
          <w:rFonts w:eastAsia="Montserrat"/>
          <w:color w:val="000000" w:themeColor="text1"/>
        </w:rPr>
        <w:t xml:space="preserve"> </w:t>
      </w:r>
      <w:r w:rsidR="00B401AD" w:rsidRPr="009F63DF">
        <w:rPr>
          <w:rFonts w:eastAsia="Montserrat"/>
          <w:color w:val="000000" w:themeColor="text1"/>
        </w:rPr>
        <w:t>shall</w:t>
      </w:r>
      <w:r w:rsidR="001C2394" w:rsidRPr="009F63DF">
        <w:rPr>
          <w:rFonts w:eastAsia="Montserrat"/>
          <w:color w:val="000000" w:themeColor="text1"/>
        </w:rPr>
        <w:t xml:space="preserve"> complement KPTs and surveys with SUMs measurements</w:t>
      </w:r>
      <w:r w:rsidR="004C36BF" w:rsidRPr="009F63DF">
        <w:rPr>
          <w:rFonts w:eastAsia="Montserrat"/>
          <w:color w:val="000000" w:themeColor="text1"/>
        </w:rPr>
        <w:t xml:space="preserve"> to determine the </w:t>
      </w:r>
      <w:r w:rsidR="00093E32" w:rsidRPr="009F63DF">
        <w:rPr>
          <w:rFonts w:eastAsia="Montserrat"/>
          <w:color w:val="000000" w:themeColor="text1"/>
        </w:rPr>
        <w:t xml:space="preserve">activity specific </w:t>
      </w:r>
      <w:r w:rsidR="004C36BF" w:rsidRPr="009F63DF">
        <w:rPr>
          <w:rFonts w:eastAsia="Montserrat"/>
          <w:color w:val="000000" w:themeColor="text1"/>
        </w:rPr>
        <w:t xml:space="preserve">Hawthorne </w:t>
      </w:r>
      <w:r w:rsidR="00EF7FAF" w:rsidRPr="009F63DF">
        <w:rPr>
          <w:rFonts w:eastAsia="Montserrat"/>
          <w:color w:val="000000" w:themeColor="text1"/>
        </w:rPr>
        <w:t>e</w:t>
      </w:r>
      <w:r w:rsidR="004C36BF" w:rsidRPr="009F63DF">
        <w:rPr>
          <w:rFonts w:eastAsia="Montserrat"/>
          <w:color w:val="000000" w:themeColor="text1"/>
        </w:rPr>
        <w:t>ffect adjustment factor (</w:t>
      </w:r>
      <m:oMath>
        <m:sSub>
          <m:sSubPr>
            <m:ctrlPr>
              <w:rPr>
                <w:rFonts w:ascii="Cambria Math" w:eastAsia="Cambria Math" w:hAnsi="Cambria Math"/>
                <w:i/>
                <w:color w:val="000000" w:themeColor="text1"/>
              </w:rPr>
            </m:ctrlPr>
          </m:sSubPr>
          <m:e>
            <m:r>
              <w:rPr>
                <w:rFonts w:ascii="Cambria Math" w:eastAsia="Cambria Math" w:hAnsi="Cambria Math"/>
                <w:color w:val="000000" w:themeColor="text1"/>
              </w:rPr>
              <m:t>HE</m:t>
            </m:r>
          </m:e>
          <m:sub>
            <m:r>
              <w:rPr>
                <w:rFonts w:ascii="Cambria Math" w:eastAsia="Cambria Math" w:hAnsi="Cambria Math"/>
                <w:color w:val="000000" w:themeColor="text1"/>
              </w:rPr>
              <m:t>ind</m:t>
            </m:r>
          </m:sub>
        </m:sSub>
      </m:oMath>
      <w:r w:rsidR="004C36BF" w:rsidRPr="009F63DF">
        <w:rPr>
          <w:rFonts w:eastAsia="Montserrat"/>
          <w:color w:val="000000" w:themeColor="text1"/>
        </w:rPr>
        <w:t>)</w:t>
      </w:r>
      <w:r w:rsidR="001C2394" w:rsidRPr="009F63DF">
        <w:rPr>
          <w:rFonts w:eastAsia="Montserrat"/>
          <w:color w:val="000000" w:themeColor="text1"/>
        </w:rPr>
        <w:t xml:space="preserve">, </w:t>
      </w:r>
      <w:r w:rsidR="009F5578" w:rsidRPr="009F63DF">
        <w:rPr>
          <w:rFonts w:eastAsia="Montserrat"/>
          <w:color w:val="000000" w:themeColor="text1"/>
        </w:rPr>
        <w:t xml:space="preserve">apply </w:t>
      </w:r>
      <w:r w:rsidR="001C2394" w:rsidRPr="009F63DF">
        <w:rPr>
          <w:rFonts w:eastAsia="Montserrat"/>
          <w:color w:val="000000" w:themeColor="text1"/>
        </w:rPr>
        <w:t xml:space="preserve">the ratio of project </w:t>
      </w:r>
      <w:r w:rsidR="00AB23CD" w:rsidRPr="009F63DF">
        <w:rPr>
          <w:rFonts w:eastAsia="Montserrat"/>
          <w:color w:val="000000" w:themeColor="text1"/>
        </w:rPr>
        <w:t xml:space="preserve">cookstove </w:t>
      </w:r>
      <w:r w:rsidR="001C2394" w:rsidRPr="009F63DF">
        <w:rPr>
          <w:rFonts w:eastAsia="Montserrat"/>
          <w:color w:val="000000" w:themeColor="text1"/>
        </w:rPr>
        <w:t xml:space="preserve">usage (cooking events/day) measured during the KPT to that measured during the month prior to or following the KPT to adjust the </w:t>
      </w:r>
      <w:r w:rsidR="007E0A68" w:rsidRPr="009F63DF">
        <w:rPr>
          <w:rFonts w:eastAsia="Montserrat"/>
          <w:color w:val="000000" w:themeColor="text1"/>
        </w:rPr>
        <w:t>activity</w:t>
      </w:r>
      <w:r w:rsidR="009F5578" w:rsidRPr="009F63DF">
        <w:rPr>
          <w:rFonts w:eastAsia="Montserrat"/>
          <w:color w:val="000000" w:themeColor="text1"/>
        </w:rPr>
        <w:t xml:space="preserve"> </w:t>
      </w:r>
      <w:r w:rsidR="001C2394" w:rsidRPr="009F63DF">
        <w:rPr>
          <w:rFonts w:eastAsia="Montserrat"/>
          <w:color w:val="000000" w:themeColor="text1"/>
        </w:rPr>
        <w:t>emission</w:t>
      </w:r>
      <w:r w:rsidR="009F5578" w:rsidRPr="009F63DF">
        <w:rPr>
          <w:rFonts w:eastAsia="Montserrat"/>
          <w:color w:val="000000" w:themeColor="text1"/>
        </w:rPr>
        <w:t>s</w:t>
      </w:r>
      <w:r w:rsidR="001C2394" w:rsidRPr="009F63DF">
        <w:rPr>
          <w:rFonts w:eastAsia="Montserrat"/>
          <w:color w:val="000000" w:themeColor="text1"/>
        </w:rPr>
        <w:t xml:space="preserve"> estimate, such that in </w:t>
      </w:r>
      <w:hyperlink w:anchor="E25" w:history="1">
        <w:r w:rsidR="007C6F34" w:rsidRPr="009F63DF">
          <w:rPr>
            <w:rFonts w:eastAsia="Montserrat"/>
            <w:color w:val="000000" w:themeColor="text1"/>
          </w:rPr>
          <w:t>e</w:t>
        </w:r>
        <w:r w:rsidR="001C2394" w:rsidRPr="009F63DF">
          <w:rPr>
            <w:rFonts w:eastAsia="Montserrat"/>
            <w:color w:val="000000" w:themeColor="text1"/>
          </w:rPr>
          <w:t>quation (</w:t>
        </w:r>
        <w:r w:rsidR="000D5482" w:rsidRPr="009F63DF">
          <w:rPr>
            <w:rFonts w:eastAsia="Montserrat"/>
            <w:color w:val="000000" w:themeColor="text1"/>
          </w:rPr>
          <w:t>33</w:t>
        </w:r>
        <w:r w:rsidR="001C2394" w:rsidRPr="009F63DF">
          <w:rPr>
            <w:rFonts w:eastAsia="Montserrat"/>
            <w:color w:val="000000" w:themeColor="text1"/>
          </w:rPr>
          <w:t>),</w:t>
        </w:r>
      </w:hyperlink>
      <w:r w:rsidR="001C2394" w:rsidRPr="009F63DF">
        <w:rPr>
          <w:rFonts w:eastAsia="Montserrat"/>
          <w:color w:val="000000" w:themeColor="text1"/>
        </w:rPr>
        <w:t xml:space="preserve"> </w:t>
      </w:r>
      <m:oMath>
        <m:sSub>
          <m:sSubPr>
            <m:ctrlPr>
              <w:rPr>
                <w:rFonts w:ascii="Cambria Math" w:eastAsia="Cambria Math" w:hAnsi="Cambria Math"/>
                <w:i/>
                <w:color w:val="000000" w:themeColor="text1"/>
              </w:rPr>
            </m:ctrlPr>
          </m:sSubPr>
          <m:e>
            <m:r>
              <w:rPr>
                <w:rFonts w:ascii="Cambria Math" w:eastAsia="Cambria Math" w:hAnsi="Cambria Math"/>
                <w:color w:val="000000" w:themeColor="text1"/>
              </w:rPr>
              <m:t>HE</m:t>
            </m:r>
          </m:e>
          <m:sub>
            <m:r>
              <w:rPr>
                <w:rFonts w:ascii="Cambria Math" w:eastAsia="Cambria Math" w:hAnsi="Cambria Math"/>
                <w:color w:val="000000" w:themeColor="text1"/>
              </w:rPr>
              <m:t>ind</m:t>
            </m:r>
          </m:sub>
        </m:sSub>
      </m:oMath>
      <w:r w:rsidR="001C2394" w:rsidRPr="009F63DF">
        <w:rPr>
          <w:rFonts w:eastAsia="Montserrat"/>
          <w:color w:val="000000" w:themeColor="text1"/>
        </w:rPr>
        <w:t xml:space="preserve"> equals the result of this ratio (see </w:t>
      </w:r>
      <w:hyperlink w:anchor="E26" w:history="1">
        <w:r w:rsidR="007C6F34" w:rsidRPr="009F63DF">
          <w:rPr>
            <w:rFonts w:eastAsia="Montserrat"/>
            <w:color w:val="000000" w:themeColor="text1"/>
          </w:rPr>
          <w:t>e</w:t>
        </w:r>
        <w:r w:rsidR="001C2394" w:rsidRPr="009F63DF">
          <w:rPr>
            <w:rFonts w:eastAsia="Montserrat"/>
            <w:color w:val="000000" w:themeColor="text1"/>
          </w:rPr>
          <w:t>quation (</w:t>
        </w:r>
        <w:r w:rsidR="000D5482" w:rsidRPr="009F63DF">
          <w:rPr>
            <w:rFonts w:eastAsia="Montserrat"/>
            <w:color w:val="000000" w:themeColor="text1"/>
          </w:rPr>
          <w:t>34</w:t>
        </w:r>
        <w:r w:rsidR="001C2394" w:rsidRPr="009F63DF">
          <w:rPr>
            <w:rFonts w:eastAsia="Montserrat"/>
            <w:color w:val="000000" w:themeColor="text1"/>
          </w:rPr>
          <w:t>)</w:t>
        </w:r>
      </w:hyperlink>
      <w:r w:rsidR="00E36CE1" w:rsidRPr="009F63DF">
        <w:t>)</w:t>
      </w:r>
      <w:r w:rsidR="001C2394" w:rsidRPr="009F63DF">
        <w:rPr>
          <w:rFonts w:eastAsia="Montserrat"/>
          <w:color w:val="000000" w:themeColor="text1"/>
        </w:rPr>
        <w:t xml:space="preserve">. This requires that SUMs be applied to all </w:t>
      </w:r>
      <w:r w:rsidR="00584B97" w:rsidRPr="009F63DF">
        <w:rPr>
          <w:rFonts w:eastAsia="Montserrat"/>
          <w:color w:val="000000" w:themeColor="text1"/>
        </w:rPr>
        <w:t xml:space="preserve">activity </w:t>
      </w:r>
      <w:r w:rsidR="001C2394" w:rsidRPr="009F63DF">
        <w:rPr>
          <w:rFonts w:eastAsia="Montserrat"/>
          <w:color w:val="000000" w:themeColor="text1"/>
        </w:rPr>
        <w:t>cookstoves in households where the KPT is performed. See</w:t>
      </w:r>
      <w:r w:rsidR="002B03BB" w:rsidRPr="009F63DF">
        <w:rPr>
          <w:rFonts w:eastAsia="Montserrat"/>
          <w:color w:val="000000" w:themeColor="text1"/>
        </w:rPr>
        <w:t xml:space="preserve"> section</w:t>
      </w:r>
      <w:r w:rsidR="001C2394" w:rsidRPr="009F63DF">
        <w:rPr>
          <w:rFonts w:eastAsia="Montserrat"/>
          <w:color w:val="000000" w:themeColor="text1"/>
        </w:rPr>
        <w:t xml:space="preserve"> </w:t>
      </w:r>
      <w:r w:rsidR="002B03BB" w:rsidRPr="009F63DF">
        <w:rPr>
          <w:rFonts w:eastAsia="Montserrat"/>
          <w:color w:val="000000" w:themeColor="text1"/>
        </w:rPr>
        <w:fldChar w:fldCharType="begin"/>
      </w:r>
      <w:r w:rsidR="002B03BB" w:rsidRPr="009F63DF">
        <w:rPr>
          <w:rFonts w:eastAsia="Montserrat"/>
          <w:color w:val="000000" w:themeColor="text1"/>
        </w:rPr>
        <w:instrText xml:space="preserve"> REF _Ref227015615 \w \h </w:instrText>
      </w:r>
      <w:r w:rsidR="00963234" w:rsidRPr="009F63DF">
        <w:rPr>
          <w:rFonts w:eastAsia="Montserrat"/>
          <w:color w:val="000000" w:themeColor="text1"/>
        </w:rPr>
        <w:instrText xml:space="preserve"> \* MERGEFORMAT </w:instrText>
      </w:r>
      <w:r w:rsidR="002B03BB" w:rsidRPr="009F63DF">
        <w:rPr>
          <w:rFonts w:eastAsia="Montserrat"/>
          <w:color w:val="000000" w:themeColor="text1"/>
        </w:rPr>
      </w:r>
      <w:r w:rsidR="002B03BB"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14</w:t>
      </w:r>
      <w:r w:rsidR="002B03BB" w:rsidRPr="009F63DF">
        <w:rPr>
          <w:rFonts w:eastAsia="Montserrat"/>
          <w:color w:val="000000" w:themeColor="text1"/>
        </w:rPr>
        <w:fldChar w:fldCharType="end"/>
      </w:r>
      <w:r w:rsidR="001C2394" w:rsidRPr="009F63DF">
        <w:rPr>
          <w:rFonts w:eastAsia="Montserrat"/>
          <w:color w:val="000000" w:themeColor="text1"/>
        </w:rPr>
        <w:t xml:space="preserve"> for SUMs monitoring requirements and </w:t>
      </w:r>
      <w:hyperlink w:anchor="A9" w:history="1">
        <w:r w:rsidR="00A63A05" w:rsidRPr="009F63DF">
          <w:rPr>
            <w:rFonts w:eastAsia="Montserrat"/>
            <w:color w:val="000000" w:themeColor="text1"/>
            <w:highlight w:val="yellow"/>
            <w:u w:val="single"/>
          </w:rPr>
          <w:fldChar w:fldCharType="begin"/>
        </w:r>
        <w:r w:rsidR="00A63A05" w:rsidRPr="009F63DF">
          <w:instrText xml:space="preserve"> REF _Ref227015661 \n \h </w:instrText>
        </w:r>
        <w:r w:rsidR="00963234" w:rsidRPr="009F63DF">
          <w:rPr>
            <w:rFonts w:eastAsia="Montserrat"/>
            <w:color w:val="000000" w:themeColor="text1"/>
            <w:highlight w:val="yellow"/>
            <w:u w:val="single"/>
          </w:rPr>
          <w:instrText xml:space="preserve"> \* MERGEFORMAT </w:instrText>
        </w:r>
        <w:r w:rsidR="00A63A05" w:rsidRPr="009F63DF">
          <w:rPr>
            <w:rFonts w:eastAsia="Montserrat"/>
            <w:color w:val="000000" w:themeColor="text1"/>
            <w:highlight w:val="yellow"/>
            <w:u w:val="single"/>
          </w:rPr>
        </w:r>
        <w:r w:rsidR="00A63A05" w:rsidRPr="009F63DF">
          <w:rPr>
            <w:rFonts w:eastAsia="Montserrat"/>
            <w:color w:val="000000" w:themeColor="text1"/>
            <w:highlight w:val="yellow"/>
            <w:u w:val="single"/>
          </w:rPr>
          <w:fldChar w:fldCharType="separate"/>
        </w:r>
        <w:r w:rsidR="00831DAE">
          <w:rPr>
            <w:cs/>
          </w:rPr>
          <w:t>‎</w:t>
        </w:r>
        <w:r w:rsidR="00831DAE">
          <w:t>Appendix 6</w:t>
        </w:r>
        <w:r w:rsidR="00A63A05" w:rsidRPr="009F63DF">
          <w:rPr>
            <w:rFonts w:eastAsia="Montserrat"/>
            <w:color w:val="000000" w:themeColor="text1"/>
            <w:highlight w:val="yellow"/>
            <w:u w:val="single"/>
          </w:rPr>
          <w:fldChar w:fldCharType="end"/>
        </w:r>
      </w:hyperlink>
      <w:r w:rsidR="001C2394" w:rsidRPr="009F63DF">
        <w:rPr>
          <w:rFonts w:eastAsia="Montserrat"/>
          <w:color w:val="000000" w:themeColor="text1"/>
        </w:rPr>
        <w:t xml:space="preserve"> for SUMs </w:t>
      </w:r>
      <w:r w:rsidR="007B377D" w:rsidRPr="009F63DF">
        <w:rPr>
          <w:rFonts w:eastAsia="Montserrat"/>
          <w:color w:val="000000" w:themeColor="text1"/>
        </w:rPr>
        <w:t xml:space="preserve">requirements and best practice </w:t>
      </w:r>
      <w:r w:rsidR="001C2394" w:rsidRPr="009F63DF">
        <w:rPr>
          <w:rFonts w:eastAsia="Montserrat"/>
          <w:color w:val="000000" w:themeColor="text1"/>
        </w:rPr>
        <w:t>guidance.</w:t>
      </w:r>
      <w:r w:rsidR="00D17E74" w:rsidRPr="009F63DF">
        <w:rPr>
          <w:rFonts w:eastAsia="Montserrat"/>
          <w:color w:val="000000" w:themeColor="text1"/>
        </w:rPr>
        <w:t xml:space="preserve"> The use of SUMs shall be applied for this purpose from </w:t>
      </w:r>
      <w:r w:rsidR="00827A31" w:rsidRPr="009F63DF">
        <w:rPr>
          <w:rFonts w:eastAsia="Montserrat"/>
          <w:color w:val="000000" w:themeColor="text1"/>
        </w:rPr>
        <w:t>01 January 2028</w:t>
      </w:r>
      <w:r w:rsidR="00D17E74" w:rsidRPr="009F63DF">
        <w:rPr>
          <w:rFonts w:eastAsia="Montserrat"/>
          <w:color w:val="000000" w:themeColor="text1"/>
        </w:rPr>
        <w:t>.</w:t>
      </w:r>
    </w:p>
    <w:p w14:paraId="2422CC21" w14:textId="18256102" w:rsidR="001C2394" w:rsidRPr="009F63DF" w:rsidRDefault="008008EB" w:rsidP="00E03E61">
      <w:pPr>
        <w:pStyle w:val="SDMPara"/>
        <w:rPr>
          <w:rFonts w:eastAsia="Montserrat"/>
          <w:color w:val="000000" w:themeColor="text2"/>
        </w:rPr>
      </w:pPr>
      <w:r w:rsidRPr="009F63DF">
        <w:rPr>
          <w:rFonts w:eastAsia="Montserrat"/>
          <w:color w:val="000000" w:themeColor="text1"/>
        </w:rPr>
        <w:t xml:space="preserve">Otherwise, </w:t>
      </w:r>
      <w:r w:rsidR="007E0A68" w:rsidRPr="009F63DF">
        <w:rPr>
          <w:rFonts w:eastAsia="Montserrat"/>
          <w:color w:val="000000" w:themeColor="text1"/>
        </w:rPr>
        <w:t>activity</w:t>
      </w:r>
      <w:r w:rsidRPr="009F63DF">
        <w:rPr>
          <w:rFonts w:eastAsia="Montserrat"/>
          <w:color w:val="000000" w:themeColor="text1"/>
        </w:rPr>
        <w:t xml:space="preserve"> emissions </w:t>
      </w:r>
      <w:r w:rsidR="000709E9" w:rsidRPr="009F63DF">
        <w:rPr>
          <w:rFonts w:eastAsia="Montserrat"/>
          <w:color w:val="000000" w:themeColor="text1"/>
        </w:rPr>
        <w:t xml:space="preserve">shall be </w:t>
      </w:r>
      <w:r w:rsidRPr="009F63DF">
        <w:rPr>
          <w:rFonts w:eastAsia="Montserrat"/>
          <w:color w:val="000000" w:themeColor="text1"/>
        </w:rPr>
        <w:t>adjusted</w:t>
      </w:r>
      <w:r w:rsidR="001C2394" w:rsidRPr="009F63DF">
        <w:rPr>
          <w:rFonts w:eastAsia="Montserrat"/>
          <w:color w:val="000000" w:themeColor="text1"/>
        </w:rPr>
        <w:t xml:space="preserve"> to account for the Hawthorne </w:t>
      </w:r>
      <w:r w:rsidR="00CF0A63" w:rsidRPr="009F63DF">
        <w:rPr>
          <w:rFonts w:eastAsia="Montserrat"/>
          <w:color w:val="000000" w:themeColor="text1"/>
        </w:rPr>
        <w:t>e</w:t>
      </w:r>
      <w:r w:rsidR="001C2394" w:rsidRPr="009F63DF">
        <w:rPr>
          <w:rFonts w:eastAsia="Montserrat"/>
          <w:color w:val="000000" w:themeColor="text1"/>
        </w:rPr>
        <w:t xml:space="preserve">ffect, such that in </w:t>
      </w:r>
      <w:hyperlink w:anchor="E25" w:history="1">
        <w:r w:rsidR="007E21CD" w:rsidRPr="009F63DF">
          <w:rPr>
            <w:rFonts w:eastAsia="Montserrat"/>
            <w:color w:val="000000" w:themeColor="text1"/>
          </w:rPr>
          <w:t>e</w:t>
        </w:r>
        <w:r w:rsidR="001C2394" w:rsidRPr="009F63DF">
          <w:rPr>
            <w:rFonts w:eastAsia="Montserrat"/>
            <w:color w:val="000000" w:themeColor="text1"/>
          </w:rPr>
          <w:t>quation (</w:t>
        </w:r>
        <w:r w:rsidR="001250BF" w:rsidRPr="009F63DF">
          <w:rPr>
            <w:rFonts w:eastAsia="Montserrat"/>
            <w:color w:val="000000" w:themeColor="text1"/>
          </w:rPr>
          <w:t>3</w:t>
        </w:r>
        <w:r w:rsidR="002543D1" w:rsidRPr="009F63DF">
          <w:rPr>
            <w:rFonts w:eastAsia="Montserrat"/>
            <w:color w:val="000000" w:themeColor="text1"/>
          </w:rPr>
          <w:t>3</w:t>
        </w:r>
        <w:r w:rsidR="001C2394" w:rsidRPr="009F63DF">
          <w:rPr>
            <w:rFonts w:eastAsia="Montserrat"/>
            <w:color w:val="000000" w:themeColor="text1"/>
          </w:rPr>
          <w:t>),</w:t>
        </w:r>
      </w:hyperlink>
      <w:r w:rsidR="001C2394" w:rsidRPr="009F63DF">
        <w:rPr>
          <w:rFonts w:eastAsia="Montserrat"/>
          <w:color w:val="000000" w:themeColor="text1"/>
        </w:rPr>
        <w:t xml:space="preserve"> </w:t>
      </w:r>
      <m:oMath>
        <m:sSub>
          <m:sSubPr>
            <m:ctrlPr>
              <w:rPr>
                <w:rFonts w:ascii="Cambria Math" w:eastAsia="Cambria Math" w:hAnsi="Cambria Math"/>
                <w:i/>
                <w:color w:val="000000" w:themeColor="text1"/>
              </w:rPr>
            </m:ctrlPr>
          </m:sSubPr>
          <m:e>
            <m:r>
              <w:rPr>
                <w:rFonts w:ascii="Cambria Math" w:eastAsia="Cambria Math" w:hAnsi="Cambria Math"/>
                <w:color w:val="000000" w:themeColor="text1"/>
              </w:rPr>
              <m:t>HE</m:t>
            </m:r>
          </m:e>
          <m:sub>
            <m:r>
              <w:rPr>
                <w:rFonts w:ascii="Cambria Math" w:eastAsia="Cambria Math" w:hAnsi="Cambria Math"/>
                <w:color w:val="000000" w:themeColor="text1"/>
              </w:rPr>
              <m:t>ind</m:t>
            </m:r>
          </m:sub>
        </m:sSub>
      </m:oMath>
      <w:r w:rsidR="001C2394" w:rsidRPr="009F63DF">
        <w:rPr>
          <w:rFonts w:eastAsia="Montserrat"/>
          <w:color w:val="000000" w:themeColor="text1"/>
        </w:rPr>
        <w:t xml:space="preserve"> equals </w:t>
      </w:r>
      <w:r w:rsidR="00630F88" w:rsidRPr="009F63DF">
        <w:rPr>
          <w:rFonts w:eastAsia="Montserrat"/>
          <w:color w:val="000000" w:themeColor="text1"/>
        </w:rPr>
        <w:t xml:space="preserve">to </w:t>
      </w:r>
      <w:r w:rsidR="001C2394" w:rsidRPr="009F63DF">
        <w:rPr>
          <w:rFonts w:eastAsia="Montserrat"/>
          <w:color w:val="000000" w:themeColor="text1"/>
        </w:rPr>
        <w:t>75</w:t>
      </w:r>
      <w:r w:rsidR="00E14AC2" w:rsidRPr="009F63DF">
        <w:t xml:space="preserve"> per cent</w:t>
      </w:r>
      <w:r w:rsidR="001C2394" w:rsidRPr="009F63DF">
        <w:rPr>
          <w:rFonts w:eastAsia="Montserrat"/>
          <w:color w:val="000000" w:themeColor="text1"/>
        </w:rPr>
        <w:t>.</w:t>
      </w:r>
      <w:r w:rsidR="00BA2423" w:rsidRPr="009F63DF">
        <w:rPr>
          <w:rStyle w:val="FootnoteReference"/>
          <w:rFonts w:eastAsia="Montserrat"/>
          <w:color w:val="000000" w:themeColor="text1"/>
        </w:rPr>
        <w:footnoteReference w:id="38"/>
      </w:r>
      <w:r w:rsidR="00D17E74" w:rsidRPr="009F63DF">
        <w:rPr>
          <w:rFonts w:eastAsia="Montserrat"/>
          <w:color w:val="000000" w:themeColor="text1"/>
        </w:rPr>
        <w:t xml:space="preserve"> The use of the default Hawthorne </w:t>
      </w:r>
      <w:r w:rsidR="00CF0A63" w:rsidRPr="009F63DF">
        <w:rPr>
          <w:rFonts w:eastAsia="Montserrat"/>
          <w:color w:val="000000" w:themeColor="text1"/>
        </w:rPr>
        <w:t>e</w:t>
      </w:r>
      <w:r w:rsidR="00D17E74" w:rsidRPr="009F63DF">
        <w:rPr>
          <w:rFonts w:eastAsia="Montserrat"/>
          <w:color w:val="000000" w:themeColor="text1"/>
        </w:rPr>
        <w:t xml:space="preserve">ffect adjustment </w:t>
      </w:r>
      <w:r w:rsidR="00805836" w:rsidRPr="009F63DF">
        <w:rPr>
          <w:rFonts w:eastAsia="Montserrat"/>
          <w:color w:val="000000" w:themeColor="text1"/>
        </w:rPr>
        <w:t xml:space="preserve">factor </w:t>
      </w:r>
      <w:r w:rsidR="00D17E74" w:rsidRPr="009F63DF">
        <w:rPr>
          <w:rFonts w:eastAsia="Montserrat"/>
          <w:color w:val="000000" w:themeColor="text1"/>
        </w:rPr>
        <w:t xml:space="preserve">is valid through </w:t>
      </w:r>
      <w:r w:rsidR="00827A31" w:rsidRPr="009F63DF">
        <w:rPr>
          <w:rFonts w:eastAsia="Montserrat"/>
          <w:color w:val="000000" w:themeColor="text1"/>
        </w:rPr>
        <w:t>31 December 2027</w:t>
      </w:r>
      <w:r w:rsidR="00D17E74" w:rsidRPr="009F63DF">
        <w:rPr>
          <w:rFonts w:eastAsia="Montserrat"/>
          <w:color w:val="000000" w:themeColor="text1"/>
        </w:rPr>
        <w:t>.</w:t>
      </w:r>
    </w:p>
    <w:tbl>
      <w:tblPr>
        <w:tblStyle w:val="SDMMethTableEquation"/>
        <w:tblW w:w="8760" w:type="dxa"/>
        <w:tblLook w:val="0600" w:firstRow="0" w:lastRow="0" w:firstColumn="0" w:lastColumn="0" w:noHBand="1" w:noVBand="1"/>
      </w:tblPr>
      <w:tblGrid>
        <w:gridCol w:w="7096"/>
        <w:gridCol w:w="1664"/>
      </w:tblGrid>
      <w:tr w:rsidR="001A5C04" w:rsidRPr="009F63DF" w14:paraId="10A04439" w14:textId="77777777" w:rsidTr="00C5477B">
        <w:tc>
          <w:tcPr>
            <w:tcW w:w="7224" w:type="dxa"/>
          </w:tcPr>
          <w:p w14:paraId="37222627" w14:textId="713D728A" w:rsidR="001A5C04" w:rsidRPr="009F63DF" w:rsidRDefault="001549D8" w:rsidP="00C5477B">
            <w:pPr>
              <w:pStyle w:val="SDMMethEquation"/>
            </w:pPr>
            <m:oMathPara>
              <m:oMathParaPr>
                <m:jc m:val="left"/>
              </m:oMathParaPr>
              <m:oMath>
                <m:sSub>
                  <m:sSubPr>
                    <m:ctrlPr>
                      <w:rPr>
                        <w:rFonts w:ascii="Cambria Math" w:eastAsia="Cambria Math" w:hAnsi="Cambria Math"/>
                        <w:i/>
                        <w:color w:val="000000" w:themeColor="text1"/>
                        <w:sz w:val="24"/>
                        <w:szCs w:val="24"/>
                        <w:lang w:eastAsia="en-US"/>
                      </w:rPr>
                    </m:ctrlPr>
                  </m:sSubPr>
                  <m:e>
                    <m:r>
                      <w:rPr>
                        <w:rFonts w:ascii="Cambria Math" w:eastAsia="Cambria Math" w:hAnsi="Cambria Math"/>
                        <w:color w:val="000000" w:themeColor="text1"/>
                        <w:sz w:val="24"/>
                        <w:szCs w:val="24"/>
                        <w:lang w:eastAsia="en-US"/>
                      </w:rPr>
                      <m:t>HE</m:t>
                    </m:r>
                  </m:e>
                  <m:sub>
                    <m:r>
                      <w:rPr>
                        <w:rFonts w:ascii="Cambria Math" w:eastAsia="Cambria Math" w:hAnsi="Cambria Math"/>
                        <w:color w:val="000000" w:themeColor="text1"/>
                        <w:sz w:val="24"/>
                        <w:szCs w:val="24"/>
                        <w:lang w:eastAsia="en-US"/>
                      </w:rPr>
                      <m:t>ind</m:t>
                    </m:r>
                  </m:sub>
                </m:sSub>
                <m:r>
                  <w:rPr>
                    <w:rFonts w:ascii="Cambria Math" w:eastAsia="Cambria Math" w:hAnsi="Cambria Math"/>
                    <w:color w:val="000000" w:themeColor="text1"/>
                    <w:sz w:val="24"/>
                    <w:szCs w:val="24"/>
                    <w:lang w:eastAsia="en-US"/>
                  </w:rPr>
                  <m:t>=</m:t>
                </m:r>
                <m:func>
                  <m:funcPr>
                    <m:ctrlPr>
                      <w:rPr>
                        <w:rFonts w:ascii="Cambria Math" w:eastAsia="Cambria Math" w:hAnsi="Cambria Math"/>
                        <w:i/>
                        <w:color w:val="000000" w:themeColor="text1"/>
                        <w:sz w:val="24"/>
                        <w:szCs w:val="24"/>
                        <w:lang w:eastAsia="en-US"/>
                      </w:rPr>
                    </m:ctrlPr>
                  </m:funcPr>
                  <m:fName>
                    <m:r>
                      <m:rPr>
                        <m:sty m:val="p"/>
                      </m:rPr>
                      <w:rPr>
                        <w:rFonts w:ascii="Cambria Math" w:eastAsia="Cambria Math" w:hAnsi="Cambria Math"/>
                        <w:color w:val="000000" w:themeColor="text1"/>
                        <w:sz w:val="24"/>
                        <w:szCs w:val="24"/>
                        <w:lang w:eastAsia="en-US"/>
                      </w:rPr>
                      <m:t>MIN</m:t>
                    </m:r>
                  </m:fName>
                  <m:e>
                    <m:r>
                      <w:rPr>
                        <w:rFonts w:ascii="Cambria Math" w:eastAsia="Cambria Math" w:hAnsi="Cambria Math"/>
                        <w:color w:val="000000" w:themeColor="text1"/>
                        <w:sz w:val="24"/>
                        <w:szCs w:val="24"/>
                        <w:lang w:eastAsia="en-US"/>
                      </w:rPr>
                      <m:t xml:space="preserve">(1, </m:t>
                    </m:r>
                    <m:f>
                      <m:fPr>
                        <m:ctrlPr>
                          <w:rPr>
                            <w:rFonts w:ascii="Cambria Math" w:eastAsia="Cambria Math" w:hAnsi="Cambria Math"/>
                            <w:color w:val="000000" w:themeColor="text1"/>
                            <w:sz w:val="24"/>
                            <w:szCs w:val="24"/>
                            <w:lang w:eastAsia="en-US"/>
                          </w:rPr>
                        </m:ctrlPr>
                      </m:fPr>
                      <m:num>
                        <m:sSub>
                          <m:sSubPr>
                            <m:ctrlPr>
                              <w:rPr>
                                <w:rFonts w:ascii="Cambria Math" w:eastAsia="Cambria Math" w:hAnsi="Cambria Math"/>
                                <w:i/>
                                <w:color w:val="000000" w:themeColor="text1"/>
                                <w:sz w:val="24"/>
                                <w:szCs w:val="24"/>
                                <w:lang w:eastAsia="en-US"/>
                              </w:rPr>
                            </m:ctrlPr>
                          </m:sSubPr>
                          <m:e>
                            <m:r>
                              <w:rPr>
                                <w:rFonts w:ascii="Cambria Math" w:eastAsia="Cambria Math" w:hAnsi="Cambria Math"/>
                                <w:color w:val="000000" w:themeColor="text1"/>
                                <w:sz w:val="24"/>
                                <w:szCs w:val="24"/>
                                <w:lang w:eastAsia="en-US"/>
                              </w:rPr>
                              <m:t>PCE</m:t>
                            </m:r>
                          </m:e>
                          <m:sub>
                            <m:r>
                              <w:rPr>
                                <w:rFonts w:ascii="Cambria Math" w:eastAsia="Cambria Math" w:hAnsi="Cambria Math"/>
                                <w:color w:val="000000" w:themeColor="text1"/>
                                <w:sz w:val="24"/>
                                <w:szCs w:val="24"/>
                                <w:lang w:eastAsia="en-US"/>
                              </w:rPr>
                              <m:t>m</m:t>
                            </m:r>
                          </m:sub>
                        </m:sSub>
                      </m:num>
                      <m:den>
                        <m:sSub>
                          <m:sSubPr>
                            <m:ctrlPr>
                              <w:rPr>
                                <w:rFonts w:ascii="Cambria Math" w:eastAsia="Cambria Math" w:hAnsi="Cambria Math"/>
                                <w:i/>
                                <w:color w:val="000000" w:themeColor="text1"/>
                                <w:sz w:val="24"/>
                                <w:szCs w:val="24"/>
                                <w:lang w:eastAsia="en-US"/>
                              </w:rPr>
                            </m:ctrlPr>
                          </m:sSubPr>
                          <m:e>
                            <m:r>
                              <w:rPr>
                                <w:rFonts w:ascii="Cambria Math" w:eastAsia="Cambria Math" w:hAnsi="Cambria Math"/>
                                <w:color w:val="000000" w:themeColor="text1"/>
                                <w:sz w:val="24"/>
                                <w:szCs w:val="24"/>
                                <w:lang w:eastAsia="en-US"/>
                              </w:rPr>
                              <m:t>PCE</m:t>
                            </m:r>
                          </m:e>
                          <m:sub>
                            <m:r>
                              <w:rPr>
                                <w:rFonts w:ascii="Cambria Math" w:eastAsia="Cambria Math" w:hAnsi="Cambria Math"/>
                                <w:color w:val="000000" w:themeColor="text1"/>
                                <w:sz w:val="24"/>
                                <w:szCs w:val="24"/>
                                <w:lang w:eastAsia="en-US"/>
                              </w:rPr>
                              <m:t>KPT</m:t>
                            </m:r>
                          </m:sub>
                        </m:sSub>
                      </m:den>
                    </m:f>
                    <m:r>
                      <w:rPr>
                        <w:rFonts w:ascii="Cambria Math" w:eastAsia="Cambria Math" w:hAnsi="Cambria Math"/>
                        <w:color w:val="000000" w:themeColor="text1"/>
                        <w:sz w:val="24"/>
                        <w:szCs w:val="24"/>
                        <w:lang w:eastAsia="en-US"/>
                      </w:rPr>
                      <m:t>)</m:t>
                    </m:r>
                  </m:e>
                </m:func>
              </m:oMath>
            </m:oMathPara>
          </w:p>
        </w:tc>
        <w:tc>
          <w:tcPr>
            <w:tcW w:w="1701" w:type="dxa"/>
          </w:tcPr>
          <w:p w14:paraId="341E7CA3" w14:textId="77777777" w:rsidR="001A5C04" w:rsidRPr="009F63DF" w:rsidRDefault="001A5C04" w:rsidP="00AF1AC1">
            <w:pPr>
              <w:pStyle w:val="SDMMethEquationNr"/>
              <w:numPr>
                <w:ilvl w:val="0"/>
                <w:numId w:val="29"/>
              </w:numPr>
            </w:pPr>
          </w:p>
        </w:tc>
      </w:tr>
    </w:tbl>
    <w:p w14:paraId="6F65EB5D" w14:textId="77777777" w:rsidR="001A5C04" w:rsidRPr="009F63DF" w:rsidRDefault="001A5C04"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1A5C04" w:rsidRPr="009F63DF" w14:paraId="6F79CB87" w14:textId="77777777" w:rsidTr="001C2142">
        <w:tc>
          <w:tcPr>
            <w:tcW w:w="1701" w:type="dxa"/>
            <w:vAlign w:val="top"/>
          </w:tcPr>
          <w:p w14:paraId="34033284" w14:textId="73349000" w:rsidR="001A5C04" w:rsidRPr="009F63DF" w:rsidRDefault="001549D8" w:rsidP="001A5C0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HE</m:t>
                    </m:r>
                  </m:e>
                  <m:sub>
                    <m:r>
                      <w:rPr>
                        <w:rFonts w:ascii="Cambria Math" w:eastAsia="Cambria Math" w:hAnsi="Cambria Math" w:cs="Arial"/>
                        <w:color w:val="000000" w:themeColor="text1"/>
                      </w:rPr>
                      <m:t>ind</m:t>
                    </m:r>
                  </m:sub>
                </m:sSub>
              </m:oMath>
            </m:oMathPara>
          </w:p>
        </w:tc>
        <w:tc>
          <w:tcPr>
            <w:tcW w:w="345" w:type="dxa"/>
            <w:vAlign w:val="top"/>
          </w:tcPr>
          <w:p w14:paraId="79B5C2CC" w14:textId="77777777" w:rsidR="001A5C04" w:rsidRPr="009F63DF" w:rsidRDefault="001A5C04" w:rsidP="001A5C04">
            <w:pPr>
              <w:pStyle w:val="SDMTableBoxParaNotNumbered"/>
            </w:pPr>
            <w:r w:rsidRPr="009F63DF">
              <w:t>=</w:t>
            </w:r>
          </w:p>
        </w:tc>
        <w:tc>
          <w:tcPr>
            <w:tcW w:w="0" w:type="auto"/>
            <w:vAlign w:val="top"/>
          </w:tcPr>
          <w:p w14:paraId="4CFF0BF0" w14:textId="6077C7B2" w:rsidR="001A5C04" w:rsidRPr="009F63DF" w:rsidRDefault="001A5C04" w:rsidP="001A5C04">
            <w:pPr>
              <w:pStyle w:val="SDMTableBoxParaNotNumbered"/>
            </w:pPr>
            <w:r w:rsidRPr="009F63DF">
              <w:t xml:space="preserve">Adjustment to calculated emission reductions for the Hawthorne </w:t>
            </w:r>
            <w:r w:rsidR="007B677A" w:rsidRPr="009F63DF">
              <w:t>e</w:t>
            </w:r>
            <w:r w:rsidRPr="009F63DF">
              <w:t>ffect (</w:t>
            </w:r>
            <w:r w:rsidR="00DE7B9B" w:rsidRPr="009F63DF">
              <w:t>per cent</w:t>
            </w:r>
            <w:r w:rsidRPr="009F63DF">
              <w:t>)</w:t>
            </w:r>
          </w:p>
        </w:tc>
      </w:tr>
      <w:tr w:rsidR="001A5C04" w:rsidRPr="009F63DF" w14:paraId="20B44F0E" w14:textId="77777777" w:rsidTr="001C2142">
        <w:tc>
          <w:tcPr>
            <w:tcW w:w="1701" w:type="dxa"/>
            <w:vAlign w:val="top"/>
          </w:tcPr>
          <w:p w14:paraId="2E81F5FA" w14:textId="2AB6FBB7" w:rsidR="001A5C04" w:rsidRPr="009F63DF" w:rsidRDefault="001549D8" w:rsidP="001A5C0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PCE</m:t>
                    </m:r>
                  </m:e>
                  <m:sub>
                    <m:r>
                      <w:rPr>
                        <w:rFonts w:ascii="Cambria Math" w:eastAsia="Cambria Math" w:hAnsi="Cambria Math" w:cs="Arial"/>
                        <w:color w:val="000000" w:themeColor="text1"/>
                      </w:rPr>
                      <m:t>m</m:t>
                    </m:r>
                  </m:sub>
                </m:sSub>
              </m:oMath>
            </m:oMathPara>
          </w:p>
        </w:tc>
        <w:tc>
          <w:tcPr>
            <w:tcW w:w="345" w:type="dxa"/>
            <w:vAlign w:val="top"/>
          </w:tcPr>
          <w:p w14:paraId="4AC63C14" w14:textId="77777777" w:rsidR="001A5C04" w:rsidRPr="009F63DF" w:rsidRDefault="001A5C04" w:rsidP="001A5C04">
            <w:pPr>
              <w:pStyle w:val="SDMTableBoxParaNotNumbered"/>
            </w:pPr>
            <w:r w:rsidRPr="009F63DF">
              <w:t>=</w:t>
            </w:r>
          </w:p>
        </w:tc>
        <w:tc>
          <w:tcPr>
            <w:tcW w:w="0" w:type="auto"/>
            <w:vAlign w:val="top"/>
          </w:tcPr>
          <w:p w14:paraId="31FBB750" w14:textId="2848D754" w:rsidR="001A5C04" w:rsidRPr="009F63DF" w:rsidRDefault="001A5C04" w:rsidP="001A5C04">
            <w:pPr>
              <w:pStyle w:val="SDMTableBoxParaNotNumbered"/>
            </w:pPr>
            <w:r w:rsidRPr="009F63DF">
              <w:t xml:space="preserve">Average </w:t>
            </w:r>
            <w:r w:rsidR="006B6B39" w:rsidRPr="009F63DF">
              <w:t>activity cookstove</w:t>
            </w:r>
            <w:r w:rsidRPr="009F63DF">
              <w:t xml:space="preserve"> cooking events per day over 1 month from SUMs measurements (number of events)</w:t>
            </w:r>
          </w:p>
        </w:tc>
      </w:tr>
      <w:tr w:rsidR="001A5C04" w:rsidRPr="009F63DF" w14:paraId="3CFF2544" w14:textId="77777777" w:rsidTr="001C2142">
        <w:tc>
          <w:tcPr>
            <w:tcW w:w="1701" w:type="dxa"/>
            <w:vAlign w:val="top"/>
          </w:tcPr>
          <w:p w14:paraId="4049A181" w14:textId="65AF47B4" w:rsidR="001A5C04" w:rsidRPr="009F63DF" w:rsidRDefault="001549D8" w:rsidP="001A5C04">
            <w:pPr>
              <w:pStyle w:val="SDMTableBoxParaNotNumbered"/>
            </w:pPr>
            <m:oMathPara>
              <m:oMathParaPr>
                <m:jc m:val="left"/>
              </m:oMathParaPr>
              <m:oMath>
                <m:sSub>
                  <m:sSubPr>
                    <m:ctrlPr>
                      <w:rPr>
                        <w:rFonts w:ascii="Cambria Math" w:eastAsia="Cambria Math" w:hAnsi="Cambria Math" w:cs="Arial"/>
                        <w:color w:val="000000" w:themeColor="text1"/>
                      </w:rPr>
                    </m:ctrlPr>
                  </m:sSubPr>
                  <m:e>
                    <m:r>
                      <w:rPr>
                        <w:rFonts w:ascii="Cambria Math" w:eastAsia="Cambria Math" w:hAnsi="Cambria Math" w:cs="Arial"/>
                        <w:color w:val="000000" w:themeColor="text1"/>
                      </w:rPr>
                      <m:t>PCE</m:t>
                    </m:r>
                  </m:e>
                  <m:sub>
                    <m:r>
                      <w:rPr>
                        <w:rFonts w:ascii="Cambria Math" w:eastAsia="Cambria Math" w:hAnsi="Cambria Math" w:cs="Arial"/>
                        <w:color w:val="000000" w:themeColor="text1"/>
                      </w:rPr>
                      <m:t>KPT</m:t>
                    </m:r>
                  </m:sub>
                </m:sSub>
              </m:oMath>
            </m:oMathPara>
          </w:p>
        </w:tc>
        <w:tc>
          <w:tcPr>
            <w:tcW w:w="345" w:type="dxa"/>
            <w:vAlign w:val="top"/>
          </w:tcPr>
          <w:p w14:paraId="63C5AE66" w14:textId="77777777" w:rsidR="001A5C04" w:rsidRPr="009F63DF" w:rsidRDefault="001A5C04" w:rsidP="001A5C04">
            <w:pPr>
              <w:pStyle w:val="SDMTableBoxParaNotNumbered"/>
            </w:pPr>
            <w:r w:rsidRPr="009F63DF">
              <w:t>=</w:t>
            </w:r>
          </w:p>
        </w:tc>
        <w:tc>
          <w:tcPr>
            <w:tcW w:w="0" w:type="auto"/>
            <w:vAlign w:val="top"/>
          </w:tcPr>
          <w:p w14:paraId="31C06568" w14:textId="0D796F56" w:rsidR="001A5C04" w:rsidRPr="009F63DF" w:rsidRDefault="001A5C04" w:rsidP="001A5C04">
            <w:pPr>
              <w:pStyle w:val="SDMTableBoxParaNotNumbered"/>
            </w:pPr>
            <w:r w:rsidRPr="009F63DF">
              <w:t xml:space="preserve">Average </w:t>
            </w:r>
            <w:r w:rsidR="006B6B39" w:rsidRPr="009F63DF">
              <w:t>activity cookstove</w:t>
            </w:r>
            <w:r w:rsidRPr="009F63DF">
              <w:t xml:space="preserve"> cooking events per day over the activity KPT from SUMs measurements (number of events)</w:t>
            </w:r>
          </w:p>
        </w:tc>
      </w:tr>
    </w:tbl>
    <w:p w14:paraId="24A35DF1" w14:textId="7BEC1D9C" w:rsidR="001C2394" w:rsidRPr="009F63DF" w:rsidRDefault="001C2394" w:rsidP="00F91295">
      <w:pPr>
        <w:pStyle w:val="SDMHead1"/>
      </w:pPr>
      <w:bookmarkStart w:id="542" w:name="_Toc226406673"/>
      <w:bookmarkStart w:id="543" w:name="_Toc226406674"/>
      <w:bookmarkStart w:id="544" w:name="_Toc226406678"/>
      <w:bookmarkStart w:id="545" w:name="_Toc226502289"/>
      <w:bookmarkStart w:id="546" w:name="_Toc226576242"/>
      <w:bookmarkStart w:id="547" w:name="_Toc226983093"/>
      <w:bookmarkStart w:id="548" w:name="_Toc227677290"/>
      <w:bookmarkStart w:id="549" w:name="_Toc227694812"/>
      <w:bookmarkStart w:id="550" w:name="_Toc227920926"/>
      <w:bookmarkStart w:id="551" w:name="_Toc227938827"/>
      <w:bookmarkStart w:id="552" w:name="_Toc227948078"/>
      <w:bookmarkStart w:id="553" w:name="_Ref232516968"/>
      <w:bookmarkStart w:id="554" w:name="_Ref232516975"/>
      <w:bookmarkStart w:id="555" w:name="_Toc233388637"/>
      <w:bookmarkStart w:id="556" w:name="_Toc233961444"/>
      <w:bookmarkStart w:id="557" w:name="_Toc233970253"/>
      <w:bookmarkStart w:id="558" w:name="_Toc240546583"/>
      <w:bookmarkStart w:id="559" w:name="_Toc240631984"/>
      <w:bookmarkStart w:id="560" w:name="_Toc242471169"/>
      <w:bookmarkStart w:id="561" w:name="_Toc193924630"/>
      <w:bookmarkStart w:id="562" w:name="_Toc219446936"/>
      <w:bookmarkStart w:id="563" w:name="_Toc219711071"/>
      <w:bookmarkStart w:id="564" w:name="_Toc219711174"/>
      <w:bookmarkStart w:id="565" w:name="_Toc219711351"/>
      <w:bookmarkEnd w:id="542"/>
      <w:bookmarkEnd w:id="543"/>
      <w:bookmarkEnd w:id="544"/>
      <w:r w:rsidRPr="009F63DF">
        <w:rPr>
          <w:rFonts w:eastAsia="Montserrat"/>
          <w:color w:val="000000" w:themeColor="text1"/>
        </w:rPr>
        <w:t>Leakage</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1445A9BE" w14:textId="16C90970" w:rsidR="006D2932" w:rsidRPr="009F63DF" w:rsidRDefault="007D7240" w:rsidP="00E03E61">
      <w:pPr>
        <w:pStyle w:val="SDMPara"/>
        <w:rPr>
          <w:rFonts w:eastAsia="Montserrat"/>
          <w:color w:val="000000" w:themeColor="text2"/>
        </w:rPr>
      </w:pPr>
      <w:r w:rsidRPr="009F63DF">
        <w:t xml:space="preserve">The leakage assessment is determined at the level of the mechanism methodology. </w:t>
      </w:r>
      <w:r w:rsidRPr="009F63DF">
        <w:fldChar w:fldCharType="begin"/>
      </w:r>
      <w:r w:rsidRPr="009F63DF">
        <w:instrText xml:space="preserve"> REF _Ref227014105 \r \h </w:instrText>
      </w:r>
      <w:r w:rsidRPr="009F63DF">
        <w:fldChar w:fldCharType="separate"/>
      </w:r>
      <w:r w:rsidR="00831DAE">
        <w:rPr>
          <w:cs/>
        </w:rPr>
        <w:t>‎</w:t>
      </w:r>
      <w:r w:rsidR="00831DAE">
        <w:t>0</w:t>
      </w:r>
      <w:r w:rsidRPr="009F63DF">
        <w:fldChar w:fldCharType="end"/>
      </w:r>
      <w:r w:rsidRPr="009F63DF">
        <w:t xml:space="preserve"> describes how </w:t>
      </w:r>
      <w:r w:rsidR="00486ACC" w:rsidRPr="009F63DF">
        <w:t>the estimated leakage emissions</w:t>
      </w:r>
      <w:r w:rsidRPr="009F63DF">
        <w:t xml:space="preserve"> parameter w</w:t>
      </w:r>
      <w:r w:rsidR="00486ACC" w:rsidRPr="009F63DF">
        <w:t>as</w:t>
      </w:r>
      <w:r w:rsidRPr="009F63DF">
        <w:t xml:space="preserve"> derived.</w:t>
      </w:r>
    </w:p>
    <w:p w14:paraId="0EE10E1C" w14:textId="334A2E31" w:rsidR="00053633" w:rsidRPr="009F63DF" w:rsidRDefault="001C2394" w:rsidP="00655F47">
      <w:pPr>
        <w:pStyle w:val="SDMPara"/>
        <w:keepNext/>
      </w:pPr>
      <w:r w:rsidRPr="009F63DF">
        <w:rPr>
          <w:rFonts w:eastAsia="Montserrat"/>
          <w:color w:val="000000" w:themeColor="text1"/>
        </w:rPr>
        <w:t xml:space="preserve">The leakage assessment concludes that no negative leakage emissions are likely attributable to the </w:t>
      </w:r>
      <w:r w:rsidRPr="009F63DF">
        <w:rPr>
          <w:rFonts w:eastAsia="Montserrat"/>
        </w:rPr>
        <w:t>Article</w:t>
      </w:r>
      <w:r w:rsidRPr="009F63DF">
        <w:rPr>
          <w:rFonts w:eastAsia="Montserrat"/>
          <w:color w:val="000000" w:themeColor="text1"/>
        </w:rPr>
        <w:t xml:space="preserve"> 6.4 activity, apart from emissions associated with materials, manufacture and transport of the project cookstoves</w:t>
      </w:r>
      <w:r w:rsidR="00C57583" w:rsidRPr="009F63DF">
        <w:rPr>
          <w:rFonts w:eastAsia="Montserrat"/>
          <w:color w:val="000000" w:themeColor="text1"/>
        </w:rPr>
        <w:t xml:space="preserve"> and are estimated as follows:</w:t>
      </w:r>
    </w:p>
    <w:tbl>
      <w:tblPr>
        <w:tblStyle w:val="SDMMethTableEquation"/>
        <w:tblW w:w="8760" w:type="dxa"/>
        <w:tblLook w:val="0600" w:firstRow="0" w:lastRow="0" w:firstColumn="0" w:lastColumn="0" w:noHBand="1" w:noVBand="1"/>
      </w:tblPr>
      <w:tblGrid>
        <w:gridCol w:w="7092"/>
        <w:gridCol w:w="1668"/>
      </w:tblGrid>
      <w:tr w:rsidR="001A5C04" w:rsidRPr="009F63DF" w14:paraId="6B3C7714" w14:textId="77777777" w:rsidTr="00E31AAD">
        <w:tc>
          <w:tcPr>
            <w:tcW w:w="7092" w:type="dxa"/>
          </w:tcPr>
          <w:p w14:paraId="6CCD4174" w14:textId="48A5303C" w:rsidR="001A5C04" w:rsidRPr="009F63DF" w:rsidRDefault="001549D8" w:rsidP="00C5477B">
            <w:pPr>
              <w:pStyle w:val="SDMMethEquation"/>
            </w:pPr>
            <m:oMathPara>
              <m:oMathParaPr>
                <m:jc m:val="left"/>
              </m:oMathParaPr>
              <m:oMath>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LE</m:t>
                    </m:r>
                  </m:e>
                  <m:sub>
                    <m:r>
                      <w:rPr>
                        <w:rFonts w:ascii="Cambria Math" w:eastAsia="Cambria Math" w:hAnsi="Cambria Math" w:cs="Cambria Math"/>
                        <w:color w:val="000000" w:themeColor="text1"/>
                        <w:sz w:val="24"/>
                        <w:szCs w:val="24"/>
                        <w:lang w:eastAsia="en-US"/>
                      </w:rPr>
                      <m:t>y</m:t>
                    </m:r>
                  </m:sub>
                </m:sSub>
                <m:r>
                  <w:rPr>
                    <w:rFonts w:ascii="Cambria Math" w:eastAsia="Cambria Math" w:hAnsi="Cambria Math" w:cs="Cambria Math"/>
                    <w:color w:val="000000" w:themeColor="text1"/>
                    <w:sz w:val="24"/>
                    <w:szCs w:val="24"/>
                    <w:lang w:eastAsia="en-US"/>
                  </w:rPr>
                  <m:t>=</m:t>
                </m:r>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AC</m:t>
                    </m:r>
                  </m:e>
                  <m:sub>
                    <m:r>
                      <w:rPr>
                        <w:rFonts w:ascii="Cambria Math" w:eastAsia="Cambria Math" w:hAnsi="Cambria Math" w:cs="Cambria Math"/>
                        <w:color w:val="000000" w:themeColor="text1"/>
                        <w:sz w:val="24"/>
                        <w:szCs w:val="24"/>
                        <w:lang w:eastAsia="en-US"/>
                      </w:rPr>
                      <m:t>New,y</m:t>
                    </m:r>
                  </m:sub>
                </m:sSub>
                <m:r>
                  <w:rPr>
                    <w:rFonts w:ascii="Cambria Math" w:eastAsia="Cambria Math" w:hAnsi="Cambria Math" w:cs="Cambria Math"/>
                    <w:color w:val="000000" w:themeColor="text1"/>
                    <w:sz w:val="24"/>
                    <w:szCs w:val="24"/>
                    <w:lang w:eastAsia="en-US"/>
                  </w:rPr>
                  <m:t>×</m:t>
                </m:r>
                <m:sSub>
                  <m:sSubPr>
                    <m:ctrlPr>
                      <w:rPr>
                        <w:rFonts w:ascii="Cambria Math" w:eastAsia="Cambria Math" w:hAnsi="Cambria Math" w:cs="Cambria Math"/>
                        <w:color w:val="000000" w:themeColor="text1"/>
                        <w:sz w:val="24"/>
                        <w:szCs w:val="24"/>
                        <w:lang w:eastAsia="en-US"/>
                      </w:rPr>
                    </m:ctrlPr>
                  </m:sSubPr>
                  <m:e>
                    <m:r>
                      <w:rPr>
                        <w:rFonts w:ascii="Cambria Math" w:eastAsia="Cambria Math" w:hAnsi="Cambria Math" w:cs="Cambria Math"/>
                        <w:color w:val="000000" w:themeColor="text1"/>
                        <w:sz w:val="24"/>
                        <w:szCs w:val="24"/>
                        <w:lang w:eastAsia="en-US"/>
                      </w:rPr>
                      <m:t>E</m:t>
                    </m:r>
                  </m:e>
                  <m:sub>
                    <m:r>
                      <w:rPr>
                        <w:rFonts w:ascii="Cambria Math" w:eastAsia="Cambria Math" w:hAnsi="Cambria Math" w:cs="Cambria Math"/>
                        <w:color w:val="000000" w:themeColor="text1"/>
                        <w:sz w:val="24"/>
                        <w:szCs w:val="24"/>
                        <w:lang w:eastAsia="en-US"/>
                      </w:rPr>
                      <m:t>LE</m:t>
                    </m:r>
                  </m:sub>
                </m:sSub>
              </m:oMath>
            </m:oMathPara>
          </w:p>
        </w:tc>
        <w:tc>
          <w:tcPr>
            <w:tcW w:w="1668" w:type="dxa"/>
          </w:tcPr>
          <w:p w14:paraId="1954F4B5" w14:textId="77777777" w:rsidR="001A5C04" w:rsidRPr="009F63DF" w:rsidRDefault="001A5C04" w:rsidP="00AF1AC1">
            <w:pPr>
              <w:pStyle w:val="SDMMethEquationNr"/>
              <w:numPr>
                <w:ilvl w:val="0"/>
                <w:numId w:val="29"/>
              </w:numPr>
            </w:pPr>
          </w:p>
        </w:tc>
      </w:tr>
    </w:tbl>
    <w:p w14:paraId="09B1245E" w14:textId="77777777" w:rsidR="001A5C04" w:rsidRPr="009F63DF" w:rsidRDefault="001A5C04"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1A5C04" w:rsidRPr="009F63DF" w14:paraId="0038E48F" w14:textId="77777777" w:rsidTr="001C2142">
        <w:tc>
          <w:tcPr>
            <w:tcW w:w="1701" w:type="dxa"/>
            <w:vAlign w:val="top"/>
          </w:tcPr>
          <w:p w14:paraId="6BCCE56A" w14:textId="7E06017D" w:rsidR="001A5C04" w:rsidRPr="009F63DF" w:rsidRDefault="001A5C04" w:rsidP="001A5C04">
            <w:pPr>
              <w:pStyle w:val="SDMTableBoxParaNotNumbered"/>
            </w:pPr>
          </w:p>
        </w:tc>
        <w:tc>
          <w:tcPr>
            <w:tcW w:w="345" w:type="dxa"/>
            <w:vAlign w:val="top"/>
          </w:tcPr>
          <w:p w14:paraId="2E8A0759" w14:textId="77777777" w:rsidR="001A5C04" w:rsidRPr="009F63DF" w:rsidRDefault="001A5C04" w:rsidP="001A5C04">
            <w:pPr>
              <w:pStyle w:val="SDMTableBoxParaNotNumbered"/>
            </w:pPr>
            <w:r w:rsidRPr="009F63DF">
              <w:t>=</w:t>
            </w:r>
          </w:p>
        </w:tc>
        <w:tc>
          <w:tcPr>
            <w:tcW w:w="0" w:type="auto"/>
            <w:vAlign w:val="top"/>
          </w:tcPr>
          <w:p w14:paraId="0048B448" w14:textId="4475FEF5" w:rsidR="001A5C04" w:rsidRPr="009F63DF" w:rsidRDefault="001A5C04" w:rsidP="001A5C04">
            <w:pPr>
              <w:pStyle w:val="SDMTableBoxParaNotNumbered"/>
            </w:pPr>
            <w:r w:rsidRPr="009F63DF">
              <w:t>Leakage emission in year y (</w:t>
            </w:r>
            <w:r w:rsidR="008B6682" w:rsidRPr="00BA0F6D">
              <w:t>t CO</w:t>
            </w:r>
            <w:r w:rsidR="008B6682" w:rsidRPr="00BA0F6D">
              <w:rPr>
                <w:vertAlign w:val="subscript"/>
              </w:rPr>
              <w:t>2</w:t>
            </w:r>
            <w:r w:rsidR="00A92C9C">
              <w:t xml:space="preserve"> </w:t>
            </w:r>
            <w:r w:rsidR="008B6682" w:rsidRPr="00BA0F6D">
              <w:t>eq</w:t>
            </w:r>
            <w:r w:rsidRPr="009F63DF">
              <w:t>)</w:t>
            </w:r>
          </w:p>
        </w:tc>
      </w:tr>
      <w:tr w:rsidR="001A5C04" w:rsidRPr="009F63DF" w14:paraId="0C04ACBA" w14:textId="77777777" w:rsidTr="001C2142">
        <w:tc>
          <w:tcPr>
            <w:tcW w:w="1701" w:type="dxa"/>
            <w:vAlign w:val="top"/>
          </w:tcPr>
          <w:p w14:paraId="21A4F07C" w14:textId="5C4386AF" w:rsidR="001A5C04" w:rsidRPr="009F63DF" w:rsidRDefault="001A5C04" w:rsidP="001A5C04">
            <w:pPr>
              <w:pStyle w:val="SDMTableBoxParaNotNumbered"/>
            </w:pPr>
          </w:p>
        </w:tc>
        <w:tc>
          <w:tcPr>
            <w:tcW w:w="345" w:type="dxa"/>
            <w:vAlign w:val="top"/>
          </w:tcPr>
          <w:p w14:paraId="4FAA7F2E" w14:textId="77777777" w:rsidR="001A5C04" w:rsidRPr="009F63DF" w:rsidRDefault="001A5C04" w:rsidP="001A5C04">
            <w:pPr>
              <w:pStyle w:val="SDMTableBoxParaNotNumbered"/>
            </w:pPr>
            <w:r w:rsidRPr="009F63DF">
              <w:t>=</w:t>
            </w:r>
          </w:p>
        </w:tc>
        <w:tc>
          <w:tcPr>
            <w:tcW w:w="0" w:type="auto"/>
            <w:vAlign w:val="top"/>
          </w:tcPr>
          <w:p w14:paraId="5ADDDA18" w14:textId="2592D100" w:rsidR="001A5C04" w:rsidRPr="009F63DF" w:rsidRDefault="001A5C04" w:rsidP="001A5C04">
            <w:pPr>
              <w:pStyle w:val="SDMTableBoxParaNotNumbered"/>
            </w:pPr>
            <w:r w:rsidRPr="009F63DF">
              <w:t xml:space="preserve">Quantity of new project cookstoves added to the activity in year </w:t>
            </w:r>
            <w:r w:rsidRPr="009F63DF">
              <w:rPr>
                <w:i/>
              </w:rPr>
              <w:t>y</w:t>
            </w:r>
          </w:p>
        </w:tc>
      </w:tr>
      <w:tr w:rsidR="001A5C04" w:rsidRPr="009F63DF" w14:paraId="622FE3AA" w14:textId="77777777" w:rsidTr="001C2142">
        <w:tc>
          <w:tcPr>
            <w:tcW w:w="1701" w:type="dxa"/>
            <w:vAlign w:val="top"/>
          </w:tcPr>
          <w:p w14:paraId="2A632587" w14:textId="0C68B649" w:rsidR="001A5C04" w:rsidRPr="009F63DF" w:rsidRDefault="001A5C04" w:rsidP="001A5C04">
            <w:pPr>
              <w:pStyle w:val="SDMTableBoxParaNotNumbered"/>
            </w:pPr>
          </w:p>
        </w:tc>
        <w:tc>
          <w:tcPr>
            <w:tcW w:w="345" w:type="dxa"/>
            <w:vAlign w:val="top"/>
          </w:tcPr>
          <w:p w14:paraId="38A36A3C" w14:textId="77777777" w:rsidR="001A5C04" w:rsidRPr="009F63DF" w:rsidRDefault="001A5C04" w:rsidP="001A5C04">
            <w:pPr>
              <w:pStyle w:val="SDMTableBoxParaNotNumbered"/>
            </w:pPr>
            <w:r w:rsidRPr="009F63DF">
              <w:t>=</w:t>
            </w:r>
          </w:p>
        </w:tc>
        <w:tc>
          <w:tcPr>
            <w:tcW w:w="0" w:type="auto"/>
            <w:vAlign w:val="top"/>
          </w:tcPr>
          <w:p w14:paraId="702F507E" w14:textId="342C6B80" w:rsidR="001A5C04" w:rsidRPr="009F63DF" w:rsidRDefault="001A5C04" w:rsidP="001A5C04">
            <w:pPr>
              <w:pStyle w:val="SDMTableBoxParaNotNumbered"/>
            </w:pPr>
            <w:r w:rsidRPr="009F63DF">
              <w:t>Estimated leakage emissions per project cookstove (</w:t>
            </w:r>
            <w:r w:rsidR="0027667D" w:rsidRPr="00BA0F6D">
              <w:t>t CO</w:t>
            </w:r>
            <w:r w:rsidR="0027667D" w:rsidRPr="00BA0F6D">
              <w:rPr>
                <w:vertAlign w:val="subscript"/>
              </w:rPr>
              <w:t>2</w:t>
            </w:r>
            <w:r w:rsidR="00A92C9C">
              <w:t xml:space="preserve"> </w:t>
            </w:r>
            <w:r w:rsidR="0027667D" w:rsidRPr="00BA0F6D">
              <w:t>eq</w:t>
            </w:r>
            <w:r w:rsidR="0027667D" w:rsidRPr="009F63DF">
              <w:t xml:space="preserve"> </w:t>
            </w:r>
            <w:r w:rsidRPr="009F63DF">
              <w:t>/</w:t>
            </w:r>
            <w:r w:rsidR="000A5E55" w:rsidRPr="009F63DF">
              <w:t xml:space="preserve"> </w:t>
            </w:r>
            <w:r w:rsidRPr="009F63DF">
              <w:t>cookstove)</w:t>
            </w:r>
          </w:p>
        </w:tc>
      </w:tr>
      <w:tr w:rsidR="001A5C04" w:rsidRPr="009F63DF" w14:paraId="1BB83B3B" w14:textId="77777777" w:rsidTr="001C2142">
        <w:tc>
          <w:tcPr>
            <w:tcW w:w="1701" w:type="dxa"/>
            <w:vAlign w:val="top"/>
          </w:tcPr>
          <w:p w14:paraId="1CF62DD7" w14:textId="7C067801" w:rsidR="001A5C04" w:rsidRPr="009F63DF" w:rsidRDefault="001A5C04" w:rsidP="001A5C04">
            <w:pPr>
              <w:pStyle w:val="SDMTableBoxParaNotNumbered"/>
            </w:pPr>
            <w:r w:rsidRPr="009F63DF">
              <w:t>y</w:t>
            </w:r>
          </w:p>
        </w:tc>
        <w:tc>
          <w:tcPr>
            <w:tcW w:w="345" w:type="dxa"/>
            <w:vAlign w:val="top"/>
          </w:tcPr>
          <w:p w14:paraId="2B4943A5" w14:textId="163F7039" w:rsidR="001A5C04" w:rsidRPr="009F63DF" w:rsidRDefault="001A5C04" w:rsidP="001A5C04">
            <w:pPr>
              <w:pStyle w:val="SDMTableBoxParaNotNumbered"/>
            </w:pPr>
            <w:r w:rsidRPr="009F63DF">
              <w:t>=</w:t>
            </w:r>
          </w:p>
        </w:tc>
        <w:tc>
          <w:tcPr>
            <w:tcW w:w="0" w:type="auto"/>
            <w:vAlign w:val="top"/>
          </w:tcPr>
          <w:p w14:paraId="34B4EB6B" w14:textId="0965DDEB" w:rsidR="001A5C04" w:rsidRPr="009F63DF" w:rsidRDefault="001A5C04" w:rsidP="001A5C04">
            <w:pPr>
              <w:pStyle w:val="SDMTableBoxParaNotNumbered"/>
            </w:pPr>
            <w:r w:rsidRPr="009F63DF">
              <w:t>Calendar year of the crediting period</w:t>
            </w:r>
          </w:p>
        </w:tc>
      </w:tr>
    </w:tbl>
    <w:p w14:paraId="53279129" w14:textId="4A33EFA9" w:rsidR="00EF29CD" w:rsidRPr="009F63DF" w:rsidRDefault="00EF29CD" w:rsidP="00E03E61">
      <w:pPr>
        <w:pStyle w:val="SDMPara"/>
        <w:rPr>
          <w:rFonts w:eastAsia="Montserrat"/>
          <w:color w:val="000000" w:themeColor="text1"/>
        </w:rPr>
      </w:pPr>
      <w:bookmarkStart w:id="566" w:name="_Toc226502290"/>
      <w:bookmarkStart w:id="567" w:name="_Toc226576243"/>
      <w:bookmarkStart w:id="568" w:name="_Toc226983094"/>
      <w:bookmarkStart w:id="569" w:name="_Toc227677291"/>
      <w:bookmarkStart w:id="570" w:name="_Toc227694813"/>
      <w:bookmarkStart w:id="571" w:name="_Toc227920927"/>
      <w:bookmarkStart w:id="572" w:name="_Toc227938828"/>
      <w:bookmarkStart w:id="573" w:name="_Toc227948079"/>
      <w:r w:rsidRPr="009F63DF">
        <w:rPr>
          <w:rFonts w:eastAsia="Montserrat"/>
          <w:color w:val="000000" w:themeColor="text1"/>
        </w:rPr>
        <w:t xml:space="preserve">For industrially manufactured cookstoves, imported appliances, or stoves constructed predominantly of refined metals (e.g., steel, </w:t>
      </w:r>
      <w:r w:rsidR="000F7B66" w:rsidRPr="009F63DF">
        <w:rPr>
          <w:rFonts w:eastAsia="Montserrat"/>
          <w:color w:val="000000" w:themeColor="text1"/>
        </w:rPr>
        <w:t>aluminium</w:t>
      </w:r>
      <w:r w:rsidRPr="009F63DF">
        <w:rPr>
          <w:rFonts w:eastAsia="Montserrat"/>
          <w:color w:val="000000" w:themeColor="text1"/>
        </w:rPr>
        <w:t>), leakage is estimated using the default value of 0.0</w:t>
      </w:r>
      <w:r w:rsidR="00450677" w:rsidRPr="009F63DF">
        <w:rPr>
          <w:rFonts w:eastAsia="Montserrat"/>
          <w:color w:val="000000" w:themeColor="text1"/>
        </w:rPr>
        <w:t>128</w:t>
      </w:r>
      <w:r w:rsidRPr="009F63DF">
        <w:rPr>
          <w:rFonts w:eastAsia="Montserrat"/>
          <w:color w:val="000000" w:themeColor="text1"/>
        </w:rPr>
        <w:t xml:space="preserve"> t CO</w:t>
      </w:r>
      <w:r w:rsidRPr="009F63DF">
        <w:rPr>
          <w:rFonts w:eastAsia="Montserrat"/>
          <w:color w:val="000000" w:themeColor="text1"/>
          <w:vertAlign w:val="subscript"/>
        </w:rPr>
        <w:t>2</w:t>
      </w:r>
      <w:r w:rsidR="00A92C9C">
        <w:rPr>
          <w:rFonts w:eastAsia="Montserrat"/>
          <w:color w:val="000000" w:themeColor="text1"/>
        </w:rPr>
        <w:t xml:space="preserve"> </w:t>
      </w:r>
      <w:r w:rsidRPr="009F63DF">
        <w:rPr>
          <w:rFonts w:eastAsia="Montserrat"/>
          <w:color w:val="000000" w:themeColor="text1"/>
        </w:rPr>
        <w:t xml:space="preserve">eq per cookstove or established based on </w:t>
      </w:r>
      <w:r w:rsidR="000E04DA" w:rsidRPr="009F63DF">
        <w:rPr>
          <w:rFonts w:eastAsia="Montserrat"/>
          <w:color w:val="000000" w:themeColor="text1"/>
        </w:rPr>
        <w:t xml:space="preserve">a </w:t>
      </w:r>
      <w:r w:rsidRPr="009F63DF">
        <w:rPr>
          <w:rFonts w:eastAsia="Montserrat"/>
          <w:color w:val="000000" w:themeColor="text1"/>
        </w:rPr>
        <w:t xml:space="preserve">verified </w:t>
      </w:r>
      <w:r w:rsidR="000E04DA" w:rsidRPr="009F63DF">
        <w:rPr>
          <w:rFonts w:eastAsia="Montserrat"/>
          <w:color w:val="000000" w:themeColor="text1"/>
        </w:rPr>
        <w:t xml:space="preserve">Life Cycle Analysis (LCA) </w:t>
      </w:r>
      <w:r w:rsidRPr="009F63DF">
        <w:rPr>
          <w:rFonts w:eastAsia="Montserrat"/>
          <w:color w:val="000000" w:themeColor="text1"/>
        </w:rPr>
        <w:t>study.</w:t>
      </w:r>
    </w:p>
    <w:p w14:paraId="2FF8B613" w14:textId="0FF2776B" w:rsidR="001D7122" w:rsidRPr="009F63DF" w:rsidRDefault="00EF29CD" w:rsidP="00E03E61">
      <w:pPr>
        <w:pStyle w:val="SDMPara"/>
        <w:rPr>
          <w:rFonts w:eastAsia="Montserrat"/>
          <w:color w:val="000000" w:themeColor="text1"/>
        </w:rPr>
      </w:pPr>
      <w:r w:rsidRPr="009F63DF">
        <w:rPr>
          <w:rFonts w:eastAsia="Montserrat"/>
          <w:color w:val="000000" w:themeColor="text1"/>
        </w:rPr>
        <w:t xml:space="preserve">For artisanal, built-in-place, or domestically constructed cookstoves manufactured predominantly (&gt;75 per cent by mass) from locally sourced, non-industrial earthen materials (e.g., unbaked clay, mud, brick) where transport distances are minimal, </w:t>
      </w:r>
      <w:r w:rsidR="000E04DA" w:rsidRPr="009F63DF">
        <w:rPr>
          <w:rFonts w:eastAsia="Montserrat"/>
          <w:color w:val="000000" w:themeColor="text1"/>
        </w:rPr>
        <w:t>leakage is estimated using the default value of 0.0</w:t>
      </w:r>
      <w:r w:rsidR="007A1DC3" w:rsidRPr="009F63DF">
        <w:rPr>
          <w:rFonts w:eastAsia="Montserrat"/>
          <w:color w:val="000000" w:themeColor="text1"/>
        </w:rPr>
        <w:t>064</w:t>
      </w:r>
      <w:r w:rsidR="000E04DA" w:rsidRPr="009F63DF">
        <w:rPr>
          <w:rFonts w:eastAsia="Montserrat"/>
          <w:color w:val="000000" w:themeColor="text1"/>
        </w:rPr>
        <w:t xml:space="preserve"> </w:t>
      </w:r>
      <w:r w:rsidR="0027667D" w:rsidRPr="00BA0F6D">
        <w:t>t CO</w:t>
      </w:r>
      <w:r w:rsidR="0027667D" w:rsidRPr="00BA0F6D">
        <w:rPr>
          <w:vertAlign w:val="subscript"/>
        </w:rPr>
        <w:t>2</w:t>
      </w:r>
      <w:r w:rsidR="00A92C9C">
        <w:t xml:space="preserve"> </w:t>
      </w:r>
      <w:r w:rsidR="0027667D" w:rsidRPr="00BA0F6D">
        <w:t>eq</w:t>
      </w:r>
      <w:r w:rsidR="0027667D" w:rsidRPr="009F63DF">
        <w:rPr>
          <w:rFonts w:eastAsia="Montserrat"/>
          <w:color w:val="000000" w:themeColor="text1"/>
        </w:rPr>
        <w:t xml:space="preserve"> </w:t>
      </w:r>
      <w:r w:rsidR="000E04DA" w:rsidRPr="009F63DF">
        <w:rPr>
          <w:rFonts w:eastAsia="Montserrat"/>
          <w:color w:val="000000" w:themeColor="text1"/>
        </w:rPr>
        <w:t xml:space="preserve">per cookstove or established based on a verified </w:t>
      </w:r>
      <w:r w:rsidR="006425C9" w:rsidRPr="009F63DF">
        <w:rPr>
          <w:rFonts w:eastAsia="Montserrat"/>
          <w:color w:val="000000" w:themeColor="text1"/>
        </w:rPr>
        <w:t>LCA</w:t>
      </w:r>
      <w:r w:rsidR="000E04DA" w:rsidRPr="009F63DF">
        <w:rPr>
          <w:rFonts w:eastAsia="Montserrat"/>
          <w:color w:val="000000" w:themeColor="text1"/>
        </w:rPr>
        <w:t xml:space="preserve"> study.</w:t>
      </w:r>
    </w:p>
    <w:p w14:paraId="643BB246" w14:textId="4B66188E" w:rsidR="001C2394" w:rsidRPr="009F63DF" w:rsidRDefault="001C2394" w:rsidP="00F91295">
      <w:pPr>
        <w:pStyle w:val="SDMHead1"/>
      </w:pPr>
      <w:bookmarkStart w:id="574" w:name="_Toc233388638"/>
      <w:bookmarkStart w:id="575" w:name="_Toc233961445"/>
      <w:bookmarkStart w:id="576" w:name="_Toc233970254"/>
      <w:bookmarkStart w:id="577" w:name="_Toc240546584"/>
      <w:bookmarkStart w:id="578" w:name="_Toc240631985"/>
      <w:bookmarkStart w:id="579" w:name="_Toc242471170"/>
      <w:r w:rsidRPr="009F63DF">
        <w:rPr>
          <w:rFonts w:eastAsia="Montserrat"/>
        </w:rPr>
        <w:t>Non-permanence provisions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323EBB2C" w14:textId="5D1539FA" w:rsidR="0070743F" w:rsidRPr="009F63DF" w:rsidRDefault="0070743F" w:rsidP="00040F17">
      <w:pPr>
        <w:pStyle w:val="SDMHead2"/>
      </w:pPr>
      <w:bookmarkStart w:id="580" w:name="_Toc227677292"/>
      <w:bookmarkStart w:id="581" w:name="_Toc227694814"/>
      <w:bookmarkStart w:id="582" w:name="_Toc227920928"/>
      <w:bookmarkStart w:id="583" w:name="_Toc227938829"/>
      <w:bookmarkStart w:id="584" w:name="_Toc227948080"/>
      <w:bookmarkStart w:id="585" w:name="_Ref233280811"/>
      <w:bookmarkStart w:id="586" w:name="_Toc233388639"/>
      <w:bookmarkStart w:id="587" w:name="_Toc233961446"/>
      <w:bookmarkStart w:id="588" w:name="_Toc233970255"/>
      <w:bookmarkStart w:id="589" w:name="_Toc240546585"/>
      <w:bookmarkStart w:id="590" w:name="_Toc240631986"/>
      <w:bookmarkStart w:id="591" w:name="_Toc242471171"/>
      <w:r w:rsidRPr="009F63DF">
        <w:t>Monitoring and reporting requirements</w:t>
      </w:r>
      <w:bookmarkEnd w:id="580"/>
      <w:bookmarkEnd w:id="581"/>
      <w:bookmarkEnd w:id="582"/>
      <w:bookmarkEnd w:id="583"/>
      <w:bookmarkEnd w:id="584"/>
      <w:bookmarkEnd w:id="585"/>
      <w:bookmarkEnd w:id="586"/>
      <w:bookmarkEnd w:id="587"/>
      <w:bookmarkEnd w:id="588"/>
      <w:bookmarkEnd w:id="589"/>
      <w:bookmarkEnd w:id="590"/>
      <w:bookmarkEnd w:id="591"/>
    </w:p>
    <w:p w14:paraId="65FA7B8B" w14:textId="5E79F9BA" w:rsidR="006D2932" w:rsidRPr="009F63DF" w:rsidRDefault="00960842" w:rsidP="00655F47">
      <w:pPr>
        <w:pStyle w:val="SDMPara"/>
        <w:keepNext/>
      </w:pPr>
      <w:r w:rsidRPr="009F63DF">
        <w:t xml:space="preserve">For the reasons described in </w:t>
      </w:r>
      <w:r w:rsidR="005B4365" w:rsidRPr="009F63DF">
        <w:fldChar w:fldCharType="begin"/>
      </w:r>
      <w:r w:rsidR="005B4365" w:rsidRPr="009F63DF">
        <w:instrText xml:space="preserve"> REF _Ref227098660 \n \h  \* MERGEFORMAT </w:instrText>
      </w:r>
      <w:r w:rsidR="005B4365" w:rsidRPr="009F63DF">
        <w:fldChar w:fldCharType="separate"/>
      </w:r>
      <w:r w:rsidR="00831DAE">
        <w:rPr>
          <w:cs/>
        </w:rPr>
        <w:t>‎</w:t>
      </w:r>
      <w:r w:rsidR="00831DAE">
        <w:t>0</w:t>
      </w:r>
      <w:r w:rsidR="005B4365" w:rsidRPr="009F63DF">
        <w:fldChar w:fldCharType="end"/>
      </w:r>
      <w:r w:rsidR="000A5326" w:rsidRPr="009F63DF">
        <w:t>,</w:t>
      </w:r>
      <w:r w:rsidR="007D24D0" w:rsidRPr="009F63DF">
        <w:t xml:space="preserve"> </w:t>
      </w:r>
      <w:r w:rsidR="000A5326" w:rsidRPr="009F63DF">
        <w:t>activity participants shall not be required to</w:t>
      </w:r>
      <w:r w:rsidR="006D2932" w:rsidRPr="009F63DF">
        <w:t>:</w:t>
      </w:r>
    </w:p>
    <w:p w14:paraId="68DCA348" w14:textId="12F50D94" w:rsidR="006D2932" w:rsidRPr="009F63DF" w:rsidRDefault="00D036F7" w:rsidP="00D036F7">
      <w:pPr>
        <w:pStyle w:val="SDMSubPara1"/>
      </w:pPr>
      <w:r w:rsidRPr="009F63DF">
        <w:t>M</w:t>
      </w:r>
      <w:r w:rsidR="000A5326" w:rsidRPr="009F63DF">
        <w:t xml:space="preserve">onitor the </w:t>
      </w:r>
      <w:r w:rsidR="00427F5A" w:rsidRPr="009F63DF">
        <w:t>GHG</w:t>
      </w:r>
      <w:r w:rsidR="000A5326" w:rsidRPr="009F63DF">
        <w:t xml:space="preserve"> reservoirs </w:t>
      </w:r>
      <w:r w:rsidR="002B1B7D" w:rsidRPr="009F63DF">
        <w:t xml:space="preserve">included </w:t>
      </w:r>
      <w:r w:rsidR="000A5326" w:rsidRPr="009F63DF">
        <w:t xml:space="preserve">in </w:t>
      </w:r>
      <w:r w:rsidR="007A2E91" w:rsidRPr="009F63DF">
        <w:fldChar w:fldCharType="begin"/>
      </w:r>
      <w:r w:rsidR="007A2E91" w:rsidRPr="009F63DF">
        <w:instrText xml:space="preserve"> REF _Ref232720824 \h </w:instrText>
      </w:r>
      <w:r w:rsidR="007A2E91" w:rsidRPr="009F63DF">
        <w:fldChar w:fldCharType="separate"/>
      </w:r>
      <w:r w:rsidR="00831DAE" w:rsidRPr="009F63DF">
        <w:t>Table </w:t>
      </w:r>
      <w:r w:rsidR="00831DAE">
        <w:rPr>
          <w:noProof/>
        </w:rPr>
        <w:t>2</w:t>
      </w:r>
      <w:r w:rsidR="007A2E91" w:rsidRPr="009F63DF">
        <w:fldChar w:fldCharType="end"/>
      </w:r>
      <w:r w:rsidR="002702B9" w:rsidRPr="009F63DF">
        <w:t>, either in the crediting period or post-crediting monitoring period</w:t>
      </w:r>
      <w:r w:rsidRPr="009F63DF">
        <w:t>;</w:t>
      </w:r>
    </w:p>
    <w:p w14:paraId="16EE0F29" w14:textId="0679427A" w:rsidR="002702B9" w:rsidRPr="009F63DF" w:rsidRDefault="00B6661C" w:rsidP="00397742">
      <w:pPr>
        <w:pStyle w:val="SDMSubPara1"/>
      </w:pPr>
      <w:r w:rsidRPr="009F63DF">
        <w:t>Submit</w:t>
      </w:r>
      <w:r w:rsidR="004C5DB9" w:rsidRPr="009F63DF">
        <w:t xml:space="preserve"> reversal-related notifications or reports</w:t>
      </w:r>
      <w:r w:rsidR="00D036F7" w:rsidRPr="009F63DF">
        <w:t xml:space="preserve"> </w:t>
      </w:r>
      <w:r w:rsidR="004C5DB9" w:rsidRPr="009F63DF">
        <w:t xml:space="preserve">about </w:t>
      </w:r>
      <w:r w:rsidR="00D036F7" w:rsidRPr="009F63DF">
        <w:t xml:space="preserve">potential </w:t>
      </w:r>
      <w:r w:rsidR="00B4393B" w:rsidRPr="009F63DF">
        <w:t xml:space="preserve">or actual reversals in relation to the </w:t>
      </w:r>
      <w:r w:rsidR="0017224D" w:rsidRPr="009F63DF">
        <w:t>GHG</w:t>
      </w:r>
      <w:r w:rsidR="00B4393B" w:rsidRPr="009F63DF">
        <w:t xml:space="preserve"> reservoirs </w:t>
      </w:r>
      <w:r w:rsidR="002B1B7D" w:rsidRPr="009F63DF">
        <w:t xml:space="preserve">included </w:t>
      </w:r>
      <w:r w:rsidR="00B4393B" w:rsidRPr="009F63DF">
        <w:t xml:space="preserve">in </w:t>
      </w:r>
      <w:r w:rsidR="007A2E91" w:rsidRPr="009F63DF">
        <w:fldChar w:fldCharType="begin"/>
      </w:r>
      <w:r w:rsidR="007A2E91" w:rsidRPr="009F63DF">
        <w:instrText xml:space="preserve"> REF _Ref232720824 \h </w:instrText>
      </w:r>
      <w:r w:rsidR="007A2E91" w:rsidRPr="009F63DF">
        <w:fldChar w:fldCharType="separate"/>
      </w:r>
      <w:r w:rsidR="00831DAE" w:rsidRPr="009F63DF">
        <w:t>Table </w:t>
      </w:r>
      <w:r w:rsidR="00831DAE">
        <w:rPr>
          <w:noProof/>
        </w:rPr>
        <w:t>2</w:t>
      </w:r>
      <w:r w:rsidR="007A2E91" w:rsidRPr="009F63DF">
        <w:fldChar w:fldCharType="end"/>
      </w:r>
      <w:r w:rsidRPr="009F63DF">
        <w:t>; or</w:t>
      </w:r>
    </w:p>
    <w:p w14:paraId="35E274C0" w14:textId="2DE7B67C" w:rsidR="00B6661C" w:rsidRPr="009F63DF" w:rsidRDefault="00872CEE" w:rsidP="000576D8">
      <w:pPr>
        <w:pStyle w:val="SDMSubPara1"/>
      </w:pPr>
      <w:r w:rsidRPr="009F63DF">
        <w:t>Perform post-reversal actions</w:t>
      </w:r>
      <w:r w:rsidR="0077026F" w:rsidRPr="009F63DF">
        <w:t xml:space="preserve"> (i.e., to mitigate any reversals that may occur)</w:t>
      </w:r>
      <w:r w:rsidR="00EE40AA" w:rsidRPr="009F63DF">
        <w:t>.</w:t>
      </w:r>
    </w:p>
    <w:p w14:paraId="73554A5A" w14:textId="524D5AE7" w:rsidR="00040F17" w:rsidRPr="009F63DF" w:rsidRDefault="0070743F" w:rsidP="000576D8">
      <w:pPr>
        <w:pStyle w:val="SDMHead2"/>
      </w:pPr>
      <w:bookmarkStart w:id="592" w:name="_Toc227677293"/>
      <w:bookmarkStart w:id="593" w:name="_Toc227694815"/>
      <w:bookmarkStart w:id="594" w:name="_Toc227920929"/>
      <w:bookmarkStart w:id="595" w:name="_Toc227938830"/>
      <w:bookmarkStart w:id="596" w:name="_Toc227948081"/>
      <w:bookmarkStart w:id="597" w:name="_Ref233356849"/>
      <w:bookmarkStart w:id="598" w:name="_Toc233388640"/>
      <w:bookmarkStart w:id="599" w:name="_Toc233961447"/>
      <w:bookmarkStart w:id="600" w:name="_Toc233970256"/>
      <w:bookmarkStart w:id="601" w:name="_Toc240546586"/>
      <w:bookmarkStart w:id="602" w:name="_Toc240631987"/>
      <w:bookmarkStart w:id="603" w:name="_Toc242471172"/>
      <w:r w:rsidRPr="009F63DF">
        <w:t>Buffer pool contributions</w:t>
      </w:r>
      <w:bookmarkEnd w:id="592"/>
      <w:bookmarkEnd w:id="593"/>
      <w:bookmarkEnd w:id="594"/>
      <w:bookmarkEnd w:id="595"/>
      <w:bookmarkEnd w:id="596"/>
      <w:bookmarkEnd w:id="597"/>
      <w:bookmarkEnd w:id="598"/>
      <w:bookmarkEnd w:id="599"/>
      <w:bookmarkEnd w:id="600"/>
      <w:bookmarkEnd w:id="601"/>
      <w:bookmarkEnd w:id="602"/>
      <w:bookmarkEnd w:id="603"/>
    </w:p>
    <w:p w14:paraId="634417CF" w14:textId="3024F3CF" w:rsidR="001C2394" w:rsidRPr="009F63DF" w:rsidRDefault="00BB3F47" w:rsidP="00E03E61">
      <w:pPr>
        <w:pStyle w:val="SDMPara"/>
      </w:pPr>
      <w:r w:rsidRPr="009F63DF">
        <w:t>A</w:t>
      </w:r>
      <w:r w:rsidR="001C2394" w:rsidRPr="009F63DF">
        <w:t xml:space="preserve">ctivity participants shall apply the </w:t>
      </w:r>
      <w:r w:rsidR="0003529D" w:rsidRPr="009F63DF">
        <w:t>“</w:t>
      </w:r>
      <w:r w:rsidR="00796F23" w:rsidRPr="009F63DF">
        <w:t xml:space="preserve">Methodological </w:t>
      </w:r>
      <w:r w:rsidR="0068484C" w:rsidRPr="009F63DF">
        <w:t>t</w:t>
      </w:r>
      <w:r w:rsidR="00796F23" w:rsidRPr="009F63DF">
        <w:t>ool: Reversal risk assessment”</w:t>
      </w:r>
      <w:r w:rsidR="00615311" w:rsidRPr="009F63DF">
        <w:t xml:space="preserve"> </w:t>
      </w:r>
      <w:r w:rsidR="00796F23" w:rsidRPr="009F63DF">
        <w:t>(A6.4-AMT-0</w:t>
      </w:r>
      <w:r w:rsidR="00D86468">
        <w:t>11</w:t>
      </w:r>
      <w:r w:rsidR="00796F23" w:rsidRPr="009F63DF">
        <w:t>)</w:t>
      </w:r>
      <w:r w:rsidR="006332C2" w:rsidRPr="009F63DF">
        <w:t xml:space="preserve"> </w:t>
      </w:r>
      <w:r w:rsidRPr="009F63DF">
        <w:t xml:space="preserve">to determine the </w:t>
      </w:r>
      <w:r w:rsidR="00AD6D10" w:rsidRPr="009F63DF">
        <w:t xml:space="preserve">parameter </w:t>
      </w:r>
      <w:r w:rsidR="00AD6D10" w:rsidRPr="009F63DF">
        <w:rPr>
          <w:i/>
        </w:rPr>
        <w:t>F</w:t>
      </w:r>
      <w:r w:rsidR="00AD6D10" w:rsidRPr="009F63DF">
        <w:rPr>
          <w:i/>
          <w:vertAlign w:val="subscript"/>
        </w:rPr>
        <w:t>buffer,</w:t>
      </w:r>
      <w:r w:rsidR="00F809FE" w:rsidRPr="009F63DF">
        <w:rPr>
          <w:i/>
          <w:vertAlign w:val="subscript"/>
        </w:rPr>
        <w:t>i</w:t>
      </w:r>
      <w:r w:rsidR="00AD6D10" w:rsidRPr="009F63DF">
        <w:rPr>
          <w:i/>
          <w:vertAlign w:val="subscript"/>
        </w:rPr>
        <w:t>,t</w:t>
      </w:r>
      <w:r w:rsidR="00AD6D10" w:rsidRPr="009F63DF">
        <w:t xml:space="preserve"> in </w:t>
      </w:r>
      <w:r w:rsidR="001C2394" w:rsidRPr="009F63DF">
        <w:t xml:space="preserve">equation </w:t>
      </w:r>
      <w:r w:rsidR="0017009F" w:rsidRPr="009F63DF">
        <w:t>(</w:t>
      </w:r>
      <w:r w:rsidR="004E00BC" w:rsidRPr="009F63DF">
        <w:t>36</w:t>
      </w:r>
      <w:r w:rsidR="0017009F" w:rsidRPr="009F63DF">
        <w:t>)</w:t>
      </w:r>
      <w:r w:rsidR="009D1E63" w:rsidRPr="009F63DF">
        <w:t>, which determines the number of A6.4ERs to be contributed to th</w:t>
      </w:r>
      <w:r w:rsidR="00AF312B" w:rsidRPr="009F63DF">
        <w:t>e</w:t>
      </w:r>
      <w:r w:rsidR="009D1E63" w:rsidRPr="009F63DF">
        <w:t xml:space="preserve"> </w:t>
      </w:r>
      <w:r w:rsidR="0017224D" w:rsidRPr="009F63DF">
        <w:t>r</w:t>
      </w:r>
      <w:r w:rsidR="009D1E63" w:rsidRPr="009F63DF">
        <w:t xml:space="preserve">eversal </w:t>
      </w:r>
      <w:r w:rsidR="0017224D" w:rsidRPr="009F63DF">
        <w:t>r</w:t>
      </w:r>
      <w:r w:rsidR="009D1E63" w:rsidRPr="009F63DF">
        <w:t xml:space="preserve">isk </w:t>
      </w:r>
      <w:r w:rsidR="0017224D" w:rsidRPr="009F63DF">
        <w:t>b</w:t>
      </w:r>
      <w:r w:rsidR="009D1E63" w:rsidRPr="009F63DF">
        <w:t xml:space="preserve">uffer </w:t>
      </w:r>
      <w:r w:rsidR="0017224D" w:rsidRPr="009F63DF">
        <w:t>p</w:t>
      </w:r>
      <w:r w:rsidR="009D1E63" w:rsidRPr="009F63DF">
        <w:t xml:space="preserve">ool </w:t>
      </w:r>
      <w:r w:rsidR="0017224D" w:rsidRPr="009F63DF">
        <w:t>a</w:t>
      </w:r>
      <w:r w:rsidR="009D1E63" w:rsidRPr="009F63DF">
        <w:t>ccount</w:t>
      </w:r>
      <w:r w:rsidR="002B2ABC" w:rsidRPr="009F63DF">
        <w:t xml:space="preserve"> for each </w:t>
      </w:r>
      <w:r w:rsidR="00B4717D" w:rsidRPr="009F63DF">
        <w:t xml:space="preserve">applicable </w:t>
      </w:r>
      <w:r w:rsidR="003537E7" w:rsidRPr="009F63DF">
        <w:t>primary</w:t>
      </w:r>
      <w:r w:rsidR="00B4717D" w:rsidRPr="009F63DF">
        <w:t xml:space="preserve"> fuel type</w:t>
      </w:r>
      <w:r w:rsidR="006B0C42" w:rsidRPr="009F63DF">
        <w:t> </w:t>
      </w:r>
      <w:r w:rsidR="002B2ABC" w:rsidRPr="009F63DF">
        <w:rPr>
          <w:i/>
        </w:rPr>
        <w:t>i</w:t>
      </w:r>
      <w:r w:rsidR="0017009F" w:rsidRPr="009F63DF">
        <w:t>.</w:t>
      </w:r>
      <w:r w:rsidR="006332C2" w:rsidRPr="009F63DF">
        <w:rPr>
          <w:rStyle w:val="FootnoteReference"/>
        </w:rPr>
        <w:t xml:space="preserve"> </w:t>
      </w:r>
    </w:p>
    <w:p w14:paraId="71ACECE7" w14:textId="498C38FC" w:rsidR="006D2932" w:rsidRPr="009F63DF" w:rsidRDefault="00DA6365" w:rsidP="00E03E61">
      <w:pPr>
        <w:pStyle w:val="SDMPara"/>
      </w:pPr>
      <w:bookmarkStart w:id="604" w:name="_Ref227139297"/>
      <w:r w:rsidRPr="009F63DF">
        <w:t xml:space="preserve">All A6.4ERs contributed to the </w:t>
      </w:r>
      <w:r w:rsidR="0017224D" w:rsidRPr="009F63DF">
        <w:t>r</w:t>
      </w:r>
      <w:r w:rsidRPr="009F63DF">
        <w:t xml:space="preserve">eversal </w:t>
      </w:r>
      <w:r w:rsidR="0017224D" w:rsidRPr="009F63DF">
        <w:t>r</w:t>
      </w:r>
      <w:r w:rsidRPr="009F63DF">
        <w:t xml:space="preserve">isk </w:t>
      </w:r>
      <w:r w:rsidR="0017224D" w:rsidRPr="009F63DF">
        <w:t>b</w:t>
      </w:r>
      <w:r w:rsidRPr="009F63DF">
        <w:t xml:space="preserve">uffer </w:t>
      </w:r>
      <w:r w:rsidR="0017224D" w:rsidRPr="009F63DF">
        <w:t>p</w:t>
      </w:r>
      <w:r w:rsidRPr="009F63DF">
        <w:t xml:space="preserve">ool </w:t>
      </w:r>
      <w:r w:rsidR="0017224D" w:rsidRPr="009F63DF">
        <w:t>a</w:t>
      </w:r>
      <w:r w:rsidRPr="009F63DF">
        <w:t xml:space="preserve">ccount </w:t>
      </w:r>
      <w:r w:rsidR="00771C80" w:rsidRPr="009F63DF">
        <w:t xml:space="preserve">under this </w:t>
      </w:r>
      <w:r w:rsidR="0017224D" w:rsidRPr="009F63DF">
        <w:t xml:space="preserve">mechanism </w:t>
      </w:r>
      <w:r w:rsidR="00771C80" w:rsidRPr="009F63DF">
        <w:t>methodology shall immediately be cancel</w:t>
      </w:r>
      <w:r w:rsidR="00D036F7" w:rsidRPr="009F63DF">
        <w:t>l</w:t>
      </w:r>
      <w:r w:rsidR="00771C80" w:rsidRPr="009F63DF">
        <w:t xml:space="preserve">ed by the Mechanism Registry Administrator </w:t>
      </w:r>
      <w:r w:rsidR="00D036F7" w:rsidRPr="009F63DF">
        <w:t>for the purpose of remediating future reversals and appropriately labelled as such.</w:t>
      </w:r>
      <w:bookmarkEnd w:id="604"/>
    </w:p>
    <w:p w14:paraId="6B6526C6" w14:textId="68F65543" w:rsidR="004B5C87" w:rsidRPr="009F63DF" w:rsidRDefault="00A118DB" w:rsidP="00E03E61">
      <w:pPr>
        <w:pStyle w:val="SDMPara"/>
      </w:pPr>
      <w:r w:rsidRPr="009F63DF">
        <w:rPr>
          <w:rFonts w:eastAsia="Montserrat"/>
        </w:rPr>
        <w:t xml:space="preserve">In applying </w:t>
      </w:r>
      <w:r w:rsidRPr="00584010">
        <w:t>equation (</w:t>
      </w:r>
      <w:r w:rsidR="005B1FB1" w:rsidRPr="00584010">
        <w:t>37</w:t>
      </w:r>
      <w:r w:rsidRPr="00584010">
        <w:t xml:space="preserve">), </w:t>
      </w:r>
      <w:r w:rsidR="00455E01" w:rsidRPr="00584010">
        <w:rPr>
          <w:rFonts w:eastAsia="Montserrat"/>
        </w:rPr>
        <w:t>when</w:t>
      </w:r>
      <w:r w:rsidR="004B5C87" w:rsidRPr="00584010" w:rsidDel="00455E01">
        <w:rPr>
          <w:rFonts w:eastAsia="Montserrat"/>
        </w:rPr>
        <w:t xml:space="preserve"> </w:t>
      </w:r>
      <w:r w:rsidR="004B5C87" w:rsidRPr="00584010">
        <w:rPr>
          <w:rFonts w:eastAsia="Montserrat"/>
          <w:i/>
          <w:iCs/>
          <w:color w:val="000000" w:themeColor="text1"/>
        </w:rPr>
        <w:t>BAU</w:t>
      </w:r>
      <w:r w:rsidR="004B5C87" w:rsidRPr="00584010">
        <w:rPr>
          <w:rFonts w:eastAsia="Montserrat"/>
          <w:i/>
          <w:iCs/>
          <w:color w:val="000000" w:themeColor="text1"/>
          <w:vertAlign w:val="subscript"/>
        </w:rPr>
        <w:t xml:space="preserve">cons,y </w:t>
      </w:r>
      <w:r w:rsidR="004B5C87" w:rsidRPr="00584010">
        <w:rPr>
          <w:rFonts w:eastAsia="Montserrat"/>
          <w:color w:val="000000" w:themeColor="text1"/>
        </w:rPr>
        <w:t xml:space="preserve">is lower than </w:t>
      </w:r>
      <w:r w:rsidR="004B5C87" w:rsidRPr="00584010">
        <w:rPr>
          <w:rFonts w:eastAsia="Montserrat"/>
          <w:i/>
          <w:iCs/>
          <w:color w:val="000000" w:themeColor="text1"/>
        </w:rPr>
        <w:t>BE</w:t>
      </w:r>
      <w:r w:rsidR="004B5C87" w:rsidRPr="00584010">
        <w:rPr>
          <w:rFonts w:eastAsia="Montserrat"/>
          <w:i/>
          <w:iCs/>
          <w:color w:val="000000" w:themeColor="text1"/>
          <w:vertAlign w:val="subscript"/>
        </w:rPr>
        <w:t>adj,y</w:t>
      </w:r>
      <w:r w:rsidR="004B5C87" w:rsidRPr="00584010">
        <w:rPr>
          <w:rFonts w:eastAsia="Montserrat"/>
          <w:color w:val="000000" w:themeColor="text1"/>
        </w:rPr>
        <w:t xml:space="preserve"> for the calendar year </w:t>
      </w:r>
      <w:r w:rsidR="00455E01" w:rsidRPr="00584010">
        <w:rPr>
          <w:rFonts w:eastAsia="Montserrat"/>
          <w:i/>
          <w:iCs/>
          <w:color w:val="000000" w:themeColor="text1"/>
        </w:rPr>
        <w:t xml:space="preserve">y, </w:t>
      </w:r>
      <w:r w:rsidR="004B5C87" w:rsidRPr="00584010">
        <w:rPr>
          <w:rFonts w:eastAsia="Montserrat"/>
          <w:color w:val="000000" w:themeColor="text1"/>
        </w:rPr>
        <w:t>such that activity participants appl</w:t>
      </w:r>
      <w:r w:rsidR="004B5C87" w:rsidRPr="009F63DF">
        <w:rPr>
          <w:rFonts w:eastAsia="Montserrat"/>
          <w:color w:val="000000" w:themeColor="text1"/>
        </w:rPr>
        <w:t xml:space="preserve">y the methods in </w:t>
      </w:r>
      <w:r w:rsidR="00AD6D10" w:rsidRPr="009F63DF">
        <w:rPr>
          <w:rFonts w:eastAsia="Montserrat"/>
          <w:color w:val="000000" w:themeColor="text1"/>
        </w:rPr>
        <w:t xml:space="preserve">section </w:t>
      </w:r>
      <w:r w:rsidR="00B52B2B" w:rsidRPr="009F63DF">
        <w:rPr>
          <w:rFonts w:eastAsia="Montserrat"/>
          <w:color w:val="000000" w:themeColor="text1"/>
        </w:rPr>
        <w:fldChar w:fldCharType="begin"/>
      </w:r>
      <w:r w:rsidR="00B52B2B" w:rsidRPr="009F63DF">
        <w:rPr>
          <w:rFonts w:eastAsia="Montserrat"/>
          <w:color w:val="000000" w:themeColor="text1"/>
        </w:rPr>
        <w:instrText xml:space="preserve"> REF _Ref233742823 \r \h  \* MERGEFORMAT </w:instrText>
      </w:r>
      <w:r w:rsidR="00B52B2B" w:rsidRPr="009F63DF">
        <w:rPr>
          <w:rFonts w:eastAsia="Montserrat"/>
          <w:color w:val="000000" w:themeColor="text1"/>
        </w:rPr>
      </w:r>
      <w:r w:rsidR="00B52B2B" w:rsidRPr="009F63DF">
        <w:rPr>
          <w:rFonts w:eastAsia="Montserrat"/>
          <w:color w:val="000000" w:themeColor="text1"/>
        </w:rPr>
        <w:fldChar w:fldCharType="separate"/>
      </w:r>
      <w:r w:rsidR="00831DAE">
        <w:rPr>
          <w:rFonts w:eastAsia="Montserrat"/>
          <w:color w:val="000000" w:themeColor="text1"/>
          <w:cs/>
        </w:rPr>
        <w:t>‎</w:t>
      </w:r>
      <w:r w:rsidR="00831DAE">
        <w:rPr>
          <w:rFonts w:eastAsia="Montserrat"/>
          <w:color w:val="000000" w:themeColor="text1"/>
        </w:rPr>
        <w:t>7.6</w:t>
      </w:r>
      <w:r w:rsidR="00B52B2B" w:rsidRPr="009F63DF">
        <w:rPr>
          <w:rFonts w:eastAsia="Montserrat"/>
          <w:color w:val="000000" w:themeColor="text1"/>
        </w:rPr>
        <w:fldChar w:fldCharType="end"/>
      </w:r>
      <w:r w:rsidR="004B5C87" w:rsidRPr="009F63DF">
        <w:rPr>
          <w:rFonts w:eastAsia="Montserrat"/>
          <w:color w:val="000000" w:themeColor="text1"/>
        </w:rPr>
        <w:t xml:space="preserve"> to set the baseline, then </w:t>
      </w:r>
      <w:r w:rsidR="001C335D" w:rsidRPr="009F63DF">
        <w:rPr>
          <w:rFonts w:eastAsia="Montserrat"/>
          <w:color w:val="000000" w:themeColor="text1"/>
        </w:rPr>
        <w:t xml:space="preserve">activity participants shall use the parameter </w:t>
      </w:r>
      <m:oMath>
        <m:sSub>
          <m:sSubPr>
            <m:ctrlPr>
              <w:rPr>
                <w:rFonts w:ascii="Cambria Math" w:hAnsi="Cambria Math"/>
                <w:i/>
              </w:rPr>
            </m:ctrlPr>
          </m:sSubPr>
          <m:e>
            <m:r>
              <w:rPr>
                <w:rFonts w:ascii="Cambria Math" w:hAnsi="Cambria Math"/>
              </w:rPr>
              <m:t>EC</m:t>
            </m:r>
          </m:e>
          <m:sub>
            <m:r>
              <w:rPr>
                <w:rFonts w:ascii="Cambria Math" w:hAnsi="Cambria Math"/>
              </w:rPr>
              <m:t>BL,i,UNC,y</m:t>
            </m:r>
          </m:sub>
        </m:sSub>
      </m:oMath>
      <w:r w:rsidR="004B5C87" w:rsidRPr="009F63DF" w:rsidDel="001C335D">
        <w:rPr>
          <w:rFonts w:eastAsia="Montserrat"/>
        </w:rPr>
        <w:t xml:space="preserve"> </w:t>
      </w:r>
      <w:r w:rsidR="004B5C87" w:rsidRPr="009F63DF">
        <w:rPr>
          <w:rFonts w:eastAsia="Montserrat"/>
        </w:rPr>
        <w:t xml:space="preserve">in place of </w:t>
      </w:r>
      <m:oMath>
        <m:sSub>
          <m:sSubPr>
            <m:ctrlPr>
              <w:rPr>
                <w:rFonts w:ascii="Cambria Math" w:hAnsi="Cambria Math"/>
                <w:i/>
              </w:rPr>
            </m:ctrlPr>
          </m:sSubPr>
          <m:e>
            <m:r>
              <w:rPr>
                <w:rFonts w:ascii="Cambria Math" w:hAnsi="Cambria Math"/>
              </w:rPr>
              <m:t>EC</m:t>
            </m:r>
          </m:e>
          <m:sub>
            <m:r>
              <w:rPr>
                <w:rFonts w:ascii="Cambria Math" w:hAnsi="Cambria Math"/>
              </w:rPr>
              <m:t>BL,i,adj,y</m:t>
            </m:r>
          </m:sub>
        </m:sSub>
      </m:oMath>
      <w:r w:rsidR="004B5C87" w:rsidRPr="009F63DF">
        <w:rPr>
          <w:rFonts w:eastAsia="Montserrat"/>
        </w:rPr>
        <w:t>.</w:t>
      </w:r>
    </w:p>
    <w:tbl>
      <w:tblPr>
        <w:tblStyle w:val="SDMMethTableEquation"/>
        <w:tblW w:w="8760" w:type="dxa"/>
        <w:tblLook w:val="0600" w:firstRow="0" w:lastRow="0" w:firstColumn="0" w:lastColumn="0" w:noHBand="1" w:noVBand="1"/>
      </w:tblPr>
      <w:tblGrid>
        <w:gridCol w:w="7097"/>
        <w:gridCol w:w="1663"/>
      </w:tblGrid>
      <w:tr w:rsidR="001A5C04" w:rsidRPr="009F63DF" w14:paraId="48FD9BA5" w14:textId="77777777" w:rsidTr="00442B01">
        <w:tc>
          <w:tcPr>
            <w:tcW w:w="7097" w:type="dxa"/>
          </w:tcPr>
          <w:p w14:paraId="02C0B9C8" w14:textId="549E3B48" w:rsidR="001A5C04" w:rsidRPr="009F63DF" w:rsidRDefault="0002033B" w:rsidP="00C5477B">
            <w:pPr>
              <w:pStyle w:val="SDMMethEquation"/>
            </w:pPr>
            <m:oMathPara>
              <m:oMathParaPr>
                <m:jc m:val="left"/>
              </m:oMathParaPr>
              <m:oMath>
                <m:r>
                  <w:rPr>
                    <w:rFonts w:ascii="Cambria Math" w:eastAsia="Cambria Math" w:hAnsi="Cambria Math" w:cs="Cambria Math"/>
                    <w:sz w:val="24"/>
                    <w:szCs w:val="24"/>
                    <w:lang w:eastAsia="en-US"/>
                  </w:rPr>
                  <m:t>A6.4</m:t>
                </m:r>
                <m:sSub>
                  <m:sSubPr>
                    <m:ctrlPr>
                      <w:rPr>
                        <w:rFonts w:ascii="Cambria Math" w:eastAsia="Cambria Math" w:hAnsi="Cambria Math" w:cs="Cambria Math"/>
                        <w:i/>
                        <w:sz w:val="24"/>
                        <w:szCs w:val="24"/>
                        <w:lang w:eastAsia="en-US"/>
                      </w:rPr>
                    </m:ctrlPr>
                  </m:sSubPr>
                  <m:e>
                    <m:r>
                      <w:rPr>
                        <w:rFonts w:ascii="Cambria Math" w:eastAsia="Cambria Math" w:hAnsi="Cambria Math" w:cs="Cambria Math"/>
                        <w:sz w:val="24"/>
                        <w:szCs w:val="24"/>
                        <w:lang w:eastAsia="en-US"/>
                      </w:rPr>
                      <m:t>ER</m:t>
                    </m:r>
                  </m:e>
                  <m:sub>
                    <m:r>
                      <w:rPr>
                        <w:rFonts w:ascii="Cambria Math" w:eastAsia="Cambria Math" w:hAnsi="Cambria Math" w:cs="Cambria Math"/>
                        <w:sz w:val="24"/>
                        <w:szCs w:val="24"/>
                        <w:lang w:eastAsia="en-US"/>
                      </w:rPr>
                      <m:t>buffer,y</m:t>
                    </m:r>
                  </m:sub>
                </m:sSub>
                <m:r>
                  <w:rPr>
                    <w:rFonts w:ascii="Cambria Math" w:eastAsia="Cambria Math" w:hAnsi="Cambria Math" w:cs="Cambria Math"/>
                    <w:sz w:val="24"/>
                    <w:szCs w:val="24"/>
                    <w:lang w:eastAsia="en-US"/>
                  </w:rPr>
                  <m:t>=×</m:t>
                </m:r>
                <m:sSub>
                  <m:sSubPr>
                    <m:ctrlPr>
                      <w:rPr>
                        <w:rFonts w:ascii="Cambria Math" w:eastAsia="Cambria Math" w:hAnsi="Cambria Math" w:cs="Cambria Math"/>
                        <w:sz w:val="24"/>
                        <w:szCs w:val="24"/>
                        <w:lang w:eastAsia="en-US"/>
                      </w:rPr>
                    </m:ctrlPr>
                  </m:sSubPr>
                  <m:e>
                    <m:r>
                      <w:rPr>
                        <w:rFonts w:ascii="Cambria Math" w:eastAsia="Cambria Math" w:hAnsi="Cambria Math" w:cs="Cambria Math"/>
                        <w:sz w:val="24"/>
                        <w:szCs w:val="24"/>
                        <w:lang w:eastAsia="en-US"/>
                      </w:rPr>
                      <m:t>F</m:t>
                    </m:r>
                  </m:e>
                  <m:sub>
                    <m:r>
                      <w:rPr>
                        <w:rFonts w:ascii="Cambria Math" w:eastAsia="Cambria Math" w:hAnsi="Cambria Math" w:cs="Cambria Math"/>
                        <w:sz w:val="24"/>
                        <w:szCs w:val="24"/>
                        <w:lang w:eastAsia="en-US"/>
                      </w:rPr>
                      <m:t>buffer,i,t</m:t>
                    </m:r>
                  </m:sub>
                </m:sSub>
              </m:oMath>
            </m:oMathPara>
          </w:p>
        </w:tc>
        <w:tc>
          <w:tcPr>
            <w:tcW w:w="1663" w:type="dxa"/>
          </w:tcPr>
          <w:p w14:paraId="36A3E7BA" w14:textId="77777777" w:rsidR="001A5C04" w:rsidRPr="009F63DF" w:rsidRDefault="001A5C04" w:rsidP="00AF1AC1">
            <w:pPr>
              <w:pStyle w:val="SDMMethEquationNr"/>
              <w:numPr>
                <w:ilvl w:val="0"/>
                <w:numId w:val="29"/>
              </w:numPr>
            </w:pPr>
          </w:p>
        </w:tc>
      </w:tr>
    </w:tbl>
    <w:p w14:paraId="6D07F883" w14:textId="77777777" w:rsidR="00442B01" w:rsidRPr="009F63DF" w:rsidRDefault="00442B01" w:rsidP="00442B01">
      <w:pPr>
        <w:pStyle w:val="SDMMethCaptionEquationParametersTable"/>
      </w:pPr>
      <w:r w:rsidRPr="009F63DF">
        <w:t>with</w:t>
      </w:r>
    </w:p>
    <w:tbl>
      <w:tblPr>
        <w:tblStyle w:val="SDMMethTableEquation"/>
        <w:tblW w:w="8760" w:type="dxa"/>
        <w:tblLook w:val="0600" w:firstRow="0" w:lastRow="0" w:firstColumn="0" w:lastColumn="0" w:noHBand="1" w:noVBand="1"/>
      </w:tblPr>
      <w:tblGrid>
        <w:gridCol w:w="7097"/>
        <w:gridCol w:w="1663"/>
      </w:tblGrid>
      <w:tr w:rsidR="00442B01" w:rsidRPr="009F63DF" w14:paraId="1C6E1C25" w14:textId="77777777">
        <w:tc>
          <w:tcPr>
            <w:tcW w:w="7224" w:type="dxa"/>
          </w:tcPr>
          <w:p w14:paraId="65D5BB9B" w14:textId="75DC6CA8" w:rsidR="00442B01" w:rsidRPr="009F63DF" w:rsidRDefault="001549D8">
            <w:pPr>
              <w:pStyle w:val="SDMMethEquation"/>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ER</m:t>
                    </m:r>
                  </m:e>
                  <m:sub>
                    <m:r>
                      <w:rPr>
                        <w:rFonts w:ascii="Cambria Math" w:eastAsia="Cambria Math" w:hAnsi="Cambria Math" w:cs="Cambria Math"/>
                        <w:lang w:eastAsia="en-US"/>
                      </w:rPr>
                      <m:t>CO2,rr,y</m:t>
                    </m:r>
                  </m:sub>
                </m:sSub>
                <m:r>
                  <w:rPr>
                    <w:rFonts w:ascii="Cambria Math" w:eastAsia="Cambria Math" w:hAnsi="Cambria Math" w:cs="Cambria Math"/>
                    <w:lang w:eastAsia="en-US"/>
                  </w:rPr>
                  <m:t>=</m:t>
                </m:r>
                <m:nary>
                  <m:naryPr>
                    <m:chr m:val="∑"/>
                    <m:supHide m:val="1"/>
                    <m:ctrlPr>
                      <w:rPr>
                        <w:rFonts w:ascii="Cambria Math" w:eastAsia="Cambria Math" w:hAnsi="Cambria Math" w:cs="Cambria Math"/>
                        <w:i/>
                        <w:lang w:eastAsia="en-US"/>
                      </w:rPr>
                    </m:ctrlPr>
                  </m:naryPr>
                  <m:sub>
                    <m:r>
                      <w:rPr>
                        <w:rFonts w:ascii="Cambria Math" w:eastAsia="Cambria Math" w:hAnsi="Cambria Math" w:cs="Cambria Math"/>
                        <w:lang w:eastAsia="en-US"/>
                      </w:rPr>
                      <m:t>i</m:t>
                    </m:r>
                  </m:sub>
                  <m:sup/>
                  <m:e>
                    <m:r>
                      <w:rPr>
                        <w:rFonts w:ascii="Cambria Math" w:eastAsia="Cambria Math" w:hAnsi="Cambria Math" w:cs="Cambria Math"/>
                        <w:lang w:eastAsia="en-US"/>
                      </w:rPr>
                      <m:t xml:space="preserve"> </m:t>
                    </m:r>
                  </m:e>
                </m:nary>
                <m:d>
                  <m:dPr>
                    <m:ctrlPr>
                      <w:rPr>
                        <w:rFonts w:ascii="Cambria Math" w:eastAsia="Cambria Math" w:hAnsi="Cambria Math" w:cs="Cambria Math"/>
                        <w:i/>
                        <w:lang w:eastAsia="en-US"/>
                      </w:rPr>
                    </m:ctrlPr>
                  </m:dPr>
                  <m:e>
                    <m:d>
                      <m:dPr>
                        <m:ctrlPr>
                          <w:rPr>
                            <w:rFonts w:ascii="Cambria Math" w:eastAsia="Cambria Math" w:hAnsi="Cambria Math" w:cs="Cambria Math"/>
                            <w:sz w:val="24"/>
                            <w:szCs w:val="24"/>
                            <w:lang w:eastAsia="en-US"/>
                          </w:rPr>
                        </m:ctrlPr>
                      </m:dPr>
                      <m:e>
                        <m:sSub>
                          <m:sSubPr>
                            <m:ctrlPr>
                              <w:rPr>
                                <w:rFonts w:ascii="Cambria Math" w:hAnsi="Cambria Math"/>
                                <w:i/>
                              </w:rPr>
                            </m:ctrlPr>
                          </m:sSubPr>
                          <m:e>
                            <m:r>
                              <w:rPr>
                                <w:rFonts w:ascii="Cambria Math" w:hAnsi="Cambria Math"/>
                              </w:rPr>
                              <m:t>EC</m:t>
                            </m:r>
                          </m:e>
                          <m:sub>
                            <m:r>
                              <w:rPr>
                                <w:rFonts w:ascii="Cambria Math" w:hAnsi="Cambria Math"/>
                              </w:rPr>
                              <m:t>BL,i,adj,y</m:t>
                            </m:r>
                          </m:sub>
                        </m:sSub>
                        <m:r>
                          <w:rPr>
                            <w:rFonts w:ascii="Cambria Math" w:eastAsia="Cambria Math" w:hAnsi="Cambria Math" w:cs="Cambria Math"/>
                            <w:sz w:val="24"/>
                            <w:szCs w:val="24"/>
                            <w:lang w:eastAsia="en-US"/>
                          </w:rPr>
                          <m:t>-</m:t>
                        </m:r>
                        <m:sSub>
                          <m:sSubPr>
                            <m:ctrlPr>
                              <w:rPr>
                                <w:rFonts w:ascii="Cambria Math" w:eastAsia="Cambria Math" w:hAnsi="Cambria Math" w:cs="Cambria Math"/>
                                <w:color w:val="000000" w:themeColor="text1"/>
                                <w:sz w:val="20"/>
                                <w:szCs w:val="20"/>
                                <w:lang w:eastAsia="en-US"/>
                              </w:rPr>
                            </m:ctrlPr>
                          </m:sSubPr>
                          <m:e>
                            <m:r>
                              <w:rPr>
                                <w:rFonts w:ascii="Cambria Math" w:eastAsia="Cambria Math" w:hAnsi="Cambria Math" w:cs="Cambria Math"/>
                                <w:color w:val="000000" w:themeColor="text1"/>
                                <w:sz w:val="20"/>
                                <w:szCs w:val="20"/>
                                <w:lang w:eastAsia="en-US"/>
                              </w:rPr>
                              <m:t>EC</m:t>
                            </m:r>
                          </m:e>
                          <m:sub>
                            <m:r>
                              <w:rPr>
                                <w:rFonts w:ascii="Cambria Math" w:eastAsia="Cambria Math" w:hAnsi="Cambria Math" w:cs="Cambria Math"/>
                                <w:color w:val="000000" w:themeColor="text1"/>
                                <w:sz w:val="20"/>
                                <w:szCs w:val="20"/>
                                <w:lang w:eastAsia="en-US"/>
                              </w:rPr>
                              <m:t>proj,i,y</m:t>
                            </m:r>
                          </m:sub>
                        </m:sSub>
                      </m:e>
                    </m:d>
                    <m:r>
                      <w:rPr>
                        <w:rFonts w:ascii="Cambria Math" w:eastAsia="Cambria Math" w:hAnsi="Cambria Math" w:cs="Cambria Math"/>
                        <w:lang w:eastAsia="en-US"/>
                      </w:rPr>
                      <m:t>×</m:t>
                    </m:r>
                    <m:d>
                      <m:dPr>
                        <m:ctrlPr>
                          <w:rPr>
                            <w:rFonts w:ascii="Cambria Math" w:eastAsia="Cambria Math" w:hAnsi="Cambria Math" w:cs="Cambria Math"/>
                            <w:i/>
                            <w:lang w:eastAsia="en-US"/>
                          </w:rPr>
                        </m:ctrlPr>
                      </m:dPr>
                      <m:e>
                        <m:sSub>
                          <m:sSubPr>
                            <m:ctrlPr>
                              <w:rPr>
                                <w:rFonts w:ascii="Cambria Math" w:eastAsia="Cambria Math" w:hAnsi="Cambria Math" w:cs="Cambria Math"/>
                                <w:i/>
                                <w:sz w:val="24"/>
                                <w:szCs w:val="24"/>
                                <w:lang w:eastAsia="en-US"/>
                              </w:rPr>
                            </m:ctrlPr>
                          </m:sSubPr>
                          <m:e>
                            <m:r>
                              <w:rPr>
                                <w:rFonts w:ascii="Cambria Math" w:eastAsia="Cambria Math" w:hAnsi="Cambria Math" w:cs="Cambria Math"/>
                                <w:sz w:val="24"/>
                                <w:szCs w:val="24"/>
                                <w:lang w:eastAsia="en-US"/>
                              </w:rPr>
                              <m:t>fNRB</m:t>
                            </m:r>
                          </m:e>
                          <m:sub>
                            <m:r>
                              <w:rPr>
                                <w:rFonts w:ascii="Cambria Math" w:eastAsia="Cambria Math" w:hAnsi="Cambria Math" w:cs="Cambria Math"/>
                                <w:sz w:val="24"/>
                                <w:szCs w:val="24"/>
                                <w:lang w:eastAsia="en-US"/>
                              </w:rPr>
                              <m:t>i,y</m:t>
                            </m:r>
                          </m:sub>
                        </m:sSub>
                        <m:r>
                          <w:rPr>
                            <w:rFonts w:ascii="Cambria Math" w:eastAsia="Cambria Math" w:hAnsi="Cambria Math" w:cs="Cambria Math"/>
                            <w:sz w:val="24"/>
                            <w:szCs w:val="24"/>
                            <w:lang w:eastAsia="en-US"/>
                          </w:rPr>
                          <m:t>×</m:t>
                        </m:r>
                        <m:d>
                          <m:dPr>
                            <m:ctrlPr>
                              <w:rPr>
                                <w:rFonts w:ascii="Cambria Math" w:eastAsia="Cambria Math" w:hAnsi="Cambria Math" w:cs="Cambria Math"/>
                                <w:i/>
                                <w:sz w:val="24"/>
                                <w:szCs w:val="24"/>
                                <w:lang w:eastAsia="en-US"/>
                              </w:rPr>
                            </m:ctrlPr>
                          </m:dPr>
                          <m:e>
                            <m:sSub>
                              <m:sSubPr>
                                <m:ctrlPr>
                                  <w:rPr>
                                    <w:rFonts w:ascii="Cambria Math" w:eastAsia="Cambria Math" w:hAnsi="Cambria Math" w:cs="Cambria Math"/>
                                    <w:i/>
                                    <w:lang w:eastAsia="en-US"/>
                                  </w:rPr>
                                </m:ctrlPr>
                              </m:sSubPr>
                              <m:e>
                                <m:r>
                                  <w:rPr>
                                    <w:rFonts w:ascii="Cambria Math" w:eastAsia="Cambria Math" w:hAnsi="Cambria Math" w:cs="Cambria Math"/>
                                    <w:lang w:eastAsia="en-US"/>
                                  </w:rPr>
                                  <m:t>EF</m:t>
                                </m:r>
                              </m:e>
                              <m:sub>
                                <m:r>
                                  <w:rPr>
                                    <w:rFonts w:ascii="Cambria Math" w:eastAsia="Cambria Math" w:hAnsi="Cambria Math" w:cs="Cambria Math"/>
                                    <w:lang w:eastAsia="en-US"/>
                                  </w:rPr>
                                  <m:t>i,CO2</m:t>
                                </m:r>
                              </m:sub>
                            </m:sSub>
                            <m:r>
                              <w:rPr>
                                <w:rFonts w:ascii="Cambria Math" w:eastAsia="Cambria Math" w:hAnsi="Cambria Math" w:cs="Cambria Math"/>
                                <w:lang w:eastAsia="en-US"/>
                              </w:rPr>
                              <m:t>+</m:t>
                            </m:r>
                            <m:sSub>
                              <m:sSubPr>
                                <m:ctrlPr>
                                  <w:rPr>
                                    <w:rFonts w:ascii="Cambria Math" w:eastAsia="Cambria Math" w:hAnsi="Cambria Math" w:cs="Cambria Math"/>
                                    <w:sz w:val="24"/>
                                    <w:szCs w:val="24"/>
                                    <w:lang w:eastAsia="en-US"/>
                                  </w:rPr>
                                </m:ctrlPr>
                              </m:sSubPr>
                              <m:e>
                                <m:r>
                                  <w:rPr>
                                    <w:rFonts w:ascii="Cambria Math" w:eastAsia="Cambria Math" w:hAnsi="Cambria Math" w:cs="Cambria Math"/>
                                    <w:sz w:val="24"/>
                                    <w:szCs w:val="24"/>
                                    <w:lang w:eastAsia="en-US"/>
                                  </w:rPr>
                                  <m:t>EF</m:t>
                                </m:r>
                              </m:e>
                              <m:sub>
                                <m:r>
                                  <w:rPr>
                                    <w:rFonts w:ascii="Cambria Math" w:eastAsia="Cambria Math" w:hAnsi="Cambria Math" w:cs="Cambria Math"/>
                                    <w:sz w:val="24"/>
                                    <w:szCs w:val="24"/>
                                    <w:lang w:eastAsia="en-US"/>
                                  </w:rPr>
                                  <m:t>i,CO2,upstream</m:t>
                                </m:r>
                              </m:sub>
                            </m:sSub>
                          </m:e>
                        </m:d>
                      </m:e>
                    </m:d>
                  </m:e>
                </m:d>
              </m:oMath>
            </m:oMathPara>
          </w:p>
        </w:tc>
        <w:tc>
          <w:tcPr>
            <w:tcW w:w="1701" w:type="dxa"/>
          </w:tcPr>
          <w:p w14:paraId="538B2743" w14:textId="77777777" w:rsidR="00442B01" w:rsidRPr="009F63DF" w:rsidRDefault="00442B01" w:rsidP="00AF1AC1">
            <w:pPr>
              <w:pStyle w:val="SDMMethEquationNr"/>
              <w:numPr>
                <w:ilvl w:val="0"/>
                <w:numId w:val="34"/>
              </w:numPr>
            </w:pPr>
          </w:p>
        </w:tc>
      </w:tr>
    </w:tbl>
    <w:p w14:paraId="4448E7F3" w14:textId="77777777" w:rsidR="001A5C04" w:rsidRPr="009F63DF" w:rsidRDefault="001A5C04"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1A5C04" w:rsidRPr="009F63DF" w14:paraId="796DF870" w14:textId="77777777" w:rsidTr="008213A8">
        <w:tc>
          <w:tcPr>
            <w:tcW w:w="1701" w:type="dxa"/>
            <w:vAlign w:val="top"/>
          </w:tcPr>
          <w:p w14:paraId="3BF73B68" w14:textId="39AB2844" w:rsidR="001A5C04" w:rsidRPr="009F63DF" w:rsidRDefault="001549D8" w:rsidP="00F622AD">
            <w:pPr>
              <w:pStyle w:val="SDMTableBoxParaNotNumbered"/>
            </w:pPr>
            <m:oMathPara>
              <m:oMathParaPr>
                <m:jc m:val="left"/>
              </m:oMathParaPr>
              <m:oMath>
                <m:sSub>
                  <m:sSubPr>
                    <m:ctrlPr>
                      <w:rPr>
                        <w:rFonts w:ascii="Cambria Math" w:eastAsia="Cambria Math" w:hAnsi="Cambria Math" w:cs="Arial"/>
                        <w:i/>
                        <w:lang w:eastAsia="en-US"/>
                      </w:rPr>
                    </m:ctrlPr>
                  </m:sSubPr>
                  <m:e>
                    <m:r>
                      <w:rPr>
                        <w:rFonts w:ascii="Cambria Math" w:eastAsia="Cambria Math" w:hAnsi="Cambria Math" w:cs="Arial"/>
                        <w:lang w:eastAsia="en-US"/>
                      </w:rPr>
                      <m:t>A6.4ER</m:t>
                    </m:r>
                  </m:e>
                  <m:sub>
                    <m:r>
                      <w:rPr>
                        <w:rFonts w:ascii="Cambria Math" w:eastAsia="Cambria Math" w:hAnsi="Cambria Math" w:cs="Arial"/>
                        <w:lang w:eastAsia="en-US"/>
                      </w:rPr>
                      <m:t>buffer,y</m:t>
                    </m:r>
                  </m:sub>
                </m:sSub>
              </m:oMath>
            </m:oMathPara>
          </w:p>
        </w:tc>
        <w:tc>
          <w:tcPr>
            <w:tcW w:w="345" w:type="dxa"/>
            <w:vAlign w:val="top"/>
          </w:tcPr>
          <w:p w14:paraId="16AECE5D" w14:textId="77777777" w:rsidR="001A5C04" w:rsidRPr="009F63DF" w:rsidRDefault="001A5C04" w:rsidP="00F622AD">
            <w:pPr>
              <w:pStyle w:val="SDMTableBoxParaNotNumbered"/>
            </w:pPr>
            <w:r w:rsidRPr="009F63DF">
              <w:t>=</w:t>
            </w:r>
          </w:p>
        </w:tc>
        <w:tc>
          <w:tcPr>
            <w:tcW w:w="0" w:type="auto"/>
            <w:vAlign w:val="top"/>
          </w:tcPr>
          <w:p w14:paraId="4B2F877F" w14:textId="76D8D01D" w:rsidR="001A5C04" w:rsidRPr="009F63DF" w:rsidRDefault="001A5C04" w:rsidP="00F622AD">
            <w:pPr>
              <w:pStyle w:val="SDMTableBoxParaNotNumbered"/>
            </w:pPr>
            <w:r w:rsidRPr="009F63DF">
              <w:t xml:space="preserve">The number of A6.4ERs to be forwarded to the </w:t>
            </w:r>
            <w:r w:rsidR="00796F23" w:rsidRPr="009F63DF">
              <w:t>r</w:t>
            </w:r>
            <w:r w:rsidRPr="009F63DF">
              <w:t xml:space="preserve">eversal </w:t>
            </w:r>
            <w:r w:rsidR="00796F23" w:rsidRPr="009F63DF">
              <w:t>r</w:t>
            </w:r>
            <w:r w:rsidRPr="009F63DF">
              <w:t xml:space="preserve">isk </w:t>
            </w:r>
            <w:r w:rsidR="00796F23" w:rsidRPr="009F63DF">
              <w:t>b</w:t>
            </w:r>
            <w:r w:rsidRPr="009F63DF">
              <w:t xml:space="preserve">uffer </w:t>
            </w:r>
            <w:r w:rsidR="00796F23" w:rsidRPr="009F63DF">
              <w:t>p</w:t>
            </w:r>
            <w:r w:rsidRPr="009F63DF">
              <w:t xml:space="preserve">ool </w:t>
            </w:r>
            <w:r w:rsidR="00796F23" w:rsidRPr="009F63DF">
              <w:t>a</w:t>
            </w:r>
            <w:r w:rsidRPr="009F63DF">
              <w:t xml:space="preserve">ccount for year </w:t>
            </w:r>
            <w:r w:rsidRPr="009F63DF">
              <w:rPr>
                <w:i/>
              </w:rPr>
              <w:t>y</w:t>
            </w:r>
            <w:r w:rsidRPr="009F63DF">
              <w:t xml:space="preserve"> (t</w:t>
            </w:r>
            <w:r w:rsidR="00F34986" w:rsidRPr="009F63DF">
              <w:t xml:space="preserve"> </w:t>
            </w:r>
            <w:r w:rsidRPr="009F63DF">
              <w:t>CO</w:t>
            </w:r>
            <w:r w:rsidRPr="009F63DF">
              <w:rPr>
                <w:vertAlign w:val="subscript"/>
              </w:rPr>
              <w:t>2</w:t>
            </w:r>
            <w:r w:rsidRPr="009F63DF">
              <w:t>)</w:t>
            </w:r>
          </w:p>
        </w:tc>
      </w:tr>
      <w:tr w:rsidR="00A14B15" w:rsidRPr="009F63DF" w14:paraId="6D5767F8" w14:textId="77777777" w:rsidTr="008213A8">
        <w:tc>
          <w:tcPr>
            <w:tcW w:w="1701" w:type="dxa"/>
            <w:vAlign w:val="top"/>
          </w:tcPr>
          <w:p w14:paraId="037F1010" w14:textId="1EF584AD" w:rsidR="00A14B15" w:rsidRPr="00584010" w:rsidRDefault="001549D8" w:rsidP="00A14B15">
            <w:pPr>
              <w:pStyle w:val="SDMTableBoxParaNotNumbered"/>
              <w:rPr>
                <w:rFonts w:eastAsia="MS Mincho"/>
              </w:rPr>
            </w:pPr>
            <m:oMathPara>
              <m:oMathParaPr>
                <m:jc m:val="left"/>
              </m:oMathParaPr>
              <m:oMath>
                <m:sSub>
                  <m:sSubPr>
                    <m:ctrlPr>
                      <w:rPr>
                        <w:rFonts w:ascii="Cambria Math" w:hAnsi="Cambria Math"/>
                      </w:rPr>
                    </m:ctrlPr>
                  </m:sSubPr>
                  <m:e>
                    <m:r>
                      <w:rPr>
                        <w:rFonts w:ascii="Cambria Math" w:hAnsi="Cambria Math"/>
                      </w:rPr>
                      <m:t>ER</m:t>
                    </m:r>
                  </m:e>
                  <m:sub>
                    <m:r>
                      <w:rPr>
                        <w:rFonts w:ascii="Cambria Math" w:hAnsi="Cambria Math"/>
                      </w:rPr>
                      <m:t>CO2,rr,y</m:t>
                    </m:r>
                  </m:sub>
                </m:sSub>
              </m:oMath>
            </m:oMathPara>
          </w:p>
        </w:tc>
        <w:tc>
          <w:tcPr>
            <w:tcW w:w="345" w:type="dxa"/>
            <w:vAlign w:val="top"/>
          </w:tcPr>
          <w:p w14:paraId="3C97DFB3" w14:textId="4BEF9320" w:rsidR="00A14B15" w:rsidRPr="00584010" w:rsidRDefault="00A14B15" w:rsidP="00A14B15">
            <w:pPr>
              <w:pStyle w:val="SDMTableBoxParaNotNumbered"/>
            </w:pPr>
            <w:r w:rsidRPr="00584010">
              <w:t>=</w:t>
            </w:r>
          </w:p>
        </w:tc>
        <w:tc>
          <w:tcPr>
            <w:tcW w:w="0" w:type="auto"/>
            <w:vAlign w:val="top"/>
          </w:tcPr>
          <w:p w14:paraId="296D9E1C" w14:textId="40EC07E5" w:rsidR="00A14B15" w:rsidRPr="00584010" w:rsidRDefault="00A14B15" w:rsidP="00A14B15">
            <w:pPr>
              <w:pStyle w:val="SDMTableBoxParaNotNumbered"/>
            </w:pPr>
            <w:r w:rsidRPr="00584010">
              <w:t>Emission reductions of CO</w:t>
            </w:r>
            <w:r w:rsidRPr="00584010">
              <w:rPr>
                <w:vertAlign w:val="subscript"/>
              </w:rPr>
              <w:t>2</w:t>
            </w:r>
            <w:r w:rsidRPr="00584010">
              <w:t xml:space="preserve"> from greenhouse gas reservoirs that are subject to reversal risk in year </w:t>
            </w:r>
            <w:r w:rsidRPr="00584010">
              <w:rPr>
                <w:i/>
                <w:iCs/>
              </w:rPr>
              <w:t>y</w:t>
            </w:r>
            <w:r w:rsidRPr="00584010">
              <w:t xml:space="preserve"> (t CO</w:t>
            </w:r>
            <w:r w:rsidRPr="00584010">
              <w:rPr>
                <w:vertAlign w:val="subscript"/>
              </w:rPr>
              <w:t>2</w:t>
            </w:r>
            <w:r w:rsidRPr="00584010">
              <w:t>)</w:t>
            </w:r>
          </w:p>
        </w:tc>
      </w:tr>
      <w:tr w:rsidR="001A5C04" w:rsidRPr="009F63DF" w14:paraId="6E127E4B" w14:textId="77777777" w:rsidTr="008213A8">
        <w:tc>
          <w:tcPr>
            <w:tcW w:w="1701" w:type="dxa"/>
            <w:vAlign w:val="top"/>
          </w:tcPr>
          <w:p w14:paraId="0AE0D0B5" w14:textId="2A0D66D8" w:rsidR="001A5C04" w:rsidRPr="009F63DF" w:rsidRDefault="001549D8" w:rsidP="00F622AD">
            <w:pPr>
              <w:pStyle w:val="SDMTableBoxParaNotNumbered"/>
            </w:pPr>
            <m:oMathPara>
              <m:oMathParaPr>
                <m:jc m:val="left"/>
              </m:oMathParaPr>
              <m:oMath>
                <m:sSub>
                  <m:sSubPr>
                    <m:ctrlPr>
                      <w:rPr>
                        <w:rFonts w:ascii="Cambria Math" w:hAnsi="Cambria Math"/>
                        <w:i/>
                      </w:rPr>
                    </m:ctrlPr>
                  </m:sSubPr>
                  <m:e>
                    <m:r>
                      <w:rPr>
                        <w:rFonts w:ascii="Cambria Math" w:hAnsi="Cambria Math"/>
                      </w:rPr>
                      <m:t>EC</m:t>
                    </m:r>
                  </m:e>
                  <m:sub>
                    <m:r>
                      <w:rPr>
                        <w:rFonts w:ascii="Cambria Math" w:hAnsi="Cambria Math"/>
                      </w:rPr>
                      <m:t>BL,i,adj,y</m:t>
                    </m:r>
                  </m:sub>
                </m:sSub>
              </m:oMath>
            </m:oMathPara>
          </w:p>
        </w:tc>
        <w:tc>
          <w:tcPr>
            <w:tcW w:w="345" w:type="dxa"/>
            <w:vAlign w:val="top"/>
          </w:tcPr>
          <w:p w14:paraId="6DB37882" w14:textId="77777777" w:rsidR="001A5C04" w:rsidRPr="009F63DF" w:rsidRDefault="001A5C04" w:rsidP="00F622AD">
            <w:pPr>
              <w:pStyle w:val="SDMTableBoxParaNotNumbered"/>
            </w:pPr>
            <w:r w:rsidRPr="009F63DF">
              <w:t>=</w:t>
            </w:r>
          </w:p>
        </w:tc>
        <w:tc>
          <w:tcPr>
            <w:tcW w:w="0" w:type="auto"/>
            <w:vAlign w:val="top"/>
          </w:tcPr>
          <w:p w14:paraId="1922FB61" w14:textId="19A10CFD" w:rsidR="001A5C04" w:rsidRPr="009F63DF" w:rsidRDefault="001A5C04" w:rsidP="00F622AD">
            <w:pPr>
              <w:pStyle w:val="SDMTableBoxParaNotNumbered"/>
            </w:pPr>
            <w:r w:rsidRPr="009F63DF">
              <w:t xml:space="preserve">Downward adjusted consumption of fuel </w:t>
            </w:r>
            <w:r w:rsidRPr="009F63DF">
              <w:rPr>
                <w:i/>
              </w:rPr>
              <w:t>i</w:t>
            </w:r>
            <w:r w:rsidRPr="009F63DF">
              <w:t xml:space="preserve"> in baseline scenario in year </w:t>
            </w:r>
            <w:r w:rsidRPr="009F63DF">
              <w:rPr>
                <w:i/>
              </w:rPr>
              <w:t>y</w:t>
            </w:r>
            <w:r w:rsidRPr="009F63DF">
              <w:t xml:space="preserve"> (TJ)</w:t>
            </w:r>
          </w:p>
        </w:tc>
      </w:tr>
      <w:tr w:rsidR="001A5C04" w:rsidRPr="009F63DF" w14:paraId="29725765" w14:textId="77777777" w:rsidTr="008213A8">
        <w:tc>
          <w:tcPr>
            <w:tcW w:w="1701" w:type="dxa"/>
            <w:vAlign w:val="top"/>
          </w:tcPr>
          <w:p w14:paraId="5683FD14" w14:textId="186850DF" w:rsidR="001A5C04" w:rsidRPr="009F63DF" w:rsidRDefault="001549D8" w:rsidP="00F622AD">
            <w:pPr>
              <w:pStyle w:val="SDMTableBoxParaNotNumbered"/>
            </w:pPr>
            <m:oMathPara>
              <m:oMathParaPr>
                <m:jc m:val="left"/>
              </m:oMathParaPr>
              <m:oMath>
                <m:sSub>
                  <m:sSubPr>
                    <m:ctrlPr>
                      <w:rPr>
                        <w:rFonts w:ascii="Cambria Math" w:eastAsia="Cambria Math" w:hAnsi="Cambria Math" w:cs="Cambria Math"/>
                        <w:color w:val="000000" w:themeColor="text1"/>
                        <w:lang w:eastAsia="en-US"/>
                      </w:rPr>
                    </m:ctrlPr>
                  </m:sSubPr>
                  <m:e>
                    <m:r>
                      <w:rPr>
                        <w:rFonts w:ascii="Cambria Math" w:eastAsia="Cambria Math" w:hAnsi="Cambria Math" w:cs="Cambria Math"/>
                        <w:color w:val="000000" w:themeColor="text1"/>
                        <w:lang w:eastAsia="en-US"/>
                      </w:rPr>
                      <m:t>EC</m:t>
                    </m:r>
                  </m:e>
                  <m:sub>
                    <m:r>
                      <w:rPr>
                        <w:rFonts w:ascii="Cambria Math" w:eastAsia="Cambria Math" w:hAnsi="Cambria Math" w:cs="Cambria Math"/>
                        <w:color w:val="000000" w:themeColor="text1"/>
                        <w:lang w:eastAsia="en-US"/>
                      </w:rPr>
                      <m:t>proj,i,y</m:t>
                    </m:r>
                  </m:sub>
                </m:sSub>
              </m:oMath>
            </m:oMathPara>
          </w:p>
        </w:tc>
        <w:tc>
          <w:tcPr>
            <w:tcW w:w="345" w:type="dxa"/>
            <w:vAlign w:val="top"/>
          </w:tcPr>
          <w:p w14:paraId="2090CF98" w14:textId="77777777" w:rsidR="001A5C04" w:rsidRPr="009F63DF" w:rsidRDefault="001A5C04" w:rsidP="00F622AD">
            <w:pPr>
              <w:pStyle w:val="SDMTableBoxParaNotNumbered"/>
            </w:pPr>
            <w:r w:rsidRPr="009F63DF">
              <w:t>=</w:t>
            </w:r>
          </w:p>
        </w:tc>
        <w:tc>
          <w:tcPr>
            <w:tcW w:w="0" w:type="auto"/>
            <w:vAlign w:val="top"/>
          </w:tcPr>
          <w:p w14:paraId="6E78C033" w14:textId="2A4DAF06" w:rsidR="001A5C04" w:rsidRPr="009F63DF" w:rsidRDefault="001A5C04" w:rsidP="00F622AD">
            <w:pPr>
              <w:pStyle w:val="SDMTableBoxParaNotNumbered"/>
            </w:pPr>
            <w:r w:rsidRPr="009F63DF">
              <w:t xml:space="preserve">Consumption of fuel </w:t>
            </w:r>
            <w:r w:rsidRPr="009F63DF">
              <w:rPr>
                <w:i/>
              </w:rPr>
              <w:t>i</w:t>
            </w:r>
            <w:r w:rsidRPr="009F63DF">
              <w:t xml:space="preserve"> in year </w:t>
            </w:r>
            <w:r w:rsidRPr="009F63DF">
              <w:rPr>
                <w:i/>
              </w:rPr>
              <w:t>y</w:t>
            </w:r>
            <w:r w:rsidRPr="009F63DF">
              <w:t xml:space="preserve"> (TJ)</w:t>
            </w:r>
          </w:p>
        </w:tc>
      </w:tr>
      <w:tr w:rsidR="001A5C04" w:rsidRPr="009F63DF" w14:paraId="7F8642FB" w14:textId="77777777" w:rsidTr="008213A8">
        <w:tc>
          <w:tcPr>
            <w:tcW w:w="1701" w:type="dxa"/>
            <w:vAlign w:val="top"/>
          </w:tcPr>
          <w:p w14:paraId="057B89D8" w14:textId="08242C28" w:rsidR="001A5C04" w:rsidRPr="009F63DF" w:rsidRDefault="001549D8" w:rsidP="00F622AD">
            <w:pPr>
              <w:pStyle w:val="SDMTableBoxParaNotNumbered"/>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fNRB</m:t>
                    </m:r>
                  </m:e>
                  <m:sub>
                    <m:r>
                      <w:rPr>
                        <w:rFonts w:ascii="Cambria Math" w:eastAsia="Cambria Math" w:hAnsi="Cambria Math" w:cs="Cambria Math"/>
                        <w:lang w:eastAsia="en-US"/>
                      </w:rPr>
                      <m:t>i,y</m:t>
                    </m:r>
                  </m:sub>
                </m:sSub>
              </m:oMath>
            </m:oMathPara>
          </w:p>
        </w:tc>
        <w:tc>
          <w:tcPr>
            <w:tcW w:w="345" w:type="dxa"/>
            <w:vAlign w:val="top"/>
          </w:tcPr>
          <w:p w14:paraId="6F63E494" w14:textId="6A038972" w:rsidR="001A5C04" w:rsidRPr="009F63DF" w:rsidRDefault="001A5C04" w:rsidP="00F622AD">
            <w:pPr>
              <w:pStyle w:val="SDMTableBoxParaNotNumbered"/>
            </w:pPr>
            <w:r w:rsidRPr="009F63DF">
              <w:t>=</w:t>
            </w:r>
          </w:p>
        </w:tc>
        <w:tc>
          <w:tcPr>
            <w:tcW w:w="0" w:type="auto"/>
            <w:vAlign w:val="top"/>
          </w:tcPr>
          <w:p w14:paraId="6644FC0C" w14:textId="3DA3434F" w:rsidR="001A5C04" w:rsidRPr="009F63DF" w:rsidRDefault="00C06C93" w:rsidP="00F622AD">
            <w:pPr>
              <w:pStyle w:val="SDMTableBoxParaNotNumbered"/>
            </w:pPr>
            <w:r w:rsidRPr="009F63DF">
              <w:t xml:space="preserve">Fraction of non-renewable biomass of biomass fuel type </w:t>
            </w:r>
            <w:r w:rsidRPr="009F63DF">
              <w:rPr>
                <w:i/>
              </w:rPr>
              <w:t>i</w:t>
            </w:r>
            <w:r w:rsidRPr="009F63DF">
              <w:t xml:space="preserve"> consumed in year </w:t>
            </w:r>
            <w:r w:rsidRPr="009F63DF">
              <w:rPr>
                <w:i/>
              </w:rPr>
              <w:t>y</w:t>
            </w:r>
            <w:r w:rsidRPr="009F63DF">
              <w:t xml:space="preserve"> (</w:t>
            </w:r>
            <w:r w:rsidR="00DE7B9B" w:rsidRPr="009F63DF">
              <w:t>per cent</w:t>
            </w:r>
            <w:r w:rsidRPr="009F63DF">
              <w:t>)</w:t>
            </w:r>
          </w:p>
        </w:tc>
      </w:tr>
      <w:tr w:rsidR="001A5C04" w:rsidRPr="009F63DF" w14:paraId="3FDB52D5" w14:textId="77777777" w:rsidTr="008213A8">
        <w:tc>
          <w:tcPr>
            <w:tcW w:w="1701" w:type="dxa"/>
            <w:vAlign w:val="top"/>
          </w:tcPr>
          <w:p w14:paraId="1201CDB8" w14:textId="6692262A" w:rsidR="001A5C04" w:rsidRPr="009F63DF" w:rsidRDefault="001549D8" w:rsidP="00F622AD">
            <w:pPr>
              <w:pStyle w:val="SDMTableBoxParaNotNumbered"/>
            </w:pPr>
            <m:oMathPara>
              <m:oMathParaPr>
                <m:jc m:val="left"/>
              </m:oMathParaPr>
              <m:oMath>
                <m:sSub>
                  <m:sSubPr>
                    <m:ctrlPr>
                      <w:rPr>
                        <w:rFonts w:ascii="Cambria Math" w:eastAsia="Cambria Math" w:hAnsi="Cambria Math" w:cs="Cambria Math"/>
                        <w:i/>
                        <w:lang w:eastAsia="en-US"/>
                      </w:rPr>
                    </m:ctrlPr>
                  </m:sSubPr>
                  <m:e>
                    <m:r>
                      <w:rPr>
                        <w:rFonts w:ascii="Cambria Math" w:eastAsia="Cambria Math" w:hAnsi="Cambria Math" w:cs="Cambria Math"/>
                        <w:lang w:eastAsia="en-US"/>
                      </w:rPr>
                      <m:t>EF</m:t>
                    </m:r>
                  </m:e>
                  <m:sub>
                    <m:r>
                      <w:rPr>
                        <w:rFonts w:ascii="Cambria Math" w:eastAsia="Cambria Math" w:hAnsi="Cambria Math" w:cs="Cambria Math"/>
                        <w:lang w:eastAsia="en-US"/>
                      </w:rPr>
                      <m:t>i,CO2</m:t>
                    </m:r>
                  </m:sub>
                </m:sSub>
              </m:oMath>
            </m:oMathPara>
          </w:p>
        </w:tc>
        <w:tc>
          <w:tcPr>
            <w:tcW w:w="345" w:type="dxa"/>
            <w:vAlign w:val="top"/>
          </w:tcPr>
          <w:p w14:paraId="6A3DD798" w14:textId="24BCD67F" w:rsidR="001A5C04" w:rsidRPr="009F63DF" w:rsidRDefault="001A5C04" w:rsidP="00F622AD">
            <w:pPr>
              <w:pStyle w:val="SDMTableBoxParaNotNumbered"/>
            </w:pPr>
            <w:r w:rsidRPr="009F63DF">
              <w:t>=</w:t>
            </w:r>
          </w:p>
        </w:tc>
        <w:tc>
          <w:tcPr>
            <w:tcW w:w="0" w:type="auto"/>
            <w:vAlign w:val="top"/>
          </w:tcPr>
          <w:p w14:paraId="6184D48F" w14:textId="4F7BEF03" w:rsidR="001A5C04" w:rsidRPr="009F63DF" w:rsidRDefault="00C06C93" w:rsidP="00F622AD">
            <w:pPr>
              <w:pStyle w:val="SDMTableBoxParaNotNumbered"/>
            </w:pPr>
            <w:r w:rsidRPr="009F63DF">
              <w:t>CO</w:t>
            </w:r>
            <w:r w:rsidRPr="009F63DF">
              <w:rPr>
                <w:vertAlign w:val="subscript"/>
              </w:rPr>
              <w:t>2</w:t>
            </w:r>
            <w:r w:rsidRPr="009F63DF">
              <w:t xml:space="preserve"> emission factor for fuel </w:t>
            </w:r>
            <w:r w:rsidRPr="009F63DF">
              <w:rPr>
                <w:i/>
              </w:rPr>
              <w:t xml:space="preserve">i </w:t>
            </w:r>
            <w:r w:rsidRPr="009F63DF">
              <w:t>(t CO</w:t>
            </w:r>
            <w:r w:rsidRPr="009F63DF">
              <w:rPr>
                <w:vertAlign w:val="subscript"/>
              </w:rPr>
              <w:t>2</w:t>
            </w:r>
            <w:r w:rsidR="005E031E" w:rsidRPr="009F63DF">
              <w:t xml:space="preserve"> </w:t>
            </w:r>
            <w:r w:rsidRPr="009F63DF">
              <w:t>/</w:t>
            </w:r>
            <w:r w:rsidR="005E031E" w:rsidRPr="009F63DF">
              <w:t xml:space="preserve"> </w:t>
            </w:r>
            <w:r w:rsidRPr="009F63DF">
              <w:t>TJ)</w:t>
            </w:r>
          </w:p>
        </w:tc>
      </w:tr>
      <w:tr w:rsidR="001A5C04" w:rsidRPr="009F63DF" w14:paraId="6809CFBD" w14:textId="77777777" w:rsidTr="008213A8">
        <w:tc>
          <w:tcPr>
            <w:tcW w:w="1701" w:type="dxa"/>
            <w:vAlign w:val="top"/>
          </w:tcPr>
          <w:p w14:paraId="61C7EA13" w14:textId="4009838B" w:rsidR="001A5C04" w:rsidRPr="009F63DF" w:rsidRDefault="001549D8" w:rsidP="00F622AD">
            <w:pPr>
              <w:pStyle w:val="SDMTableBoxParaNotNumbered"/>
            </w:pPr>
            <m:oMathPara>
              <m:oMathParaPr>
                <m:jc m:val="left"/>
              </m:oMathParaPr>
              <m:oMath>
                <m:sSub>
                  <m:sSubPr>
                    <m:ctrlPr>
                      <w:rPr>
                        <w:rFonts w:ascii="Cambria Math" w:eastAsia="Cambria Math" w:hAnsi="Cambria Math" w:cs="Arial"/>
                        <w:lang w:eastAsia="en-US"/>
                      </w:rPr>
                    </m:ctrlPr>
                  </m:sSubPr>
                  <m:e>
                    <m:r>
                      <w:rPr>
                        <w:rFonts w:ascii="Cambria Math" w:eastAsia="Cambria Math" w:hAnsi="Cambria Math" w:cs="Arial"/>
                        <w:lang w:eastAsia="en-US"/>
                      </w:rPr>
                      <m:t>EF</m:t>
                    </m:r>
                  </m:e>
                  <m:sub>
                    <m:r>
                      <w:rPr>
                        <w:rFonts w:ascii="Cambria Math" w:eastAsia="Cambria Math" w:hAnsi="Cambria Math" w:cs="Arial"/>
                        <w:lang w:eastAsia="en-US"/>
                      </w:rPr>
                      <m:t>i,CO2,upstream</m:t>
                    </m:r>
                  </m:sub>
                </m:sSub>
              </m:oMath>
            </m:oMathPara>
          </w:p>
        </w:tc>
        <w:tc>
          <w:tcPr>
            <w:tcW w:w="345" w:type="dxa"/>
            <w:vAlign w:val="top"/>
          </w:tcPr>
          <w:p w14:paraId="4D6BD1BD" w14:textId="7B7D982E" w:rsidR="001A5C04" w:rsidRPr="009F63DF" w:rsidRDefault="001A5C04" w:rsidP="00F622AD">
            <w:pPr>
              <w:pStyle w:val="SDMTableBoxParaNotNumbered"/>
            </w:pPr>
            <w:r w:rsidRPr="009F63DF">
              <w:t>=</w:t>
            </w:r>
          </w:p>
        </w:tc>
        <w:tc>
          <w:tcPr>
            <w:tcW w:w="0" w:type="auto"/>
            <w:vAlign w:val="top"/>
          </w:tcPr>
          <w:p w14:paraId="3C5A1CA6" w14:textId="4CDAE2F1" w:rsidR="001A5C04" w:rsidRPr="009F63DF" w:rsidRDefault="00C06C93" w:rsidP="00F622AD">
            <w:pPr>
              <w:pStyle w:val="SDMTableBoxParaNotNumbered"/>
            </w:pPr>
            <w:r w:rsidRPr="009F63DF">
              <w:t>Upstream CO</w:t>
            </w:r>
            <w:r w:rsidRPr="009F63DF">
              <w:rPr>
                <w:vertAlign w:val="subscript"/>
              </w:rPr>
              <w:t>2</w:t>
            </w:r>
            <w:r w:rsidRPr="009F63DF">
              <w:t xml:space="preserve"> emission factor for fuel </w:t>
            </w:r>
            <w:r w:rsidRPr="009F63DF">
              <w:rPr>
                <w:i/>
              </w:rPr>
              <w:t>i</w:t>
            </w:r>
            <w:r w:rsidRPr="009F63DF">
              <w:t xml:space="preserve"> (t CO</w:t>
            </w:r>
            <w:r w:rsidRPr="009F63DF">
              <w:rPr>
                <w:vertAlign w:val="subscript"/>
              </w:rPr>
              <w:t>2</w:t>
            </w:r>
            <w:r w:rsidR="005E031E" w:rsidRPr="009F63DF">
              <w:t xml:space="preserve"> </w:t>
            </w:r>
            <w:r w:rsidRPr="009F63DF">
              <w:t>/</w:t>
            </w:r>
            <w:r w:rsidR="005E031E" w:rsidRPr="009F63DF">
              <w:t xml:space="preserve"> </w:t>
            </w:r>
            <w:r w:rsidRPr="009F63DF">
              <w:t>TJ)</w:t>
            </w:r>
          </w:p>
        </w:tc>
      </w:tr>
      <w:tr w:rsidR="001A5C04" w:rsidRPr="009F63DF" w14:paraId="58D1E4A8" w14:textId="77777777" w:rsidTr="008213A8">
        <w:tc>
          <w:tcPr>
            <w:tcW w:w="1701" w:type="dxa"/>
            <w:vAlign w:val="top"/>
          </w:tcPr>
          <w:p w14:paraId="2F473766" w14:textId="358D889D" w:rsidR="001A5C04" w:rsidRPr="009F63DF" w:rsidRDefault="001549D8" w:rsidP="00F622AD">
            <w:pPr>
              <w:pStyle w:val="SDMTableBoxParaNotNumbered"/>
            </w:pPr>
            <m:oMathPara>
              <m:oMathParaPr>
                <m:jc m:val="left"/>
              </m:oMathParaPr>
              <m:oMath>
                <m:sSub>
                  <m:sSubPr>
                    <m:ctrlPr>
                      <w:rPr>
                        <w:rFonts w:ascii="Cambria Math" w:eastAsia="Cambria Math" w:hAnsi="Cambria Math" w:cs="Arial"/>
                        <w:lang w:eastAsia="en-US"/>
                      </w:rPr>
                    </m:ctrlPr>
                  </m:sSubPr>
                  <m:e>
                    <m:r>
                      <w:rPr>
                        <w:rFonts w:ascii="Cambria Math" w:eastAsia="Cambria Math" w:hAnsi="Cambria Math" w:cs="Arial"/>
                        <w:lang w:eastAsia="en-US"/>
                      </w:rPr>
                      <m:t>F</m:t>
                    </m:r>
                  </m:e>
                  <m:sub>
                    <m:r>
                      <w:rPr>
                        <w:rFonts w:ascii="Cambria Math" w:eastAsia="Cambria Math" w:hAnsi="Cambria Math" w:cs="Arial"/>
                        <w:lang w:eastAsia="en-US"/>
                      </w:rPr>
                      <m:t>buffer, i,t</m:t>
                    </m:r>
                  </m:sub>
                </m:sSub>
              </m:oMath>
            </m:oMathPara>
          </w:p>
        </w:tc>
        <w:tc>
          <w:tcPr>
            <w:tcW w:w="345" w:type="dxa"/>
            <w:vAlign w:val="top"/>
          </w:tcPr>
          <w:p w14:paraId="5A25186C" w14:textId="1C4418F2" w:rsidR="001A5C04" w:rsidRPr="009F63DF" w:rsidRDefault="001A5C04" w:rsidP="00F622AD">
            <w:pPr>
              <w:pStyle w:val="SDMTableBoxParaNotNumbered"/>
            </w:pPr>
            <w:r w:rsidRPr="009F63DF">
              <w:t>=</w:t>
            </w:r>
          </w:p>
        </w:tc>
        <w:tc>
          <w:tcPr>
            <w:tcW w:w="0" w:type="auto"/>
            <w:vAlign w:val="top"/>
          </w:tcPr>
          <w:p w14:paraId="5C26D54D" w14:textId="6712A199" w:rsidR="001A5C04" w:rsidRPr="009F63DF" w:rsidRDefault="00FB15B2" w:rsidP="00F622AD">
            <w:pPr>
              <w:pStyle w:val="SDMTableBoxParaNotNumbered"/>
            </w:pPr>
            <w:r w:rsidRPr="009F63DF">
              <w:t xml:space="preserve">The fraction of the A6.4ERs with respect to the </w:t>
            </w:r>
            <w:r w:rsidR="00427F5A" w:rsidRPr="009F63DF">
              <w:t>GHG</w:t>
            </w:r>
            <w:r w:rsidRPr="009F63DF">
              <w:t xml:space="preserve"> reservoir aboveground woody biomass in </w:t>
            </w:r>
            <w:r w:rsidR="00E1060F" w:rsidRPr="009F63DF">
              <w:t>landscape</w:t>
            </w:r>
            <w:r w:rsidRPr="009F63DF">
              <w:t xml:space="preserve"> and for the period of time covered by a monitoring report t that is to be contributed to the </w:t>
            </w:r>
            <w:r w:rsidR="00F34986" w:rsidRPr="009F63DF">
              <w:t>r</w:t>
            </w:r>
            <w:r w:rsidRPr="009F63DF">
              <w:t xml:space="preserve">eversal </w:t>
            </w:r>
            <w:r w:rsidR="00F34986" w:rsidRPr="009F63DF">
              <w:t>r</w:t>
            </w:r>
            <w:r w:rsidRPr="009F63DF">
              <w:t xml:space="preserve">isk </w:t>
            </w:r>
            <w:r w:rsidR="00F34986" w:rsidRPr="009F63DF">
              <w:t>b</w:t>
            </w:r>
            <w:r w:rsidRPr="009F63DF">
              <w:t xml:space="preserve">uffer </w:t>
            </w:r>
            <w:r w:rsidR="00F34986" w:rsidRPr="009F63DF">
              <w:t>b</w:t>
            </w:r>
            <w:r w:rsidRPr="009F63DF">
              <w:t xml:space="preserve">ool </w:t>
            </w:r>
            <w:r w:rsidR="00F34986" w:rsidRPr="009F63DF">
              <w:t>a</w:t>
            </w:r>
            <w:r w:rsidRPr="009F63DF">
              <w:t xml:space="preserve">ccount for fuel </w:t>
            </w:r>
            <w:r w:rsidRPr="009F63DF">
              <w:rPr>
                <w:i/>
              </w:rPr>
              <w:t>i</w:t>
            </w:r>
            <w:r w:rsidRPr="009F63DF">
              <w:t xml:space="preserve"> (</w:t>
            </w:r>
            <w:r w:rsidR="00DE7B9B" w:rsidRPr="009F63DF">
              <w:t>per cent</w:t>
            </w:r>
            <w:r w:rsidRPr="009F63DF">
              <w:t>)</w:t>
            </w:r>
          </w:p>
        </w:tc>
      </w:tr>
      <w:tr w:rsidR="001A5C04" w:rsidRPr="009F63DF" w14:paraId="2D083D03" w14:textId="77777777" w:rsidTr="008213A8">
        <w:tc>
          <w:tcPr>
            <w:tcW w:w="1701" w:type="dxa"/>
            <w:vAlign w:val="top"/>
          </w:tcPr>
          <w:p w14:paraId="173238FE" w14:textId="11AC4F8E" w:rsidR="001A5C04" w:rsidRPr="009F63DF" w:rsidRDefault="00FB15B2" w:rsidP="00F622AD">
            <w:pPr>
              <w:pStyle w:val="SDMTableBoxParaNotNumbered"/>
            </w:pPr>
            <w:r w:rsidRPr="009F63DF">
              <w:rPr>
                <w:i/>
                <w:lang w:eastAsia="en-US"/>
              </w:rPr>
              <w:t>i</w:t>
            </w:r>
          </w:p>
        </w:tc>
        <w:tc>
          <w:tcPr>
            <w:tcW w:w="345" w:type="dxa"/>
            <w:vAlign w:val="top"/>
          </w:tcPr>
          <w:p w14:paraId="7CC136F2" w14:textId="7B7DB5AE" w:rsidR="001A5C04" w:rsidRPr="009F63DF" w:rsidRDefault="001A5C04" w:rsidP="00F622AD">
            <w:pPr>
              <w:pStyle w:val="SDMTableBoxParaNotNumbered"/>
            </w:pPr>
            <w:r w:rsidRPr="009F63DF">
              <w:t>=</w:t>
            </w:r>
          </w:p>
        </w:tc>
        <w:tc>
          <w:tcPr>
            <w:tcW w:w="0" w:type="auto"/>
            <w:vAlign w:val="top"/>
          </w:tcPr>
          <w:p w14:paraId="1B65D77B" w14:textId="795439D5" w:rsidR="001A5C04" w:rsidRPr="009F63DF" w:rsidRDefault="00FB15B2" w:rsidP="00F622AD">
            <w:pPr>
              <w:pStyle w:val="SDMTableBoxParaNotNumbered"/>
            </w:pPr>
            <w:r w:rsidRPr="009F63DF">
              <w:t>Primary fuel types (fuelwood or charcoal)</w:t>
            </w:r>
          </w:p>
        </w:tc>
      </w:tr>
      <w:tr w:rsidR="00C06C93" w:rsidRPr="009F63DF" w14:paraId="4B87F9A3" w14:textId="77777777" w:rsidTr="008213A8">
        <w:tc>
          <w:tcPr>
            <w:tcW w:w="1701" w:type="dxa"/>
            <w:vAlign w:val="top"/>
          </w:tcPr>
          <w:p w14:paraId="11A5C6AB" w14:textId="59FD3D10" w:rsidR="00C06C93" w:rsidRPr="009F63DF" w:rsidRDefault="00FB15B2" w:rsidP="00F622AD">
            <w:pPr>
              <w:pStyle w:val="SDMTableBoxParaNotNumbered"/>
            </w:pPr>
            <w:r w:rsidRPr="009F63DF">
              <w:rPr>
                <w:rFonts w:ascii="Cambria Math" w:hAnsi="Cambria Math"/>
                <w:i/>
                <w:lang w:eastAsia="en-US"/>
              </w:rPr>
              <w:t>y</w:t>
            </w:r>
          </w:p>
        </w:tc>
        <w:tc>
          <w:tcPr>
            <w:tcW w:w="345" w:type="dxa"/>
            <w:vAlign w:val="top"/>
          </w:tcPr>
          <w:p w14:paraId="1FC352FC" w14:textId="6DAFDF80" w:rsidR="00C06C93" w:rsidRPr="009F63DF" w:rsidRDefault="00C06C93" w:rsidP="00F622AD">
            <w:pPr>
              <w:pStyle w:val="SDMTableBoxParaNotNumbered"/>
            </w:pPr>
            <w:r w:rsidRPr="009F63DF">
              <w:t>=</w:t>
            </w:r>
          </w:p>
        </w:tc>
        <w:tc>
          <w:tcPr>
            <w:tcW w:w="0" w:type="auto"/>
            <w:vAlign w:val="top"/>
          </w:tcPr>
          <w:p w14:paraId="23533E41" w14:textId="37ECD916" w:rsidR="00C06C93" w:rsidRPr="009F63DF" w:rsidRDefault="00FB15B2" w:rsidP="00F622AD">
            <w:pPr>
              <w:pStyle w:val="SDMTableBoxParaNotNumbered"/>
            </w:pPr>
            <w:r w:rsidRPr="009F63DF">
              <w:t>Calendar year of the crediting period</w:t>
            </w:r>
          </w:p>
        </w:tc>
      </w:tr>
      <w:tr w:rsidR="00C06C93" w:rsidRPr="009F63DF" w14:paraId="13F22CD0" w14:textId="77777777" w:rsidTr="008213A8">
        <w:tc>
          <w:tcPr>
            <w:tcW w:w="1701" w:type="dxa"/>
            <w:vAlign w:val="top"/>
          </w:tcPr>
          <w:p w14:paraId="4111313A" w14:textId="38837227" w:rsidR="00C06C93" w:rsidRPr="009F63DF" w:rsidRDefault="00FB15B2" w:rsidP="00F622AD">
            <w:pPr>
              <w:pStyle w:val="SDMTableBoxParaNotNumbered"/>
            </w:pPr>
            <w:r w:rsidRPr="009F63DF">
              <w:rPr>
                <w:rFonts w:ascii="Cambria Math" w:hAnsi="Cambria Math"/>
                <w:i/>
                <w:lang w:eastAsia="en-US"/>
              </w:rPr>
              <w:t>t</w:t>
            </w:r>
          </w:p>
        </w:tc>
        <w:tc>
          <w:tcPr>
            <w:tcW w:w="345" w:type="dxa"/>
            <w:vAlign w:val="top"/>
          </w:tcPr>
          <w:p w14:paraId="4B9A4986" w14:textId="0F1E1250" w:rsidR="00C06C93" w:rsidRPr="009F63DF" w:rsidRDefault="00C06C93" w:rsidP="00F622AD">
            <w:pPr>
              <w:pStyle w:val="SDMTableBoxParaNotNumbered"/>
            </w:pPr>
            <w:r w:rsidRPr="009F63DF">
              <w:t>=</w:t>
            </w:r>
          </w:p>
        </w:tc>
        <w:tc>
          <w:tcPr>
            <w:tcW w:w="0" w:type="auto"/>
            <w:vAlign w:val="top"/>
          </w:tcPr>
          <w:p w14:paraId="79037025" w14:textId="37FC6806" w:rsidR="00C06C93" w:rsidRPr="009F63DF" w:rsidRDefault="00FB15B2" w:rsidP="00F622AD">
            <w:pPr>
              <w:pStyle w:val="SDMTableBoxParaNotNumbered"/>
            </w:pPr>
            <w:r w:rsidRPr="009F63DF">
              <w:t>Period of time covered by a monitoring report</w:t>
            </w:r>
          </w:p>
        </w:tc>
      </w:tr>
    </w:tbl>
    <w:p w14:paraId="46523A6A" w14:textId="752449BC" w:rsidR="001C2394" w:rsidRPr="009F63DF" w:rsidRDefault="001C2394" w:rsidP="00F91295">
      <w:pPr>
        <w:pStyle w:val="SDMHead1"/>
      </w:pPr>
      <w:bookmarkStart w:id="605" w:name="_Toc226502291"/>
      <w:bookmarkStart w:id="606" w:name="_Toc226576244"/>
      <w:bookmarkStart w:id="607" w:name="_Toc226983095"/>
      <w:bookmarkStart w:id="608" w:name="_Ref227583456"/>
      <w:bookmarkStart w:id="609" w:name="_Toc227677294"/>
      <w:bookmarkStart w:id="610" w:name="_Toc227694816"/>
      <w:bookmarkStart w:id="611" w:name="_Toc227920930"/>
      <w:bookmarkStart w:id="612" w:name="_Toc227938831"/>
      <w:bookmarkStart w:id="613" w:name="_Toc227948082"/>
      <w:bookmarkStart w:id="614" w:name="_Toc233388641"/>
      <w:bookmarkStart w:id="615" w:name="_Toc233961448"/>
      <w:bookmarkStart w:id="616" w:name="_Toc233970257"/>
      <w:bookmarkStart w:id="617" w:name="_Toc240546587"/>
      <w:bookmarkStart w:id="618" w:name="_Toc240631988"/>
      <w:bookmarkStart w:id="619" w:name="_Toc242471173"/>
      <w:r w:rsidRPr="009F63DF">
        <w:rPr>
          <w:rFonts w:eastAsia="Montserrat"/>
        </w:rPr>
        <w:t>Emission reductions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bookmarkEnd w:id="561"/>
    <w:bookmarkEnd w:id="562"/>
    <w:bookmarkEnd w:id="563"/>
    <w:bookmarkEnd w:id="564"/>
    <w:bookmarkEnd w:id="565"/>
    <w:p w14:paraId="1C481A06" w14:textId="37611D91" w:rsidR="00CB2F29" w:rsidRPr="009F63DF" w:rsidRDefault="009D224A" w:rsidP="00E03E61">
      <w:pPr>
        <w:pStyle w:val="SDMPara"/>
      </w:pPr>
      <w:r w:rsidRPr="009F63DF">
        <w:rPr>
          <w:rFonts w:eastAsia="Montserrat"/>
        </w:rPr>
        <w:t>Total e</w:t>
      </w:r>
      <w:r w:rsidR="001C2394" w:rsidRPr="009F63DF">
        <w:rPr>
          <w:rFonts w:eastAsia="Montserrat"/>
        </w:rPr>
        <w:t xml:space="preserve">mission reductions for </w:t>
      </w:r>
      <w:r w:rsidR="00FB548E" w:rsidRPr="009F63DF">
        <w:rPr>
          <w:rFonts w:eastAsia="Montserrat"/>
        </w:rPr>
        <w:t>activities</w:t>
      </w:r>
      <w:r w:rsidR="001C2394" w:rsidRPr="009F63DF">
        <w:rPr>
          <w:rFonts w:eastAsia="Montserrat"/>
        </w:rPr>
        <w:t xml:space="preserve"> are calculated using </w:t>
      </w:r>
      <w:r w:rsidR="007B4B72" w:rsidRPr="009F63DF">
        <w:rPr>
          <w:rFonts w:eastAsia="Montserrat"/>
        </w:rPr>
        <w:t>e</w:t>
      </w:r>
      <w:r w:rsidR="001C2394" w:rsidRPr="009F63DF">
        <w:rPr>
          <w:rFonts w:eastAsia="Montserrat"/>
        </w:rPr>
        <w:t>quation (</w:t>
      </w:r>
      <w:r w:rsidR="00142937" w:rsidRPr="009F63DF">
        <w:rPr>
          <w:rFonts w:eastAsia="Montserrat"/>
        </w:rPr>
        <w:t>37</w:t>
      </w:r>
      <w:r w:rsidR="001C2394" w:rsidRPr="009F63DF">
        <w:rPr>
          <w:rFonts w:eastAsia="Montserrat"/>
        </w:rPr>
        <w:t>)</w:t>
      </w:r>
      <w:r w:rsidR="00785462" w:rsidRPr="009F63DF">
        <w:rPr>
          <w:rFonts w:eastAsia="Montserrat"/>
        </w:rPr>
        <w:t xml:space="preserve">, which is equivalent to </w:t>
      </w:r>
      <w:r w:rsidR="00460973" w:rsidRPr="009F63DF">
        <w:rPr>
          <w:rFonts w:eastAsia="Montserrat"/>
        </w:rPr>
        <w:t xml:space="preserve">the total number of A6.4ERs </w:t>
      </w:r>
      <w:r w:rsidR="00CB141E" w:rsidRPr="009F63DF">
        <w:rPr>
          <w:rFonts w:eastAsia="Montserrat"/>
        </w:rPr>
        <w:t xml:space="preserve">to be issued </w:t>
      </w:r>
      <w:r w:rsidR="0019220C" w:rsidRPr="009F63DF">
        <w:rPr>
          <w:rFonts w:eastAsia="Montserrat"/>
        </w:rPr>
        <w:t>with respect to</w:t>
      </w:r>
      <w:r w:rsidR="00CB141E" w:rsidRPr="009F63DF">
        <w:rPr>
          <w:rFonts w:eastAsia="Montserrat"/>
        </w:rPr>
        <w:t xml:space="preserve"> the Article</w:t>
      </w:r>
      <w:r w:rsidR="00F11429" w:rsidRPr="009F63DF">
        <w:rPr>
          <w:rFonts w:eastAsia="Montserrat"/>
        </w:rPr>
        <w:t> </w:t>
      </w:r>
      <w:r w:rsidR="00CB141E" w:rsidRPr="009F63DF">
        <w:rPr>
          <w:rFonts w:eastAsia="Montserrat"/>
        </w:rPr>
        <w:t>6.4</w:t>
      </w:r>
      <w:r w:rsidR="00F11429" w:rsidRPr="009F63DF">
        <w:rPr>
          <w:rFonts w:eastAsia="Montserrat"/>
        </w:rPr>
        <w:t> </w:t>
      </w:r>
      <w:r w:rsidR="00CB141E" w:rsidRPr="009F63DF">
        <w:rPr>
          <w:rFonts w:eastAsia="Montserrat"/>
        </w:rPr>
        <w:t xml:space="preserve">activity over the period </w:t>
      </w:r>
      <w:r w:rsidR="00CB141E" w:rsidRPr="009F63DF">
        <w:rPr>
          <w:rFonts w:eastAsia="Montserrat"/>
          <w:i/>
          <w:iCs/>
        </w:rPr>
        <w:t>y</w:t>
      </w:r>
      <w:r w:rsidR="001C2394" w:rsidRPr="009F63DF">
        <w:rPr>
          <w:rFonts w:eastAsia="Montserrat"/>
        </w:rPr>
        <w:t>.</w:t>
      </w:r>
    </w:p>
    <w:tbl>
      <w:tblPr>
        <w:tblStyle w:val="SDMMethTableEquation"/>
        <w:tblW w:w="8760" w:type="dxa"/>
        <w:tblLook w:val="0600" w:firstRow="0" w:lastRow="0" w:firstColumn="0" w:lastColumn="0" w:noHBand="1" w:noVBand="1"/>
      </w:tblPr>
      <w:tblGrid>
        <w:gridCol w:w="7092"/>
        <w:gridCol w:w="1668"/>
      </w:tblGrid>
      <w:tr w:rsidR="00203D2C" w:rsidRPr="009F63DF" w14:paraId="31C063B0" w14:textId="77777777" w:rsidTr="00C5477B">
        <w:tc>
          <w:tcPr>
            <w:tcW w:w="7224" w:type="dxa"/>
          </w:tcPr>
          <w:p w14:paraId="037524C0" w14:textId="1790BE2D" w:rsidR="00203D2C" w:rsidRPr="009F63DF" w:rsidRDefault="001549D8" w:rsidP="00C5477B">
            <w:pPr>
              <w:pStyle w:val="SDMMethEquation"/>
            </w:pPr>
            <m:oMathPara>
              <m:oMathParaPr>
                <m:jc m:val="left"/>
              </m:oMathParaPr>
              <m:oMath>
                <m:sSub>
                  <m:sSubPr>
                    <m:ctrlPr>
                      <w:rPr>
                        <w:rFonts w:ascii="Cambria Math" w:eastAsia="Cambria Math" w:hAnsi="Cambria Math" w:cs="Cambria Math"/>
                        <w:i/>
                        <w:sz w:val="24"/>
                        <w:szCs w:val="24"/>
                        <w:lang w:eastAsia="en-US"/>
                      </w:rPr>
                    </m:ctrlPr>
                  </m:sSubPr>
                  <m:e>
                    <m:r>
                      <w:rPr>
                        <w:rFonts w:ascii="Cambria Math" w:eastAsia="Cambria Math" w:hAnsi="Cambria Math" w:cs="Cambria Math"/>
                        <w:sz w:val="24"/>
                        <w:szCs w:val="24"/>
                        <w:lang w:eastAsia="en-US"/>
                      </w:rPr>
                      <m:t>ER</m:t>
                    </m:r>
                  </m:e>
                  <m:sub>
                    <m:r>
                      <w:rPr>
                        <w:rFonts w:ascii="Cambria Math" w:eastAsia="Cambria Math" w:hAnsi="Cambria Math" w:cs="Cambria Math"/>
                        <w:sz w:val="24"/>
                        <w:szCs w:val="24"/>
                        <w:lang w:eastAsia="en-US"/>
                      </w:rPr>
                      <m:t>y</m:t>
                    </m:r>
                  </m:sub>
                </m:sSub>
                <m:r>
                  <w:rPr>
                    <w:rFonts w:ascii="Cambria Math" w:eastAsia="Cambria Math" w:hAnsi="Cambria Math" w:cs="Cambria Math"/>
                    <w:sz w:val="24"/>
                    <w:szCs w:val="24"/>
                    <w:lang w:eastAsia="en-US"/>
                  </w:rPr>
                  <m:t>=</m:t>
                </m:r>
                <m:sSub>
                  <m:sSubPr>
                    <m:ctrlPr>
                      <w:rPr>
                        <w:rFonts w:ascii="Cambria Math" w:eastAsia="Cambria Math" w:hAnsi="Cambria Math" w:cs="Cambria Math"/>
                        <w:sz w:val="24"/>
                        <w:szCs w:val="24"/>
                        <w:lang w:eastAsia="en-US"/>
                      </w:rPr>
                    </m:ctrlPr>
                  </m:sSubPr>
                  <m:e>
                    <m:r>
                      <w:rPr>
                        <w:rFonts w:ascii="Cambria Math" w:eastAsia="Cambria Math" w:hAnsi="Cambria Math" w:cs="Cambria Math"/>
                        <w:sz w:val="24"/>
                        <w:szCs w:val="24"/>
                        <w:lang w:eastAsia="en-US"/>
                      </w:rPr>
                      <m:t>BE</m:t>
                    </m:r>
                  </m:e>
                  <m:sub>
                    <m:r>
                      <w:rPr>
                        <w:rFonts w:ascii="Cambria Math" w:eastAsia="Cambria Math" w:hAnsi="Cambria Math" w:cs="Cambria Math"/>
                        <w:sz w:val="24"/>
                        <w:szCs w:val="24"/>
                        <w:lang w:eastAsia="en-US"/>
                      </w:rPr>
                      <m:t>final, y</m:t>
                    </m:r>
                  </m:sub>
                </m:sSub>
                <m:r>
                  <w:rPr>
                    <w:rFonts w:ascii="Cambria Math" w:eastAsia="Cambria Math" w:hAnsi="Cambria Math" w:cs="Cambria Math"/>
                    <w:sz w:val="24"/>
                    <w:szCs w:val="24"/>
                    <w:lang w:eastAsia="en-US"/>
                  </w:rPr>
                  <m:t>-</m:t>
                </m:r>
                <m:sSub>
                  <m:sSubPr>
                    <m:ctrlPr>
                      <w:rPr>
                        <w:rFonts w:ascii="Cambria Math" w:eastAsia="Cambria Math" w:hAnsi="Cambria Math" w:cs="Cambria Math"/>
                        <w:sz w:val="24"/>
                        <w:szCs w:val="24"/>
                        <w:lang w:eastAsia="en-US"/>
                      </w:rPr>
                    </m:ctrlPr>
                  </m:sSubPr>
                  <m:e>
                    <m:r>
                      <w:rPr>
                        <w:rFonts w:ascii="Cambria Math" w:eastAsia="Cambria Math" w:hAnsi="Cambria Math" w:cs="Cambria Math"/>
                        <w:sz w:val="24"/>
                        <w:szCs w:val="24"/>
                        <w:lang w:eastAsia="en-US"/>
                      </w:rPr>
                      <m:t>AE</m:t>
                    </m:r>
                  </m:e>
                  <m:sub>
                    <m:r>
                      <w:rPr>
                        <w:rFonts w:ascii="Cambria Math" w:eastAsia="Cambria Math" w:hAnsi="Cambria Math" w:cs="Cambria Math"/>
                        <w:sz w:val="24"/>
                        <w:szCs w:val="24"/>
                        <w:lang w:eastAsia="en-US"/>
                      </w:rPr>
                      <m:t>y</m:t>
                    </m:r>
                  </m:sub>
                </m:sSub>
                <m:r>
                  <w:rPr>
                    <w:rFonts w:ascii="Cambria Math" w:eastAsia="Cambria Math" w:hAnsi="Cambria Math" w:cs="Cambria Math"/>
                    <w:sz w:val="24"/>
                    <w:szCs w:val="24"/>
                    <w:lang w:eastAsia="en-US"/>
                  </w:rPr>
                  <m:t>-</m:t>
                </m:r>
                <m:sSub>
                  <m:sSubPr>
                    <m:ctrlPr>
                      <w:rPr>
                        <w:rFonts w:ascii="Cambria Math" w:eastAsia="Cambria Math" w:hAnsi="Cambria Math" w:cs="Cambria Math"/>
                        <w:sz w:val="24"/>
                        <w:szCs w:val="24"/>
                        <w:lang w:eastAsia="en-US"/>
                      </w:rPr>
                    </m:ctrlPr>
                  </m:sSubPr>
                  <m:e>
                    <m:r>
                      <w:rPr>
                        <w:rFonts w:ascii="Cambria Math" w:eastAsia="Cambria Math" w:hAnsi="Cambria Math" w:cs="Cambria Math"/>
                        <w:sz w:val="24"/>
                        <w:szCs w:val="24"/>
                        <w:lang w:eastAsia="en-US"/>
                      </w:rPr>
                      <m:t>LE</m:t>
                    </m:r>
                  </m:e>
                  <m:sub>
                    <m:r>
                      <w:rPr>
                        <w:rFonts w:ascii="Cambria Math" w:eastAsia="Cambria Math" w:hAnsi="Cambria Math" w:cs="Cambria Math"/>
                        <w:sz w:val="24"/>
                        <w:szCs w:val="24"/>
                        <w:lang w:eastAsia="en-US"/>
                      </w:rPr>
                      <m:t>y</m:t>
                    </m:r>
                  </m:sub>
                </m:sSub>
              </m:oMath>
            </m:oMathPara>
          </w:p>
        </w:tc>
        <w:tc>
          <w:tcPr>
            <w:tcW w:w="1701" w:type="dxa"/>
          </w:tcPr>
          <w:p w14:paraId="400F9B2A" w14:textId="77777777" w:rsidR="00203D2C" w:rsidRPr="009F63DF" w:rsidRDefault="00203D2C" w:rsidP="00AF1AC1">
            <w:pPr>
              <w:pStyle w:val="SDMMethEquationNr"/>
              <w:numPr>
                <w:ilvl w:val="0"/>
                <w:numId w:val="29"/>
              </w:numPr>
            </w:pPr>
          </w:p>
        </w:tc>
      </w:tr>
    </w:tbl>
    <w:p w14:paraId="3CBD3114" w14:textId="77777777" w:rsidR="00203D2C" w:rsidRPr="009F63DF" w:rsidRDefault="00203D2C"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203D2C" w:rsidRPr="009F63DF" w14:paraId="144C8FA4" w14:textId="77777777" w:rsidTr="008213A8">
        <w:tc>
          <w:tcPr>
            <w:tcW w:w="1701" w:type="dxa"/>
            <w:vAlign w:val="top"/>
          </w:tcPr>
          <w:p w14:paraId="41109373" w14:textId="07856966" w:rsidR="00203D2C" w:rsidRPr="009F63DF" w:rsidRDefault="001549D8" w:rsidP="00F622AD">
            <w:pPr>
              <w:pStyle w:val="SDMTableBoxParaNotNumbered"/>
            </w:pPr>
            <m:oMathPara>
              <m:oMathParaPr>
                <m:jc m:val="left"/>
              </m:oMathParaPr>
              <m:oMath>
                <m:sSub>
                  <m:sSubPr>
                    <m:ctrlPr>
                      <w:rPr>
                        <w:rFonts w:ascii="Cambria Math" w:eastAsia="Cambria Math" w:hAnsi="Cambria Math" w:cs="Arial"/>
                        <w:i/>
                        <w:lang w:eastAsia="en-US"/>
                      </w:rPr>
                    </m:ctrlPr>
                  </m:sSubPr>
                  <m:e>
                    <m:r>
                      <w:rPr>
                        <w:rFonts w:ascii="Cambria Math" w:eastAsia="Cambria Math" w:hAnsi="Cambria Math" w:cs="Arial"/>
                        <w:lang w:eastAsia="en-US"/>
                      </w:rPr>
                      <m:t>ER</m:t>
                    </m:r>
                  </m:e>
                  <m:sub>
                    <m:r>
                      <w:rPr>
                        <w:rFonts w:ascii="Cambria Math" w:eastAsia="Cambria Math" w:hAnsi="Cambria Math" w:cs="Arial"/>
                        <w:lang w:eastAsia="en-US"/>
                      </w:rPr>
                      <m:t>y</m:t>
                    </m:r>
                  </m:sub>
                </m:sSub>
              </m:oMath>
            </m:oMathPara>
          </w:p>
        </w:tc>
        <w:tc>
          <w:tcPr>
            <w:tcW w:w="345" w:type="dxa"/>
            <w:vAlign w:val="top"/>
          </w:tcPr>
          <w:p w14:paraId="33F56BAF" w14:textId="77777777" w:rsidR="00203D2C" w:rsidRPr="009F63DF" w:rsidRDefault="00203D2C" w:rsidP="00F622AD">
            <w:pPr>
              <w:pStyle w:val="SDMTableBoxParaNotNumbered"/>
            </w:pPr>
            <w:r w:rsidRPr="009F63DF">
              <w:t>=</w:t>
            </w:r>
          </w:p>
        </w:tc>
        <w:tc>
          <w:tcPr>
            <w:tcW w:w="0" w:type="auto"/>
            <w:vAlign w:val="top"/>
          </w:tcPr>
          <w:p w14:paraId="6930E84C" w14:textId="08B8627E" w:rsidR="00203D2C" w:rsidRPr="009F63DF" w:rsidRDefault="00203D2C" w:rsidP="00F622AD">
            <w:pPr>
              <w:pStyle w:val="SDMTableBoxParaNotNumbered"/>
            </w:pPr>
            <w:r w:rsidRPr="009F63DF">
              <w:t>Emission reductions for the activity during year y (</w:t>
            </w:r>
            <w:r w:rsidR="00BD43C7" w:rsidRPr="009F63DF">
              <w:rPr>
                <w:rFonts w:eastAsia="Montserrat"/>
                <w:color w:val="000000" w:themeColor="text1"/>
              </w:rPr>
              <w:t>t CO</w:t>
            </w:r>
            <w:r w:rsidR="00BD43C7" w:rsidRPr="009F63DF">
              <w:rPr>
                <w:rFonts w:eastAsia="Montserrat"/>
                <w:color w:val="000000" w:themeColor="text1"/>
                <w:vertAlign w:val="subscript"/>
              </w:rPr>
              <w:t>2</w:t>
            </w:r>
            <w:r w:rsidR="00A92C9C">
              <w:rPr>
                <w:rFonts w:eastAsia="Montserrat"/>
                <w:color w:val="000000" w:themeColor="text1"/>
              </w:rPr>
              <w:t xml:space="preserve"> </w:t>
            </w:r>
            <w:r w:rsidR="00BD43C7" w:rsidRPr="009F63DF">
              <w:rPr>
                <w:rFonts w:eastAsia="Montserrat"/>
                <w:color w:val="000000" w:themeColor="text1"/>
              </w:rPr>
              <w:t>eq</w:t>
            </w:r>
            <w:r w:rsidRPr="009F63DF">
              <w:t>)</w:t>
            </w:r>
          </w:p>
        </w:tc>
      </w:tr>
      <w:tr w:rsidR="00203D2C" w:rsidRPr="009F63DF" w14:paraId="31D0F0C5" w14:textId="77777777" w:rsidTr="008213A8">
        <w:tc>
          <w:tcPr>
            <w:tcW w:w="1701" w:type="dxa"/>
            <w:vAlign w:val="top"/>
          </w:tcPr>
          <w:p w14:paraId="582F4CDC" w14:textId="34EC5CF8" w:rsidR="00203D2C" w:rsidRPr="009F63DF" w:rsidRDefault="001549D8" w:rsidP="00F622AD">
            <w:pPr>
              <w:pStyle w:val="SDMTableBoxParaNotNumbered"/>
            </w:pPr>
            <m:oMathPara>
              <m:oMathParaPr>
                <m:jc m:val="left"/>
              </m:oMathParaPr>
              <m:oMath>
                <m:sSub>
                  <m:sSubPr>
                    <m:ctrlPr>
                      <w:rPr>
                        <w:rFonts w:ascii="Cambria Math" w:eastAsia="Cambria Math" w:hAnsi="Cambria Math" w:cs="Arial"/>
                        <w:lang w:eastAsia="en-US"/>
                      </w:rPr>
                    </m:ctrlPr>
                  </m:sSubPr>
                  <m:e>
                    <m:r>
                      <w:rPr>
                        <w:rFonts w:ascii="Cambria Math" w:eastAsia="Cambria Math" w:hAnsi="Cambria Math" w:cs="Arial"/>
                        <w:lang w:eastAsia="en-US"/>
                      </w:rPr>
                      <m:t>BE</m:t>
                    </m:r>
                  </m:e>
                  <m:sub>
                    <m:r>
                      <w:rPr>
                        <w:rFonts w:ascii="Cambria Math" w:eastAsia="Cambria Math" w:hAnsi="Cambria Math" w:cs="Arial"/>
                        <w:lang w:eastAsia="en-US"/>
                      </w:rPr>
                      <m:t>final, y</m:t>
                    </m:r>
                  </m:sub>
                </m:sSub>
              </m:oMath>
            </m:oMathPara>
          </w:p>
        </w:tc>
        <w:tc>
          <w:tcPr>
            <w:tcW w:w="345" w:type="dxa"/>
            <w:vAlign w:val="top"/>
          </w:tcPr>
          <w:p w14:paraId="29A47C4C" w14:textId="77777777" w:rsidR="00203D2C" w:rsidRPr="009F63DF" w:rsidRDefault="00203D2C" w:rsidP="00F622AD">
            <w:pPr>
              <w:pStyle w:val="SDMTableBoxParaNotNumbered"/>
            </w:pPr>
            <w:r w:rsidRPr="009F63DF">
              <w:t>=</w:t>
            </w:r>
          </w:p>
        </w:tc>
        <w:tc>
          <w:tcPr>
            <w:tcW w:w="0" w:type="auto"/>
            <w:vAlign w:val="top"/>
          </w:tcPr>
          <w:p w14:paraId="26414A6D" w14:textId="3A42D926" w:rsidR="00203D2C" w:rsidRPr="009F63DF" w:rsidRDefault="00203D2C" w:rsidP="00F622AD">
            <w:pPr>
              <w:pStyle w:val="SDMTableBoxParaNotNumbered"/>
            </w:pPr>
            <w:r w:rsidRPr="009F63DF">
              <w:t>Final baseline emissions during year y (</w:t>
            </w:r>
            <w:r w:rsidR="00BD43C7" w:rsidRPr="009F63DF">
              <w:rPr>
                <w:rFonts w:eastAsia="Montserrat"/>
                <w:color w:val="000000" w:themeColor="text1"/>
              </w:rPr>
              <w:t>t CO</w:t>
            </w:r>
            <w:r w:rsidR="00BD43C7" w:rsidRPr="009F63DF">
              <w:rPr>
                <w:rFonts w:eastAsia="Montserrat"/>
                <w:color w:val="000000" w:themeColor="text1"/>
                <w:vertAlign w:val="subscript"/>
              </w:rPr>
              <w:t>2</w:t>
            </w:r>
            <w:r w:rsidR="00A92C9C">
              <w:rPr>
                <w:rFonts w:eastAsia="Montserrat"/>
                <w:color w:val="000000" w:themeColor="text1"/>
              </w:rPr>
              <w:t xml:space="preserve"> </w:t>
            </w:r>
            <w:r w:rsidR="00BD43C7" w:rsidRPr="009F63DF">
              <w:rPr>
                <w:rFonts w:eastAsia="Montserrat"/>
                <w:color w:val="000000" w:themeColor="text1"/>
              </w:rPr>
              <w:t>eq</w:t>
            </w:r>
            <w:r w:rsidRPr="009F63DF">
              <w:t>)</w:t>
            </w:r>
          </w:p>
        </w:tc>
      </w:tr>
      <w:tr w:rsidR="00203D2C" w:rsidRPr="009F63DF" w14:paraId="0618CE42" w14:textId="77777777" w:rsidTr="008213A8">
        <w:tc>
          <w:tcPr>
            <w:tcW w:w="1701" w:type="dxa"/>
            <w:vAlign w:val="top"/>
          </w:tcPr>
          <w:p w14:paraId="37B17FBF" w14:textId="6D8F08E9" w:rsidR="00203D2C" w:rsidRPr="009F63DF" w:rsidRDefault="001549D8" w:rsidP="00F622AD">
            <w:pPr>
              <w:pStyle w:val="SDMTableBoxParaNotNumbered"/>
            </w:pPr>
            <m:oMathPara>
              <m:oMathParaPr>
                <m:jc m:val="left"/>
              </m:oMathParaPr>
              <m:oMath>
                <m:sSub>
                  <m:sSubPr>
                    <m:ctrlPr>
                      <w:rPr>
                        <w:rFonts w:ascii="Cambria Math" w:eastAsia="Cambria Math" w:hAnsi="Cambria Math" w:cs="Arial"/>
                        <w:lang w:eastAsia="en-US"/>
                      </w:rPr>
                    </m:ctrlPr>
                  </m:sSubPr>
                  <m:e>
                    <m:r>
                      <w:rPr>
                        <w:rFonts w:ascii="Cambria Math" w:eastAsia="Cambria Math" w:hAnsi="Cambria Math" w:cs="Arial"/>
                        <w:lang w:eastAsia="en-US"/>
                      </w:rPr>
                      <m:t>AE</m:t>
                    </m:r>
                  </m:e>
                  <m:sub>
                    <m:r>
                      <w:rPr>
                        <w:rFonts w:ascii="Cambria Math" w:eastAsia="Cambria Math" w:hAnsi="Cambria Math" w:cs="Arial"/>
                        <w:lang w:eastAsia="en-US"/>
                      </w:rPr>
                      <m:t>y</m:t>
                    </m:r>
                  </m:sub>
                </m:sSub>
              </m:oMath>
            </m:oMathPara>
          </w:p>
        </w:tc>
        <w:tc>
          <w:tcPr>
            <w:tcW w:w="345" w:type="dxa"/>
            <w:vAlign w:val="top"/>
          </w:tcPr>
          <w:p w14:paraId="2F7E957C" w14:textId="77777777" w:rsidR="00203D2C" w:rsidRPr="009F63DF" w:rsidRDefault="00203D2C" w:rsidP="00F622AD">
            <w:pPr>
              <w:pStyle w:val="SDMTableBoxParaNotNumbered"/>
            </w:pPr>
            <w:r w:rsidRPr="009F63DF">
              <w:t>=</w:t>
            </w:r>
          </w:p>
        </w:tc>
        <w:tc>
          <w:tcPr>
            <w:tcW w:w="0" w:type="auto"/>
            <w:vAlign w:val="top"/>
          </w:tcPr>
          <w:p w14:paraId="26397A62" w14:textId="7ED6808D" w:rsidR="00203D2C" w:rsidRPr="009F63DF" w:rsidRDefault="007E0A68" w:rsidP="00F622AD">
            <w:pPr>
              <w:pStyle w:val="SDMTableBoxParaNotNumbered"/>
            </w:pPr>
            <w:r w:rsidRPr="009F63DF">
              <w:t>Activity</w:t>
            </w:r>
            <w:r w:rsidR="00203D2C" w:rsidRPr="009F63DF">
              <w:t xml:space="preserve"> emissions during year </w:t>
            </w:r>
            <w:r w:rsidR="00203D2C" w:rsidRPr="009F63DF">
              <w:rPr>
                <w:i/>
              </w:rPr>
              <w:t>y</w:t>
            </w:r>
            <w:r w:rsidR="00203D2C" w:rsidRPr="009F63DF">
              <w:t xml:space="preserve"> (</w:t>
            </w:r>
            <w:r w:rsidR="00BD43C7" w:rsidRPr="009F63DF">
              <w:rPr>
                <w:rFonts w:eastAsia="Montserrat"/>
                <w:color w:val="000000" w:themeColor="text1"/>
              </w:rPr>
              <w:t>t CO</w:t>
            </w:r>
            <w:r w:rsidR="00BD43C7" w:rsidRPr="009F63DF">
              <w:rPr>
                <w:rFonts w:eastAsia="Montserrat"/>
                <w:color w:val="000000" w:themeColor="text1"/>
                <w:vertAlign w:val="subscript"/>
              </w:rPr>
              <w:t>2</w:t>
            </w:r>
            <w:r w:rsidR="00A92C9C">
              <w:rPr>
                <w:rFonts w:eastAsia="Montserrat"/>
                <w:color w:val="000000" w:themeColor="text1"/>
              </w:rPr>
              <w:t xml:space="preserve"> </w:t>
            </w:r>
            <w:r w:rsidR="00BD43C7" w:rsidRPr="009F63DF">
              <w:rPr>
                <w:rFonts w:eastAsia="Montserrat"/>
                <w:color w:val="000000" w:themeColor="text1"/>
              </w:rPr>
              <w:t>eq</w:t>
            </w:r>
            <w:r w:rsidR="00203D2C" w:rsidRPr="009F63DF">
              <w:t>)</w:t>
            </w:r>
          </w:p>
        </w:tc>
      </w:tr>
      <w:tr w:rsidR="00203D2C" w:rsidRPr="009F63DF" w14:paraId="68303E88" w14:textId="77777777" w:rsidTr="008213A8">
        <w:tc>
          <w:tcPr>
            <w:tcW w:w="1701" w:type="dxa"/>
            <w:vAlign w:val="top"/>
          </w:tcPr>
          <w:p w14:paraId="4596A39C" w14:textId="3582F4E4" w:rsidR="00203D2C" w:rsidRPr="009F63DF" w:rsidRDefault="001549D8" w:rsidP="00F622AD">
            <w:pPr>
              <w:pStyle w:val="SDMTableBoxParaNotNumbered"/>
            </w:pPr>
            <m:oMathPara>
              <m:oMathParaPr>
                <m:jc m:val="left"/>
              </m:oMathParaPr>
              <m:oMath>
                <m:sSub>
                  <m:sSubPr>
                    <m:ctrlPr>
                      <w:rPr>
                        <w:rFonts w:ascii="Cambria Math" w:eastAsia="Cambria Math" w:hAnsi="Cambria Math" w:cs="Arial"/>
                        <w:lang w:eastAsia="en-US"/>
                      </w:rPr>
                    </m:ctrlPr>
                  </m:sSubPr>
                  <m:e>
                    <m:r>
                      <w:rPr>
                        <w:rFonts w:ascii="Cambria Math" w:eastAsia="Cambria Math" w:hAnsi="Cambria Math" w:cs="Arial"/>
                        <w:lang w:eastAsia="en-US"/>
                      </w:rPr>
                      <m:t>LE</m:t>
                    </m:r>
                  </m:e>
                  <m:sub>
                    <m:r>
                      <w:rPr>
                        <w:rFonts w:ascii="Cambria Math" w:eastAsia="Cambria Math" w:hAnsi="Cambria Math" w:cs="Arial"/>
                        <w:lang w:eastAsia="en-US"/>
                      </w:rPr>
                      <m:t>y</m:t>
                    </m:r>
                  </m:sub>
                </m:sSub>
              </m:oMath>
            </m:oMathPara>
          </w:p>
        </w:tc>
        <w:tc>
          <w:tcPr>
            <w:tcW w:w="345" w:type="dxa"/>
            <w:vAlign w:val="top"/>
          </w:tcPr>
          <w:p w14:paraId="3F0F64A0" w14:textId="015307BD" w:rsidR="00203D2C" w:rsidRPr="009F63DF" w:rsidRDefault="00203D2C" w:rsidP="00F622AD">
            <w:pPr>
              <w:pStyle w:val="SDMTableBoxParaNotNumbered"/>
            </w:pPr>
            <w:r w:rsidRPr="009F63DF">
              <w:t>=</w:t>
            </w:r>
          </w:p>
        </w:tc>
        <w:tc>
          <w:tcPr>
            <w:tcW w:w="0" w:type="auto"/>
            <w:vAlign w:val="top"/>
          </w:tcPr>
          <w:p w14:paraId="4C941681" w14:textId="060EA267" w:rsidR="00203D2C" w:rsidRPr="009F63DF" w:rsidRDefault="00203D2C" w:rsidP="00F622AD">
            <w:pPr>
              <w:pStyle w:val="SDMTableBoxParaNotNumbered"/>
            </w:pPr>
            <w:r w:rsidRPr="009F63DF">
              <w:t xml:space="preserve">Leakage emissions during year </w:t>
            </w:r>
            <w:r w:rsidRPr="009F63DF">
              <w:rPr>
                <w:i/>
              </w:rPr>
              <w:t>y</w:t>
            </w:r>
            <w:r w:rsidRPr="009F63DF">
              <w:t xml:space="preserve"> </w:t>
            </w:r>
            <w:r w:rsidR="00BD43C7">
              <w:t>(</w:t>
            </w:r>
            <w:r w:rsidR="00BD43C7" w:rsidRPr="009F63DF">
              <w:rPr>
                <w:rFonts w:eastAsia="Montserrat"/>
                <w:color w:val="000000" w:themeColor="text1"/>
              </w:rPr>
              <w:t>t CO</w:t>
            </w:r>
            <w:r w:rsidR="00BD43C7" w:rsidRPr="009F63DF">
              <w:rPr>
                <w:rFonts w:eastAsia="Montserrat"/>
                <w:color w:val="000000" w:themeColor="text1"/>
                <w:vertAlign w:val="subscript"/>
              </w:rPr>
              <w:t>2</w:t>
            </w:r>
            <w:r w:rsidR="00A92C9C">
              <w:rPr>
                <w:rFonts w:eastAsia="Montserrat"/>
                <w:color w:val="000000" w:themeColor="text1"/>
              </w:rPr>
              <w:t xml:space="preserve"> </w:t>
            </w:r>
            <w:r w:rsidR="00BD43C7" w:rsidRPr="009F63DF">
              <w:rPr>
                <w:rFonts w:eastAsia="Montserrat"/>
                <w:color w:val="000000" w:themeColor="text1"/>
              </w:rPr>
              <w:t>eq</w:t>
            </w:r>
            <w:r w:rsidRPr="009F63DF">
              <w:t>)</w:t>
            </w:r>
          </w:p>
        </w:tc>
      </w:tr>
      <w:tr w:rsidR="00203D2C" w:rsidRPr="009F63DF" w14:paraId="4AB4C485" w14:textId="77777777" w:rsidTr="008213A8">
        <w:tc>
          <w:tcPr>
            <w:tcW w:w="1701" w:type="dxa"/>
            <w:vAlign w:val="top"/>
          </w:tcPr>
          <w:p w14:paraId="087F6C4E" w14:textId="0F22401B" w:rsidR="00203D2C" w:rsidRPr="009F63DF" w:rsidRDefault="00203D2C" w:rsidP="00F622AD">
            <w:pPr>
              <w:pStyle w:val="SDMTableBoxParaNotNumbered"/>
            </w:pPr>
            <w:r w:rsidRPr="009F63DF">
              <w:rPr>
                <w:rFonts w:ascii="Cambria Math" w:hAnsi="Cambria Math"/>
                <w:i/>
                <w:lang w:eastAsia="en-US"/>
              </w:rPr>
              <w:t>y</w:t>
            </w:r>
          </w:p>
        </w:tc>
        <w:tc>
          <w:tcPr>
            <w:tcW w:w="345" w:type="dxa"/>
            <w:vAlign w:val="top"/>
          </w:tcPr>
          <w:p w14:paraId="1B6AADFA" w14:textId="695C86DE" w:rsidR="00203D2C" w:rsidRPr="009F63DF" w:rsidRDefault="00203D2C" w:rsidP="00F622AD">
            <w:pPr>
              <w:pStyle w:val="SDMTableBoxParaNotNumbered"/>
            </w:pPr>
            <w:r w:rsidRPr="009F63DF">
              <w:t>=</w:t>
            </w:r>
          </w:p>
        </w:tc>
        <w:tc>
          <w:tcPr>
            <w:tcW w:w="0" w:type="auto"/>
            <w:vAlign w:val="top"/>
          </w:tcPr>
          <w:p w14:paraId="66A107CA" w14:textId="65110159" w:rsidR="00203D2C" w:rsidRPr="009F63DF" w:rsidRDefault="00203D2C" w:rsidP="00F622AD">
            <w:pPr>
              <w:pStyle w:val="SDMTableBoxParaNotNumbered"/>
            </w:pPr>
            <w:r w:rsidRPr="009F63DF">
              <w:t>Calendar year of the crediting period (number)</w:t>
            </w:r>
          </w:p>
        </w:tc>
      </w:tr>
    </w:tbl>
    <w:p w14:paraId="12BB3CFA" w14:textId="01367EF9" w:rsidR="00A2322D" w:rsidRPr="009F63DF" w:rsidRDefault="00394EDB" w:rsidP="00E03E61">
      <w:pPr>
        <w:pStyle w:val="SDMPara"/>
      </w:pPr>
      <w:bookmarkStart w:id="620" w:name="_Toc193924636"/>
      <w:bookmarkStart w:id="621" w:name="S12"/>
      <w:bookmarkStart w:id="622" w:name="_Toc219446942"/>
      <w:bookmarkStart w:id="623" w:name="_Toc219711077"/>
      <w:bookmarkStart w:id="624" w:name="_Toc219711180"/>
      <w:bookmarkStart w:id="625" w:name="_Toc219711357"/>
      <w:r w:rsidRPr="009F63DF">
        <w:rPr>
          <w:rFonts w:eastAsia="Montserrat"/>
        </w:rPr>
        <w:t>For informational purposes</w:t>
      </w:r>
      <w:r w:rsidR="00B4217D" w:rsidRPr="009F63DF">
        <w:rPr>
          <w:rFonts w:eastAsia="Montserrat"/>
        </w:rPr>
        <w:t>,</w:t>
      </w:r>
      <w:r w:rsidRPr="009F63DF">
        <w:rPr>
          <w:rFonts w:eastAsia="Montserrat"/>
        </w:rPr>
        <w:t xml:space="preserve"> the following equation reflects the number of A6.4ERs to be </w:t>
      </w:r>
      <w:r w:rsidR="000037EA" w:rsidRPr="009F63DF">
        <w:rPr>
          <w:rFonts w:eastAsia="Montserrat"/>
        </w:rPr>
        <w:t>issued</w:t>
      </w:r>
      <w:r w:rsidRPr="009F63DF">
        <w:rPr>
          <w:rFonts w:eastAsia="Montserrat"/>
        </w:rPr>
        <w:t xml:space="preserve"> to the accounts of activity participants</w:t>
      </w:r>
      <w:r w:rsidR="00F53BA0" w:rsidRPr="009F63DF">
        <w:rPr>
          <w:rFonts w:eastAsia="Montserrat"/>
        </w:rPr>
        <w:t>.</w:t>
      </w:r>
      <w:r w:rsidR="000037EA" w:rsidRPr="009F63DF">
        <w:rPr>
          <w:rStyle w:val="FootnoteReference"/>
          <w:rFonts w:eastAsia="Montserrat"/>
        </w:rPr>
        <w:footnoteReference w:id="39"/>
      </w:r>
    </w:p>
    <w:tbl>
      <w:tblPr>
        <w:tblStyle w:val="SDMMethTableEquation"/>
        <w:tblW w:w="8760" w:type="dxa"/>
        <w:tblLook w:val="0600" w:firstRow="0" w:lastRow="0" w:firstColumn="0" w:lastColumn="0" w:noHBand="1" w:noVBand="1"/>
      </w:tblPr>
      <w:tblGrid>
        <w:gridCol w:w="7095"/>
        <w:gridCol w:w="1665"/>
      </w:tblGrid>
      <w:tr w:rsidR="00AC6F1A" w:rsidRPr="009F63DF" w14:paraId="059FF8A0" w14:textId="77777777" w:rsidTr="00C5477B">
        <w:tc>
          <w:tcPr>
            <w:tcW w:w="7224" w:type="dxa"/>
          </w:tcPr>
          <w:p w14:paraId="0EA4B5CB" w14:textId="25A2D5BD" w:rsidR="00AC6F1A" w:rsidRPr="009F63DF" w:rsidRDefault="001549D8" w:rsidP="00AC6F1A">
            <w:pPr>
              <w:pStyle w:val="SDMMethEquation"/>
            </w:pPr>
            <m:oMathPara>
              <m:oMathParaPr>
                <m:jc m:val="left"/>
              </m:oMathParaPr>
              <m:oMath>
                <m:sSub>
                  <m:sSubPr>
                    <m:ctrlPr>
                      <w:rPr>
                        <w:rFonts w:ascii="Cambria Math" w:hAnsi="Cambria Math"/>
                        <w:i/>
                      </w:rPr>
                    </m:ctrlPr>
                  </m:sSubPr>
                  <m:e>
                    <m:r>
                      <w:rPr>
                        <w:rFonts w:ascii="Cambria Math" w:hAnsi="Cambria Math"/>
                      </w:rPr>
                      <m:t>A6.4ER</m:t>
                    </m:r>
                  </m:e>
                  <m:sub>
                    <m:r>
                      <w:rPr>
                        <w:rFonts w:ascii="Cambria Math" w:hAnsi="Cambria Math"/>
                      </w:rPr>
                      <m:t>activity,y</m:t>
                    </m:r>
                  </m:sub>
                </m:sSub>
                <m:r>
                  <w:rPr>
                    <w:rFonts w:ascii="Cambria Math" w:hAnsi="Cambria Math"/>
                  </w:rPr>
                  <m:t>=</m:t>
                </m:r>
                <m:sSub>
                  <m:sSubPr>
                    <m:ctrlPr>
                      <w:rPr>
                        <w:rFonts w:ascii="Cambria Math" w:hAnsi="Cambria Math"/>
                        <w:i/>
                      </w:rPr>
                    </m:ctrlPr>
                  </m:sSubPr>
                  <m:e>
                    <m:r>
                      <w:rPr>
                        <w:rFonts w:ascii="Cambria Math" w:hAnsi="Cambria Math"/>
                      </w:rPr>
                      <m:t>ER</m:t>
                    </m:r>
                  </m:e>
                  <m:sub>
                    <m:r>
                      <w:rPr>
                        <w:rFonts w:ascii="Cambria Math" w:hAnsi="Cambria Math"/>
                      </w:rPr>
                      <m:t>y</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A6.4ER</m:t>
                        </m:r>
                      </m:e>
                      <m:sub>
                        <m:r>
                          <w:rPr>
                            <w:rFonts w:ascii="Cambria Math" w:hAnsi="Cambria Math"/>
                          </w:rPr>
                          <m:t>SOP,y</m:t>
                        </m:r>
                      </m:sub>
                    </m:sSub>
                    <m:r>
                      <w:rPr>
                        <w:rFonts w:ascii="Cambria Math" w:hAnsi="Cambria Math"/>
                      </w:rPr>
                      <m:t>-</m:t>
                    </m:r>
                    <m:sSub>
                      <m:sSubPr>
                        <m:ctrlPr>
                          <w:rPr>
                            <w:rFonts w:ascii="Cambria Math" w:hAnsi="Cambria Math"/>
                            <w:i/>
                          </w:rPr>
                        </m:ctrlPr>
                      </m:sSubPr>
                      <m:e>
                        <m:r>
                          <w:rPr>
                            <w:rFonts w:ascii="Cambria Math" w:hAnsi="Cambria Math"/>
                          </w:rPr>
                          <m:t>A6.4ER</m:t>
                        </m:r>
                      </m:e>
                      <m:sub>
                        <m:r>
                          <w:rPr>
                            <w:rFonts w:ascii="Cambria Math" w:hAnsi="Cambria Math"/>
                          </w:rPr>
                          <m:t>OMGE,y</m:t>
                        </m:r>
                      </m:sub>
                    </m:sSub>
                    <m:r>
                      <w:rPr>
                        <w:rFonts w:ascii="Cambria Math" w:hAnsi="Cambria Math"/>
                      </w:rPr>
                      <m:t>-A6.4ER</m:t>
                    </m:r>
                  </m:e>
                  <m:sub>
                    <m:r>
                      <w:rPr>
                        <w:rFonts w:ascii="Cambria Math" w:hAnsi="Cambria Math"/>
                      </w:rPr>
                      <m:t>buffer,y</m:t>
                    </m:r>
                  </m:sub>
                </m:sSub>
              </m:oMath>
            </m:oMathPara>
          </w:p>
        </w:tc>
        <w:tc>
          <w:tcPr>
            <w:tcW w:w="1701" w:type="dxa"/>
          </w:tcPr>
          <w:p w14:paraId="5FDEE910" w14:textId="77777777" w:rsidR="00AC6F1A" w:rsidRPr="009F63DF" w:rsidRDefault="00AC6F1A" w:rsidP="00AF1AC1">
            <w:pPr>
              <w:pStyle w:val="SDMMethEquationNr"/>
              <w:numPr>
                <w:ilvl w:val="0"/>
                <w:numId w:val="29"/>
              </w:numPr>
            </w:pPr>
          </w:p>
        </w:tc>
      </w:tr>
    </w:tbl>
    <w:p w14:paraId="6511B9D6" w14:textId="77777777" w:rsidR="00AC6F1A" w:rsidRPr="009F63DF" w:rsidRDefault="00AC6F1A" w:rsidP="00655F47">
      <w:pPr>
        <w:pStyle w:val="SDMMethCaptionEquationParametersTable"/>
      </w:pPr>
      <w:r w:rsidRPr="009F63DF">
        <w:t>Where:</w:t>
      </w:r>
    </w:p>
    <w:tbl>
      <w:tblPr>
        <w:tblStyle w:val="SDMMethTableEquationParameters"/>
        <w:tblW w:w="8760" w:type="dxa"/>
        <w:tblLook w:val="04A0" w:firstRow="1" w:lastRow="0" w:firstColumn="1" w:lastColumn="0" w:noHBand="0" w:noVBand="1"/>
      </w:tblPr>
      <w:tblGrid>
        <w:gridCol w:w="1701"/>
        <w:gridCol w:w="345"/>
        <w:gridCol w:w="6714"/>
      </w:tblGrid>
      <w:tr w:rsidR="00AC6F1A" w:rsidRPr="009F63DF" w14:paraId="29F3827E" w14:textId="77777777" w:rsidTr="008213A8">
        <w:tc>
          <w:tcPr>
            <w:tcW w:w="1701" w:type="dxa"/>
            <w:vAlign w:val="top"/>
          </w:tcPr>
          <w:p w14:paraId="74132AEB" w14:textId="30BAE6AB" w:rsidR="00AC6F1A" w:rsidRPr="009F63DF" w:rsidRDefault="001549D8" w:rsidP="00AC6F1A">
            <w:pPr>
              <w:pStyle w:val="SDMTableBoxParaNotNumbered"/>
            </w:pPr>
            <m:oMathPara>
              <m:oMathParaPr>
                <m:jc m:val="left"/>
              </m:oMathParaPr>
              <m:oMath>
                <m:sSub>
                  <m:sSubPr>
                    <m:ctrlPr>
                      <w:rPr>
                        <w:rFonts w:ascii="Cambria Math" w:hAnsi="Cambria Math"/>
                        <w:i/>
                      </w:rPr>
                    </m:ctrlPr>
                  </m:sSubPr>
                  <m:e>
                    <m:r>
                      <w:rPr>
                        <w:rFonts w:ascii="Cambria Math" w:hAnsi="Cambria Math"/>
                      </w:rPr>
                      <m:t>A6.4ER</m:t>
                    </m:r>
                  </m:e>
                  <m:sub>
                    <m:r>
                      <w:rPr>
                        <w:rFonts w:ascii="Cambria Math" w:hAnsi="Cambria Math"/>
                      </w:rPr>
                      <m:t>activity,y</m:t>
                    </m:r>
                  </m:sub>
                </m:sSub>
              </m:oMath>
            </m:oMathPara>
          </w:p>
        </w:tc>
        <w:tc>
          <w:tcPr>
            <w:tcW w:w="345" w:type="dxa"/>
            <w:vAlign w:val="top"/>
          </w:tcPr>
          <w:p w14:paraId="1E6273F5" w14:textId="77777777" w:rsidR="00AC6F1A" w:rsidRPr="009F63DF" w:rsidRDefault="00AC6F1A" w:rsidP="00AC6F1A">
            <w:pPr>
              <w:pStyle w:val="SDMTableBoxParaNotNumbered"/>
            </w:pPr>
            <w:r w:rsidRPr="009F63DF">
              <w:t>=</w:t>
            </w:r>
          </w:p>
        </w:tc>
        <w:tc>
          <w:tcPr>
            <w:tcW w:w="0" w:type="auto"/>
            <w:vAlign w:val="top"/>
          </w:tcPr>
          <w:p w14:paraId="420737C6" w14:textId="0F65250A" w:rsidR="00AC6F1A" w:rsidRPr="009F63DF" w:rsidRDefault="00AC6F1A" w:rsidP="00AC6F1A">
            <w:pPr>
              <w:pStyle w:val="SDMTableBoxParaNotNumbered"/>
            </w:pPr>
            <w:r w:rsidRPr="009F63DF">
              <w:t>The number of Article 6.4ERs to be forwarded to the accounts of the activity participants for year y (</w:t>
            </w:r>
            <w:r w:rsidR="00BD43C7" w:rsidRPr="009F63DF">
              <w:rPr>
                <w:rFonts w:eastAsia="Montserrat"/>
                <w:color w:val="000000" w:themeColor="text1"/>
              </w:rPr>
              <w:t>t CO</w:t>
            </w:r>
            <w:r w:rsidR="00BD43C7" w:rsidRPr="009F63DF">
              <w:rPr>
                <w:rFonts w:eastAsia="Montserrat"/>
                <w:color w:val="000000" w:themeColor="text1"/>
                <w:vertAlign w:val="subscript"/>
              </w:rPr>
              <w:t>2</w:t>
            </w:r>
            <w:r w:rsidR="00A92C9C">
              <w:rPr>
                <w:rFonts w:eastAsia="Montserrat"/>
                <w:color w:val="000000" w:themeColor="text1"/>
              </w:rPr>
              <w:t xml:space="preserve"> </w:t>
            </w:r>
            <w:r w:rsidR="00BD43C7" w:rsidRPr="009F63DF">
              <w:rPr>
                <w:rFonts w:eastAsia="Montserrat"/>
                <w:color w:val="000000" w:themeColor="text1"/>
              </w:rPr>
              <w:t>eq</w:t>
            </w:r>
            <w:r w:rsidRPr="009F63DF">
              <w:t>)</w:t>
            </w:r>
          </w:p>
        </w:tc>
      </w:tr>
      <w:tr w:rsidR="00AC6F1A" w:rsidRPr="009F63DF" w14:paraId="64830C04" w14:textId="77777777" w:rsidTr="008213A8">
        <w:tc>
          <w:tcPr>
            <w:tcW w:w="1701" w:type="dxa"/>
            <w:vAlign w:val="top"/>
          </w:tcPr>
          <w:p w14:paraId="7DE1F443" w14:textId="725E417D" w:rsidR="00AC6F1A" w:rsidRPr="009F63DF" w:rsidRDefault="001549D8" w:rsidP="00AC6F1A">
            <w:pPr>
              <w:pStyle w:val="SDMTableBoxParaNotNumbered"/>
            </w:pPr>
            <m:oMathPara>
              <m:oMathParaPr>
                <m:jc m:val="left"/>
              </m:oMathParaPr>
              <m:oMath>
                <m:sSub>
                  <m:sSubPr>
                    <m:ctrlPr>
                      <w:rPr>
                        <w:rFonts w:ascii="Cambria Math" w:eastAsia="Cambria Math" w:hAnsi="Cambria Math" w:cs="Cambria Math"/>
                        <w:sz w:val="24"/>
                        <w:szCs w:val="24"/>
                        <w:lang w:eastAsia="en-US"/>
                      </w:rPr>
                    </m:ctrlPr>
                  </m:sSubPr>
                  <m:e>
                    <m:r>
                      <w:rPr>
                        <w:rFonts w:ascii="Cambria Math" w:eastAsia="Cambria Math" w:hAnsi="Cambria Math" w:cs="Cambria Math"/>
                        <w:sz w:val="24"/>
                        <w:szCs w:val="24"/>
                        <w:lang w:eastAsia="en-US"/>
                      </w:rPr>
                      <m:t>ER</m:t>
                    </m:r>
                  </m:e>
                  <m:sub>
                    <m:r>
                      <w:rPr>
                        <w:rFonts w:ascii="Cambria Math" w:eastAsia="Cambria Math" w:hAnsi="Cambria Math" w:cs="Cambria Math"/>
                        <w:sz w:val="24"/>
                        <w:szCs w:val="24"/>
                        <w:lang w:eastAsia="en-US"/>
                      </w:rPr>
                      <m:t>y</m:t>
                    </m:r>
                  </m:sub>
                </m:sSub>
              </m:oMath>
            </m:oMathPara>
          </w:p>
        </w:tc>
        <w:tc>
          <w:tcPr>
            <w:tcW w:w="345" w:type="dxa"/>
            <w:vAlign w:val="top"/>
          </w:tcPr>
          <w:p w14:paraId="60649C09" w14:textId="77777777" w:rsidR="00AC6F1A" w:rsidRPr="009F63DF" w:rsidRDefault="00AC6F1A" w:rsidP="00AC6F1A">
            <w:pPr>
              <w:pStyle w:val="SDMTableBoxParaNotNumbered"/>
            </w:pPr>
            <w:r w:rsidRPr="009F63DF">
              <w:t>=</w:t>
            </w:r>
          </w:p>
        </w:tc>
        <w:tc>
          <w:tcPr>
            <w:tcW w:w="0" w:type="auto"/>
            <w:vAlign w:val="top"/>
          </w:tcPr>
          <w:p w14:paraId="0EC2DC1D" w14:textId="6789A339" w:rsidR="00AC6F1A" w:rsidRPr="009F63DF" w:rsidRDefault="00AC6F1A" w:rsidP="00AC6F1A">
            <w:pPr>
              <w:pStyle w:val="SDMTableBoxParaNotNumbered"/>
            </w:pPr>
            <w:r w:rsidRPr="009F63DF">
              <w:t xml:space="preserve">Emission reductions for the activity during year </w:t>
            </w:r>
            <w:r w:rsidRPr="009F63DF">
              <w:rPr>
                <w:i/>
              </w:rPr>
              <w:t>y</w:t>
            </w:r>
            <w:r w:rsidRPr="009F63DF">
              <w:t xml:space="preserve"> (</w:t>
            </w:r>
            <w:r w:rsidR="00BD43C7" w:rsidRPr="009F63DF">
              <w:rPr>
                <w:rFonts w:eastAsia="Montserrat"/>
                <w:color w:val="000000" w:themeColor="text1"/>
              </w:rPr>
              <w:t>t CO</w:t>
            </w:r>
            <w:r w:rsidR="00BD43C7" w:rsidRPr="009F63DF">
              <w:rPr>
                <w:rFonts w:eastAsia="Montserrat"/>
                <w:color w:val="000000" w:themeColor="text1"/>
                <w:vertAlign w:val="subscript"/>
              </w:rPr>
              <w:t>2</w:t>
            </w:r>
            <w:r w:rsidR="00A92C9C">
              <w:rPr>
                <w:rFonts w:eastAsia="Montserrat"/>
                <w:color w:val="000000" w:themeColor="text1"/>
              </w:rPr>
              <w:t xml:space="preserve"> </w:t>
            </w:r>
            <w:r w:rsidR="00BD43C7" w:rsidRPr="009F63DF">
              <w:rPr>
                <w:rFonts w:eastAsia="Montserrat"/>
                <w:color w:val="000000" w:themeColor="text1"/>
              </w:rPr>
              <w:t>eq</w:t>
            </w:r>
            <w:r w:rsidRPr="009F63DF">
              <w:t>)</w:t>
            </w:r>
          </w:p>
        </w:tc>
      </w:tr>
      <w:tr w:rsidR="00AC6F1A" w:rsidRPr="009F63DF" w14:paraId="14AA9DAC" w14:textId="77777777" w:rsidTr="008213A8">
        <w:tc>
          <w:tcPr>
            <w:tcW w:w="1701" w:type="dxa"/>
            <w:vAlign w:val="top"/>
          </w:tcPr>
          <w:p w14:paraId="1270DA3C" w14:textId="3A3C13ED" w:rsidR="00AC6F1A" w:rsidRPr="009F63DF" w:rsidRDefault="001549D8" w:rsidP="00AC6F1A">
            <w:pPr>
              <w:pStyle w:val="SDMTableBoxParaNotNumbered"/>
            </w:pPr>
            <m:oMathPara>
              <m:oMathParaPr>
                <m:jc m:val="left"/>
              </m:oMathParaPr>
              <m:oMath>
                <m:sSub>
                  <m:sSubPr>
                    <m:ctrlPr>
                      <w:rPr>
                        <w:rFonts w:ascii="Cambria Math" w:eastAsia="Cambria Math" w:hAnsi="Cambria Math" w:cs="Arial"/>
                        <w:lang w:eastAsia="en-US"/>
                      </w:rPr>
                    </m:ctrlPr>
                  </m:sSubPr>
                  <m:e>
                    <m:r>
                      <w:rPr>
                        <w:rFonts w:ascii="Cambria Math" w:eastAsia="Cambria Math" w:hAnsi="Cambria Math" w:cs="Arial"/>
                        <w:lang w:eastAsia="en-US"/>
                      </w:rPr>
                      <m:t>A6.4ER</m:t>
                    </m:r>
                  </m:e>
                  <m:sub>
                    <m:r>
                      <w:rPr>
                        <w:rFonts w:ascii="Cambria Math" w:eastAsia="Cambria Math" w:hAnsi="Cambria Math" w:cs="Arial"/>
                        <w:lang w:eastAsia="en-US"/>
                      </w:rPr>
                      <m:t>SOP, y</m:t>
                    </m:r>
                  </m:sub>
                </m:sSub>
              </m:oMath>
            </m:oMathPara>
          </w:p>
        </w:tc>
        <w:tc>
          <w:tcPr>
            <w:tcW w:w="345" w:type="dxa"/>
            <w:vAlign w:val="top"/>
          </w:tcPr>
          <w:p w14:paraId="0E70EF0A" w14:textId="77777777" w:rsidR="00AC6F1A" w:rsidRPr="009F63DF" w:rsidRDefault="00AC6F1A" w:rsidP="00AC6F1A">
            <w:pPr>
              <w:pStyle w:val="SDMTableBoxParaNotNumbered"/>
            </w:pPr>
            <w:r w:rsidRPr="009F63DF">
              <w:t>=</w:t>
            </w:r>
          </w:p>
        </w:tc>
        <w:tc>
          <w:tcPr>
            <w:tcW w:w="0" w:type="auto"/>
            <w:vAlign w:val="top"/>
          </w:tcPr>
          <w:p w14:paraId="1D8F11CD" w14:textId="26B0BE4E" w:rsidR="00AC6F1A" w:rsidRPr="009F63DF" w:rsidRDefault="00AC6F1A" w:rsidP="0060169D">
            <w:pPr>
              <w:pStyle w:val="SDMTableBoxParaNotNumbered"/>
              <w:suppressAutoHyphens/>
            </w:pPr>
            <w:r w:rsidRPr="009F63DF">
              <w:t xml:space="preserve">The number of A6.4ERs to be forwarded or first-transferred, where applicable, to an account of the Adaptation Fund for year </w:t>
            </w:r>
            <w:r w:rsidRPr="009F63DF">
              <w:rPr>
                <w:i/>
              </w:rPr>
              <w:t>y</w:t>
            </w:r>
            <w:r w:rsidRPr="009F63DF">
              <w:t xml:space="preserve"> (</w:t>
            </w:r>
            <w:r w:rsidR="00BD43C7" w:rsidRPr="009F63DF">
              <w:rPr>
                <w:rFonts w:eastAsia="Montserrat"/>
                <w:color w:val="000000" w:themeColor="text1"/>
              </w:rPr>
              <w:t>t CO</w:t>
            </w:r>
            <w:r w:rsidR="00BD43C7" w:rsidRPr="009F63DF">
              <w:rPr>
                <w:rFonts w:eastAsia="Montserrat"/>
                <w:color w:val="000000" w:themeColor="text1"/>
                <w:vertAlign w:val="subscript"/>
              </w:rPr>
              <w:t>2</w:t>
            </w:r>
            <w:r w:rsidR="00A92C9C">
              <w:rPr>
                <w:rFonts w:eastAsia="Montserrat"/>
                <w:color w:val="000000" w:themeColor="text1"/>
              </w:rPr>
              <w:t xml:space="preserve"> </w:t>
            </w:r>
            <w:r w:rsidR="00BD43C7" w:rsidRPr="009F63DF">
              <w:rPr>
                <w:rFonts w:eastAsia="Montserrat"/>
                <w:color w:val="000000" w:themeColor="text1"/>
              </w:rPr>
              <w:t>eq</w:t>
            </w:r>
            <w:r w:rsidRPr="009F63DF">
              <w:t>)</w:t>
            </w:r>
          </w:p>
        </w:tc>
      </w:tr>
      <w:tr w:rsidR="00AC6F1A" w:rsidRPr="009F63DF" w14:paraId="010A6247" w14:textId="77777777" w:rsidTr="008213A8">
        <w:tc>
          <w:tcPr>
            <w:tcW w:w="1701" w:type="dxa"/>
            <w:vAlign w:val="top"/>
          </w:tcPr>
          <w:p w14:paraId="1D67EAB2" w14:textId="42B54596" w:rsidR="00AC6F1A" w:rsidRPr="009F63DF" w:rsidRDefault="001549D8" w:rsidP="00AC6F1A">
            <w:pPr>
              <w:pStyle w:val="SDMTableBoxParaNotNumbered"/>
            </w:pPr>
            <m:oMathPara>
              <m:oMathParaPr>
                <m:jc m:val="left"/>
              </m:oMathParaPr>
              <m:oMath>
                <m:sSub>
                  <m:sSubPr>
                    <m:ctrlPr>
                      <w:rPr>
                        <w:rFonts w:ascii="Cambria Math" w:eastAsia="Cambria Math" w:hAnsi="Cambria Math" w:cs="Arial"/>
                        <w:lang w:eastAsia="en-US"/>
                      </w:rPr>
                    </m:ctrlPr>
                  </m:sSubPr>
                  <m:e>
                    <m:r>
                      <w:rPr>
                        <w:rFonts w:ascii="Cambria Math" w:eastAsia="Cambria Math" w:hAnsi="Cambria Math" w:cs="Arial"/>
                        <w:lang w:eastAsia="en-US"/>
                      </w:rPr>
                      <m:t>A6.4ER</m:t>
                    </m:r>
                  </m:e>
                  <m:sub>
                    <m:r>
                      <w:rPr>
                        <w:rFonts w:ascii="Cambria Math" w:eastAsia="Cambria Math" w:hAnsi="Cambria Math" w:cs="Arial"/>
                        <w:lang w:eastAsia="en-US"/>
                      </w:rPr>
                      <m:t>OMGE,y</m:t>
                    </m:r>
                  </m:sub>
                </m:sSub>
              </m:oMath>
            </m:oMathPara>
          </w:p>
        </w:tc>
        <w:tc>
          <w:tcPr>
            <w:tcW w:w="345" w:type="dxa"/>
            <w:vAlign w:val="top"/>
          </w:tcPr>
          <w:p w14:paraId="36A375EC" w14:textId="17E22F05" w:rsidR="00AC6F1A" w:rsidRPr="009F63DF" w:rsidRDefault="00AC6F1A" w:rsidP="00AC6F1A">
            <w:pPr>
              <w:pStyle w:val="SDMTableBoxParaNotNumbered"/>
            </w:pPr>
            <w:r w:rsidRPr="009F63DF">
              <w:t>=</w:t>
            </w:r>
          </w:p>
        </w:tc>
        <w:tc>
          <w:tcPr>
            <w:tcW w:w="0" w:type="auto"/>
            <w:vAlign w:val="top"/>
          </w:tcPr>
          <w:p w14:paraId="37EFAE9C" w14:textId="34DB7329" w:rsidR="00AC6F1A" w:rsidRPr="009F63DF" w:rsidRDefault="00AC6F1A" w:rsidP="00AC6F1A">
            <w:pPr>
              <w:pStyle w:val="SDMTableBoxParaNotNumbered"/>
            </w:pPr>
            <w:r w:rsidRPr="009F63DF">
              <w:t xml:space="preserve">The number of A6.4ERs to be forwarded to the account for cancellation towards delivering overall mitigation in global emissions for year </w:t>
            </w:r>
            <w:r w:rsidRPr="009F63DF">
              <w:rPr>
                <w:i/>
              </w:rPr>
              <w:t>y</w:t>
            </w:r>
            <w:r w:rsidRPr="009F63DF">
              <w:t xml:space="preserve"> (</w:t>
            </w:r>
            <w:r w:rsidR="00BD43C7" w:rsidRPr="009F63DF">
              <w:rPr>
                <w:rFonts w:eastAsia="Montserrat"/>
                <w:color w:val="000000" w:themeColor="text1"/>
              </w:rPr>
              <w:t xml:space="preserve">t </w:t>
            </w:r>
            <w:r w:rsidR="00BD43C7" w:rsidRPr="00A92C9C">
              <w:rPr>
                <w:rFonts w:eastAsia="Montserrat"/>
                <w:color w:val="000000" w:themeColor="text1"/>
              </w:rPr>
              <w:t>CO</w:t>
            </w:r>
            <w:r w:rsidR="00BD43C7" w:rsidRPr="00BF214A">
              <w:rPr>
                <w:rFonts w:eastAsia="Montserrat"/>
                <w:color w:val="000000" w:themeColor="text1"/>
                <w:vertAlign w:val="subscript"/>
              </w:rPr>
              <w:t>2</w:t>
            </w:r>
            <w:r w:rsidR="00A92C9C">
              <w:rPr>
                <w:rFonts w:eastAsia="Montserrat"/>
                <w:color w:val="000000" w:themeColor="text1"/>
              </w:rPr>
              <w:t xml:space="preserve"> </w:t>
            </w:r>
            <w:r w:rsidR="00BD43C7" w:rsidRPr="00A92C9C">
              <w:rPr>
                <w:rFonts w:eastAsia="Montserrat"/>
                <w:color w:val="000000" w:themeColor="text1"/>
              </w:rPr>
              <w:t>eq</w:t>
            </w:r>
            <w:r w:rsidRPr="009F63DF">
              <w:t>)</w:t>
            </w:r>
          </w:p>
        </w:tc>
      </w:tr>
      <w:tr w:rsidR="00AC6F1A" w:rsidRPr="009F63DF" w14:paraId="7F872B50" w14:textId="77777777" w:rsidTr="008213A8">
        <w:tc>
          <w:tcPr>
            <w:tcW w:w="1701" w:type="dxa"/>
            <w:vAlign w:val="top"/>
          </w:tcPr>
          <w:p w14:paraId="39D1DEB8" w14:textId="06358453" w:rsidR="00AC6F1A" w:rsidRPr="009F63DF" w:rsidRDefault="001549D8" w:rsidP="00AC6F1A">
            <w:pPr>
              <w:pStyle w:val="SDMTableBoxParaNotNumbered"/>
            </w:pPr>
            <m:oMathPara>
              <m:oMathParaPr>
                <m:jc m:val="left"/>
              </m:oMathParaPr>
              <m:oMath>
                <m:sSub>
                  <m:sSubPr>
                    <m:ctrlPr>
                      <w:rPr>
                        <w:rFonts w:ascii="Cambria Math" w:hAnsi="Cambria Math"/>
                        <w:i/>
                        <w:lang w:eastAsia="en-US"/>
                      </w:rPr>
                    </m:ctrlPr>
                  </m:sSubPr>
                  <m:e>
                    <m:r>
                      <w:rPr>
                        <w:rFonts w:ascii="Cambria Math" w:hAnsi="Cambria Math"/>
                        <w:lang w:eastAsia="en-US"/>
                      </w:rPr>
                      <m:t>A6.4ER</m:t>
                    </m:r>
                  </m:e>
                  <m:sub>
                    <m:r>
                      <w:rPr>
                        <w:rFonts w:ascii="Cambria Math" w:hAnsi="Cambria Math"/>
                        <w:lang w:eastAsia="en-US"/>
                      </w:rPr>
                      <m:t>buffer,y</m:t>
                    </m:r>
                  </m:sub>
                </m:sSub>
              </m:oMath>
            </m:oMathPara>
          </w:p>
        </w:tc>
        <w:tc>
          <w:tcPr>
            <w:tcW w:w="345" w:type="dxa"/>
            <w:vAlign w:val="top"/>
          </w:tcPr>
          <w:p w14:paraId="435A0652" w14:textId="5B328312" w:rsidR="00AC6F1A" w:rsidRPr="009F63DF" w:rsidRDefault="00AC6F1A" w:rsidP="00AC6F1A">
            <w:pPr>
              <w:pStyle w:val="SDMTableBoxParaNotNumbered"/>
            </w:pPr>
            <w:r w:rsidRPr="009F63DF">
              <w:t>=</w:t>
            </w:r>
          </w:p>
        </w:tc>
        <w:tc>
          <w:tcPr>
            <w:tcW w:w="0" w:type="auto"/>
            <w:vAlign w:val="top"/>
          </w:tcPr>
          <w:p w14:paraId="6FB14A95" w14:textId="1350D679" w:rsidR="00AC6F1A" w:rsidRPr="009F63DF" w:rsidRDefault="00AC6F1A" w:rsidP="00AC6F1A">
            <w:pPr>
              <w:pStyle w:val="SDMTableBoxParaNotNumbered"/>
            </w:pPr>
            <w:r w:rsidRPr="009F63DF">
              <w:t xml:space="preserve">The number of A6.4ERs to be forwarded to the </w:t>
            </w:r>
            <w:r w:rsidR="00796F23" w:rsidRPr="009F63DF">
              <w:t>r</w:t>
            </w:r>
            <w:r w:rsidRPr="009F63DF">
              <w:t xml:space="preserve">eversal </w:t>
            </w:r>
            <w:r w:rsidR="00796F23" w:rsidRPr="009F63DF">
              <w:t>r</w:t>
            </w:r>
            <w:r w:rsidRPr="009F63DF">
              <w:t xml:space="preserve">isk </w:t>
            </w:r>
            <w:r w:rsidR="00796F23" w:rsidRPr="009F63DF">
              <w:t>b</w:t>
            </w:r>
            <w:r w:rsidRPr="009F63DF">
              <w:t xml:space="preserve">uffer </w:t>
            </w:r>
            <w:r w:rsidR="00796F23" w:rsidRPr="009F63DF">
              <w:t>p</w:t>
            </w:r>
            <w:r w:rsidRPr="009F63DF">
              <w:t xml:space="preserve">ool </w:t>
            </w:r>
            <w:r w:rsidR="00796F23" w:rsidRPr="009F63DF">
              <w:t>a</w:t>
            </w:r>
            <w:r w:rsidRPr="009F63DF">
              <w:t>ccount for year y (</w:t>
            </w:r>
            <w:r w:rsidR="00BD43C7" w:rsidRPr="009F63DF">
              <w:rPr>
                <w:rFonts w:eastAsia="Montserrat"/>
                <w:color w:val="000000" w:themeColor="text1"/>
              </w:rPr>
              <w:t>t CO</w:t>
            </w:r>
            <w:r w:rsidR="00BD43C7" w:rsidRPr="009F63DF">
              <w:rPr>
                <w:rFonts w:eastAsia="Montserrat"/>
                <w:color w:val="000000" w:themeColor="text1"/>
                <w:vertAlign w:val="subscript"/>
              </w:rPr>
              <w:t>2</w:t>
            </w:r>
            <w:r w:rsidR="00A92C9C">
              <w:rPr>
                <w:rFonts w:eastAsia="Montserrat"/>
                <w:color w:val="000000" w:themeColor="text1"/>
              </w:rPr>
              <w:t xml:space="preserve"> </w:t>
            </w:r>
            <w:r w:rsidR="00BD43C7" w:rsidRPr="009F63DF">
              <w:rPr>
                <w:rFonts w:eastAsia="Montserrat"/>
                <w:color w:val="000000" w:themeColor="text1"/>
              </w:rPr>
              <w:t>eq</w:t>
            </w:r>
            <w:r w:rsidRPr="009F63DF">
              <w:t>)</w:t>
            </w:r>
          </w:p>
        </w:tc>
      </w:tr>
      <w:tr w:rsidR="00AC6F1A" w:rsidRPr="009F63DF" w14:paraId="0CF1E8BE" w14:textId="77777777" w:rsidTr="008213A8">
        <w:tc>
          <w:tcPr>
            <w:tcW w:w="1701" w:type="dxa"/>
            <w:vAlign w:val="top"/>
          </w:tcPr>
          <w:p w14:paraId="3FFC09CA" w14:textId="33B2848E" w:rsidR="00AC6F1A" w:rsidRPr="009F63DF" w:rsidRDefault="00AC6F1A" w:rsidP="00AC6F1A">
            <w:pPr>
              <w:pStyle w:val="SDMTableBoxParaNotNumbered"/>
            </w:pPr>
            <w:r w:rsidRPr="009F63DF">
              <w:rPr>
                <w:rFonts w:ascii="Cambria Math" w:hAnsi="Cambria Math"/>
                <w:i/>
                <w:lang w:eastAsia="en-US"/>
              </w:rPr>
              <w:t>y</w:t>
            </w:r>
          </w:p>
        </w:tc>
        <w:tc>
          <w:tcPr>
            <w:tcW w:w="345" w:type="dxa"/>
            <w:vAlign w:val="top"/>
          </w:tcPr>
          <w:p w14:paraId="43106426" w14:textId="3BDB227B" w:rsidR="00AC6F1A" w:rsidRPr="009F63DF" w:rsidRDefault="00AC6F1A" w:rsidP="00AC6F1A">
            <w:pPr>
              <w:pStyle w:val="SDMTableBoxParaNotNumbered"/>
            </w:pPr>
            <w:r w:rsidRPr="009F63DF">
              <w:t>=</w:t>
            </w:r>
          </w:p>
        </w:tc>
        <w:tc>
          <w:tcPr>
            <w:tcW w:w="0" w:type="auto"/>
            <w:vAlign w:val="top"/>
          </w:tcPr>
          <w:p w14:paraId="66DED082" w14:textId="47ACA966" w:rsidR="00AC6F1A" w:rsidRPr="009F63DF" w:rsidRDefault="00AC6F1A" w:rsidP="00AC6F1A">
            <w:pPr>
              <w:pStyle w:val="SDMTableBoxParaNotNumbered"/>
            </w:pPr>
            <w:r w:rsidRPr="009F63DF">
              <w:t>Calendar year of the crediting period</w:t>
            </w:r>
          </w:p>
        </w:tc>
      </w:tr>
    </w:tbl>
    <w:p w14:paraId="425ED60B" w14:textId="45B20D58" w:rsidR="00FC5CCF" w:rsidRPr="009F63DF" w:rsidRDefault="00FC5CCF" w:rsidP="00E03E61">
      <w:pPr>
        <w:pStyle w:val="SDMPara"/>
      </w:pPr>
      <w:bookmarkStart w:id="626" w:name="_Ref227244228"/>
      <w:r w:rsidRPr="009F63DF">
        <w:t>This mechanism methodology addresses uncertainty in the determination of individual parameters and through conservative assumptions. It is therefore not necessary to determine the overall uncertainty of the aggregated emission reductions.</w:t>
      </w:r>
      <w:r w:rsidRPr="009F63DF">
        <w:rPr>
          <w:vertAlign w:val="superscript"/>
        </w:rPr>
        <w:footnoteReference w:id="40"/>
      </w:r>
    </w:p>
    <w:p w14:paraId="62C1C0E8" w14:textId="77777777" w:rsidR="001C2394" w:rsidRPr="009F63DF" w:rsidRDefault="001C2394" w:rsidP="00F91295">
      <w:pPr>
        <w:pStyle w:val="SDMHead1"/>
      </w:pPr>
      <w:bookmarkStart w:id="627" w:name="_Toc211555331"/>
      <w:bookmarkStart w:id="628" w:name="_Toc211598983"/>
      <w:bookmarkStart w:id="629" w:name="_Toc211599485"/>
      <w:bookmarkStart w:id="630" w:name="_Toc211612281"/>
      <w:bookmarkStart w:id="631" w:name="_Toc211614728"/>
      <w:bookmarkStart w:id="632" w:name="_Toc211614771"/>
      <w:bookmarkStart w:id="633" w:name="_Toc226502292"/>
      <w:bookmarkStart w:id="634" w:name="_Toc226576245"/>
      <w:bookmarkStart w:id="635" w:name="_Toc226983096"/>
      <w:bookmarkStart w:id="636" w:name="_Toc227677295"/>
      <w:bookmarkStart w:id="637" w:name="_Toc227694817"/>
      <w:bookmarkStart w:id="638" w:name="_Toc227920931"/>
      <w:bookmarkStart w:id="639" w:name="_Toc227938832"/>
      <w:bookmarkStart w:id="640" w:name="_Toc227948083"/>
      <w:bookmarkStart w:id="641" w:name="_Toc233388642"/>
      <w:bookmarkStart w:id="642" w:name="_Toc233961449"/>
      <w:bookmarkStart w:id="643" w:name="_Toc233970258"/>
      <w:bookmarkStart w:id="644" w:name="_Toc240546588"/>
      <w:bookmarkStart w:id="645" w:name="_Toc240631989"/>
      <w:bookmarkStart w:id="646" w:name="_Toc242471174"/>
      <w:bookmarkEnd w:id="626"/>
      <w:r w:rsidRPr="009F63DF">
        <w:rPr>
          <w:rFonts w:eastAsia="Montserrat"/>
        </w:rPr>
        <w:t>Avoidance of double counting</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3E126145" w14:textId="77777777" w:rsidR="001C2394" w:rsidRPr="009F63DF" w:rsidRDefault="001C2394" w:rsidP="00655F47">
      <w:pPr>
        <w:pStyle w:val="SDMPara"/>
        <w:keepNext/>
      </w:pPr>
      <w:bookmarkStart w:id="647" w:name="_Ref212663062"/>
      <w:r w:rsidRPr="009F63DF">
        <w:t>All activity participants shall demonstrate that the Article 6.4 activity will not result in double counting by:</w:t>
      </w:r>
      <w:bookmarkEnd w:id="647"/>
    </w:p>
    <w:p w14:paraId="622A5780" w14:textId="7A86F7D8" w:rsidR="001C2394" w:rsidRPr="00584010" w:rsidRDefault="001C2394" w:rsidP="009311F1">
      <w:pPr>
        <w:pStyle w:val="SDMSubPara1"/>
      </w:pPr>
      <w:bookmarkStart w:id="648" w:name="_Ref240375654"/>
      <w:r w:rsidRPr="009F63DF">
        <w:t xml:space="preserve">Providing evidence, in each monitoring report, that the outcomes from the </w:t>
      </w:r>
      <w:r w:rsidRPr="009F63DF" w:rsidDel="00463592">
        <w:t xml:space="preserve">Article 6.4 </w:t>
      </w:r>
      <w:r w:rsidRPr="009F63DF">
        <w:t>activity (e.g.</w:t>
      </w:r>
      <w:r w:rsidR="3F5DB458" w:rsidRPr="009F63DF">
        <w:t>,</w:t>
      </w:r>
      <w:r w:rsidRPr="009F63DF">
        <w:t xml:space="preserve"> reduced emissions from household cooking) for which they intend to request issuance of A6.4ERs are not also claimed in other environmental markets</w:t>
      </w:r>
      <w:r w:rsidR="00DC2202" w:rsidRPr="009F63DF">
        <w:t>,</w:t>
      </w:r>
      <w:r w:rsidRPr="009F63DF">
        <w:t xml:space="preserve"> </w:t>
      </w:r>
      <w:r w:rsidRPr="00584010">
        <w:t>accounting framework</w:t>
      </w:r>
      <w:r w:rsidR="005F1948" w:rsidRPr="00584010">
        <w:t>s</w:t>
      </w:r>
      <w:r w:rsidR="006A1034" w:rsidRPr="00584010">
        <w:t xml:space="preserve"> or carbon crediting programme</w:t>
      </w:r>
      <w:r w:rsidR="005F1948" w:rsidRPr="00584010">
        <w:t>s</w:t>
      </w:r>
      <w:r w:rsidR="003245B9" w:rsidRPr="00584010">
        <w:t xml:space="preserve">, such as </w:t>
      </w:r>
      <w:r w:rsidR="00AC4AD4" w:rsidRPr="00584010">
        <w:t>a</w:t>
      </w:r>
      <w:r w:rsidR="008C332A" w:rsidRPr="00584010">
        <w:t xml:space="preserve"> </w:t>
      </w:r>
      <w:r w:rsidR="00AC4AD4" w:rsidRPr="00584010">
        <w:t>jurisdictional carbon crediting activity</w:t>
      </w:r>
      <w:r w:rsidR="003245B9" w:rsidRPr="00584010">
        <w:t xml:space="preserve"> for reducing emissions from deforestation and forest degradation (</w:t>
      </w:r>
      <w:r w:rsidR="00AC4AD4" w:rsidRPr="00584010">
        <w:t>hereinafter referred to as “JREDD activity”)</w:t>
      </w:r>
      <w:r w:rsidRPr="00584010">
        <w:t xml:space="preserve">, except for outcomes not related to reducing </w:t>
      </w:r>
      <w:r w:rsidR="00427F5A" w:rsidRPr="00584010">
        <w:t>GHG</w:t>
      </w:r>
      <w:r w:rsidRPr="00584010">
        <w:t xml:space="preserve"> emissions (e.g.,</w:t>
      </w:r>
      <w:r w:rsidR="0060169D" w:rsidRPr="00584010">
        <w:t xml:space="preserve"> </w:t>
      </w:r>
      <w:r w:rsidRPr="00584010">
        <w:t>air</w:t>
      </w:r>
      <w:r w:rsidR="0060169D" w:rsidRPr="00584010">
        <w:t xml:space="preserve"> </w:t>
      </w:r>
      <w:r w:rsidRPr="00584010">
        <w:t>contaminant reductions or social impacts); and</w:t>
      </w:r>
      <w:bookmarkEnd w:id="648"/>
    </w:p>
    <w:p w14:paraId="0D6BB5A0" w14:textId="196E307C" w:rsidR="001C2394" w:rsidRPr="009F63DF" w:rsidRDefault="001C2394" w:rsidP="00655F47">
      <w:pPr>
        <w:pStyle w:val="SDMSubPara1"/>
        <w:keepNext/>
      </w:pPr>
      <w:r w:rsidRPr="00584010">
        <w:t>Demonstrating that the reported GHG emission reductions for which they intend to request issuance of A6.4ERs do not overlap with mandatory</w:t>
      </w:r>
      <w:r w:rsidRPr="009F63DF">
        <w:t xml:space="preserve"> domestic mitigation schemes (e.g., emissions trading systems), or that measures are in place to ensure that any relevant impacts of the activity (e.g.</w:t>
      </w:r>
      <w:r w:rsidR="31A1B4E1" w:rsidRPr="009F63DF">
        <w:t>,</w:t>
      </w:r>
      <w:r w:rsidRPr="009F63DF">
        <w:t xml:space="preserve"> the GHG emission reductions achieved) are not counted towards the achievement of targets or obligations under the mandatory domestic mitigation scheme (e.g.</w:t>
      </w:r>
      <w:r w:rsidR="256262A5" w:rsidRPr="009F63DF">
        <w:t>,</w:t>
      </w:r>
      <w:r w:rsidRPr="009F63DF">
        <w:t xml:space="preserve"> by cancelling allowances from the emissions trading system before issuing carbon credits) if the overlap exists,</w:t>
      </w:r>
      <w:r w:rsidRPr="009F63DF">
        <w:rPr>
          <w:vertAlign w:val="superscript"/>
        </w:rPr>
        <w:footnoteReference w:id="41"/>
      </w:r>
      <w:r w:rsidRPr="009F63DF">
        <w:t xml:space="preserve"> by:</w:t>
      </w:r>
    </w:p>
    <w:p w14:paraId="782372B8" w14:textId="7E01EB52" w:rsidR="001C2394" w:rsidRPr="009F63DF" w:rsidRDefault="001C2394" w:rsidP="00F44825">
      <w:pPr>
        <w:pStyle w:val="SDMSubPara2"/>
      </w:pPr>
      <w:r w:rsidRPr="009F63DF">
        <w:t>Declaring and providing evidence in each monitoring report that the Article 6.4 activity and its baseline scenario (e.g.</w:t>
      </w:r>
      <w:r w:rsidR="62674D40" w:rsidRPr="009F63DF">
        <w:t>,</w:t>
      </w:r>
      <w:r w:rsidRPr="009F63DF">
        <w:t xml:space="preserve"> heat energy for household cooking using harvested biomass) do not fall within the scope of any mandatory domestic mitigation scheme; or</w:t>
      </w:r>
    </w:p>
    <w:p w14:paraId="02F4F482" w14:textId="77777777" w:rsidR="001C2394" w:rsidRPr="009F63DF" w:rsidRDefault="001C2394" w:rsidP="00655F47">
      <w:pPr>
        <w:pStyle w:val="SDMSubPara2"/>
        <w:keepNext/>
      </w:pPr>
      <w:r w:rsidRPr="009F63DF">
        <w:t>Where the Article 6.4 activity or its baseline scenario fall within the scope of a mandatory domestic mitigation scheme, activity participants may:</w:t>
      </w:r>
    </w:p>
    <w:p w14:paraId="69E6C97F" w14:textId="77777777" w:rsidR="00385147" w:rsidRPr="009F63DF" w:rsidRDefault="001C2394" w:rsidP="00F44825">
      <w:pPr>
        <w:pStyle w:val="SDMSubPara3"/>
      </w:pPr>
      <w:r w:rsidRPr="009F63DF">
        <w:t>Provide evidence in each monitoring report that the mitigation outcomes of the Article 6.4 activity are not counted in the mandatory mitigation scheme to reduce the obligations by the entities covered by the scheme; or</w:t>
      </w:r>
    </w:p>
    <w:p w14:paraId="739CCFA1" w14:textId="09179CCB" w:rsidR="001C2394" w:rsidRPr="009F63DF" w:rsidRDefault="001C2394" w:rsidP="007271D2">
      <w:pPr>
        <w:pStyle w:val="SDMSubPara3"/>
      </w:pPr>
      <w:r w:rsidRPr="009F63DF">
        <w:t xml:space="preserve">Demonstrate that </w:t>
      </w:r>
      <w:r w:rsidR="008C6CCF" w:rsidRPr="009F63DF">
        <w:t>activity</w:t>
      </w:r>
      <w:r w:rsidRPr="009F63DF">
        <w:t xml:space="preserve"> participants are not requesting the issuance of A6.4ERs for any emission reductions resulting from a component of the Article 6.4 activity that falls within the scope of the mandatory domestic scheme.</w:t>
      </w:r>
    </w:p>
    <w:p w14:paraId="10594D5C" w14:textId="09FBC0A9" w:rsidR="00A401EC" w:rsidRPr="00584010" w:rsidRDefault="00A401EC" w:rsidP="00655F47">
      <w:pPr>
        <w:pStyle w:val="SDMPara"/>
        <w:keepNext/>
      </w:pPr>
      <w:r w:rsidRPr="00584010">
        <w:t xml:space="preserve">The requirement in paragraph </w:t>
      </w:r>
      <w:r w:rsidR="0066711D" w:rsidRPr="00584010">
        <w:fldChar w:fldCharType="begin"/>
      </w:r>
      <w:r w:rsidR="0066711D" w:rsidRPr="00584010">
        <w:instrText xml:space="preserve"> REF _Ref240375654 \r \h </w:instrText>
      </w:r>
      <w:r w:rsidR="00584010">
        <w:instrText xml:space="preserve"> \* MERGEFORMAT </w:instrText>
      </w:r>
      <w:r w:rsidR="0066711D" w:rsidRPr="00584010">
        <w:fldChar w:fldCharType="separate"/>
      </w:r>
      <w:r w:rsidR="00831DAE">
        <w:rPr>
          <w:cs/>
        </w:rPr>
        <w:t>‎</w:t>
      </w:r>
      <w:r w:rsidR="00831DAE">
        <w:t>114(a)</w:t>
      </w:r>
      <w:r w:rsidR="0066711D" w:rsidRPr="00584010">
        <w:fldChar w:fldCharType="end"/>
      </w:r>
      <w:r w:rsidRPr="00584010">
        <w:t xml:space="preserve"> shall be implemented as follows to avoid double counting due to overlap with a REDD activity:</w:t>
      </w:r>
    </w:p>
    <w:p w14:paraId="4CF971DA" w14:textId="129C500C" w:rsidR="00A401EC" w:rsidRPr="00584010" w:rsidRDefault="00A401EC" w:rsidP="00A401EC">
      <w:pPr>
        <w:pStyle w:val="SDMSubPara1"/>
      </w:pPr>
      <w:bookmarkStart w:id="649" w:name="_Ref240378664"/>
      <w:r w:rsidRPr="00584010">
        <w:t>Double counting only needs to be addressed where the activity boundary related to fuels, defined in accordance with the provisions in section </w:t>
      </w:r>
      <w:r w:rsidR="004B1F0D" w:rsidRPr="00584010">
        <w:fldChar w:fldCharType="begin"/>
      </w:r>
      <w:r w:rsidR="004B1F0D" w:rsidRPr="00584010">
        <w:instrText xml:space="preserve"> REF _Ref240378165 \r \h </w:instrText>
      </w:r>
      <w:r w:rsidR="00584010">
        <w:instrText xml:space="preserve"> \* MERGEFORMAT </w:instrText>
      </w:r>
      <w:r w:rsidR="004B1F0D" w:rsidRPr="00584010">
        <w:fldChar w:fldCharType="separate"/>
      </w:r>
      <w:r w:rsidR="00831DAE">
        <w:rPr>
          <w:cs/>
        </w:rPr>
        <w:t>‎</w:t>
      </w:r>
      <w:r w:rsidR="00831DAE">
        <w:t>5</w:t>
      </w:r>
      <w:r w:rsidR="004B1F0D" w:rsidRPr="00584010">
        <w:fldChar w:fldCharType="end"/>
      </w:r>
      <w:r w:rsidRPr="00584010">
        <w:t xml:space="preserve"> above, falls within or overlaps with the boundary of a JREDD activity pursued under a carbon crediting programme, such as the Architecture for REDD</w:t>
      </w:r>
      <w:r w:rsidR="00431673" w:rsidRPr="00584010">
        <w:rPr>
          <w:rFonts w:eastAsia="MS Mincho" w:hint="eastAsia"/>
          <w:lang w:eastAsia="ja-JP"/>
        </w:rPr>
        <w:t>-plus</w:t>
      </w:r>
      <w:r w:rsidRPr="00584010">
        <w:t xml:space="preserve"> transactions (ART) or the</w:t>
      </w:r>
      <w:r w:rsidR="00C06DAE" w:rsidRPr="00584010">
        <w:t xml:space="preserve"> Verified Carbon Standard (</w:t>
      </w:r>
      <w:r w:rsidRPr="00584010">
        <w:t>VCS</w:t>
      </w:r>
      <w:r w:rsidR="00C06DAE" w:rsidRPr="00584010">
        <w:t>)</w:t>
      </w:r>
      <w:r w:rsidRPr="00584010">
        <w:t xml:space="preserve"> Jurisdictional and Nested REDD</w:t>
      </w:r>
      <w:r w:rsidR="00431673" w:rsidRPr="00584010">
        <w:rPr>
          <w:rFonts w:eastAsia="MS Mincho" w:hint="eastAsia"/>
          <w:lang w:eastAsia="ja-JP"/>
        </w:rPr>
        <w:t>-plus</w:t>
      </w:r>
      <w:r w:rsidRPr="00584010">
        <w:t xml:space="preserve"> (JNR);</w:t>
      </w:r>
      <w:bookmarkEnd w:id="649"/>
    </w:p>
    <w:p w14:paraId="18919136" w14:textId="4EF81F6B" w:rsidR="00A401EC" w:rsidRPr="00584010" w:rsidRDefault="00A401EC" w:rsidP="00A401EC">
      <w:pPr>
        <w:pStyle w:val="SDMSubPara1"/>
      </w:pPr>
      <w:r w:rsidRPr="00584010">
        <w:t>Double counting only needs to be addressed for the emission reductions of CO</w:t>
      </w:r>
      <w:r w:rsidRPr="00584010">
        <w:rPr>
          <w:vertAlign w:val="subscript"/>
        </w:rPr>
        <w:t>2</w:t>
      </w:r>
      <w:r w:rsidRPr="00584010">
        <w:t xml:space="preserve"> from greenhouse gas reservoirs that are subject to reversal risk (i.e. the term </w:t>
      </w:r>
      <w:r w:rsidRPr="00584010">
        <w:rPr>
          <w:i/>
          <w:iCs/>
        </w:rPr>
        <w:t>ER</w:t>
      </w:r>
      <w:r w:rsidRPr="00584010">
        <w:rPr>
          <w:i/>
          <w:iCs/>
          <w:vertAlign w:val="subscript"/>
        </w:rPr>
        <w:t>CO2,rr,y</w:t>
      </w:r>
      <w:r w:rsidRPr="00584010">
        <w:t xml:space="preserve"> in equation </w:t>
      </w:r>
      <w:r w:rsidR="00E477C9" w:rsidRPr="00584010">
        <w:t xml:space="preserve">(37) </w:t>
      </w:r>
      <w:r w:rsidRPr="00584010">
        <w:t xml:space="preserve">above), noting that this corresponds </w:t>
      </w:r>
      <w:r w:rsidR="005F70EF" w:rsidRPr="00584010">
        <w:t xml:space="preserve">to </w:t>
      </w:r>
      <w:r w:rsidRPr="00584010">
        <w:t>emission reductions of CO</w:t>
      </w:r>
      <w:r w:rsidRPr="00584010">
        <w:rPr>
          <w:vertAlign w:val="subscript"/>
        </w:rPr>
        <w:t>2</w:t>
      </w:r>
      <w:r w:rsidRPr="00584010">
        <w:t xml:space="preserve"> from the displacement of non-renewable biomass</w:t>
      </w:r>
      <w:r w:rsidR="00E53D71" w:rsidRPr="00584010">
        <w:t>;</w:t>
      </w:r>
    </w:p>
    <w:p w14:paraId="237C965E" w14:textId="77777777" w:rsidR="00A401EC" w:rsidRPr="00584010" w:rsidRDefault="00A401EC" w:rsidP="005A4B4B">
      <w:pPr>
        <w:pStyle w:val="SDMSubPara1"/>
      </w:pPr>
      <w:r w:rsidRPr="00584010">
        <w:t>Double counting shall be addressed as follows with regard to the activity boundary of the Article 6.4 activity and the activity boundary of the JREDD activity:</w:t>
      </w:r>
    </w:p>
    <w:p w14:paraId="7DA14E24" w14:textId="2881E1D0" w:rsidR="00A401EC" w:rsidRPr="00584010" w:rsidRDefault="00A401EC" w:rsidP="00F44825">
      <w:pPr>
        <w:pStyle w:val="SDMSubPara2"/>
      </w:pPr>
      <w:r w:rsidRPr="00584010">
        <w:t xml:space="preserve">Where the activity boundary related to fuels is multi-national, </w:t>
      </w:r>
      <w:r w:rsidR="0003716B" w:rsidRPr="00584010">
        <w:t>this activity boundary related to fuels</w:t>
      </w:r>
      <w:r w:rsidRPr="00584010">
        <w:t xml:space="preserve"> shall </w:t>
      </w:r>
      <w:r w:rsidR="0003716B" w:rsidRPr="00584010">
        <w:t xml:space="preserve">instead </w:t>
      </w:r>
      <w:r w:rsidRPr="00584010">
        <w:t>be deemed as national for the specific purpose of addressing double counting</w:t>
      </w:r>
      <w:r w:rsidR="00F17808" w:rsidRPr="00584010">
        <w:t xml:space="preserve"> in sub-steps (ii) and (iii) and sub-paragraph (d) below</w:t>
      </w:r>
      <w:r w:rsidRPr="00584010">
        <w:t>;</w:t>
      </w:r>
    </w:p>
    <w:p w14:paraId="303FAB8C" w14:textId="19C0AC27" w:rsidR="00A401EC" w:rsidRPr="00584010" w:rsidRDefault="00A401EC" w:rsidP="00A401EC">
      <w:pPr>
        <w:pStyle w:val="SDMSubPara2"/>
      </w:pPr>
      <w:r w:rsidRPr="00584010">
        <w:t xml:space="preserve">Where the activity boundary related to fuels falls </w:t>
      </w:r>
      <w:r w:rsidR="0099174D" w:rsidRPr="00584010">
        <w:t xml:space="preserve">entirely </w:t>
      </w:r>
      <w:r w:rsidRPr="00584010">
        <w:t>within the activity boundary of the JREDD activity, double counting shall be avoided for the total amount of emission reductions of CO</w:t>
      </w:r>
      <w:r w:rsidRPr="00584010">
        <w:rPr>
          <w:vertAlign w:val="subscript"/>
        </w:rPr>
        <w:t>2</w:t>
      </w:r>
      <w:r w:rsidRPr="00584010">
        <w:t xml:space="preserve"> from greenhouse gas reservoirs that are subject to reversal risk (i.e. the term </w:t>
      </w:r>
      <w:r w:rsidRPr="00584010">
        <w:rPr>
          <w:i/>
          <w:iCs/>
        </w:rPr>
        <w:t>ER</w:t>
      </w:r>
      <w:r w:rsidRPr="00584010">
        <w:rPr>
          <w:i/>
          <w:iCs/>
          <w:vertAlign w:val="subscript"/>
        </w:rPr>
        <w:t>CO2,rr,y</w:t>
      </w:r>
      <w:r w:rsidRPr="00584010">
        <w:t>);</w:t>
      </w:r>
    </w:p>
    <w:p w14:paraId="15A4E610" w14:textId="1E9258DB" w:rsidR="00A401EC" w:rsidRPr="00584010" w:rsidRDefault="00A401EC" w:rsidP="00A401EC">
      <w:pPr>
        <w:pStyle w:val="SDMSubPara2"/>
      </w:pPr>
      <w:r w:rsidRPr="00584010">
        <w:t xml:space="preserve">Where the activity boundary related to fuels only partially falls within the activity boundary of JREDD activities (e.g. where the activity boundary related to fuels is national but only two out of five sub-national jurisdictions within the country pursues a JREDD activity), double counting only needs to be avoided for the share of non-renewable biomass that would be sourced from the areas covered by the JREDD activities. The respective shares shall be determined based on the </w:t>
      </w:r>
      <w:r w:rsidR="009C547A" w:rsidRPr="00584010">
        <w:t>proportion</w:t>
      </w:r>
      <w:r w:rsidRPr="00584010">
        <w:t xml:space="preserve"> of biomass harvested in the relevant area and the fNRB value for that area;</w:t>
      </w:r>
      <w:r w:rsidR="0099174D" w:rsidRPr="00584010">
        <w:rPr>
          <w:rStyle w:val="FootnoteReference"/>
        </w:rPr>
        <w:footnoteReference w:id="42"/>
      </w:r>
    </w:p>
    <w:p w14:paraId="721AC33C" w14:textId="77777777" w:rsidR="00A401EC" w:rsidRPr="00584010" w:rsidRDefault="00A401EC" w:rsidP="00655F47">
      <w:pPr>
        <w:pStyle w:val="SDMSubPara1"/>
        <w:keepNext/>
      </w:pPr>
      <w:r w:rsidRPr="00584010">
        <w:t>Double counting shall be avoided by:</w:t>
      </w:r>
    </w:p>
    <w:p w14:paraId="6A30436D" w14:textId="77777777" w:rsidR="008C332A" w:rsidRPr="00584010" w:rsidRDefault="00A401EC" w:rsidP="00A401EC">
      <w:pPr>
        <w:pStyle w:val="SDMSubPara2"/>
      </w:pPr>
      <w:r w:rsidRPr="00584010">
        <w:t>Subtracting the respective amount when issuing carbon credits under the JREDD activity; or</w:t>
      </w:r>
    </w:p>
    <w:p w14:paraId="0911D145" w14:textId="0B12C585" w:rsidR="00A401EC" w:rsidRPr="00584010" w:rsidRDefault="00A401EC" w:rsidP="00A401EC">
      <w:pPr>
        <w:pStyle w:val="SDMSubPara2"/>
      </w:pPr>
      <w:r w:rsidRPr="00584010">
        <w:t xml:space="preserve">Subtracting the respective amount when determining the term </w:t>
      </w:r>
      <w:r w:rsidRPr="00584010">
        <w:rPr>
          <w:i/>
          <w:iCs/>
        </w:rPr>
        <w:t>ER</w:t>
      </w:r>
      <w:r w:rsidRPr="00584010">
        <w:rPr>
          <w:i/>
          <w:iCs/>
          <w:vertAlign w:val="subscript"/>
        </w:rPr>
        <w:t>CO2,rr,y</w:t>
      </w:r>
      <w:r w:rsidRPr="00584010">
        <w:t xml:space="preserve"> under the Article 6.4 project or CP.</w:t>
      </w:r>
    </w:p>
    <w:p w14:paraId="2D5D082C" w14:textId="4946DFBA" w:rsidR="000C195E" w:rsidRPr="00584010" w:rsidRDefault="000C195E" w:rsidP="00655F47">
      <w:pPr>
        <w:pStyle w:val="SDMPara"/>
        <w:keepNext/>
      </w:pPr>
      <w:bookmarkStart w:id="650" w:name="_Ref235170695"/>
      <w:r w:rsidRPr="00584010">
        <w:t xml:space="preserve">The requirement in paragraph </w:t>
      </w:r>
      <w:r w:rsidR="00705220" w:rsidRPr="00584010">
        <w:fldChar w:fldCharType="begin"/>
      </w:r>
      <w:r w:rsidR="00705220" w:rsidRPr="00584010">
        <w:instrText xml:space="preserve"> REF _Ref240378664 \r \h </w:instrText>
      </w:r>
      <w:r w:rsidR="00584010">
        <w:instrText xml:space="preserve"> \* MERGEFORMAT </w:instrText>
      </w:r>
      <w:r w:rsidR="00705220" w:rsidRPr="00584010">
        <w:fldChar w:fldCharType="separate"/>
      </w:r>
      <w:r w:rsidR="00831DAE">
        <w:rPr>
          <w:cs/>
        </w:rPr>
        <w:t>‎</w:t>
      </w:r>
      <w:r w:rsidR="00831DAE">
        <w:t>115(a)</w:t>
      </w:r>
      <w:r w:rsidR="00705220" w:rsidRPr="00584010">
        <w:fldChar w:fldCharType="end"/>
      </w:r>
      <w:r w:rsidRPr="00584010">
        <w:t xml:space="preserve"> shall be implemented as follows to avoid double counting with other fNRB-dependent activities:</w:t>
      </w:r>
      <w:bookmarkEnd w:id="650"/>
    </w:p>
    <w:p w14:paraId="650F55A0" w14:textId="4729E350" w:rsidR="000C195E" w:rsidRPr="00584010" w:rsidRDefault="000C195E" w:rsidP="000C195E">
      <w:pPr>
        <w:pStyle w:val="SDMSubPara1"/>
      </w:pPr>
      <w:r w:rsidRPr="00584010">
        <w:t>The risk of double counting with other fNRB-dependent activities only needs to be addressed for Article 6.4 activities implemented in geographic locations where one or more activities registered under the Article 6.4 mechanism or other carbon crediting programme are seeking GHG emission reductions from the reduced use of non-renewable biomass (i.e. fuelwood or charcoal), such as activities for the provision of safe drinking water;</w:t>
      </w:r>
    </w:p>
    <w:p w14:paraId="1854CC92" w14:textId="594EC05E" w:rsidR="000C195E" w:rsidRPr="00584010" w:rsidRDefault="000C195E" w:rsidP="000C195E">
      <w:pPr>
        <w:pStyle w:val="SDMSubPara1"/>
      </w:pPr>
      <w:r w:rsidRPr="00584010">
        <w:t xml:space="preserve">The activity participant shall identify potentially overlapping activities by declaring whether any other activity seeking carbon credits from the reduced use of non-renewable biomass operates within the geographical area of the Article 6.4 </w:t>
      </w:r>
      <w:r w:rsidR="001B1236" w:rsidRPr="00584010">
        <w:t>project or CP</w:t>
      </w:r>
      <w:r w:rsidRPr="00584010">
        <w:t>. The declaration shall be supported by a documented review of publicly available information from relevant carbon-crediting programme registries;</w:t>
      </w:r>
    </w:p>
    <w:p w14:paraId="0838B0AB" w14:textId="558DE372" w:rsidR="000C195E" w:rsidRPr="00584010" w:rsidRDefault="000C195E" w:rsidP="000C195E">
      <w:pPr>
        <w:pStyle w:val="SDMSubPara1"/>
      </w:pPr>
      <w:r w:rsidRPr="00584010">
        <w:t xml:space="preserve">Where a potentially overlapping activity is identified, the activity participant shall assess and document the nature and extent of overlap. First, the activity participant shall compare the activity boundary related to fuels of the Article 6.4 </w:t>
      </w:r>
      <w:r w:rsidR="00EF0495" w:rsidRPr="00584010">
        <w:t xml:space="preserve">project or CP </w:t>
      </w:r>
      <w:r w:rsidRPr="00584010">
        <w:t>with that of the other identified activities and identify whether there is any overlap.</w:t>
      </w:r>
      <w:r w:rsidRPr="00584010" w:rsidDel="00565826">
        <w:t xml:space="preserve"> </w:t>
      </w:r>
      <w:r w:rsidRPr="00584010">
        <w:t>Second, the activity participant shall document any overlap in participating households;</w:t>
      </w:r>
    </w:p>
    <w:p w14:paraId="51735A0A" w14:textId="1A559882" w:rsidR="00C744B1" w:rsidRPr="00584010" w:rsidRDefault="000C195E" w:rsidP="00655F47">
      <w:pPr>
        <w:pStyle w:val="SDMSubPara1"/>
        <w:keepNext/>
      </w:pPr>
      <w:r w:rsidRPr="00584010">
        <w:t>To prevent double counting, the Article 6.4</w:t>
      </w:r>
      <w:r w:rsidR="00D16E92" w:rsidRPr="00584010">
        <w:t xml:space="preserve"> project or CP </w:t>
      </w:r>
      <w:r w:rsidRPr="00584010">
        <w:t xml:space="preserve">shall </w:t>
      </w:r>
      <w:r w:rsidR="00C744B1" w:rsidRPr="00584010">
        <w:t>identify</w:t>
      </w:r>
      <w:r w:rsidRPr="00584010">
        <w:t xml:space="preserve"> any households that actively participate in another registered activity for the reduced use of non-renewable biomass under the Article 6.4 mechanism or another carbon crediting programme, i.e. that would qualify as a user or participant according to the criteria of the registered activity. </w:t>
      </w:r>
      <w:r w:rsidR="00C744B1" w:rsidRPr="00584010">
        <w:t>Double counting shall be avoided by:</w:t>
      </w:r>
    </w:p>
    <w:p w14:paraId="3C783759" w14:textId="77777777" w:rsidR="008C332A" w:rsidRPr="00584010" w:rsidRDefault="00C744B1" w:rsidP="00C744B1">
      <w:pPr>
        <w:pStyle w:val="SDMSubPara2"/>
      </w:pPr>
      <w:r w:rsidRPr="00584010">
        <w:t xml:space="preserve">Excluding the household from the Article 6.4 </w:t>
      </w:r>
      <w:r w:rsidR="006132E7" w:rsidRPr="00584010">
        <w:t>project or CP</w:t>
      </w:r>
      <w:r w:rsidRPr="00584010">
        <w:t>; or</w:t>
      </w:r>
    </w:p>
    <w:p w14:paraId="0FBFB3EA" w14:textId="4E4B5E94" w:rsidR="00C744B1" w:rsidRPr="00584010" w:rsidRDefault="00C744B1" w:rsidP="002E0E22">
      <w:pPr>
        <w:pStyle w:val="SDMSubPara2"/>
      </w:pPr>
      <w:r w:rsidRPr="00584010">
        <w:t>Ensuring the household has been excluded from the other activity.</w:t>
      </w:r>
    </w:p>
    <w:p w14:paraId="3F5B2515" w14:textId="77777777" w:rsidR="008C332A" w:rsidRPr="00584010" w:rsidRDefault="002B2F0E" w:rsidP="00C744B1">
      <w:pPr>
        <w:pStyle w:val="SDMSubPara1"/>
      </w:pPr>
      <w:r w:rsidRPr="00584010">
        <w:t>S</w:t>
      </w:r>
      <w:r w:rsidR="000C195E" w:rsidRPr="00584010">
        <w:t xml:space="preserve">ince the Article 6.4 </w:t>
      </w:r>
      <w:r w:rsidR="006132E7" w:rsidRPr="00584010">
        <w:t>project or CP</w:t>
      </w:r>
      <w:r w:rsidR="000C195E" w:rsidRPr="00584010">
        <w:t xml:space="preserve"> estimates emission reductions only from non-renewable biomass reduced by the direct impacts of the activity, it is not required to address the impacts of overlapping biomass source areas.</w:t>
      </w:r>
      <w:r w:rsidRPr="00584010">
        <w:rPr>
          <w:rStyle w:val="FootnoteReference"/>
        </w:rPr>
        <w:footnoteReference w:id="43"/>
      </w:r>
    </w:p>
    <w:p w14:paraId="468A629C" w14:textId="6FA8F20F" w:rsidR="003551F3" w:rsidRPr="009F63DF" w:rsidRDefault="003551F3" w:rsidP="00E03E61">
      <w:pPr>
        <w:pStyle w:val="SDMPara"/>
      </w:pPr>
      <w:r w:rsidRPr="00584010">
        <w:t>Evidence to demonstrate avoidance of double counting may include, as applicable: official</w:t>
      </w:r>
      <w:r w:rsidRPr="009F63DF">
        <w:t xml:space="preserve"> confirmation from the host Party DNA or relevant national authority, declarations from activity participants and implementation partners, among others.</w:t>
      </w:r>
    </w:p>
    <w:p w14:paraId="76C53E10" w14:textId="3F0DAC2E" w:rsidR="001C2394" w:rsidRPr="009F63DF" w:rsidRDefault="001C2394" w:rsidP="00E03E61">
      <w:pPr>
        <w:pStyle w:val="SDMPara"/>
      </w:pPr>
      <w:r w:rsidRPr="009F63DF">
        <w:t xml:space="preserve">All Article 6.4 activities under this mechanism methodology shall also employ explicit evidence of consent, for example signed </w:t>
      </w:r>
      <w:r w:rsidR="002A313F" w:rsidRPr="009F63DF">
        <w:t>A6.4ER</w:t>
      </w:r>
      <w:r w:rsidR="00AC42A8" w:rsidRPr="009F63DF">
        <w:t xml:space="preserve"> </w:t>
      </w:r>
      <w:r w:rsidR="004B723A" w:rsidRPr="009F63DF">
        <w:t>w</w:t>
      </w:r>
      <w:r w:rsidR="00AC42A8" w:rsidRPr="009F63DF">
        <w:t xml:space="preserve">aiver </w:t>
      </w:r>
      <w:r w:rsidR="004B723A" w:rsidRPr="009F63DF">
        <w:t>c</w:t>
      </w:r>
      <w:r w:rsidR="00AC42A8" w:rsidRPr="009F63DF">
        <w:t>ertificate</w:t>
      </w:r>
      <w:r w:rsidR="00373044" w:rsidRPr="009F63DF">
        <w:t xml:space="preserve">s (see </w:t>
      </w:r>
      <w:r w:rsidR="006E3DF3" w:rsidRPr="009F63DF">
        <w:fldChar w:fldCharType="begin"/>
      </w:r>
      <w:r w:rsidR="006E3DF3" w:rsidRPr="009F63DF">
        <w:instrText xml:space="preserve"> REF _Ref227104489 \r \h </w:instrText>
      </w:r>
      <w:r w:rsidR="006E3DF3" w:rsidRPr="009F63DF">
        <w:fldChar w:fldCharType="separate"/>
      </w:r>
      <w:r w:rsidR="00831DAE">
        <w:rPr>
          <w:cs/>
        </w:rPr>
        <w:t>‎</w:t>
      </w:r>
      <w:r w:rsidR="00831DAE">
        <w:t>Appendix 2</w:t>
      </w:r>
      <w:r w:rsidR="006E3DF3" w:rsidRPr="009F63DF">
        <w:fldChar w:fldCharType="end"/>
      </w:r>
      <w:r w:rsidR="00373044" w:rsidRPr="009F63DF">
        <w:t>),</w:t>
      </w:r>
      <w:r w:rsidRPr="009F63DF">
        <w:t xml:space="preserve"> with all participating households under the Article 6.4 activity, indicating that A6.4ERs can only be claimed by the activity participants and that the households shall not claim A6.4ERs or carbon credits from any other carbon crediting programme.</w:t>
      </w:r>
    </w:p>
    <w:p w14:paraId="07EAF024" w14:textId="18023382" w:rsidR="001C2394" w:rsidRPr="009F63DF" w:rsidRDefault="00D052FC" w:rsidP="00D052FC">
      <w:pPr>
        <w:pStyle w:val="SDMHead1"/>
      </w:pPr>
      <w:bookmarkStart w:id="651" w:name="_Toc233388643"/>
      <w:bookmarkStart w:id="652" w:name="_Toc233961450"/>
      <w:bookmarkStart w:id="653" w:name="_Toc233970259"/>
      <w:bookmarkStart w:id="654" w:name="_Toc240546589"/>
      <w:bookmarkStart w:id="655" w:name="_Toc240631990"/>
      <w:bookmarkStart w:id="656" w:name="_Toc242471175"/>
      <w:r w:rsidRPr="009F63DF">
        <w:rPr>
          <w:rFonts w:eastAsia="Montserrat"/>
        </w:rPr>
        <w:t>Demonstration of alignment with the policies, options and implementation plans of the host Party with regard to its nationally determined contribution and long-term low greenhouse gas emission development strategies and the long-term temperature goal of the Paris Agreement and long-term goals of the Paris Agreement</w:t>
      </w:r>
      <w:bookmarkEnd w:id="651"/>
      <w:bookmarkEnd w:id="652"/>
      <w:bookmarkEnd w:id="653"/>
      <w:bookmarkEnd w:id="654"/>
      <w:bookmarkEnd w:id="655"/>
      <w:bookmarkEnd w:id="656"/>
    </w:p>
    <w:p w14:paraId="5B0B4029" w14:textId="28003038" w:rsidR="001C2394" w:rsidRPr="009F63DF" w:rsidDel="00E24775" w:rsidRDefault="00E24775" w:rsidP="00E03E61">
      <w:pPr>
        <w:pStyle w:val="SDMPara"/>
      </w:pPr>
      <w:r w:rsidRPr="009F63DF">
        <w:t xml:space="preserve">The activity participants applying this </w:t>
      </w:r>
      <w:r w:rsidR="000003E5" w:rsidRPr="009F63DF">
        <w:t xml:space="preserve">mechanism </w:t>
      </w:r>
      <w:r w:rsidRPr="009F63DF">
        <w:t>methodology shall ensure that the activity complies with paragraph 10 in Appendix of the “Standard: Setting the baseline in mechanism methodologies” (A6.4-STAN-METH-004)</w:t>
      </w:r>
      <w:r w:rsidR="00361BEB">
        <w:rPr>
          <w:rFonts w:eastAsia="MS Mincho" w:hint="eastAsia"/>
          <w:lang w:eastAsia="ja-JP"/>
        </w:rPr>
        <w:t xml:space="preserve"> </w:t>
      </w:r>
      <w:r w:rsidR="005C7719">
        <w:rPr>
          <w:rFonts w:eastAsia="MS Mincho" w:hint="eastAsia"/>
          <w:lang w:eastAsia="ja-JP"/>
        </w:rPr>
        <w:t xml:space="preserve">(hereinafter referred to as the </w:t>
      </w:r>
      <w:r w:rsidR="005C7719">
        <w:rPr>
          <w:rFonts w:eastAsia="MS Mincho"/>
          <w:lang w:eastAsia="ja-JP"/>
        </w:rPr>
        <w:t>“</w:t>
      </w:r>
      <w:r w:rsidR="005C7719">
        <w:rPr>
          <w:rFonts w:eastAsia="MS Mincho" w:hint="eastAsia"/>
          <w:lang w:eastAsia="ja-JP"/>
        </w:rPr>
        <w:t>baseline standard</w:t>
      </w:r>
      <w:r w:rsidR="005C7719">
        <w:rPr>
          <w:rFonts w:eastAsia="MS Mincho"/>
          <w:lang w:eastAsia="ja-JP"/>
        </w:rPr>
        <w:t>”</w:t>
      </w:r>
      <w:r w:rsidR="005C7719">
        <w:rPr>
          <w:rFonts w:eastAsia="MS Mincho" w:hint="eastAsia"/>
          <w:lang w:eastAsia="ja-JP"/>
        </w:rPr>
        <w:t>)</w:t>
      </w:r>
      <w:r w:rsidRPr="009F63DF">
        <w:t>.</w:t>
      </w:r>
    </w:p>
    <w:p w14:paraId="59A94FBE" w14:textId="77777777" w:rsidR="001C2394" w:rsidRPr="009F63DF" w:rsidRDefault="001C2394" w:rsidP="00F91295">
      <w:pPr>
        <w:pStyle w:val="SDMHead1"/>
      </w:pPr>
      <w:bookmarkStart w:id="657" w:name="_Toc226502294"/>
      <w:bookmarkStart w:id="658" w:name="_Toc226576247"/>
      <w:bookmarkStart w:id="659" w:name="_Toc226983098"/>
      <w:bookmarkStart w:id="660" w:name="_Ref227015615"/>
      <w:bookmarkStart w:id="661" w:name="_Toc227677297"/>
      <w:bookmarkStart w:id="662" w:name="_Toc227694819"/>
      <w:bookmarkStart w:id="663" w:name="_Toc227920933"/>
      <w:bookmarkStart w:id="664" w:name="_Toc227938834"/>
      <w:bookmarkStart w:id="665" w:name="_Toc227948085"/>
      <w:bookmarkStart w:id="666" w:name="_Toc233388644"/>
      <w:bookmarkStart w:id="667" w:name="_Ref233726434"/>
      <w:bookmarkStart w:id="668" w:name="_Toc233961451"/>
      <w:bookmarkStart w:id="669" w:name="_Toc233970260"/>
      <w:bookmarkStart w:id="670" w:name="_Toc240546590"/>
      <w:bookmarkStart w:id="671" w:name="_Toc240631991"/>
      <w:bookmarkStart w:id="672" w:name="_Toc242471176"/>
      <w:r w:rsidRPr="009F63DF">
        <w:t>Monitoring Requirements</w:t>
      </w:r>
      <w:bookmarkEnd w:id="620"/>
      <w:bookmarkEnd w:id="621"/>
      <w:bookmarkEnd w:id="622"/>
      <w:bookmarkEnd w:id="623"/>
      <w:bookmarkEnd w:id="624"/>
      <w:bookmarkEnd w:id="625"/>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4F65069C" w14:textId="77777777" w:rsidR="001C2394" w:rsidRPr="009F63DF" w:rsidRDefault="001C2394" w:rsidP="00F91295">
      <w:pPr>
        <w:pStyle w:val="SDMHead2"/>
      </w:pPr>
      <w:bookmarkStart w:id="673" w:name="_Toc193924638"/>
      <w:bookmarkStart w:id="674" w:name="_Toc219446944"/>
      <w:bookmarkStart w:id="675" w:name="_Toc219711079"/>
      <w:bookmarkStart w:id="676" w:name="_Toc219711182"/>
      <w:bookmarkStart w:id="677" w:name="_Toc219711359"/>
      <w:bookmarkStart w:id="678" w:name="_Toc226502295"/>
      <w:bookmarkStart w:id="679" w:name="_Toc226576248"/>
      <w:bookmarkStart w:id="680" w:name="_Toc226983099"/>
      <w:bookmarkStart w:id="681" w:name="_Toc227677298"/>
      <w:bookmarkStart w:id="682" w:name="_Toc227694820"/>
      <w:bookmarkStart w:id="683" w:name="_Toc227920934"/>
      <w:bookmarkStart w:id="684" w:name="_Toc227938835"/>
      <w:bookmarkStart w:id="685" w:name="_Toc227948086"/>
      <w:bookmarkStart w:id="686" w:name="_Toc233388645"/>
      <w:bookmarkStart w:id="687" w:name="_Toc233961452"/>
      <w:bookmarkStart w:id="688" w:name="_Toc233970261"/>
      <w:bookmarkStart w:id="689" w:name="_Toc240546591"/>
      <w:bookmarkStart w:id="690" w:name="_Toc240631992"/>
      <w:bookmarkStart w:id="691" w:name="_Toc242471177"/>
      <w:r w:rsidRPr="009F63DF">
        <w:t xml:space="preserve">Monitoring activity schedule for </w:t>
      </w:r>
      <w:bookmarkEnd w:id="673"/>
      <w:bookmarkEnd w:id="674"/>
      <w:bookmarkEnd w:id="675"/>
      <w:bookmarkEnd w:id="676"/>
      <w:bookmarkEnd w:id="677"/>
      <w:r w:rsidRPr="009F63DF">
        <w:t>activities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71BB7FA9" w14:textId="6252185D" w:rsidR="001C2394" w:rsidRPr="009F63DF" w:rsidRDefault="00730239" w:rsidP="00E03E61">
      <w:pPr>
        <w:pStyle w:val="SDMPara"/>
      </w:pPr>
      <w:r w:rsidRPr="009F63DF">
        <w:fldChar w:fldCharType="begin"/>
      </w:r>
      <w:r w:rsidRPr="009F63DF">
        <w:instrText xml:space="preserve"> REF _Ref233316628 \h </w:instrText>
      </w:r>
      <w:r w:rsidRPr="009F63DF">
        <w:fldChar w:fldCharType="separate"/>
      </w:r>
      <w:r w:rsidR="00831DAE" w:rsidRPr="009F63DF">
        <w:t>Table </w:t>
      </w:r>
      <w:r w:rsidR="00831DAE">
        <w:rPr>
          <w:noProof/>
        </w:rPr>
        <w:t>5</w:t>
      </w:r>
      <w:r w:rsidRPr="009F63DF">
        <w:fldChar w:fldCharType="end"/>
      </w:r>
      <w:r w:rsidR="001C2394" w:rsidRPr="009F63DF">
        <w:t xml:space="preserve"> below presents the monitoring activities schedule for activities.</w:t>
      </w:r>
    </w:p>
    <w:p w14:paraId="3DD256E8" w14:textId="07F96180" w:rsidR="00BD3482" w:rsidRPr="009F63DF" w:rsidRDefault="00BD3482" w:rsidP="00BD3482">
      <w:pPr>
        <w:pStyle w:val="Caption"/>
      </w:pPr>
      <w:bookmarkStart w:id="692" w:name="_Ref233316628"/>
      <w:r w:rsidRPr="009F63DF">
        <w:t>Table</w:t>
      </w:r>
      <w:r w:rsidR="00A76C71" w:rsidRPr="009F63DF">
        <w:t> </w:t>
      </w:r>
      <w:r w:rsidRPr="009F63DF">
        <w:fldChar w:fldCharType="begin"/>
      </w:r>
      <w:r w:rsidRPr="009F63DF">
        <w:instrText>SEQ Table \* ARABIC</w:instrText>
      </w:r>
      <w:r w:rsidRPr="009F63DF">
        <w:fldChar w:fldCharType="separate"/>
      </w:r>
      <w:r w:rsidR="00831DAE">
        <w:rPr>
          <w:noProof/>
        </w:rPr>
        <w:t>5</w:t>
      </w:r>
      <w:r w:rsidRPr="009F63DF">
        <w:fldChar w:fldCharType="end"/>
      </w:r>
      <w:bookmarkEnd w:id="692"/>
      <w:r w:rsidR="00A76C71" w:rsidRPr="009F63DF">
        <w:t>.</w:t>
      </w:r>
      <w:r w:rsidR="00A76C71" w:rsidRPr="009F63DF">
        <w:tab/>
        <w:t>Monitoring activities schedule for activities</w:t>
      </w:r>
    </w:p>
    <w:tbl>
      <w:tblPr>
        <w:tblStyle w:val="SDMTable"/>
        <w:tblW w:w="8529" w:type="dxa"/>
        <w:tblLayout w:type="fixed"/>
        <w:tblLook w:val="04A0" w:firstRow="1" w:lastRow="0" w:firstColumn="1" w:lastColumn="0" w:noHBand="0" w:noVBand="1"/>
      </w:tblPr>
      <w:tblGrid>
        <w:gridCol w:w="2157"/>
        <w:gridCol w:w="1637"/>
        <w:gridCol w:w="1638"/>
        <w:gridCol w:w="1638"/>
        <w:gridCol w:w="1459"/>
      </w:tblGrid>
      <w:tr w:rsidR="001C2394" w:rsidRPr="009F63DF" w14:paraId="22622960" w14:textId="77777777" w:rsidTr="005A4B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Borders>
              <w:bottom w:val="single" w:sz="4" w:space="0" w:color="auto"/>
              <w:right w:val="single" w:sz="4" w:space="0" w:color="auto"/>
            </w:tcBorders>
          </w:tcPr>
          <w:p w14:paraId="21DD2305" w14:textId="77777777" w:rsidR="001C2394" w:rsidRPr="009F63DF" w:rsidRDefault="001C2394" w:rsidP="00E31AAD">
            <w:pPr>
              <w:suppressAutoHyphens/>
              <w:jc w:val="left"/>
              <w:rPr>
                <w:rFonts w:cs="Arial"/>
                <w:sz w:val="20"/>
              </w:rPr>
            </w:pPr>
            <w:r w:rsidRPr="009F63DF">
              <w:rPr>
                <w:rFonts w:cs="Arial"/>
                <w:sz w:val="20"/>
              </w:rPr>
              <w:t>Monitoring Activity</w:t>
            </w:r>
          </w:p>
        </w:tc>
        <w:tc>
          <w:tcPr>
            <w:tcW w:w="1637" w:type="dxa"/>
            <w:tcBorders>
              <w:left w:val="single" w:sz="4" w:space="0" w:color="auto"/>
              <w:bottom w:val="single" w:sz="4" w:space="0" w:color="auto"/>
              <w:right w:val="single" w:sz="4" w:space="0" w:color="auto"/>
            </w:tcBorders>
          </w:tcPr>
          <w:p w14:paraId="3B954CAF" w14:textId="77777777" w:rsidR="001C2394" w:rsidRPr="009F63DF" w:rsidRDefault="001C2394" w:rsidP="00E31AAD">
            <w:pPr>
              <w:suppressAutoHyphens/>
              <w:jc w:val="left"/>
              <w:cnfStyle w:val="100000000000" w:firstRow="1" w:lastRow="0" w:firstColumn="0" w:lastColumn="0" w:oddVBand="0" w:evenVBand="0" w:oddHBand="0" w:evenHBand="0" w:firstRowFirstColumn="0" w:firstRowLastColumn="0" w:lastRowFirstColumn="0" w:lastRowLastColumn="0"/>
              <w:rPr>
                <w:rFonts w:cs="Arial"/>
                <w:sz w:val="20"/>
              </w:rPr>
            </w:pPr>
            <w:r w:rsidRPr="009F63DF">
              <w:rPr>
                <w:rFonts w:cs="Arial"/>
                <w:sz w:val="20"/>
              </w:rPr>
              <w:t>Prior to validation</w:t>
            </w:r>
          </w:p>
        </w:tc>
        <w:tc>
          <w:tcPr>
            <w:tcW w:w="1638" w:type="dxa"/>
            <w:tcBorders>
              <w:left w:val="single" w:sz="4" w:space="0" w:color="auto"/>
              <w:bottom w:val="single" w:sz="4" w:space="0" w:color="auto"/>
              <w:right w:val="single" w:sz="4" w:space="0" w:color="auto"/>
            </w:tcBorders>
          </w:tcPr>
          <w:p w14:paraId="69ABB58E" w14:textId="77777777" w:rsidR="001C2394" w:rsidRPr="009F63DF" w:rsidRDefault="001C2394" w:rsidP="00E31AAD">
            <w:pPr>
              <w:suppressAutoHyphens/>
              <w:jc w:val="left"/>
              <w:cnfStyle w:val="100000000000" w:firstRow="1" w:lastRow="0" w:firstColumn="0" w:lastColumn="0" w:oddVBand="0" w:evenVBand="0" w:oddHBand="0" w:evenHBand="0" w:firstRowFirstColumn="0" w:firstRowLastColumn="0" w:lastRowFirstColumn="0" w:lastRowLastColumn="0"/>
              <w:rPr>
                <w:rFonts w:cs="Arial"/>
                <w:sz w:val="20"/>
              </w:rPr>
            </w:pPr>
            <w:r w:rsidRPr="009F63DF">
              <w:rPr>
                <w:rFonts w:cs="Arial"/>
                <w:sz w:val="20"/>
              </w:rPr>
              <w:t>Prior to first verification</w:t>
            </w:r>
          </w:p>
        </w:tc>
        <w:tc>
          <w:tcPr>
            <w:tcW w:w="1638" w:type="dxa"/>
            <w:tcBorders>
              <w:left w:val="single" w:sz="4" w:space="0" w:color="auto"/>
              <w:bottom w:val="single" w:sz="4" w:space="0" w:color="auto"/>
              <w:right w:val="single" w:sz="4" w:space="0" w:color="auto"/>
            </w:tcBorders>
          </w:tcPr>
          <w:p w14:paraId="7B60FC92" w14:textId="77777777" w:rsidR="001C2394" w:rsidRPr="009F63DF" w:rsidRDefault="001C2394" w:rsidP="00E31AAD">
            <w:pPr>
              <w:suppressAutoHyphens/>
              <w:jc w:val="left"/>
              <w:cnfStyle w:val="100000000000" w:firstRow="1" w:lastRow="0" w:firstColumn="0" w:lastColumn="0" w:oddVBand="0" w:evenVBand="0" w:oddHBand="0" w:evenHBand="0" w:firstRowFirstColumn="0" w:firstRowLastColumn="0" w:lastRowFirstColumn="0" w:lastRowLastColumn="0"/>
              <w:rPr>
                <w:rFonts w:cs="Arial"/>
                <w:sz w:val="20"/>
              </w:rPr>
            </w:pPr>
            <w:r w:rsidRPr="009F63DF">
              <w:rPr>
                <w:rFonts w:cs="Arial"/>
                <w:sz w:val="20"/>
              </w:rPr>
              <w:t>Annual</w:t>
            </w:r>
          </w:p>
        </w:tc>
        <w:tc>
          <w:tcPr>
            <w:tcW w:w="1459" w:type="dxa"/>
            <w:tcBorders>
              <w:left w:val="single" w:sz="4" w:space="0" w:color="auto"/>
              <w:bottom w:val="single" w:sz="4" w:space="0" w:color="auto"/>
            </w:tcBorders>
          </w:tcPr>
          <w:p w14:paraId="52C67422" w14:textId="77777777" w:rsidR="001C2394" w:rsidRPr="009F63DF" w:rsidRDefault="001C2394" w:rsidP="00E31AAD">
            <w:pPr>
              <w:suppressAutoHyphens/>
              <w:jc w:val="left"/>
              <w:cnfStyle w:val="100000000000" w:firstRow="1" w:lastRow="0" w:firstColumn="0" w:lastColumn="0" w:oddVBand="0" w:evenVBand="0" w:oddHBand="0" w:evenHBand="0" w:firstRowFirstColumn="0" w:firstRowLastColumn="0" w:lastRowFirstColumn="0" w:lastRowLastColumn="0"/>
              <w:rPr>
                <w:rFonts w:cs="Arial"/>
                <w:sz w:val="20"/>
              </w:rPr>
            </w:pPr>
            <w:r w:rsidRPr="009F63DF">
              <w:rPr>
                <w:rFonts w:cs="Arial"/>
                <w:sz w:val="20"/>
              </w:rPr>
              <w:t>Every monitoring period</w:t>
            </w:r>
          </w:p>
        </w:tc>
      </w:tr>
      <w:tr w:rsidR="001C2394" w:rsidRPr="009F63DF" w14:paraId="5362DD7C" w14:textId="77777777" w:rsidTr="005A4B4B">
        <w:tc>
          <w:tcPr>
            <w:cnfStyle w:val="001000000000" w:firstRow="0" w:lastRow="0" w:firstColumn="1" w:lastColumn="0" w:oddVBand="0" w:evenVBand="0" w:oddHBand="0" w:evenHBand="0" w:firstRowFirstColumn="0" w:firstRowLastColumn="0" w:lastRowFirstColumn="0" w:lastRowLastColumn="0"/>
            <w:tcW w:w="8529" w:type="dxa"/>
            <w:gridSpan w:val="5"/>
          </w:tcPr>
          <w:p w14:paraId="72020ABD" w14:textId="21E0488C" w:rsidR="001C2394" w:rsidRPr="009F63DF" w:rsidRDefault="001C2394" w:rsidP="00E31AAD">
            <w:pPr>
              <w:suppressAutoHyphens/>
              <w:jc w:val="left"/>
              <w:rPr>
                <w:rFonts w:cs="Arial"/>
                <w:sz w:val="20"/>
              </w:rPr>
            </w:pPr>
            <w:r w:rsidRPr="009F63DF">
              <w:rPr>
                <w:rFonts w:eastAsia="Montserrat" w:cs="Arial"/>
                <w:sz w:val="20"/>
              </w:rPr>
              <w:t>Pre-</w:t>
            </w:r>
            <w:r w:rsidR="00BD48F5" w:rsidRPr="009F63DF">
              <w:rPr>
                <w:rFonts w:eastAsia="Montserrat" w:cs="Arial"/>
                <w:sz w:val="20"/>
              </w:rPr>
              <w:t>activity</w:t>
            </w:r>
            <w:r w:rsidRPr="009F63DF">
              <w:rPr>
                <w:rFonts w:eastAsia="Montserrat" w:cs="Arial"/>
                <w:sz w:val="20"/>
              </w:rPr>
              <w:t xml:space="preserve"> studies</w:t>
            </w:r>
          </w:p>
        </w:tc>
      </w:tr>
      <w:tr w:rsidR="001C2394" w:rsidRPr="009F63DF" w14:paraId="3FA3FE6F" w14:textId="77777777" w:rsidTr="005A4B4B">
        <w:trPr>
          <w:trHeight w:val="23"/>
        </w:trPr>
        <w:tc>
          <w:tcPr>
            <w:cnfStyle w:val="001000000000" w:firstRow="0" w:lastRow="0" w:firstColumn="1" w:lastColumn="0" w:oddVBand="0" w:evenVBand="0" w:oddHBand="0" w:evenHBand="0" w:firstRowFirstColumn="0" w:firstRowLastColumn="0" w:lastRowFirstColumn="0" w:lastRowLastColumn="0"/>
            <w:tcW w:w="2157" w:type="dxa"/>
          </w:tcPr>
          <w:p w14:paraId="12D7BC62" w14:textId="6B0B25C9" w:rsidR="001C2394" w:rsidRPr="009F63DF" w:rsidRDefault="001C2394" w:rsidP="00E31AAD">
            <w:pPr>
              <w:suppressAutoHyphens/>
              <w:jc w:val="left"/>
              <w:rPr>
                <w:rFonts w:eastAsia="Montserrat" w:cs="Arial"/>
                <w:b w:val="0"/>
                <w:bCs/>
                <w:sz w:val="20"/>
              </w:rPr>
            </w:pPr>
            <w:r w:rsidRPr="009F63DF">
              <w:rPr>
                <w:rFonts w:eastAsia="Montserrat" w:cs="Arial"/>
                <w:b w:val="0"/>
                <w:bCs/>
                <w:sz w:val="20"/>
              </w:rPr>
              <w:t>Pre-</w:t>
            </w:r>
            <w:r w:rsidR="00BD48F5" w:rsidRPr="009F63DF">
              <w:rPr>
                <w:rFonts w:eastAsia="Montserrat" w:cs="Arial"/>
                <w:b w:val="0"/>
                <w:bCs/>
                <w:sz w:val="20"/>
              </w:rPr>
              <w:t>activity</w:t>
            </w:r>
            <w:r w:rsidRPr="009F63DF">
              <w:rPr>
                <w:rFonts w:eastAsia="Montserrat" w:cs="Arial"/>
                <w:b w:val="0"/>
                <w:bCs/>
                <w:sz w:val="20"/>
              </w:rPr>
              <w:t xml:space="preserve"> survey</w:t>
            </w:r>
          </w:p>
        </w:tc>
        <w:tc>
          <w:tcPr>
            <w:tcW w:w="1637" w:type="dxa"/>
          </w:tcPr>
          <w:p w14:paraId="7962C960"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eastAsia="Montserrat" w:cs="Arial"/>
                <w:sz w:val="20"/>
              </w:rPr>
              <w:t>X</w:t>
            </w:r>
          </w:p>
        </w:tc>
        <w:tc>
          <w:tcPr>
            <w:tcW w:w="1638" w:type="dxa"/>
          </w:tcPr>
          <w:p w14:paraId="5DD4568B"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638" w:type="dxa"/>
          </w:tcPr>
          <w:p w14:paraId="3608F747"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459" w:type="dxa"/>
          </w:tcPr>
          <w:p w14:paraId="11031E09"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r>
      <w:tr w:rsidR="001C2394" w:rsidRPr="009F63DF" w14:paraId="622EAEC8" w14:textId="77777777" w:rsidTr="005A4B4B">
        <w:tc>
          <w:tcPr>
            <w:cnfStyle w:val="001000000000" w:firstRow="0" w:lastRow="0" w:firstColumn="1" w:lastColumn="0" w:oddVBand="0" w:evenVBand="0" w:oddHBand="0" w:evenHBand="0" w:firstRowFirstColumn="0" w:firstRowLastColumn="0" w:lastRowFirstColumn="0" w:lastRowLastColumn="0"/>
            <w:tcW w:w="8529" w:type="dxa"/>
            <w:gridSpan w:val="5"/>
          </w:tcPr>
          <w:p w14:paraId="1164C6E3" w14:textId="6503BB56" w:rsidR="001C2394" w:rsidRPr="009F63DF" w:rsidRDefault="001031D5" w:rsidP="00E31AAD">
            <w:pPr>
              <w:suppressAutoHyphens/>
              <w:jc w:val="left"/>
              <w:rPr>
                <w:rFonts w:cs="Arial"/>
                <w:sz w:val="20"/>
              </w:rPr>
            </w:pPr>
            <w:r w:rsidRPr="009F63DF">
              <w:rPr>
                <w:rFonts w:eastAsia="Montserrat" w:cs="Arial"/>
                <w:sz w:val="20"/>
              </w:rPr>
              <w:t>Activity</w:t>
            </w:r>
            <w:r w:rsidR="001C2394" w:rsidRPr="009F63DF">
              <w:rPr>
                <w:rFonts w:eastAsia="Montserrat" w:cs="Arial"/>
                <w:sz w:val="20"/>
              </w:rPr>
              <w:t xml:space="preserve"> studies</w:t>
            </w:r>
          </w:p>
        </w:tc>
      </w:tr>
      <w:tr w:rsidR="001C2394" w:rsidRPr="009F63DF" w14:paraId="26FA9F02" w14:textId="77777777" w:rsidTr="005A4B4B">
        <w:tc>
          <w:tcPr>
            <w:cnfStyle w:val="001000000000" w:firstRow="0" w:lastRow="0" w:firstColumn="1" w:lastColumn="0" w:oddVBand="0" w:evenVBand="0" w:oddHBand="0" w:evenHBand="0" w:firstRowFirstColumn="0" w:firstRowLastColumn="0" w:lastRowFirstColumn="0" w:lastRowLastColumn="0"/>
            <w:tcW w:w="2157" w:type="dxa"/>
          </w:tcPr>
          <w:p w14:paraId="33F410F7" w14:textId="050E52A9" w:rsidR="001C2394" w:rsidRPr="009F63DF" w:rsidRDefault="001C2394" w:rsidP="00E31AAD">
            <w:pPr>
              <w:suppressAutoHyphens/>
              <w:jc w:val="left"/>
              <w:rPr>
                <w:rFonts w:cs="Arial"/>
                <w:b w:val="0"/>
                <w:bCs/>
                <w:sz w:val="20"/>
              </w:rPr>
            </w:pPr>
            <w:r w:rsidRPr="009F63DF">
              <w:rPr>
                <w:rFonts w:eastAsia="Montserrat" w:cs="Arial"/>
                <w:b w:val="0"/>
                <w:bCs/>
                <w:sz w:val="20"/>
              </w:rPr>
              <w:t>Usage surveys</w:t>
            </w:r>
          </w:p>
        </w:tc>
        <w:tc>
          <w:tcPr>
            <w:tcW w:w="1637" w:type="dxa"/>
          </w:tcPr>
          <w:p w14:paraId="353B9332"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638" w:type="dxa"/>
          </w:tcPr>
          <w:p w14:paraId="498AB93C"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638" w:type="dxa"/>
          </w:tcPr>
          <w:p w14:paraId="69F104FE"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eastAsia="Montserrat" w:cs="Arial"/>
                <w:sz w:val="20"/>
              </w:rPr>
              <w:t>X</w:t>
            </w:r>
          </w:p>
        </w:tc>
        <w:tc>
          <w:tcPr>
            <w:tcW w:w="1459" w:type="dxa"/>
          </w:tcPr>
          <w:p w14:paraId="5E596814"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r>
      <w:tr w:rsidR="006740DF" w:rsidRPr="009F63DF" w14:paraId="5BB89BD2" w14:textId="77777777" w:rsidTr="005A4B4B">
        <w:tc>
          <w:tcPr>
            <w:cnfStyle w:val="001000000000" w:firstRow="0" w:lastRow="0" w:firstColumn="1" w:lastColumn="0" w:oddVBand="0" w:evenVBand="0" w:oddHBand="0" w:evenHBand="0" w:firstRowFirstColumn="0" w:firstRowLastColumn="0" w:lastRowFirstColumn="0" w:lastRowLastColumn="0"/>
            <w:tcW w:w="2157" w:type="dxa"/>
          </w:tcPr>
          <w:p w14:paraId="3C2CD036" w14:textId="5832E969" w:rsidR="006740DF" w:rsidRPr="009F63DF" w:rsidRDefault="006740DF" w:rsidP="00E31AAD">
            <w:pPr>
              <w:suppressAutoHyphens/>
              <w:jc w:val="left"/>
              <w:rPr>
                <w:rFonts w:eastAsia="Montserrat" w:cs="Arial"/>
                <w:b w:val="0"/>
                <w:bCs/>
                <w:sz w:val="20"/>
              </w:rPr>
            </w:pPr>
            <w:r w:rsidRPr="009F63DF">
              <w:rPr>
                <w:rFonts w:eastAsia="Montserrat" w:cs="Arial"/>
                <w:b w:val="0"/>
                <w:bCs/>
                <w:sz w:val="20"/>
              </w:rPr>
              <w:t>Usage SUMs measurements</w:t>
            </w:r>
          </w:p>
        </w:tc>
        <w:tc>
          <w:tcPr>
            <w:tcW w:w="1637" w:type="dxa"/>
          </w:tcPr>
          <w:p w14:paraId="1E3C76D2" w14:textId="77777777" w:rsidR="006740DF" w:rsidRPr="009F63DF" w:rsidRDefault="006740DF"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638" w:type="dxa"/>
          </w:tcPr>
          <w:p w14:paraId="10A7098B" w14:textId="77777777" w:rsidR="006740DF" w:rsidRPr="009F63DF" w:rsidRDefault="006740DF" w:rsidP="00E31AAD">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p>
        </w:tc>
        <w:tc>
          <w:tcPr>
            <w:tcW w:w="1638" w:type="dxa"/>
          </w:tcPr>
          <w:p w14:paraId="7325D643" w14:textId="28CE8419" w:rsidR="006740DF" w:rsidRPr="009F63DF" w:rsidRDefault="00D10D71"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cs="Arial"/>
                <w:sz w:val="20"/>
              </w:rPr>
              <w:t>Continuous</w:t>
            </w:r>
          </w:p>
        </w:tc>
        <w:tc>
          <w:tcPr>
            <w:tcW w:w="1459" w:type="dxa"/>
          </w:tcPr>
          <w:p w14:paraId="0D99AE19" w14:textId="7D858A36" w:rsidR="006740DF" w:rsidRPr="009F63DF" w:rsidRDefault="006740DF" w:rsidP="00E31AAD">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p>
        </w:tc>
      </w:tr>
      <w:tr w:rsidR="001C2394" w:rsidRPr="009F63DF" w14:paraId="6140FFC2" w14:textId="77777777" w:rsidTr="005A4B4B">
        <w:tc>
          <w:tcPr>
            <w:cnfStyle w:val="001000000000" w:firstRow="0" w:lastRow="0" w:firstColumn="1" w:lastColumn="0" w:oddVBand="0" w:evenVBand="0" w:oddHBand="0" w:evenHBand="0" w:firstRowFirstColumn="0" w:firstRowLastColumn="0" w:lastRowFirstColumn="0" w:lastRowLastColumn="0"/>
            <w:tcW w:w="2157" w:type="dxa"/>
          </w:tcPr>
          <w:p w14:paraId="77B2DE19" w14:textId="4486F688" w:rsidR="001C2394" w:rsidRPr="009F63DF" w:rsidRDefault="001031D5" w:rsidP="00E31AAD">
            <w:pPr>
              <w:suppressAutoHyphens/>
              <w:jc w:val="left"/>
              <w:rPr>
                <w:rFonts w:cs="Arial"/>
                <w:b w:val="0"/>
                <w:bCs/>
                <w:sz w:val="20"/>
              </w:rPr>
            </w:pPr>
            <w:r w:rsidRPr="009F63DF">
              <w:rPr>
                <w:rFonts w:eastAsia="Montserrat" w:cs="Arial"/>
                <w:b w:val="0"/>
                <w:bCs/>
                <w:sz w:val="20"/>
              </w:rPr>
              <w:t>Activity</w:t>
            </w:r>
            <w:r w:rsidR="001C2394" w:rsidRPr="009F63DF">
              <w:rPr>
                <w:rFonts w:eastAsia="Montserrat" w:cs="Arial"/>
                <w:b w:val="0"/>
                <w:bCs/>
                <w:sz w:val="20"/>
              </w:rPr>
              <w:t xml:space="preserve"> </w:t>
            </w:r>
            <w:r w:rsidR="00A76033" w:rsidRPr="009F63DF">
              <w:rPr>
                <w:rFonts w:eastAsia="Montserrat" w:cs="Arial"/>
                <w:b w:val="0"/>
                <w:bCs/>
                <w:sz w:val="20"/>
              </w:rPr>
              <w:t>KPTs (</w:t>
            </w:r>
            <w:r w:rsidR="001C2394" w:rsidRPr="009F63DF">
              <w:rPr>
                <w:rFonts w:eastAsia="Montserrat" w:cs="Arial"/>
                <w:b w:val="0"/>
                <w:bCs/>
                <w:sz w:val="20"/>
              </w:rPr>
              <w:t>energy consumption measurement)</w:t>
            </w:r>
            <w:r w:rsidR="00B73628" w:rsidRPr="009F63DF">
              <w:rPr>
                <w:rFonts w:eastAsia="Montserrat" w:cs="Arial"/>
                <w:b w:val="0"/>
                <w:bCs/>
                <w:sz w:val="20"/>
              </w:rPr>
              <w:t xml:space="preserve"> &amp; Activity KPT survey</w:t>
            </w:r>
          </w:p>
        </w:tc>
        <w:tc>
          <w:tcPr>
            <w:tcW w:w="1637" w:type="dxa"/>
          </w:tcPr>
          <w:p w14:paraId="23FF6523"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638" w:type="dxa"/>
          </w:tcPr>
          <w:p w14:paraId="17D7B387" w14:textId="51608261"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638" w:type="dxa"/>
          </w:tcPr>
          <w:p w14:paraId="490F0448"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459" w:type="dxa"/>
          </w:tcPr>
          <w:p w14:paraId="60240782" w14:textId="794B5C9B"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eastAsia="Montserrat" w:cs="Arial"/>
                <w:sz w:val="20"/>
              </w:rPr>
              <w:t>X</w:t>
            </w:r>
            <w:r w:rsidR="007813DE" w:rsidRPr="009F63DF">
              <w:rPr>
                <w:rFonts w:eastAsia="Montserrat" w:cs="Arial"/>
                <w:sz w:val="20"/>
              </w:rPr>
              <w:t xml:space="preserve"> (must be performed no less frequently than every two years even if the monitoring period is longer)</w:t>
            </w:r>
          </w:p>
        </w:tc>
      </w:tr>
      <w:tr w:rsidR="006F448A" w:rsidRPr="009F63DF" w14:paraId="38FA21D7" w14:textId="77777777" w:rsidTr="005A4B4B">
        <w:tc>
          <w:tcPr>
            <w:cnfStyle w:val="001000000000" w:firstRow="0" w:lastRow="0" w:firstColumn="1" w:lastColumn="0" w:oddVBand="0" w:evenVBand="0" w:oddHBand="0" w:evenHBand="0" w:firstRowFirstColumn="0" w:firstRowLastColumn="0" w:lastRowFirstColumn="0" w:lastRowLastColumn="0"/>
            <w:tcW w:w="2157" w:type="dxa"/>
          </w:tcPr>
          <w:p w14:paraId="17DAADC9" w14:textId="08AC98A6" w:rsidR="00E113CA" w:rsidRPr="009F63DF" w:rsidRDefault="00B17C2A" w:rsidP="00E31AAD">
            <w:pPr>
              <w:suppressAutoHyphens/>
              <w:jc w:val="left"/>
              <w:rPr>
                <w:rFonts w:eastAsia="Montserrat" w:cs="Arial"/>
                <w:b w:val="0"/>
                <w:bCs/>
                <w:sz w:val="20"/>
              </w:rPr>
            </w:pPr>
            <w:r w:rsidRPr="009F63DF">
              <w:rPr>
                <w:rFonts w:eastAsia="Montserrat" w:cs="Arial"/>
                <w:b w:val="0"/>
                <w:bCs/>
                <w:sz w:val="20"/>
              </w:rPr>
              <w:t>SUMs Hawthorne effect measurements</w:t>
            </w:r>
          </w:p>
        </w:tc>
        <w:tc>
          <w:tcPr>
            <w:tcW w:w="1637" w:type="dxa"/>
          </w:tcPr>
          <w:p w14:paraId="3B49B6F6" w14:textId="77777777" w:rsidR="006F448A" w:rsidRPr="009F63DF" w:rsidRDefault="006F448A"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638" w:type="dxa"/>
          </w:tcPr>
          <w:p w14:paraId="15FCC506" w14:textId="428E5B4F" w:rsidR="006F448A" w:rsidRPr="009F63DF" w:rsidRDefault="00834415" w:rsidP="00E31AAD">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r w:rsidRPr="009F63DF">
              <w:rPr>
                <w:rFonts w:eastAsia="Montserrat" w:cs="Arial"/>
                <w:sz w:val="20"/>
              </w:rPr>
              <w:t>X</w:t>
            </w:r>
            <w:r w:rsidR="00CB3A99" w:rsidRPr="009F63DF">
              <w:rPr>
                <w:rFonts w:eastAsia="Montserrat" w:cs="Arial"/>
                <w:sz w:val="20"/>
              </w:rPr>
              <w:t xml:space="preserve"> (during the first monitoring period of the crediting period)</w:t>
            </w:r>
          </w:p>
        </w:tc>
        <w:tc>
          <w:tcPr>
            <w:tcW w:w="1638" w:type="dxa"/>
          </w:tcPr>
          <w:p w14:paraId="1D1F3FDD" w14:textId="77777777" w:rsidR="006F448A" w:rsidRPr="009F63DF" w:rsidRDefault="006F448A"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459" w:type="dxa"/>
          </w:tcPr>
          <w:p w14:paraId="52E1BC1A" w14:textId="5BF485F9" w:rsidR="006F448A" w:rsidRPr="009F63DF" w:rsidRDefault="006F448A" w:rsidP="00E31AAD">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p>
        </w:tc>
      </w:tr>
      <w:tr w:rsidR="001C2394" w:rsidRPr="009F63DF" w14:paraId="4F38FEF9" w14:textId="77777777" w:rsidTr="005A4B4B">
        <w:tc>
          <w:tcPr>
            <w:cnfStyle w:val="001000000000" w:firstRow="0" w:lastRow="0" w:firstColumn="1" w:lastColumn="0" w:oddVBand="0" w:evenVBand="0" w:oddHBand="0" w:evenHBand="0" w:firstRowFirstColumn="0" w:firstRowLastColumn="0" w:lastRowFirstColumn="0" w:lastRowLastColumn="0"/>
            <w:tcW w:w="8529" w:type="dxa"/>
            <w:gridSpan w:val="5"/>
          </w:tcPr>
          <w:p w14:paraId="15A0A725" w14:textId="77777777" w:rsidR="001C2394" w:rsidRPr="009F63DF" w:rsidRDefault="001C2394" w:rsidP="00E31AAD">
            <w:pPr>
              <w:suppressAutoHyphens/>
              <w:jc w:val="left"/>
              <w:rPr>
                <w:rFonts w:cs="Arial"/>
                <w:sz w:val="20"/>
              </w:rPr>
            </w:pPr>
            <w:r w:rsidRPr="009F63DF">
              <w:rPr>
                <w:rFonts w:eastAsia="Montserrat" w:cs="Arial"/>
                <w:sz w:val="20"/>
              </w:rPr>
              <w:t>Ongoing monitoring tasks</w:t>
            </w:r>
          </w:p>
        </w:tc>
      </w:tr>
      <w:tr w:rsidR="001C2394" w:rsidRPr="009F63DF" w14:paraId="0B4EBB9A" w14:textId="77777777" w:rsidTr="005A4B4B">
        <w:tc>
          <w:tcPr>
            <w:cnfStyle w:val="001000000000" w:firstRow="0" w:lastRow="0" w:firstColumn="1" w:lastColumn="0" w:oddVBand="0" w:evenVBand="0" w:oddHBand="0" w:evenHBand="0" w:firstRowFirstColumn="0" w:firstRowLastColumn="0" w:lastRowFirstColumn="0" w:lastRowLastColumn="0"/>
            <w:tcW w:w="2157" w:type="dxa"/>
          </w:tcPr>
          <w:p w14:paraId="589A69B4" w14:textId="1CED41CA" w:rsidR="001C2394" w:rsidRPr="009F63DF" w:rsidRDefault="001C2394" w:rsidP="00E31AAD">
            <w:pPr>
              <w:suppressAutoHyphens/>
              <w:jc w:val="left"/>
              <w:rPr>
                <w:rFonts w:cs="Arial"/>
                <w:b w:val="0"/>
                <w:bCs/>
                <w:sz w:val="20"/>
              </w:rPr>
            </w:pPr>
            <w:r w:rsidRPr="009F63DF">
              <w:rPr>
                <w:rFonts w:eastAsia="Montserrat" w:cs="Arial"/>
                <w:b w:val="0"/>
                <w:bCs/>
                <w:sz w:val="20"/>
              </w:rPr>
              <w:t xml:space="preserve">Maintenance of total sales and service records, and </w:t>
            </w:r>
            <w:r w:rsidR="001031D5" w:rsidRPr="009F63DF">
              <w:rPr>
                <w:rFonts w:eastAsia="Montserrat" w:cs="Arial"/>
                <w:b w:val="0"/>
                <w:bCs/>
                <w:sz w:val="20"/>
              </w:rPr>
              <w:t>activity</w:t>
            </w:r>
            <w:r w:rsidRPr="009F63DF">
              <w:rPr>
                <w:rFonts w:eastAsia="Montserrat" w:cs="Arial"/>
                <w:b w:val="0"/>
                <w:bCs/>
                <w:sz w:val="20"/>
              </w:rPr>
              <w:t xml:space="preserve"> databases</w:t>
            </w:r>
          </w:p>
        </w:tc>
        <w:tc>
          <w:tcPr>
            <w:tcW w:w="1637" w:type="dxa"/>
          </w:tcPr>
          <w:p w14:paraId="36D5F0AA"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eastAsia="Montserrat" w:cs="Arial"/>
                <w:sz w:val="20"/>
              </w:rPr>
              <w:t>Continuous</w:t>
            </w:r>
          </w:p>
        </w:tc>
        <w:tc>
          <w:tcPr>
            <w:tcW w:w="1638" w:type="dxa"/>
          </w:tcPr>
          <w:p w14:paraId="487E6E2B" w14:textId="47B55723"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eastAsia="Montserrat" w:cs="Arial"/>
                <w:sz w:val="20"/>
              </w:rPr>
              <w:t xml:space="preserve">Maintenance of total sales and service records, and </w:t>
            </w:r>
            <w:r w:rsidR="001031D5" w:rsidRPr="009F63DF">
              <w:rPr>
                <w:rFonts w:eastAsia="Montserrat" w:cs="Arial"/>
                <w:sz w:val="20"/>
              </w:rPr>
              <w:t>activity</w:t>
            </w:r>
            <w:r w:rsidRPr="009F63DF">
              <w:rPr>
                <w:rFonts w:eastAsia="Montserrat" w:cs="Arial"/>
                <w:sz w:val="20"/>
              </w:rPr>
              <w:t xml:space="preserve"> databases</w:t>
            </w:r>
          </w:p>
        </w:tc>
        <w:tc>
          <w:tcPr>
            <w:tcW w:w="1638" w:type="dxa"/>
          </w:tcPr>
          <w:p w14:paraId="35553B3E" w14:textId="77777777"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eastAsia="Montserrat" w:cs="Arial"/>
                <w:sz w:val="20"/>
              </w:rPr>
              <w:t>Continuous</w:t>
            </w:r>
          </w:p>
        </w:tc>
        <w:tc>
          <w:tcPr>
            <w:tcW w:w="1459" w:type="dxa"/>
          </w:tcPr>
          <w:p w14:paraId="21CE8846" w14:textId="53E8B77F" w:rsidR="001C2394" w:rsidRPr="009F63DF" w:rsidRDefault="001C2394" w:rsidP="00E31AAD">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eastAsia="Montserrat" w:cs="Arial"/>
                <w:sz w:val="20"/>
              </w:rPr>
              <w:t xml:space="preserve">Maintenance of total sales and service records, and </w:t>
            </w:r>
            <w:r w:rsidR="001031D5" w:rsidRPr="009F63DF">
              <w:rPr>
                <w:rFonts w:eastAsia="Montserrat" w:cs="Arial"/>
                <w:sz w:val="20"/>
              </w:rPr>
              <w:t>activity</w:t>
            </w:r>
            <w:r w:rsidRPr="009F63DF">
              <w:rPr>
                <w:rFonts w:eastAsia="Montserrat" w:cs="Arial"/>
                <w:sz w:val="20"/>
              </w:rPr>
              <w:t xml:space="preserve"> databases</w:t>
            </w:r>
          </w:p>
        </w:tc>
      </w:tr>
    </w:tbl>
    <w:p w14:paraId="667FB213" w14:textId="77777777" w:rsidR="001C2394" w:rsidRPr="009F63DF" w:rsidRDefault="001C2394" w:rsidP="00F91295">
      <w:pPr>
        <w:pStyle w:val="SDMHead2"/>
      </w:pPr>
      <w:bookmarkStart w:id="693" w:name="_Toc193924639"/>
      <w:bookmarkStart w:id="694" w:name="_Toc219446945"/>
      <w:bookmarkStart w:id="695" w:name="_Toc219711080"/>
      <w:bookmarkStart w:id="696" w:name="_Toc219711183"/>
      <w:bookmarkStart w:id="697" w:name="_Toc219711360"/>
      <w:bookmarkStart w:id="698" w:name="_Toc226502296"/>
      <w:bookmarkStart w:id="699" w:name="_Toc226576249"/>
      <w:bookmarkStart w:id="700" w:name="_Toc226983100"/>
      <w:bookmarkStart w:id="701" w:name="_Toc227677299"/>
      <w:bookmarkStart w:id="702" w:name="_Toc227694821"/>
      <w:bookmarkStart w:id="703" w:name="_Toc227920935"/>
      <w:bookmarkStart w:id="704" w:name="_Toc227938836"/>
      <w:bookmarkStart w:id="705" w:name="_Toc227948087"/>
      <w:bookmarkStart w:id="706" w:name="_Toc233388646"/>
      <w:bookmarkStart w:id="707" w:name="_Toc233961453"/>
      <w:bookmarkStart w:id="708" w:name="_Toc233970262"/>
      <w:bookmarkStart w:id="709" w:name="_Toc240546592"/>
      <w:bookmarkStart w:id="710" w:name="_Toc240631993"/>
      <w:bookmarkStart w:id="711" w:name="_Toc242471178"/>
      <w:r w:rsidRPr="009F63DF">
        <w:t>Other monitoring requirements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14:paraId="47BB1ED5" w14:textId="06745205" w:rsidR="00A6239C" w:rsidRPr="009F63DF" w:rsidRDefault="00A6239C" w:rsidP="00E03E61">
      <w:pPr>
        <w:pStyle w:val="SDMPara"/>
        <w:rPr>
          <w:rFonts w:eastAsia="Montserrat"/>
        </w:rPr>
      </w:pPr>
      <w:r w:rsidRPr="009F63DF">
        <w:rPr>
          <w:rFonts w:eastAsia="Montserrat"/>
        </w:rPr>
        <w:t xml:space="preserve">When the activity participants apply for crediting period renewal, all methodological parameters shall be reassessed as per </w:t>
      </w:r>
      <w:r w:rsidR="004544A9" w:rsidRPr="009F63DF">
        <w:rPr>
          <w:rFonts w:eastAsia="Montserrat"/>
        </w:rPr>
        <w:t>a valid</w:t>
      </w:r>
      <w:r w:rsidRPr="009F63DF">
        <w:rPr>
          <w:rFonts w:eastAsia="Montserrat"/>
        </w:rPr>
        <w:t xml:space="preserve"> version of </w:t>
      </w:r>
      <w:r w:rsidR="004544A9" w:rsidRPr="009F63DF">
        <w:rPr>
          <w:rFonts w:eastAsia="Montserrat"/>
        </w:rPr>
        <w:t xml:space="preserve">a mechanism </w:t>
      </w:r>
      <w:r w:rsidRPr="009F63DF">
        <w:rPr>
          <w:rFonts w:eastAsia="Montserrat"/>
        </w:rPr>
        <w:t xml:space="preserve">methodology </w:t>
      </w:r>
      <w:r w:rsidR="004544A9" w:rsidRPr="009F63DF">
        <w:rPr>
          <w:rFonts w:eastAsia="Montserrat"/>
        </w:rPr>
        <w:t xml:space="preserve">used </w:t>
      </w:r>
      <w:r w:rsidRPr="009F63DF">
        <w:rPr>
          <w:rFonts w:eastAsia="Montserrat"/>
        </w:rPr>
        <w:t>at the time of renewal.</w:t>
      </w:r>
    </w:p>
    <w:p w14:paraId="24932459" w14:textId="756C8ADB" w:rsidR="00A6239C" w:rsidRPr="009F63DF" w:rsidRDefault="00A6239C" w:rsidP="00A6239C">
      <w:pPr>
        <w:pStyle w:val="SDMHead3"/>
      </w:pPr>
      <w:bookmarkStart w:id="712" w:name="_Toc227677300"/>
      <w:bookmarkStart w:id="713" w:name="_Toc227694822"/>
      <w:bookmarkStart w:id="714" w:name="_Toc227920936"/>
      <w:bookmarkStart w:id="715" w:name="_Toc227938837"/>
      <w:bookmarkStart w:id="716" w:name="_Toc227948088"/>
      <w:bookmarkStart w:id="717" w:name="_Toc233388647"/>
      <w:bookmarkStart w:id="718" w:name="_Toc233961454"/>
      <w:bookmarkStart w:id="719" w:name="_Toc233970263"/>
      <w:bookmarkStart w:id="720" w:name="_Toc240546593"/>
      <w:bookmarkStart w:id="721" w:name="_Toc240631994"/>
      <w:bookmarkStart w:id="722" w:name="_Toc242471179"/>
      <w:r w:rsidRPr="009F63DF">
        <w:t>Kitchen performance tests</w:t>
      </w:r>
      <w:bookmarkEnd w:id="712"/>
      <w:bookmarkEnd w:id="713"/>
      <w:bookmarkEnd w:id="714"/>
      <w:bookmarkEnd w:id="715"/>
      <w:bookmarkEnd w:id="716"/>
      <w:bookmarkEnd w:id="717"/>
      <w:bookmarkEnd w:id="718"/>
      <w:bookmarkEnd w:id="719"/>
      <w:bookmarkEnd w:id="720"/>
      <w:bookmarkEnd w:id="721"/>
      <w:bookmarkEnd w:id="722"/>
    </w:p>
    <w:p w14:paraId="4BDF6668" w14:textId="3BB48CFA" w:rsidR="001C2394" w:rsidRPr="009F63DF" w:rsidRDefault="001C2394" w:rsidP="00E03E61">
      <w:pPr>
        <w:pStyle w:val="SDMPara"/>
      </w:pPr>
      <w:bookmarkStart w:id="723" w:name="_Ref232108365"/>
      <w:r w:rsidRPr="009F63DF">
        <w:rPr>
          <w:rFonts w:eastAsia="Montserrat"/>
        </w:rPr>
        <w:t>KPTs</w:t>
      </w:r>
      <w:r w:rsidRPr="009F63DF" w:rsidDel="00B6351D">
        <w:rPr>
          <w:rFonts w:eastAsia="Montserrat"/>
        </w:rPr>
        <w:t xml:space="preserve"> </w:t>
      </w:r>
      <w:r w:rsidR="00B6351D" w:rsidRPr="009F63DF">
        <w:rPr>
          <w:rFonts w:eastAsia="Montserrat"/>
        </w:rPr>
        <w:t xml:space="preserve">shall </w:t>
      </w:r>
      <w:r w:rsidRPr="009F63DF">
        <w:rPr>
          <w:rFonts w:eastAsia="Montserrat"/>
        </w:rPr>
        <w:t xml:space="preserve">be undertaken every two years, within the last four months of the monitoring period for which </w:t>
      </w:r>
      <w:r w:rsidR="00504EB7" w:rsidRPr="009F63DF">
        <w:rPr>
          <w:rFonts w:eastAsia="Montserrat"/>
        </w:rPr>
        <w:t xml:space="preserve">emission reductions are quantified </w:t>
      </w:r>
      <w:r w:rsidR="00E47BC2" w:rsidRPr="009F63DF">
        <w:rPr>
          <w:rFonts w:eastAsia="Montserrat"/>
        </w:rPr>
        <w:t>(if the monitoring period itself is longer than four months)</w:t>
      </w:r>
      <w:r w:rsidRPr="009F63DF">
        <w:rPr>
          <w:rFonts w:eastAsia="Montserrat"/>
        </w:rPr>
        <w:t>, rather than at the beginning of a monitoring period. For a five-year crediting period,</w:t>
      </w:r>
      <w:r w:rsidR="00B6351D" w:rsidRPr="009F63DF">
        <w:rPr>
          <w:rFonts w:eastAsia="Montserrat"/>
        </w:rPr>
        <w:t xml:space="preserve"> activity participants</w:t>
      </w:r>
      <w:r w:rsidRPr="009F63DF">
        <w:rPr>
          <w:rFonts w:eastAsia="Montserrat"/>
        </w:rPr>
        <w:t xml:space="preserve"> </w:t>
      </w:r>
      <w:r w:rsidR="00AF6A0C" w:rsidRPr="009F63DF">
        <w:rPr>
          <w:rFonts w:eastAsia="Montserrat"/>
        </w:rPr>
        <w:t>should</w:t>
      </w:r>
      <w:r w:rsidRPr="009F63DF">
        <w:rPr>
          <w:rFonts w:eastAsia="Montserrat"/>
        </w:rPr>
        <w:t xml:space="preserve"> conduct </w:t>
      </w:r>
      <w:r w:rsidR="001031D5" w:rsidRPr="009F63DF">
        <w:rPr>
          <w:rFonts w:eastAsia="Montserrat"/>
        </w:rPr>
        <w:t>activity</w:t>
      </w:r>
      <w:r w:rsidR="00F02D74" w:rsidRPr="009F63DF">
        <w:rPr>
          <w:rFonts w:eastAsia="Montserrat"/>
        </w:rPr>
        <w:t xml:space="preserve"> </w:t>
      </w:r>
      <w:r w:rsidRPr="009F63DF">
        <w:rPr>
          <w:rFonts w:eastAsia="Montserrat"/>
        </w:rPr>
        <w:t xml:space="preserve">KPTs at the end of </w:t>
      </w:r>
      <w:r w:rsidR="000725EC" w:rsidRPr="009F63DF">
        <w:rPr>
          <w:rFonts w:eastAsia="Montserrat"/>
        </w:rPr>
        <w:t xml:space="preserve">year </w:t>
      </w:r>
      <w:r w:rsidRPr="009F63DF">
        <w:rPr>
          <w:rFonts w:eastAsia="Montserrat"/>
        </w:rPr>
        <w:t xml:space="preserve">2 and </w:t>
      </w:r>
      <w:r w:rsidR="000725EC" w:rsidRPr="009F63DF">
        <w:rPr>
          <w:rFonts w:eastAsia="Montserrat"/>
        </w:rPr>
        <w:t xml:space="preserve">year </w:t>
      </w:r>
      <w:r w:rsidRPr="009F63DF">
        <w:rPr>
          <w:rFonts w:eastAsia="Montserrat"/>
        </w:rPr>
        <w:t xml:space="preserve">4. They may either conduct an additional KPT in </w:t>
      </w:r>
      <w:r w:rsidR="000725EC" w:rsidRPr="009F63DF">
        <w:rPr>
          <w:rFonts w:eastAsia="Montserrat"/>
        </w:rPr>
        <w:t xml:space="preserve">year </w:t>
      </w:r>
      <w:r w:rsidRPr="009F63DF">
        <w:rPr>
          <w:rFonts w:eastAsia="Montserrat"/>
        </w:rPr>
        <w:t xml:space="preserve">5 or if the </w:t>
      </w:r>
      <w:r w:rsidR="00E13D28" w:rsidRPr="009F63DF">
        <w:rPr>
          <w:rFonts w:eastAsia="Montserrat"/>
        </w:rPr>
        <w:t xml:space="preserve">crediting period </w:t>
      </w:r>
      <w:r w:rsidRPr="009F63DF">
        <w:rPr>
          <w:rFonts w:eastAsia="Montserrat"/>
        </w:rPr>
        <w:t xml:space="preserve">is renewed, apply the results from KPTs conducted in </w:t>
      </w:r>
      <w:r w:rsidR="00353FCA" w:rsidRPr="009F63DF">
        <w:rPr>
          <w:rFonts w:eastAsia="Montserrat"/>
        </w:rPr>
        <w:t>y</w:t>
      </w:r>
      <w:r w:rsidRPr="009F63DF">
        <w:rPr>
          <w:rFonts w:eastAsia="Montserrat"/>
        </w:rPr>
        <w:t>ear 6.</w:t>
      </w:r>
      <w:bookmarkEnd w:id="723"/>
    </w:p>
    <w:p w14:paraId="48E9FFF3" w14:textId="77777777" w:rsidR="001C2394" w:rsidRPr="009F63DF" w:rsidRDefault="001C2394" w:rsidP="00F91295">
      <w:pPr>
        <w:pStyle w:val="SDMHead3"/>
      </w:pPr>
      <w:bookmarkStart w:id="724" w:name="_Toc226406700"/>
      <w:bookmarkStart w:id="725" w:name="_Toc226406701"/>
      <w:bookmarkStart w:id="726" w:name="_Toc219446947"/>
      <w:bookmarkStart w:id="727" w:name="_Toc219711082"/>
      <w:bookmarkStart w:id="728" w:name="_Toc219711185"/>
      <w:bookmarkStart w:id="729" w:name="_Toc219711362"/>
      <w:bookmarkStart w:id="730" w:name="_Toc226502297"/>
      <w:bookmarkStart w:id="731" w:name="_Toc226576250"/>
      <w:bookmarkStart w:id="732" w:name="_Toc226983101"/>
      <w:bookmarkStart w:id="733" w:name="_Toc227677301"/>
      <w:bookmarkStart w:id="734" w:name="_Toc227694823"/>
      <w:bookmarkStart w:id="735" w:name="_Toc227920937"/>
      <w:bookmarkStart w:id="736" w:name="_Toc227938838"/>
      <w:bookmarkStart w:id="737" w:name="_Toc227948089"/>
      <w:bookmarkStart w:id="738" w:name="_Toc233388648"/>
      <w:bookmarkStart w:id="739" w:name="_Toc233961455"/>
      <w:bookmarkStart w:id="740" w:name="_Toc233970264"/>
      <w:bookmarkStart w:id="741" w:name="_Toc240546594"/>
      <w:bookmarkStart w:id="742" w:name="_Toc240631995"/>
      <w:bookmarkStart w:id="743" w:name="_Toc242471180"/>
      <w:bookmarkEnd w:id="724"/>
      <w:bookmarkEnd w:id="725"/>
      <w:r w:rsidRPr="009F63DF">
        <w:t>Seasonality</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13FEFEAD" w14:textId="6E254736" w:rsidR="00707D7C" w:rsidRPr="009F63DF" w:rsidRDefault="00957FDB" w:rsidP="00E03E61">
      <w:pPr>
        <w:pStyle w:val="SDMPara"/>
        <w:rPr>
          <w:rFonts w:eastAsia="Arial"/>
        </w:rPr>
      </w:pPr>
      <w:r w:rsidRPr="009F63DF">
        <w:rPr>
          <w:rFonts w:eastAsia="Arial"/>
        </w:rPr>
        <w:t>Activities</w:t>
      </w:r>
      <w:r w:rsidR="001C2394" w:rsidRPr="009F63DF">
        <w:rPr>
          <w:rFonts w:eastAsia="Arial"/>
        </w:rPr>
        <w:t xml:space="preserve"> are required to account for the impact of seasonal variation on fuel-use measurements in the </w:t>
      </w:r>
      <w:r w:rsidRPr="009F63DF">
        <w:rPr>
          <w:rFonts w:eastAsia="Arial"/>
        </w:rPr>
        <w:t>activity</w:t>
      </w:r>
      <w:r w:rsidR="001C2394" w:rsidRPr="009F63DF">
        <w:rPr>
          <w:rFonts w:eastAsia="Arial"/>
        </w:rPr>
        <w:t xml:space="preserve"> scenarios. Prior to</w:t>
      </w:r>
      <w:r w:rsidRPr="009F63DF" w:rsidDel="00F772FF">
        <w:rPr>
          <w:rFonts w:eastAsia="Arial"/>
        </w:rPr>
        <w:t xml:space="preserve"> </w:t>
      </w:r>
      <w:r w:rsidR="001C2394" w:rsidRPr="009F63DF">
        <w:rPr>
          <w:rFonts w:eastAsia="Arial"/>
        </w:rPr>
        <w:t xml:space="preserve">validation, </w:t>
      </w:r>
      <w:r w:rsidRPr="009F63DF">
        <w:rPr>
          <w:rFonts w:eastAsia="Arial"/>
        </w:rPr>
        <w:t>activities</w:t>
      </w:r>
      <w:r w:rsidR="001C2394" w:rsidRPr="009F63DF">
        <w:rPr>
          <w:rFonts w:eastAsia="Arial"/>
        </w:rPr>
        <w:t xml:space="preserve"> shall collect data during the pre-</w:t>
      </w:r>
      <w:r w:rsidR="00BD48F5" w:rsidRPr="009F63DF">
        <w:rPr>
          <w:rFonts w:eastAsia="Arial"/>
        </w:rPr>
        <w:t>activity</w:t>
      </w:r>
      <w:r w:rsidR="001C2394" w:rsidRPr="009F63DF">
        <w:rPr>
          <w:rFonts w:eastAsia="Arial"/>
        </w:rPr>
        <w:t xml:space="preserve"> survey on the relative fuel use at different times of the year. </w:t>
      </w:r>
      <w:r w:rsidR="001034AB" w:rsidRPr="009F63DF">
        <w:rPr>
          <w:rFonts w:eastAsia="Arial"/>
        </w:rPr>
        <w:t xml:space="preserve">Where space heating has been identified in the pre-activity scenarios, project cookstoves may also be used in an ancillary way to meet </w:t>
      </w:r>
      <w:r w:rsidR="0016174E" w:rsidRPr="009F63DF">
        <w:rPr>
          <w:rFonts w:eastAsia="Arial"/>
        </w:rPr>
        <w:t xml:space="preserve">space </w:t>
      </w:r>
      <w:r w:rsidR="001034AB" w:rsidRPr="009F63DF">
        <w:rPr>
          <w:rFonts w:eastAsia="Arial"/>
        </w:rPr>
        <w:t xml:space="preserve">heating requirements e.g. under seasonal variation. </w:t>
      </w:r>
      <w:r w:rsidR="00AA08A8" w:rsidRPr="009F63DF">
        <w:rPr>
          <w:rFonts w:eastAsia="Arial"/>
        </w:rPr>
        <w:t>In any case</w:t>
      </w:r>
      <w:r w:rsidR="008506A5" w:rsidRPr="009F63DF">
        <w:rPr>
          <w:rFonts w:eastAsia="Arial"/>
        </w:rPr>
        <w:t>, t</w:t>
      </w:r>
      <w:r w:rsidR="006B711D" w:rsidRPr="009F63DF">
        <w:rPr>
          <w:rFonts w:eastAsia="Arial"/>
        </w:rPr>
        <w:t xml:space="preserve">he primary </w:t>
      </w:r>
      <w:r w:rsidR="000D404B" w:rsidRPr="009F63DF">
        <w:rPr>
          <w:rFonts w:eastAsia="Arial"/>
        </w:rPr>
        <w:t>use</w:t>
      </w:r>
      <w:r w:rsidR="006B711D" w:rsidRPr="009F63DF">
        <w:rPr>
          <w:rFonts w:eastAsia="Arial"/>
        </w:rPr>
        <w:t xml:space="preserve"> of the project cookstove shall not be to meet </w:t>
      </w:r>
      <w:r w:rsidR="005F0054" w:rsidRPr="009F63DF">
        <w:rPr>
          <w:rFonts w:eastAsia="Arial"/>
        </w:rPr>
        <w:t xml:space="preserve">space </w:t>
      </w:r>
      <w:r w:rsidR="006B711D" w:rsidRPr="009F63DF">
        <w:rPr>
          <w:rFonts w:eastAsia="Arial"/>
        </w:rPr>
        <w:t xml:space="preserve">heating requirements. </w:t>
      </w:r>
      <w:r w:rsidR="00B6351D" w:rsidRPr="009F63DF">
        <w:rPr>
          <w:rFonts w:eastAsia="Arial"/>
        </w:rPr>
        <w:t>Activity participants</w:t>
      </w:r>
      <w:r w:rsidR="001C2394" w:rsidRPr="009F63DF">
        <w:rPr>
          <w:rFonts w:eastAsia="Arial"/>
        </w:rPr>
        <w:t xml:space="preserve"> </w:t>
      </w:r>
      <w:r w:rsidR="00B6351D" w:rsidRPr="009F63DF">
        <w:rPr>
          <w:rFonts w:eastAsia="Arial"/>
        </w:rPr>
        <w:t>shall</w:t>
      </w:r>
      <w:r w:rsidR="001C2394" w:rsidRPr="009F63DF">
        <w:rPr>
          <w:rFonts w:eastAsia="Arial"/>
        </w:rPr>
        <w:t xml:space="preserve"> incorporate the resulting information into their monitoring plan design and justify on the </w:t>
      </w:r>
      <w:r w:rsidR="00D14A33" w:rsidRPr="009F63DF">
        <w:rPr>
          <w:rFonts w:eastAsia="Arial"/>
        </w:rPr>
        <w:t>Activity</w:t>
      </w:r>
      <w:r w:rsidR="00F02D74" w:rsidRPr="009F63DF">
        <w:rPr>
          <w:rFonts w:eastAsia="Arial"/>
        </w:rPr>
        <w:t xml:space="preserve"> </w:t>
      </w:r>
      <w:r w:rsidR="004B723A" w:rsidRPr="009F63DF">
        <w:rPr>
          <w:rFonts w:eastAsia="Arial"/>
        </w:rPr>
        <w:t>i</w:t>
      </w:r>
      <w:r w:rsidR="00F02D74" w:rsidRPr="009F63DF">
        <w:rPr>
          <w:rFonts w:eastAsia="Arial"/>
        </w:rPr>
        <w:t xml:space="preserve">nformation </w:t>
      </w:r>
      <w:r w:rsidR="004B723A" w:rsidRPr="009F63DF">
        <w:rPr>
          <w:rFonts w:eastAsia="Arial"/>
        </w:rPr>
        <w:t>c</w:t>
      </w:r>
      <w:r w:rsidR="00F02D74" w:rsidRPr="009F63DF">
        <w:rPr>
          <w:rFonts w:eastAsia="Arial"/>
        </w:rPr>
        <w:t xml:space="preserve">over </w:t>
      </w:r>
      <w:r w:rsidR="004B723A" w:rsidRPr="009F63DF">
        <w:rPr>
          <w:rFonts w:eastAsia="Arial"/>
        </w:rPr>
        <w:t>s</w:t>
      </w:r>
      <w:r w:rsidR="00F02D74" w:rsidRPr="009F63DF">
        <w:rPr>
          <w:rFonts w:eastAsia="Arial"/>
        </w:rPr>
        <w:t>heet</w:t>
      </w:r>
      <w:r w:rsidR="001C2394" w:rsidRPr="009F63DF">
        <w:rPr>
          <w:rFonts w:eastAsia="Arial"/>
        </w:rPr>
        <w:t xml:space="preserve"> how the approach they are taking will result in </w:t>
      </w:r>
      <w:r w:rsidRPr="009F63DF">
        <w:rPr>
          <w:rFonts w:eastAsia="Arial"/>
        </w:rPr>
        <w:t>activity</w:t>
      </w:r>
      <w:r w:rsidR="001C2394" w:rsidRPr="009F63DF">
        <w:rPr>
          <w:rFonts w:eastAsia="Arial"/>
        </w:rPr>
        <w:t xml:space="preserve"> fuel use measurements</w:t>
      </w:r>
      <w:r w:rsidR="00D94430" w:rsidRPr="009F63DF">
        <w:rPr>
          <w:rFonts w:eastAsia="Arial"/>
        </w:rPr>
        <w:t xml:space="preserve"> focused on cooking events</w:t>
      </w:r>
      <w:r w:rsidR="001C2394" w:rsidRPr="009F63DF">
        <w:rPr>
          <w:rFonts w:eastAsia="Arial"/>
        </w:rPr>
        <w:t>.</w:t>
      </w:r>
      <w:r w:rsidR="001C2394" w:rsidRPr="009F63DF" w:rsidDel="00452AC7">
        <w:rPr>
          <w:rFonts w:eastAsia="Arial"/>
        </w:rPr>
        <w:t xml:space="preserve"> </w:t>
      </w:r>
      <w:r w:rsidR="00452AC7" w:rsidRPr="009F63DF">
        <w:rPr>
          <w:rFonts w:eastAsia="Arial"/>
        </w:rPr>
        <w:t xml:space="preserve">For example, if </w:t>
      </w:r>
      <w:r w:rsidR="003E6986" w:rsidRPr="009F63DF">
        <w:rPr>
          <w:rFonts w:eastAsia="Arial"/>
        </w:rPr>
        <w:t xml:space="preserve">ancillary </w:t>
      </w:r>
      <w:r w:rsidR="001C2394" w:rsidRPr="009F63DF">
        <w:rPr>
          <w:rFonts w:eastAsia="Arial"/>
        </w:rPr>
        <w:t xml:space="preserve">space heating is common in the </w:t>
      </w:r>
      <w:r w:rsidR="007D53C9" w:rsidRPr="009F63DF">
        <w:rPr>
          <w:rFonts w:eastAsia="Arial"/>
        </w:rPr>
        <w:t>activity</w:t>
      </w:r>
      <w:r w:rsidR="001C2394" w:rsidRPr="009F63DF">
        <w:rPr>
          <w:rFonts w:eastAsia="Arial"/>
        </w:rPr>
        <w:t xml:space="preserve"> area</w:t>
      </w:r>
      <w:r w:rsidR="00707D7C" w:rsidRPr="009F63DF">
        <w:rPr>
          <w:rFonts w:eastAsia="Arial"/>
        </w:rPr>
        <w:t xml:space="preserve"> in a certain season</w:t>
      </w:r>
      <w:r w:rsidR="001C2394" w:rsidRPr="009F63DF">
        <w:rPr>
          <w:rFonts w:eastAsia="Arial"/>
        </w:rPr>
        <w:t>,</w:t>
      </w:r>
      <w:r w:rsidR="005813BD" w:rsidRPr="009F63DF">
        <w:rPr>
          <w:rFonts w:eastAsia="Arial"/>
        </w:rPr>
        <w:t xml:space="preserve"> activity participants shall schedule activity </w:t>
      </w:r>
      <w:r w:rsidR="00F90DF5" w:rsidRPr="009F63DF">
        <w:rPr>
          <w:rFonts w:eastAsia="Arial"/>
        </w:rPr>
        <w:t xml:space="preserve">KPT </w:t>
      </w:r>
      <w:r w:rsidR="005813BD" w:rsidRPr="009F63DF">
        <w:rPr>
          <w:rFonts w:eastAsia="Arial"/>
        </w:rPr>
        <w:t>measurements</w:t>
      </w:r>
      <w:r w:rsidR="00130F3D" w:rsidRPr="009F63DF">
        <w:rPr>
          <w:rFonts w:eastAsia="Arial"/>
        </w:rPr>
        <w:t xml:space="preserve"> outside this season</w:t>
      </w:r>
      <w:r w:rsidR="001C2394" w:rsidRPr="009F63DF">
        <w:rPr>
          <w:rFonts w:eastAsia="Arial"/>
        </w:rPr>
        <w:t>.</w:t>
      </w:r>
    </w:p>
    <w:p w14:paraId="540CE578" w14:textId="17EEDE95" w:rsidR="001C2394" w:rsidRPr="009F63DF" w:rsidRDefault="001C2394" w:rsidP="00E03E61">
      <w:pPr>
        <w:pStyle w:val="SDMPara"/>
      </w:pPr>
      <w:r w:rsidRPr="009F63DF">
        <w:rPr>
          <w:rFonts w:eastAsia="Arial"/>
        </w:rPr>
        <w:t xml:space="preserve">If an accurate approach cannot be taken, then </w:t>
      </w:r>
      <w:r w:rsidR="007D53C9" w:rsidRPr="009F63DF">
        <w:rPr>
          <w:rFonts w:eastAsia="Arial"/>
        </w:rPr>
        <w:t>activity</w:t>
      </w:r>
      <w:r w:rsidRPr="009F63DF" w:rsidDel="00BB57DC">
        <w:rPr>
          <w:rFonts w:eastAsia="Arial"/>
        </w:rPr>
        <w:t xml:space="preserve"> </w:t>
      </w:r>
      <w:r w:rsidR="00DE61ED" w:rsidRPr="009F63DF">
        <w:rPr>
          <w:rFonts w:eastAsia="Arial"/>
        </w:rPr>
        <w:t xml:space="preserve">participants </w:t>
      </w:r>
      <w:r w:rsidRPr="009F63DF">
        <w:rPr>
          <w:rFonts w:eastAsia="Arial"/>
        </w:rPr>
        <w:t>shall instead select and justify a conservative approach.</w:t>
      </w:r>
    </w:p>
    <w:p w14:paraId="0DCBFE6B" w14:textId="38D79101" w:rsidR="001C2394" w:rsidRPr="009F63DF" w:rsidRDefault="001C2394" w:rsidP="00F91295">
      <w:pPr>
        <w:pStyle w:val="SDMHead3"/>
      </w:pPr>
      <w:bookmarkStart w:id="744" w:name="_Toc219446949"/>
      <w:bookmarkStart w:id="745" w:name="_Toc219711084"/>
      <w:bookmarkStart w:id="746" w:name="_Toc219711187"/>
      <w:bookmarkStart w:id="747" w:name="_Toc219711364"/>
      <w:bookmarkStart w:id="748" w:name="_Toc226502298"/>
      <w:bookmarkStart w:id="749" w:name="_Toc226576251"/>
      <w:bookmarkStart w:id="750" w:name="_Toc226983102"/>
      <w:bookmarkStart w:id="751" w:name="_Toc227677302"/>
      <w:bookmarkStart w:id="752" w:name="_Toc227694824"/>
      <w:bookmarkStart w:id="753" w:name="_Toc227920938"/>
      <w:bookmarkStart w:id="754" w:name="_Toc227938839"/>
      <w:bookmarkStart w:id="755" w:name="_Toc227948090"/>
      <w:bookmarkStart w:id="756" w:name="_Toc233388649"/>
      <w:bookmarkStart w:id="757" w:name="_Toc233961456"/>
      <w:bookmarkStart w:id="758" w:name="_Toc233970265"/>
      <w:bookmarkStart w:id="759" w:name="_Toc240546595"/>
      <w:bookmarkStart w:id="760" w:name="_Toc240631996"/>
      <w:bookmarkStart w:id="761" w:name="_Toc242471181"/>
      <w:r w:rsidRPr="009F63DF">
        <w:t>Stove use monitoring</w:t>
      </w:r>
      <w:bookmarkEnd w:id="744"/>
      <w:bookmarkEnd w:id="745"/>
      <w:bookmarkEnd w:id="746"/>
      <w:bookmarkEnd w:id="747"/>
      <w:r w:rsidRPr="009F63DF">
        <w:t xml:space="preserve"> (SUM</w:t>
      </w:r>
      <w:r w:rsidRPr="009F63DF" w:rsidDel="00BE3D20">
        <w:t>s</w:t>
      </w:r>
      <w:r w:rsidRPr="009F63DF">
        <w:t>)</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7FB261D2" w14:textId="77777777" w:rsidR="006D2932" w:rsidRPr="009F63DF" w:rsidRDefault="001C2394" w:rsidP="00E03E61">
      <w:pPr>
        <w:pStyle w:val="SDMPara"/>
        <w:rPr>
          <w:rFonts w:eastAsia="Arial"/>
        </w:rPr>
      </w:pPr>
      <w:r w:rsidRPr="009F63DF">
        <w:rPr>
          <w:rFonts w:eastAsia="Arial"/>
        </w:rPr>
        <w:t xml:space="preserve">The algorithm for estimating </w:t>
      </w:r>
      <w:r w:rsidR="002E7018" w:rsidRPr="009F63DF">
        <w:rPr>
          <w:rFonts w:eastAsia="Arial"/>
        </w:rPr>
        <w:t>cooking</w:t>
      </w:r>
      <w:r w:rsidRPr="009F63DF">
        <w:rPr>
          <w:rFonts w:eastAsia="Arial"/>
        </w:rPr>
        <w:t xml:space="preserve"> events shall be able to reliably distinguish </w:t>
      </w:r>
      <w:r w:rsidR="002E7018" w:rsidRPr="009F63DF">
        <w:rPr>
          <w:rFonts w:eastAsia="Arial"/>
        </w:rPr>
        <w:t>cooking</w:t>
      </w:r>
      <w:r w:rsidRPr="009F63DF">
        <w:rPr>
          <w:rFonts w:eastAsia="Arial"/>
        </w:rPr>
        <w:t xml:space="preserve"> events from other potential factors that could be interpreted as </w:t>
      </w:r>
      <w:r w:rsidR="002E7018" w:rsidRPr="009F63DF">
        <w:rPr>
          <w:rFonts w:eastAsia="Arial"/>
        </w:rPr>
        <w:t>cooking</w:t>
      </w:r>
      <w:r w:rsidRPr="009F63DF">
        <w:rPr>
          <w:rFonts w:eastAsia="Arial"/>
        </w:rPr>
        <w:t xml:space="preserve"> events that are caused by external reasons (e.g., temperature fluctuations from typical diurnal patterns).</w:t>
      </w:r>
    </w:p>
    <w:p w14:paraId="65EC0FD5" w14:textId="1A1055A5" w:rsidR="001C2394" w:rsidRPr="009F63DF" w:rsidRDefault="001C2394" w:rsidP="00E03E61">
      <w:pPr>
        <w:pStyle w:val="SDMPara"/>
      </w:pPr>
      <w:r w:rsidRPr="009F63DF">
        <w:rPr>
          <w:rFonts w:eastAsia="Arial"/>
        </w:rPr>
        <w:t xml:space="preserve">The algorithms shall be clearly presented publicly </w:t>
      </w:r>
      <w:r w:rsidR="002E7018" w:rsidRPr="009F63DF">
        <w:rPr>
          <w:rFonts w:eastAsia="Arial"/>
        </w:rPr>
        <w:t xml:space="preserve">in the PDD </w:t>
      </w:r>
      <w:r w:rsidRPr="009F63DF">
        <w:rPr>
          <w:rFonts w:eastAsia="Arial"/>
        </w:rPr>
        <w:t>with associated equations or logic rules</w:t>
      </w:r>
      <w:r w:rsidR="00934561" w:rsidRPr="009F63DF">
        <w:rPr>
          <w:rFonts w:eastAsia="Arial"/>
        </w:rPr>
        <w:t>.</w:t>
      </w:r>
    </w:p>
    <w:p w14:paraId="2C284ABA" w14:textId="721B719E" w:rsidR="001C2394" w:rsidRPr="009F63DF" w:rsidRDefault="001C2394" w:rsidP="00E03E61">
      <w:pPr>
        <w:pStyle w:val="SDMPara"/>
        <w:rPr>
          <w:rFonts w:eastAsia="Montserrat"/>
        </w:rPr>
      </w:pPr>
      <w:r w:rsidRPr="009F63DF">
        <w:rPr>
          <w:rFonts w:eastAsia="Arial"/>
        </w:rPr>
        <w:t xml:space="preserve">The same algorithm and SUM device type </w:t>
      </w:r>
      <w:r w:rsidR="00A408B6" w:rsidRPr="009F63DF">
        <w:rPr>
          <w:rFonts w:eastAsia="Arial"/>
        </w:rPr>
        <w:t>should</w:t>
      </w:r>
      <w:r w:rsidRPr="009F63DF">
        <w:rPr>
          <w:rFonts w:eastAsia="Arial"/>
        </w:rPr>
        <w:t xml:space="preserve"> be used for the duration of the </w:t>
      </w:r>
      <w:r w:rsidR="00A764E6" w:rsidRPr="009F63DF">
        <w:rPr>
          <w:rFonts w:eastAsia="Arial"/>
        </w:rPr>
        <w:t>Article 6.4 activity</w:t>
      </w:r>
      <w:r w:rsidR="00A408B6" w:rsidRPr="009F63DF">
        <w:rPr>
          <w:rFonts w:eastAsia="Arial"/>
        </w:rPr>
        <w:t>. I</w:t>
      </w:r>
      <w:r w:rsidR="00A408B6" w:rsidRPr="009F63DF">
        <w:t>f a different SUM device</w:t>
      </w:r>
      <w:r w:rsidR="006F0517" w:rsidRPr="009F63DF">
        <w:t xml:space="preserve"> type</w:t>
      </w:r>
      <w:r w:rsidR="00A408B6" w:rsidRPr="009F63DF">
        <w:t xml:space="preserve"> or algorithm is used, then the </w:t>
      </w:r>
      <w:r w:rsidR="00957FDB" w:rsidRPr="009F63DF">
        <w:t>activity</w:t>
      </w:r>
      <w:r w:rsidR="00A408B6" w:rsidRPr="009F63DF">
        <w:t xml:space="preserve"> </w:t>
      </w:r>
      <w:r w:rsidR="007B7314" w:rsidRPr="009F63DF">
        <w:t>shall</w:t>
      </w:r>
      <w:r w:rsidR="00A408B6" w:rsidRPr="009F63DF">
        <w:t xml:space="preserve"> demonstrate that the stove use estimates between the two approaches are unbiased. This can be demonstrated by conducting a side-by-side comparison in a representative subsample of households, where both devices/algorithms are applied simultaneously, and the resulting cooking event estimates are compared. Statistical tests such as paired t-tests, regression analyses, or Bland–Altman plots may be used to assess whether systematic bias exists. The results of these tests, along with all supporting data and documentation, </w:t>
      </w:r>
      <w:r w:rsidR="007B7314" w:rsidRPr="009F63DF">
        <w:t>shall</w:t>
      </w:r>
      <w:r w:rsidR="00A408B6" w:rsidRPr="009F63DF">
        <w:t xml:space="preserve"> be provided to the DOE</w:t>
      </w:r>
      <w:r w:rsidR="00934561" w:rsidRPr="009F63DF">
        <w:t>.</w:t>
      </w:r>
    </w:p>
    <w:p w14:paraId="20C78E13" w14:textId="11F8194D" w:rsidR="001C2394" w:rsidRPr="009F63DF" w:rsidRDefault="001C2394" w:rsidP="00E03E61">
      <w:pPr>
        <w:pStyle w:val="SDMPara"/>
      </w:pPr>
      <w:r w:rsidRPr="009F63DF">
        <w:rPr>
          <w:rFonts w:eastAsia="Arial"/>
        </w:rPr>
        <w:t xml:space="preserve">Sampling shall meet the 95/10 </w:t>
      </w:r>
      <w:r w:rsidR="004752DF" w:rsidRPr="009F63DF">
        <w:rPr>
          <w:rFonts w:eastAsia="Arial"/>
        </w:rPr>
        <w:t>confidence / reliability</w:t>
      </w:r>
      <w:r w:rsidRPr="009F63DF">
        <w:rPr>
          <w:rFonts w:eastAsia="Arial"/>
        </w:rPr>
        <w:t xml:space="preserve"> guidelines</w:t>
      </w:r>
      <w:r w:rsidR="00934561" w:rsidRPr="009F63DF">
        <w:rPr>
          <w:rFonts w:eastAsia="Arial"/>
        </w:rPr>
        <w:t>.</w:t>
      </w:r>
    </w:p>
    <w:p w14:paraId="4C568F62" w14:textId="77777777" w:rsidR="006D2932" w:rsidRPr="009F63DF" w:rsidRDefault="001C2394" w:rsidP="00E03E61">
      <w:pPr>
        <w:pStyle w:val="SDMPara"/>
        <w:rPr>
          <w:rFonts w:eastAsia="Arial"/>
        </w:rPr>
      </w:pPr>
      <w:r w:rsidRPr="009F63DF">
        <w:rPr>
          <w:rFonts w:eastAsia="Arial"/>
        </w:rPr>
        <w:t>SUM</w:t>
      </w:r>
      <w:r w:rsidRPr="009F63DF" w:rsidDel="00BE3D20">
        <w:rPr>
          <w:rFonts w:eastAsia="Arial"/>
        </w:rPr>
        <w:t>s</w:t>
      </w:r>
      <w:r w:rsidRPr="009F63DF">
        <w:rPr>
          <w:rFonts w:eastAsia="Arial"/>
        </w:rPr>
        <w:t xml:space="preserve"> sampling protocols (installation, placement, downloading) and algorithms used to convert raw data into cooking events shall not change between sampling during KPTs and sampling following KPTs</w:t>
      </w:r>
      <w:r w:rsidR="00FB3451" w:rsidRPr="009F63DF">
        <w:rPr>
          <w:rFonts w:eastAsia="Arial"/>
        </w:rPr>
        <w:t>, nor from year to year</w:t>
      </w:r>
      <w:r w:rsidRPr="009F63DF">
        <w:rPr>
          <w:rFonts w:eastAsia="Arial"/>
        </w:rPr>
        <w:t>.</w:t>
      </w:r>
    </w:p>
    <w:p w14:paraId="22A233D7" w14:textId="1E556028" w:rsidR="001C2394" w:rsidRPr="009F63DF" w:rsidRDefault="00F66E42" w:rsidP="00E03E61">
      <w:pPr>
        <w:pStyle w:val="SDMPara"/>
      </w:pPr>
      <w:r w:rsidRPr="009F63DF">
        <w:rPr>
          <w:rFonts w:eastAsia="Arial"/>
        </w:rPr>
        <w:t>Activity h</w:t>
      </w:r>
      <w:r w:rsidR="000F0BF2" w:rsidRPr="009F63DF">
        <w:rPr>
          <w:rFonts w:eastAsia="Arial"/>
        </w:rPr>
        <w:t xml:space="preserve">ouseholds </w:t>
      </w:r>
      <w:r w:rsidR="001C2394" w:rsidRPr="009F63DF">
        <w:rPr>
          <w:rFonts w:eastAsia="Arial"/>
        </w:rPr>
        <w:t xml:space="preserve">in the SUMs </w:t>
      </w:r>
      <w:r w:rsidR="001C2394" w:rsidRPr="009F63DF" w:rsidDel="00ED417A">
        <w:rPr>
          <w:rFonts w:eastAsia="Arial"/>
        </w:rPr>
        <w:t xml:space="preserve">sample </w:t>
      </w:r>
      <w:r w:rsidR="001C2394" w:rsidRPr="009F63DF">
        <w:rPr>
          <w:rFonts w:eastAsia="Arial"/>
        </w:rPr>
        <w:t xml:space="preserve">shall not receive any support different or additional to those not </w:t>
      </w:r>
      <w:r w:rsidR="00DB016B" w:rsidRPr="009F63DF">
        <w:rPr>
          <w:rFonts w:eastAsia="Arial"/>
        </w:rPr>
        <w:t>included</w:t>
      </w:r>
      <w:r w:rsidR="001C2394" w:rsidRPr="009F63DF">
        <w:rPr>
          <w:rFonts w:eastAsia="Arial"/>
        </w:rPr>
        <w:t xml:space="preserve"> in the sample.</w:t>
      </w:r>
    </w:p>
    <w:p w14:paraId="09308E60" w14:textId="7B711DF8" w:rsidR="00114AAC" w:rsidRPr="009F63DF" w:rsidRDefault="00114AAC" w:rsidP="00E03E61">
      <w:pPr>
        <w:pStyle w:val="SDMPara"/>
      </w:pPr>
      <w:r w:rsidRPr="009F63DF">
        <w:rPr>
          <w:color w:val="000000"/>
        </w:rPr>
        <w:t>Activity participants shall ensure that photographs of the SUMs placement in each sampled household are taken and retained as part of the monitoring record</w:t>
      </w:r>
      <w:r w:rsidR="00934561" w:rsidRPr="009F63DF">
        <w:rPr>
          <w:color w:val="000000"/>
        </w:rPr>
        <w:t>.</w:t>
      </w:r>
    </w:p>
    <w:p w14:paraId="43AB76C7" w14:textId="266F2B71" w:rsidR="001C2394" w:rsidRPr="009F63DF" w:rsidRDefault="001C2394" w:rsidP="00E03E61">
      <w:pPr>
        <w:pStyle w:val="SDMPara"/>
      </w:pPr>
      <w:r w:rsidRPr="009F63DF">
        <w:rPr>
          <w:rFonts w:eastAsia="Montserrat"/>
        </w:rPr>
        <w:t xml:space="preserve">For </w:t>
      </w:r>
      <w:r w:rsidR="00957FDB" w:rsidRPr="009F63DF">
        <w:rPr>
          <w:rFonts w:eastAsia="Montserrat"/>
        </w:rPr>
        <w:t>activities</w:t>
      </w:r>
      <w:r w:rsidRPr="009F63DF">
        <w:rPr>
          <w:rFonts w:eastAsia="Montserrat"/>
        </w:rPr>
        <w:t xml:space="preserve"> using the KPT and SUM</w:t>
      </w:r>
      <w:r w:rsidRPr="009F63DF" w:rsidDel="00ED417A">
        <w:rPr>
          <w:rFonts w:eastAsia="Montserrat"/>
        </w:rPr>
        <w:t>s</w:t>
      </w:r>
      <w:r w:rsidRPr="009F63DF">
        <w:rPr>
          <w:rFonts w:eastAsia="Montserrat"/>
        </w:rPr>
        <w:t xml:space="preserve"> approach</w:t>
      </w:r>
      <w:r w:rsidR="00950A7E" w:rsidRPr="009F63DF">
        <w:rPr>
          <w:rFonts w:eastAsia="Montserrat"/>
        </w:rPr>
        <w:t xml:space="preserve"> described in section </w:t>
      </w:r>
      <w:r w:rsidR="00950A7E" w:rsidRPr="009F63DF">
        <w:rPr>
          <w:rFonts w:eastAsia="Montserrat"/>
        </w:rPr>
        <w:fldChar w:fldCharType="begin"/>
      </w:r>
      <w:r w:rsidR="00950A7E" w:rsidRPr="009F63DF">
        <w:rPr>
          <w:rFonts w:eastAsia="Montserrat"/>
        </w:rPr>
        <w:instrText xml:space="preserve"> REF _Ref227017238 \n \h </w:instrText>
      </w:r>
      <w:r w:rsidR="00950A7E" w:rsidRPr="009F63DF">
        <w:rPr>
          <w:rFonts w:eastAsia="Montserrat"/>
        </w:rPr>
      </w:r>
      <w:r w:rsidR="00950A7E" w:rsidRPr="009F63DF">
        <w:rPr>
          <w:rFonts w:eastAsia="Montserrat"/>
        </w:rPr>
        <w:fldChar w:fldCharType="separate"/>
      </w:r>
      <w:r w:rsidR="00831DAE">
        <w:rPr>
          <w:rFonts w:eastAsia="Montserrat"/>
          <w:cs/>
        </w:rPr>
        <w:t>‎</w:t>
      </w:r>
      <w:r w:rsidR="00831DAE">
        <w:rPr>
          <w:rFonts w:eastAsia="Montserrat"/>
        </w:rPr>
        <w:t>8.2.3</w:t>
      </w:r>
      <w:r w:rsidR="00950A7E" w:rsidRPr="009F63DF">
        <w:rPr>
          <w:rFonts w:eastAsia="Montserrat"/>
        </w:rPr>
        <w:fldChar w:fldCharType="end"/>
      </w:r>
      <w:r w:rsidRPr="009F63DF">
        <w:rPr>
          <w:rFonts w:eastAsia="Montserrat"/>
        </w:rPr>
        <w:t xml:space="preserve">, the average of the cookstove use events per day during the full </w:t>
      </w:r>
      <w:r w:rsidR="00E11717" w:rsidRPr="009F63DF">
        <w:rPr>
          <w:rFonts w:eastAsia="Montserrat"/>
        </w:rPr>
        <w:t>30 days</w:t>
      </w:r>
      <w:r w:rsidRPr="009F63DF">
        <w:rPr>
          <w:rFonts w:eastAsia="Montserrat"/>
        </w:rPr>
        <w:t xml:space="preserve"> of stove use monitoring shall be used to adjust for potential Hawthorne </w:t>
      </w:r>
      <w:r w:rsidR="00244803" w:rsidRPr="009F63DF">
        <w:rPr>
          <w:rFonts w:eastAsia="Montserrat"/>
        </w:rPr>
        <w:t>e</w:t>
      </w:r>
      <w:r w:rsidRPr="009F63DF">
        <w:rPr>
          <w:rFonts w:eastAsia="Montserrat"/>
        </w:rPr>
        <w:t>ffects. If SUM</w:t>
      </w:r>
      <w:r w:rsidRPr="009F63DF" w:rsidDel="00ED417A">
        <w:rPr>
          <w:rFonts w:eastAsia="Montserrat"/>
        </w:rPr>
        <w:t>s</w:t>
      </w:r>
      <w:r w:rsidRPr="009F63DF">
        <w:rPr>
          <w:rFonts w:eastAsia="Montserrat"/>
        </w:rPr>
        <w:t xml:space="preserve"> data is incomplete or missing, it shall be omitted from the analysis.</w:t>
      </w:r>
    </w:p>
    <w:p w14:paraId="23F8888F" w14:textId="77777777" w:rsidR="001C2394" w:rsidRPr="009F63DF" w:rsidRDefault="001C2394" w:rsidP="00F91295">
      <w:pPr>
        <w:pStyle w:val="SDMHead1"/>
      </w:pPr>
      <w:bookmarkStart w:id="762" w:name="S13"/>
      <w:bookmarkStart w:id="763" w:name="_Toc193924640"/>
      <w:bookmarkStart w:id="764" w:name="_Toc219446950"/>
      <w:bookmarkStart w:id="765" w:name="_Toc219711085"/>
      <w:bookmarkStart w:id="766" w:name="_Toc219711188"/>
      <w:bookmarkStart w:id="767" w:name="_Toc219711365"/>
      <w:bookmarkStart w:id="768" w:name="_Toc226502299"/>
      <w:bookmarkStart w:id="769" w:name="_Toc226576252"/>
      <w:bookmarkStart w:id="770" w:name="_Toc226983103"/>
      <w:bookmarkStart w:id="771" w:name="_Toc227677303"/>
      <w:bookmarkStart w:id="772" w:name="_Toc227694825"/>
      <w:bookmarkStart w:id="773" w:name="_Toc227920939"/>
      <w:bookmarkStart w:id="774" w:name="_Toc227938840"/>
      <w:bookmarkStart w:id="775" w:name="_Toc227948091"/>
      <w:bookmarkStart w:id="776" w:name="_Toc233388650"/>
      <w:bookmarkStart w:id="777" w:name="_Toc233961457"/>
      <w:bookmarkStart w:id="778" w:name="_Toc233970266"/>
      <w:bookmarkStart w:id="779" w:name="_Toc240546596"/>
      <w:bookmarkStart w:id="780" w:name="_Toc240631997"/>
      <w:bookmarkStart w:id="781" w:name="_Toc242471182"/>
      <w:r w:rsidRPr="009F63DF">
        <w:t>Data and parameters not monitored</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3F8B6BDE" w14:textId="029CC654" w:rsidR="001C2394" w:rsidRPr="009F63DF" w:rsidRDefault="001C2394" w:rsidP="00455DAC">
      <w:pPr>
        <w:pStyle w:val="Caption"/>
      </w:pPr>
      <w:bookmarkStart w:id="782" w:name="_Ref227085561"/>
      <w:bookmarkStart w:id="783" w:name="_Hlk219460347"/>
      <w:r w:rsidRPr="009F63DF">
        <w:t>Data / Parameter table </w:t>
      </w:r>
      <w:r w:rsidRPr="009F63DF">
        <w:fldChar w:fldCharType="begin"/>
      </w:r>
      <w:r w:rsidRPr="009F63DF">
        <w:instrText>SEQ Data_/_Parameter_table \* ARABIC</w:instrText>
      </w:r>
      <w:r w:rsidRPr="009F63DF">
        <w:fldChar w:fldCharType="separate"/>
      </w:r>
      <w:r w:rsidR="00831DAE">
        <w:rPr>
          <w:noProof/>
        </w:rPr>
        <w:t>1</w:t>
      </w:r>
      <w:r w:rsidRPr="009F63DF">
        <w:fldChar w:fldCharType="end"/>
      </w:r>
      <w:r w:rsidRPr="009F63DF">
        <w:t>.</w:t>
      </w:r>
      <w:bookmarkEnd w:id="782"/>
    </w:p>
    <w:tbl>
      <w:tblPr>
        <w:tblStyle w:val="TableGrid"/>
        <w:tblW w:w="8529" w:type="dxa"/>
        <w:tblInd w:w="822" w:type="dxa"/>
        <w:tblLook w:val="04A0" w:firstRow="1" w:lastRow="0" w:firstColumn="1" w:lastColumn="0" w:noHBand="0" w:noVBand="1"/>
      </w:tblPr>
      <w:tblGrid>
        <w:gridCol w:w="1796"/>
        <w:gridCol w:w="2329"/>
        <w:gridCol w:w="1406"/>
        <w:gridCol w:w="804"/>
        <w:gridCol w:w="2194"/>
      </w:tblGrid>
      <w:tr w:rsidR="001C2394" w:rsidRPr="009F63DF" w14:paraId="449D5172" w14:textId="77777777" w:rsidTr="009167D3">
        <w:tc>
          <w:tcPr>
            <w:tcW w:w="1796" w:type="dxa"/>
            <w:shd w:val="clear" w:color="auto" w:fill="E6E6E6"/>
          </w:tcPr>
          <w:p w14:paraId="62B5EA01" w14:textId="18211B4B" w:rsidR="001C2394" w:rsidRPr="009F63DF" w:rsidRDefault="001C2394" w:rsidP="009A616B">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r w:rsidR="00442679" w:rsidRPr="009F63DF">
              <w:rPr>
                <w:rFonts w:cs="Arial"/>
                <w:b/>
                <w:bCs/>
                <w:sz w:val="20"/>
                <w:lang w:val="en-GB" w:eastAsia="en-US"/>
              </w:rPr>
              <w:t>:</w:t>
            </w:r>
          </w:p>
        </w:tc>
        <w:tc>
          <w:tcPr>
            <w:tcW w:w="6733" w:type="dxa"/>
            <w:gridSpan w:val="4"/>
          </w:tcPr>
          <w:p w14:paraId="77DF17B4" w14:textId="676BFB03" w:rsidR="001C2394" w:rsidRPr="009F63DF" w:rsidRDefault="001C2394" w:rsidP="009A616B">
            <w:pPr>
              <w:keepNext/>
              <w:suppressAutoHyphens/>
              <w:spacing w:before="60" w:after="60"/>
              <w:ind w:right="57"/>
              <w:rPr>
                <w:rFonts w:cs="Arial"/>
                <w:b/>
                <w:bCs/>
                <w:i/>
                <w:sz w:val="20"/>
                <w:lang w:val="en-GB" w:eastAsia="en-US"/>
              </w:rPr>
            </w:pPr>
            <w:r w:rsidRPr="009F63DF">
              <w:rPr>
                <w:rFonts w:cs="Arial"/>
                <w:b/>
                <w:bCs/>
                <w:sz w:val="20"/>
                <w:szCs w:val="18"/>
                <w:lang w:val="en-GB" w:eastAsia="en-US"/>
              </w:rPr>
              <w:t>Technical lifetime of the project cookstove</w:t>
            </w:r>
          </w:p>
        </w:tc>
      </w:tr>
      <w:tr w:rsidR="001C2394" w:rsidRPr="009F63DF" w14:paraId="545FE3F1" w14:textId="77777777" w:rsidTr="009167D3">
        <w:tc>
          <w:tcPr>
            <w:tcW w:w="1796" w:type="dxa"/>
            <w:shd w:val="clear" w:color="auto" w:fill="E6E6E6"/>
          </w:tcPr>
          <w:p w14:paraId="624A6265" w14:textId="18912B17"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33" w:type="dxa"/>
            <w:gridSpan w:val="4"/>
          </w:tcPr>
          <w:p w14:paraId="5AADB0AE" w14:textId="77777777" w:rsidR="001C2394" w:rsidRPr="009F63DF" w:rsidRDefault="001C2394" w:rsidP="009A616B">
            <w:pPr>
              <w:suppressAutoHyphens/>
              <w:spacing w:before="60" w:after="60"/>
              <w:ind w:right="57"/>
              <w:rPr>
                <w:rFonts w:cs="Arial"/>
                <w:sz w:val="20"/>
                <w:lang w:val="en-GB" w:eastAsia="en-US"/>
              </w:rPr>
            </w:pPr>
            <w:r w:rsidRPr="009F63DF">
              <w:rPr>
                <w:rFonts w:cs="Arial"/>
                <w:sz w:val="20"/>
                <w:lang w:val="en-GB" w:eastAsia="en-US"/>
              </w:rPr>
              <w:t>The total period during which the cookstove can be expected to remain functional and deliver its intended level of service</w:t>
            </w:r>
          </w:p>
        </w:tc>
      </w:tr>
      <w:tr w:rsidR="001C2394" w:rsidRPr="009F63DF" w14:paraId="5DE28795" w14:textId="77777777" w:rsidTr="009167D3">
        <w:tc>
          <w:tcPr>
            <w:tcW w:w="1796" w:type="dxa"/>
            <w:shd w:val="clear" w:color="auto" w:fill="E6E6E6"/>
          </w:tcPr>
          <w:p w14:paraId="7DB8817E" w14:textId="142EC3C9"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33" w:type="dxa"/>
            <w:gridSpan w:val="4"/>
          </w:tcPr>
          <w:p w14:paraId="2A4CC306" w14:textId="6119B2DC" w:rsidR="001C2394" w:rsidRPr="009F63DF" w:rsidRDefault="001C2394" w:rsidP="009A616B">
            <w:pPr>
              <w:suppressAutoHyphens/>
              <w:spacing w:before="60" w:after="60"/>
              <w:ind w:right="57"/>
              <w:rPr>
                <w:rFonts w:cs="Arial"/>
                <w:sz w:val="20"/>
                <w:lang w:val="en-GB" w:eastAsia="en-US"/>
              </w:rPr>
            </w:pPr>
            <w:r w:rsidRPr="009F63DF">
              <w:rPr>
                <w:rFonts w:cs="Arial"/>
                <w:sz w:val="20"/>
                <w:szCs w:val="18"/>
                <w:lang w:val="en-GB" w:eastAsia="en-US"/>
              </w:rPr>
              <w:t xml:space="preserve">Years or </w:t>
            </w:r>
            <w:r w:rsidR="00AD4B93" w:rsidRPr="009F63DF">
              <w:rPr>
                <w:rFonts w:cs="Arial"/>
                <w:sz w:val="20"/>
                <w:szCs w:val="18"/>
                <w:lang w:val="en-GB" w:eastAsia="en-US"/>
              </w:rPr>
              <w:t>hours</w:t>
            </w:r>
          </w:p>
        </w:tc>
      </w:tr>
      <w:tr w:rsidR="001C2394" w:rsidRPr="009F63DF" w14:paraId="3F4C8CEE" w14:textId="77777777" w:rsidTr="009167D3">
        <w:tc>
          <w:tcPr>
            <w:tcW w:w="1796" w:type="dxa"/>
            <w:shd w:val="clear" w:color="auto" w:fill="E6E6E6"/>
          </w:tcPr>
          <w:p w14:paraId="56784721" w14:textId="31EF8EA5"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33" w:type="dxa"/>
            <w:gridSpan w:val="4"/>
            <w:tcBorders>
              <w:bottom w:val="single" w:sz="4" w:space="0" w:color="auto"/>
            </w:tcBorders>
          </w:tcPr>
          <w:p w14:paraId="5F4D9B52" w14:textId="77777777" w:rsidR="001C2394" w:rsidRPr="009F63DF" w:rsidRDefault="001C2394" w:rsidP="009A616B">
            <w:pPr>
              <w:suppressAutoHyphens/>
              <w:spacing w:before="60" w:after="60"/>
              <w:ind w:right="57"/>
              <w:rPr>
                <w:rFonts w:cs="Arial"/>
                <w:sz w:val="20"/>
                <w:lang w:val="en-GB" w:eastAsia="en-US"/>
              </w:rPr>
            </w:pPr>
            <w:r w:rsidRPr="009F63DF">
              <w:rPr>
                <w:rFonts w:cs="Arial"/>
                <w:sz w:val="20"/>
                <w:lang w:val="en-GB" w:eastAsia="en-US"/>
              </w:rPr>
              <w:t>N/A</w:t>
            </w:r>
          </w:p>
        </w:tc>
      </w:tr>
      <w:tr w:rsidR="001C2394" w:rsidRPr="009F63DF" w14:paraId="29F40C38" w14:textId="77777777" w:rsidTr="009167D3">
        <w:tc>
          <w:tcPr>
            <w:tcW w:w="1796" w:type="dxa"/>
            <w:shd w:val="clear" w:color="auto" w:fill="E6E6E6"/>
          </w:tcPr>
          <w:p w14:paraId="76C74EC4" w14:textId="4E4018EC"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29" w:type="dxa"/>
            <w:tcBorders>
              <w:bottom w:val="nil"/>
              <w:right w:val="nil"/>
            </w:tcBorders>
          </w:tcPr>
          <w:p w14:paraId="572599E8" w14:textId="0C08EC6E"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Baseline </w:t>
            </w:r>
            <w:r w:rsidR="00C23077" w:rsidRPr="009F63DF">
              <w:rPr>
                <w:rFonts w:cs="Arial"/>
                <w:sz w:val="20"/>
                <w:lang w:val="en-GB" w:eastAsia="en-US"/>
              </w:rPr>
              <w:t>Scenario</w:t>
            </w:r>
          </w:p>
        </w:tc>
        <w:tc>
          <w:tcPr>
            <w:tcW w:w="2210" w:type="dxa"/>
            <w:gridSpan w:val="2"/>
            <w:tcBorders>
              <w:left w:val="nil"/>
              <w:bottom w:val="nil"/>
              <w:right w:val="nil"/>
            </w:tcBorders>
          </w:tcPr>
          <w:p w14:paraId="588E37EA" w14:textId="4D62F181"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w:t>
            </w:r>
            <w:r w:rsidR="007E0A68" w:rsidRPr="009F63DF">
              <w:rPr>
                <w:rFonts w:cs="Arial"/>
                <w:sz w:val="20"/>
                <w:lang w:val="en-GB" w:eastAsia="en-US"/>
              </w:rPr>
              <w:t>Activity</w:t>
            </w:r>
            <w:r w:rsidRPr="009F63DF">
              <w:rPr>
                <w:rFonts w:cs="Arial"/>
                <w:sz w:val="20"/>
                <w:lang w:val="en-GB" w:eastAsia="en-US"/>
              </w:rPr>
              <w:t xml:space="preserve"> </w:t>
            </w:r>
            <w:r w:rsidR="00C23077" w:rsidRPr="009F63DF">
              <w:rPr>
                <w:rFonts w:cs="Arial"/>
                <w:sz w:val="20"/>
                <w:lang w:val="en-GB" w:eastAsia="en-US"/>
              </w:rPr>
              <w:t>Scenario</w:t>
            </w:r>
          </w:p>
        </w:tc>
        <w:tc>
          <w:tcPr>
            <w:tcW w:w="2194" w:type="dxa"/>
            <w:tcBorders>
              <w:left w:val="nil"/>
              <w:bottom w:val="nil"/>
            </w:tcBorders>
          </w:tcPr>
          <w:p w14:paraId="6303F5A8" w14:textId="67D7CEE2"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Leakage </w:t>
            </w:r>
          </w:p>
        </w:tc>
      </w:tr>
      <w:tr w:rsidR="001C2394" w:rsidRPr="009F63DF" w14:paraId="7E2EC6B6" w14:textId="77777777" w:rsidTr="009167D3">
        <w:tc>
          <w:tcPr>
            <w:tcW w:w="1796" w:type="dxa"/>
            <w:shd w:val="clear" w:color="auto" w:fill="E6E6E6"/>
          </w:tcPr>
          <w:p w14:paraId="12858030" w14:textId="5D2898F4"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33" w:type="dxa"/>
            <w:gridSpan w:val="4"/>
            <w:tcBorders>
              <w:bottom w:val="single" w:sz="4" w:space="0" w:color="auto"/>
            </w:tcBorders>
          </w:tcPr>
          <w:p w14:paraId="26935BA0" w14:textId="77777777" w:rsidR="001C2394" w:rsidRPr="009F63DF" w:rsidRDefault="001C2394" w:rsidP="009A616B">
            <w:pPr>
              <w:suppressAutoHyphens/>
              <w:spacing w:before="60" w:after="60"/>
              <w:ind w:right="57"/>
              <w:rPr>
                <w:rFonts w:cs="Arial"/>
                <w:iCs/>
                <w:sz w:val="20"/>
                <w:lang w:val="en-GB" w:eastAsia="en-US"/>
              </w:rPr>
            </w:pPr>
          </w:p>
        </w:tc>
      </w:tr>
      <w:tr w:rsidR="001C2394" w:rsidRPr="009F63DF" w14:paraId="2FB63B21" w14:textId="77777777" w:rsidTr="009167D3">
        <w:tc>
          <w:tcPr>
            <w:tcW w:w="1796" w:type="dxa"/>
            <w:shd w:val="clear" w:color="auto" w:fill="E6E6E6"/>
          </w:tcPr>
          <w:p w14:paraId="638A4028" w14:textId="7980B535"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735" w:type="dxa"/>
            <w:gridSpan w:val="2"/>
            <w:tcBorders>
              <w:bottom w:val="nil"/>
              <w:right w:val="nil"/>
            </w:tcBorders>
            <w:vAlign w:val="center"/>
          </w:tcPr>
          <w:p w14:paraId="49CC2B1A" w14:textId="77777777" w:rsidR="001C2394" w:rsidRPr="009F63DF" w:rsidRDefault="001C2394" w:rsidP="009A616B">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2998" w:type="dxa"/>
            <w:gridSpan w:val="2"/>
            <w:tcBorders>
              <w:left w:val="nil"/>
              <w:bottom w:val="nil"/>
            </w:tcBorders>
            <w:vAlign w:val="center"/>
          </w:tcPr>
          <w:p w14:paraId="389E65DA" w14:textId="77777777"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1C2394" w:rsidRPr="009F63DF" w14:paraId="74A39FA3" w14:textId="77777777" w:rsidTr="009167D3">
        <w:tc>
          <w:tcPr>
            <w:tcW w:w="1796" w:type="dxa"/>
            <w:shd w:val="clear" w:color="auto" w:fill="E6E6E6"/>
          </w:tcPr>
          <w:p w14:paraId="7D074025" w14:textId="59B4BA06"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33" w:type="dxa"/>
            <w:gridSpan w:val="4"/>
            <w:tcBorders>
              <w:top w:val="single" w:sz="4" w:space="0" w:color="auto"/>
            </w:tcBorders>
          </w:tcPr>
          <w:p w14:paraId="1A34BF82" w14:textId="34899448" w:rsidR="001C2394" w:rsidRPr="009F63DF" w:rsidRDefault="001C2394" w:rsidP="009A616B">
            <w:pPr>
              <w:suppressAutoHyphens/>
              <w:spacing w:before="60" w:after="60"/>
              <w:ind w:right="57"/>
              <w:rPr>
                <w:rFonts w:cs="Arial"/>
                <w:sz w:val="20"/>
                <w:lang w:val="en-GB" w:eastAsia="en-US"/>
              </w:rPr>
            </w:pPr>
            <w:r w:rsidRPr="009F63DF">
              <w:rPr>
                <w:rFonts w:cs="Arial"/>
                <w:sz w:val="20"/>
                <w:szCs w:val="18"/>
                <w:lang w:val="en-GB" w:eastAsia="en-US"/>
              </w:rPr>
              <w:t>Technical lifetime of the project cookstoves shall be determined based on the manufacturer's specifications and operation manuals, or in the absence of these, e.g</w:t>
            </w:r>
            <w:r w:rsidRPr="009F63DF">
              <w:rPr>
                <w:rFonts w:cs="Arial"/>
                <w:sz w:val="20"/>
                <w:szCs w:val="20"/>
                <w:lang w:val="en-GB" w:eastAsia="en-US"/>
              </w:rPr>
              <w:t>.</w:t>
            </w:r>
            <w:r w:rsidR="013C30C0" w:rsidRPr="009F63DF">
              <w:rPr>
                <w:rFonts w:cs="Arial"/>
                <w:sz w:val="20"/>
                <w:szCs w:val="20"/>
                <w:lang w:val="en-GB" w:eastAsia="en-US"/>
              </w:rPr>
              <w:t>,</w:t>
            </w:r>
            <w:r w:rsidRPr="009F63DF">
              <w:rPr>
                <w:rFonts w:cs="Arial"/>
                <w:sz w:val="20"/>
                <w:szCs w:val="18"/>
                <w:lang w:val="en-GB" w:eastAsia="en-US"/>
              </w:rPr>
              <w:t xml:space="preserve"> in the case of artisanal cookstoves, based on a third-party assessment by a certified or suitably qualified expert</w:t>
            </w:r>
          </w:p>
        </w:tc>
      </w:tr>
      <w:tr w:rsidR="001C2394" w:rsidRPr="009F63DF" w14:paraId="5401F9D4" w14:textId="77777777" w:rsidTr="009167D3">
        <w:tc>
          <w:tcPr>
            <w:tcW w:w="1796" w:type="dxa"/>
            <w:shd w:val="clear" w:color="auto" w:fill="E6E6E6"/>
          </w:tcPr>
          <w:p w14:paraId="44302002" w14:textId="0551571E" w:rsidR="001C2394" w:rsidRPr="009F63DF" w:rsidRDefault="001C2394" w:rsidP="009A616B">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p>
        </w:tc>
        <w:tc>
          <w:tcPr>
            <w:tcW w:w="6733" w:type="dxa"/>
            <w:gridSpan w:val="4"/>
          </w:tcPr>
          <w:p w14:paraId="0548C6DF" w14:textId="77777777" w:rsidR="001C2394" w:rsidRPr="009F63DF" w:rsidRDefault="001C2394" w:rsidP="009A616B">
            <w:pPr>
              <w:keepNext/>
              <w:suppressAutoHyphens/>
              <w:spacing w:before="60" w:after="60"/>
              <w:ind w:right="57"/>
              <w:rPr>
                <w:rFonts w:cs="Arial"/>
                <w:sz w:val="20"/>
                <w:lang w:val="en-GB" w:eastAsia="en-US"/>
              </w:rPr>
            </w:pPr>
            <w:r w:rsidRPr="009F63DF">
              <w:rPr>
                <w:rFonts w:cs="Arial"/>
                <w:sz w:val="20"/>
                <w:lang w:val="en-GB" w:eastAsia="en-US"/>
              </w:rPr>
              <w:t>N/A</w:t>
            </w:r>
          </w:p>
        </w:tc>
      </w:tr>
      <w:tr w:rsidR="001C2394" w:rsidRPr="009F63DF" w14:paraId="05C61F8E" w14:textId="77777777" w:rsidTr="009167D3">
        <w:tc>
          <w:tcPr>
            <w:tcW w:w="1796" w:type="dxa"/>
            <w:shd w:val="clear" w:color="auto" w:fill="E6E6E6"/>
          </w:tcPr>
          <w:p w14:paraId="6ADA2948" w14:textId="1C87D2B2"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Additional comments</w:t>
            </w:r>
          </w:p>
        </w:tc>
        <w:tc>
          <w:tcPr>
            <w:tcW w:w="6733" w:type="dxa"/>
            <w:gridSpan w:val="4"/>
          </w:tcPr>
          <w:p w14:paraId="4E6EA53E" w14:textId="36D64CFF" w:rsidR="001C2394" w:rsidRPr="009F63DF" w:rsidRDefault="001C2394" w:rsidP="009A616B">
            <w:pPr>
              <w:suppressAutoHyphens/>
              <w:spacing w:before="60" w:after="60"/>
              <w:ind w:right="57"/>
              <w:rPr>
                <w:rFonts w:cs="Arial"/>
                <w:i/>
                <w:iCs/>
                <w:sz w:val="20"/>
                <w:lang w:val="en-GB" w:eastAsia="en-US"/>
              </w:rPr>
            </w:pPr>
            <w:r w:rsidRPr="009F63DF">
              <w:rPr>
                <w:rFonts w:cs="Arial"/>
                <w:sz w:val="20"/>
                <w:lang w:val="en-GB" w:eastAsia="en-US"/>
              </w:rPr>
              <w:t xml:space="preserve">Used for </w:t>
            </w:r>
            <w:r w:rsidR="00F95E7B" w:rsidRPr="009F63DF">
              <w:rPr>
                <w:rFonts w:cs="Arial"/>
                <w:sz w:val="20"/>
                <w:lang w:val="en-GB" w:eastAsia="en-US"/>
              </w:rPr>
              <w:t>informational purposes</w:t>
            </w:r>
            <w:r w:rsidRPr="009F63DF">
              <w:rPr>
                <w:rFonts w:cs="Arial"/>
                <w:sz w:val="20"/>
                <w:lang w:val="en-GB" w:eastAsia="en-US"/>
              </w:rPr>
              <w:t xml:space="preserve"> and not used in any equation</w:t>
            </w:r>
          </w:p>
        </w:tc>
      </w:tr>
    </w:tbl>
    <w:bookmarkEnd w:id="783"/>
    <w:p w14:paraId="2738AD32" w14:textId="3D78D76F" w:rsidR="0038342C" w:rsidRPr="009F63DF" w:rsidRDefault="0038342C" w:rsidP="00455DAC">
      <w:pPr>
        <w:pStyle w:val="Caption"/>
      </w:pPr>
      <w:r w:rsidRPr="009F63DF">
        <w:t>Data / Parameter table</w:t>
      </w:r>
      <w:r w:rsidR="00501670" w:rsidRPr="009F63DF">
        <w:t> </w:t>
      </w:r>
      <w:r w:rsidRPr="009F63DF">
        <w:fldChar w:fldCharType="begin"/>
      </w:r>
      <w:r w:rsidRPr="009F63DF">
        <w:instrText>SEQ Data_/_Parameter_table \* ARABIC</w:instrText>
      </w:r>
      <w:r w:rsidRPr="009F63DF">
        <w:fldChar w:fldCharType="separate"/>
      </w:r>
      <w:r w:rsidR="00831DAE">
        <w:rPr>
          <w:noProof/>
        </w:rPr>
        <w:t>2</w:t>
      </w:r>
      <w:r w:rsidRPr="009F63DF">
        <w:fldChar w:fldCharType="end"/>
      </w:r>
      <w:r w:rsidRPr="009F63DF">
        <w:t>.</w:t>
      </w:r>
    </w:p>
    <w:tbl>
      <w:tblPr>
        <w:tblStyle w:val="TableGrid"/>
        <w:tblW w:w="8529" w:type="dxa"/>
        <w:tblInd w:w="822" w:type="dxa"/>
        <w:tblLook w:val="04A0" w:firstRow="1" w:lastRow="0" w:firstColumn="1" w:lastColumn="0" w:noHBand="0" w:noVBand="1"/>
      </w:tblPr>
      <w:tblGrid>
        <w:gridCol w:w="1796"/>
        <w:gridCol w:w="2328"/>
        <w:gridCol w:w="1312"/>
        <w:gridCol w:w="833"/>
        <w:gridCol w:w="2260"/>
      </w:tblGrid>
      <w:tr w:rsidR="001C2394" w:rsidRPr="009F63DF" w14:paraId="213694CF" w14:textId="77777777" w:rsidTr="009167D3">
        <w:tc>
          <w:tcPr>
            <w:tcW w:w="1796" w:type="dxa"/>
            <w:shd w:val="clear" w:color="auto" w:fill="E6E6E6"/>
          </w:tcPr>
          <w:p w14:paraId="72EC3D05" w14:textId="5174ED63" w:rsidR="001C2394" w:rsidRPr="009F63DF" w:rsidRDefault="001C2394" w:rsidP="009A616B">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r w:rsidR="00442679" w:rsidRPr="009F63DF">
              <w:rPr>
                <w:rFonts w:cs="Arial"/>
                <w:b/>
                <w:bCs/>
                <w:sz w:val="20"/>
                <w:lang w:val="en-GB" w:eastAsia="en-US"/>
              </w:rPr>
              <w:t>:</w:t>
            </w:r>
          </w:p>
        </w:tc>
        <w:tc>
          <w:tcPr>
            <w:tcW w:w="6733" w:type="dxa"/>
            <w:gridSpan w:val="4"/>
          </w:tcPr>
          <w:p w14:paraId="6BEDE9FE" w14:textId="068BBB5A" w:rsidR="001C2394" w:rsidRPr="009F63DF" w:rsidRDefault="001C2394" w:rsidP="009A616B">
            <w:pPr>
              <w:keepNext/>
              <w:suppressAutoHyphens/>
              <w:spacing w:before="60" w:after="60"/>
              <w:ind w:right="57"/>
              <w:rPr>
                <w:rFonts w:cs="Arial"/>
                <w:b/>
                <w:bCs/>
                <w:i/>
                <w:sz w:val="20"/>
                <w:lang w:val="en-GB" w:eastAsia="en-US"/>
              </w:rPr>
            </w:pPr>
            <w:r w:rsidRPr="009F63DF">
              <w:rPr>
                <w:rFonts w:cs="Arial"/>
                <w:b/>
                <w:bCs/>
                <w:sz w:val="20"/>
                <w:szCs w:val="18"/>
                <w:lang w:val="en-GB" w:eastAsia="en-US"/>
              </w:rPr>
              <w:t>Thermal efficiency of the project cookstove</w:t>
            </w:r>
          </w:p>
        </w:tc>
      </w:tr>
      <w:tr w:rsidR="001C2394" w:rsidRPr="009F63DF" w14:paraId="55E1E877" w14:textId="77777777" w:rsidTr="009167D3">
        <w:tc>
          <w:tcPr>
            <w:tcW w:w="1796" w:type="dxa"/>
            <w:shd w:val="clear" w:color="auto" w:fill="E6E6E6"/>
          </w:tcPr>
          <w:p w14:paraId="45F79374" w14:textId="21AAC45E"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33" w:type="dxa"/>
            <w:gridSpan w:val="4"/>
          </w:tcPr>
          <w:p w14:paraId="45E0A334" w14:textId="7F2E01A7" w:rsidR="002B5C0F" w:rsidRPr="009F63DF" w:rsidRDefault="001C2394" w:rsidP="009A616B">
            <w:pPr>
              <w:suppressAutoHyphens/>
              <w:spacing w:before="60" w:after="60"/>
              <w:ind w:right="57"/>
              <w:rPr>
                <w:rFonts w:cs="Arial"/>
                <w:sz w:val="20"/>
                <w:lang w:val="en-GB" w:eastAsia="en-US"/>
              </w:rPr>
            </w:pPr>
            <w:r w:rsidRPr="009F63DF">
              <w:rPr>
                <w:rFonts w:cs="Arial"/>
                <w:sz w:val="20"/>
                <w:lang w:val="en-GB" w:eastAsia="en-US"/>
              </w:rPr>
              <w:t>Thermal efficiency using the ISO Standard 19867-1:2018</w:t>
            </w:r>
            <w:r w:rsidR="00314304" w:rsidRPr="009F63DF">
              <w:rPr>
                <w:rFonts w:cs="Arial"/>
                <w:sz w:val="20"/>
                <w:lang w:val="en-GB" w:eastAsia="en-US"/>
              </w:rPr>
              <w:t xml:space="preserve"> </w:t>
            </w:r>
            <w:r w:rsidR="002E177A" w:rsidRPr="009F63DF">
              <w:rPr>
                <w:rFonts w:cs="Arial"/>
                <w:sz w:val="20"/>
                <w:lang w:val="en-GB" w:eastAsia="en-US"/>
              </w:rPr>
              <w:t>(or any subsequent revision thereof), or equivalent national standards where an accredited laboratory with this capacity is not available in the host country</w:t>
            </w:r>
          </w:p>
        </w:tc>
      </w:tr>
      <w:tr w:rsidR="001C2394" w:rsidRPr="009F63DF" w14:paraId="070EE0BA" w14:textId="77777777" w:rsidTr="009167D3">
        <w:tc>
          <w:tcPr>
            <w:tcW w:w="1796" w:type="dxa"/>
            <w:shd w:val="clear" w:color="auto" w:fill="E6E6E6"/>
          </w:tcPr>
          <w:p w14:paraId="56A0109E" w14:textId="2F3C0B7D"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33" w:type="dxa"/>
            <w:gridSpan w:val="4"/>
          </w:tcPr>
          <w:p w14:paraId="55AA731C" w14:textId="2D917CDF" w:rsidR="001C2394" w:rsidRPr="009F63DF" w:rsidRDefault="00DE7B9B" w:rsidP="009A616B">
            <w:pPr>
              <w:suppressAutoHyphens/>
              <w:spacing w:before="60" w:after="60"/>
              <w:ind w:right="57"/>
              <w:rPr>
                <w:rFonts w:cs="Arial"/>
                <w:sz w:val="20"/>
                <w:lang w:val="en-GB" w:eastAsia="en-US"/>
              </w:rPr>
            </w:pPr>
            <w:r w:rsidRPr="009F63DF">
              <w:rPr>
                <w:rFonts w:cs="Arial"/>
                <w:sz w:val="20"/>
                <w:szCs w:val="18"/>
                <w:lang w:val="en-GB" w:eastAsia="en-US"/>
              </w:rPr>
              <w:t>per cent</w:t>
            </w:r>
          </w:p>
        </w:tc>
      </w:tr>
      <w:tr w:rsidR="001C2394" w:rsidRPr="009F63DF" w14:paraId="795807C3" w14:textId="77777777" w:rsidTr="009167D3">
        <w:tc>
          <w:tcPr>
            <w:tcW w:w="1796" w:type="dxa"/>
            <w:shd w:val="clear" w:color="auto" w:fill="E6E6E6"/>
          </w:tcPr>
          <w:p w14:paraId="60CFF418" w14:textId="41705546"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33" w:type="dxa"/>
            <w:gridSpan w:val="4"/>
            <w:tcBorders>
              <w:bottom w:val="single" w:sz="4" w:space="0" w:color="auto"/>
            </w:tcBorders>
          </w:tcPr>
          <w:p w14:paraId="24D42339" w14:textId="77777777" w:rsidR="001C2394" w:rsidRPr="009F63DF" w:rsidRDefault="001C2394" w:rsidP="009A616B">
            <w:pPr>
              <w:suppressAutoHyphens/>
              <w:spacing w:before="60" w:after="60"/>
              <w:ind w:right="57"/>
              <w:rPr>
                <w:rFonts w:cs="Arial"/>
                <w:sz w:val="20"/>
                <w:lang w:val="en-GB" w:eastAsia="en-US"/>
              </w:rPr>
            </w:pPr>
            <w:r w:rsidRPr="009F63DF">
              <w:rPr>
                <w:rFonts w:cs="Arial"/>
                <w:sz w:val="20"/>
                <w:lang w:val="en-GB" w:eastAsia="en-US"/>
              </w:rPr>
              <w:t>N/A</w:t>
            </w:r>
          </w:p>
        </w:tc>
      </w:tr>
      <w:tr w:rsidR="001C2394" w:rsidRPr="009F63DF" w14:paraId="0A73E6B9" w14:textId="77777777" w:rsidTr="009167D3">
        <w:tc>
          <w:tcPr>
            <w:tcW w:w="1796" w:type="dxa"/>
            <w:shd w:val="clear" w:color="auto" w:fill="E6E6E6"/>
          </w:tcPr>
          <w:p w14:paraId="412EBDAC" w14:textId="0D84253E"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28" w:type="dxa"/>
            <w:tcBorders>
              <w:bottom w:val="nil"/>
              <w:right w:val="nil"/>
            </w:tcBorders>
          </w:tcPr>
          <w:p w14:paraId="392F56D0" w14:textId="21956197"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Baseline </w:t>
            </w:r>
            <w:r w:rsidR="00AD02E3" w:rsidRPr="009F63DF">
              <w:rPr>
                <w:rFonts w:cs="Arial"/>
                <w:sz w:val="20"/>
                <w:lang w:val="en-GB" w:eastAsia="en-US"/>
              </w:rPr>
              <w:t>Scenario</w:t>
            </w:r>
          </w:p>
        </w:tc>
        <w:tc>
          <w:tcPr>
            <w:tcW w:w="2145" w:type="dxa"/>
            <w:gridSpan w:val="2"/>
            <w:tcBorders>
              <w:left w:val="nil"/>
              <w:bottom w:val="nil"/>
              <w:right w:val="nil"/>
            </w:tcBorders>
          </w:tcPr>
          <w:p w14:paraId="68222F8B" w14:textId="7ACD9BD1"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w:t>
            </w:r>
            <w:r w:rsidR="002646DE" w:rsidRPr="009F63DF">
              <w:rPr>
                <w:rFonts w:cs="Arial"/>
                <w:sz w:val="20"/>
                <w:lang w:val="en-GB" w:eastAsia="en-US"/>
              </w:rPr>
              <w:t>Activity</w:t>
            </w:r>
            <w:r w:rsidRPr="009F63DF">
              <w:rPr>
                <w:rFonts w:cs="Arial"/>
                <w:sz w:val="20"/>
                <w:lang w:val="en-GB" w:eastAsia="en-US"/>
              </w:rPr>
              <w:t xml:space="preserve"> </w:t>
            </w:r>
            <w:r w:rsidR="00AD02E3" w:rsidRPr="009F63DF">
              <w:rPr>
                <w:rFonts w:cs="Arial"/>
                <w:sz w:val="20"/>
                <w:lang w:val="en-GB" w:eastAsia="en-US"/>
              </w:rPr>
              <w:t>Scenario</w:t>
            </w:r>
          </w:p>
        </w:tc>
        <w:tc>
          <w:tcPr>
            <w:tcW w:w="2260" w:type="dxa"/>
            <w:tcBorders>
              <w:left w:val="nil"/>
              <w:bottom w:val="nil"/>
            </w:tcBorders>
          </w:tcPr>
          <w:p w14:paraId="0286DA5E" w14:textId="3CDFA972"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Leakage </w:t>
            </w:r>
          </w:p>
        </w:tc>
      </w:tr>
      <w:tr w:rsidR="001C2394" w:rsidRPr="009F63DF" w14:paraId="772CD979" w14:textId="77777777" w:rsidTr="009167D3">
        <w:tc>
          <w:tcPr>
            <w:tcW w:w="1796" w:type="dxa"/>
            <w:shd w:val="clear" w:color="auto" w:fill="E6E6E6"/>
          </w:tcPr>
          <w:p w14:paraId="1B66FEE2" w14:textId="6B745274"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33" w:type="dxa"/>
            <w:gridSpan w:val="4"/>
            <w:tcBorders>
              <w:bottom w:val="single" w:sz="4" w:space="0" w:color="auto"/>
            </w:tcBorders>
          </w:tcPr>
          <w:p w14:paraId="594CECFF" w14:textId="77777777" w:rsidR="001C2394" w:rsidRPr="009F63DF" w:rsidRDefault="001C2394" w:rsidP="009A616B">
            <w:pPr>
              <w:suppressAutoHyphens/>
              <w:spacing w:before="60" w:after="60"/>
              <w:ind w:right="57"/>
              <w:rPr>
                <w:rFonts w:cs="Arial"/>
                <w:iCs/>
                <w:sz w:val="20"/>
                <w:lang w:val="en-GB" w:eastAsia="en-US"/>
              </w:rPr>
            </w:pPr>
          </w:p>
        </w:tc>
      </w:tr>
      <w:tr w:rsidR="001C2394" w:rsidRPr="009F63DF" w14:paraId="4AA146B4" w14:textId="77777777" w:rsidTr="009167D3">
        <w:tc>
          <w:tcPr>
            <w:tcW w:w="1796" w:type="dxa"/>
            <w:shd w:val="clear" w:color="auto" w:fill="E6E6E6"/>
          </w:tcPr>
          <w:p w14:paraId="0E9FEF98" w14:textId="688C1663"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640" w:type="dxa"/>
            <w:gridSpan w:val="2"/>
            <w:tcBorders>
              <w:bottom w:val="nil"/>
              <w:right w:val="nil"/>
            </w:tcBorders>
            <w:vAlign w:val="center"/>
          </w:tcPr>
          <w:p w14:paraId="28B75EC8" w14:textId="77777777" w:rsidR="001C2394" w:rsidRPr="009F63DF" w:rsidRDefault="001C2394" w:rsidP="009A616B">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3" w:type="dxa"/>
            <w:gridSpan w:val="2"/>
            <w:tcBorders>
              <w:left w:val="nil"/>
              <w:bottom w:val="nil"/>
            </w:tcBorders>
            <w:vAlign w:val="center"/>
          </w:tcPr>
          <w:p w14:paraId="1DBBD9DA" w14:textId="77777777"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1C2394" w:rsidRPr="009F63DF" w14:paraId="68CF61D8" w14:textId="77777777" w:rsidTr="009167D3">
        <w:tc>
          <w:tcPr>
            <w:tcW w:w="1796" w:type="dxa"/>
            <w:shd w:val="clear" w:color="auto" w:fill="E6E6E6"/>
          </w:tcPr>
          <w:p w14:paraId="28223E4F" w14:textId="6143C3AE"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33" w:type="dxa"/>
            <w:gridSpan w:val="4"/>
            <w:tcBorders>
              <w:top w:val="single" w:sz="4" w:space="0" w:color="auto"/>
            </w:tcBorders>
          </w:tcPr>
          <w:p w14:paraId="44BD2B26" w14:textId="40D63BB1" w:rsidR="001C2394" w:rsidRPr="009F63DF" w:rsidRDefault="001C2394" w:rsidP="009A616B">
            <w:pPr>
              <w:suppressAutoHyphens/>
              <w:spacing w:before="60" w:after="60"/>
              <w:ind w:right="57"/>
              <w:rPr>
                <w:rFonts w:cs="Arial"/>
                <w:sz w:val="20"/>
                <w:szCs w:val="18"/>
                <w:lang w:val="en-GB" w:eastAsia="en-US"/>
              </w:rPr>
            </w:pPr>
            <w:r w:rsidRPr="009F63DF">
              <w:rPr>
                <w:rFonts w:cs="Arial"/>
                <w:sz w:val="20"/>
                <w:szCs w:val="18"/>
                <w:lang w:val="en-GB" w:eastAsia="en-US"/>
              </w:rPr>
              <w:t xml:space="preserve">Determined using the </w:t>
            </w:r>
            <w:r w:rsidR="007074BB" w:rsidRPr="009F63DF">
              <w:rPr>
                <w:rFonts w:cs="Arial"/>
                <w:sz w:val="20"/>
                <w:lang w:val="en-GB" w:eastAsia="en-US"/>
              </w:rPr>
              <w:t>ISO Standard 19867-1:2018 Clean cookstoves and clean cooking solutions — Harmonized laboratory test protocols (or any subsequent revision thereof), or equivalent national standards where an accredited laboratory with this capacity is not available in the host country</w:t>
            </w:r>
          </w:p>
          <w:p w14:paraId="282D3177" w14:textId="2302526A" w:rsidR="001C2394" w:rsidRPr="009F63DF" w:rsidRDefault="001C2394" w:rsidP="009A616B">
            <w:pPr>
              <w:suppressAutoHyphens/>
              <w:spacing w:before="60" w:after="60"/>
              <w:ind w:right="57"/>
              <w:rPr>
                <w:rFonts w:cs="Arial"/>
                <w:sz w:val="20"/>
                <w:lang w:val="en-GB" w:eastAsia="en-US"/>
              </w:rPr>
            </w:pPr>
            <w:r w:rsidRPr="009F63DF">
              <w:rPr>
                <w:rFonts w:cs="Arial"/>
                <w:sz w:val="20"/>
                <w:lang w:val="en-GB" w:eastAsia="en-US"/>
              </w:rPr>
              <w:t>For artisanal cookstoves, at least three randomly selected samples of each cookstove model must be used when testing for ISO thermal efficiency. The mean value from the three samples shall be applied</w:t>
            </w:r>
          </w:p>
        </w:tc>
      </w:tr>
      <w:tr w:rsidR="001C2394" w:rsidRPr="009F63DF" w14:paraId="13A91110" w14:textId="77777777" w:rsidTr="009167D3">
        <w:tc>
          <w:tcPr>
            <w:tcW w:w="1796" w:type="dxa"/>
            <w:shd w:val="clear" w:color="auto" w:fill="E6E6E6"/>
          </w:tcPr>
          <w:p w14:paraId="76E97D79" w14:textId="7FB6E3BE" w:rsidR="001C2394" w:rsidRPr="009F63DF" w:rsidRDefault="001C2394" w:rsidP="009A616B">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p>
        </w:tc>
        <w:tc>
          <w:tcPr>
            <w:tcW w:w="6733" w:type="dxa"/>
            <w:gridSpan w:val="4"/>
          </w:tcPr>
          <w:p w14:paraId="767F7B46" w14:textId="2B2071F8" w:rsidR="001C2394" w:rsidRPr="009F63DF" w:rsidRDefault="002B0567" w:rsidP="009A616B">
            <w:pPr>
              <w:keepNext/>
              <w:suppressAutoHyphens/>
              <w:spacing w:before="60" w:after="60"/>
              <w:ind w:right="57"/>
              <w:rPr>
                <w:rFonts w:cs="Arial"/>
                <w:sz w:val="20"/>
                <w:lang w:val="en-GB" w:eastAsia="en-US"/>
              </w:rPr>
            </w:pPr>
            <w:r w:rsidRPr="009F63DF">
              <w:rPr>
                <w:rFonts w:cs="Arial"/>
                <w:sz w:val="20"/>
                <w:lang w:val="en-GB" w:eastAsia="en-US"/>
              </w:rPr>
              <w:t>Results</w:t>
            </w:r>
            <w:r w:rsidR="00584F5E" w:rsidRPr="009F63DF">
              <w:rPr>
                <w:rFonts w:cs="Arial"/>
                <w:sz w:val="20"/>
                <w:lang w:val="en-GB" w:eastAsia="en-US"/>
              </w:rPr>
              <w:t xml:space="preserve"> of measurements shall be reported with their uncertainty range, for informational purposes</w:t>
            </w:r>
          </w:p>
        </w:tc>
      </w:tr>
      <w:tr w:rsidR="001C2394" w:rsidRPr="009F63DF" w14:paraId="7572CA09" w14:textId="77777777" w:rsidTr="009167D3">
        <w:tc>
          <w:tcPr>
            <w:tcW w:w="1796" w:type="dxa"/>
            <w:shd w:val="clear" w:color="auto" w:fill="E6E6E6"/>
          </w:tcPr>
          <w:p w14:paraId="58004430" w14:textId="264BE1B1" w:rsidR="001C2394" w:rsidRPr="009F63DF" w:rsidRDefault="001C2394" w:rsidP="009A616B">
            <w:pPr>
              <w:suppressAutoHyphens/>
              <w:spacing w:before="60" w:after="60"/>
              <w:ind w:right="57"/>
              <w:jc w:val="left"/>
              <w:rPr>
                <w:rFonts w:cs="Arial"/>
                <w:sz w:val="20"/>
                <w:lang w:val="en-GB" w:eastAsia="en-US"/>
              </w:rPr>
            </w:pPr>
            <w:r w:rsidRPr="009F63DF">
              <w:rPr>
                <w:rFonts w:cs="Arial"/>
                <w:sz w:val="20"/>
                <w:lang w:val="en-GB" w:eastAsia="en-US"/>
              </w:rPr>
              <w:t>Additional comments</w:t>
            </w:r>
          </w:p>
        </w:tc>
        <w:tc>
          <w:tcPr>
            <w:tcW w:w="6733" w:type="dxa"/>
            <w:gridSpan w:val="4"/>
          </w:tcPr>
          <w:p w14:paraId="1D44DA2E" w14:textId="59313FA5" w:rsidR="001C2394" w:rsidRPr="009F63DF" w:rsidRDefault="001C2394" w:rsidP="009A616B">
            <w:pPr>
              <w:suppressAutoHyphens/>
              <w:spacing w:before="60" w:after="60"/>
              <w:ind w:right="57"/>
              <w:rPr>
                <w:rFonts w:cs="Arial"/>
                <w:i/>
                <w:iCs/>
                <w:sz w:val="20"/>
                <w:lang w:val="en-GB" w:eastAsia="en-US"/>
              </w:rPr>
            </w:pPr>
            <w:r w:rsidRPr="009F63DF">
              <w:rPr>
                <w:rFonts w:cs="Arial"/>
                <w:sz w:val="20"/>
                <w:lang w:val="en-GB" w:eastAsia="en-US"/>
              </w:rPr>
              <w:t xml:space="preserve">Used for demonstrating compliance with the applicability conditions and </w:t>
            </w:r>
            <w:r w:rsidR="00266A98" w:rsidRPr="009F63DF">
              <w:rPr>
                <w:rFonts w:cs="Arial"/>
                <w:sz w:val="20"/>
                <w:lang w:val="en-GB" w:eastAsia="en-US"/>
              </w:rPr>
              <w:t>for</w:t>
            </w:r>
            <w:r w:rsidRPr="009F63DF">
              <w:rPr>
                <w:rFonts w:cs="Arial"/>
                <w:sz w:val="20"/>
                <w:lang w:val="en-GB" w:eastAsia="en-US"/>
              </w:rPr>
              <w:t xml:space="preserve"> </w:t>
            </w:r>
            <w:r w:rsidR="00266A98" w:rsidRPr="009F63DF">
              <w:rPr>
                <w:rFonts w:cs="Arial"/>
                <w:sz w:val="20"/>
                <w:lang w:val="en-GB" w:eastAsia="en-US"/>
              </w:rPr>
              <w:t>estimating useful energy delivered in the project</w:t>
            </w:r>
          </w:p>
        </w:tc>
      </w:tr>
    </w:tbl>
    <w:p w14:paraId="0E9A693F" w14:textId="02774111"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bookmarkStart w:id="784" w:name="_Ref227085592"/>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3</w:t>
      </w:r>
      <w:r w:rsidRPr="009F63DF">
        <w:rPr>
          <w:b/>
          <w:sz w:val="20"/>
        </w:rPr>
        <w:fldChar w:fldCharType="end"/>
      </w:r>
      <w:r w:rsidRPr="009F63DF">
        <w:rPr>
          <w:b/>
          <w:sz w:val="20"/>
        </w:rPr>
        <w:t>.</w:t>
      </w:r>
      <w:bookmarkEnd w:id="784"/>
    </w:p>
    <w:tbl>
      <w:tblPr>
        <w:tblStyle w:val="TableGrid"/>
        <w:tblW w:w="8529" w:type="dxa"/>
        <w:tblInd w:w="822" w:type="dxa"/>
        <w:tblLook w:val="04A0" w:firstRow="1" w:lastRow="0" w:firstColumn="1" w:lastColumn="0" w:noHBand="0" w:noVBand="1"/>
      </w:tblPr>
      <w:tblGrid>
        <w:gridCol w:w="1796"/>
        <w:gridCol w:w="2328"/>
        <w:gridCol w:w="1312"/>
        <w:gridCol w:w="833"/>
        <w:gridCol w:w="2260"/>
      </w:tblGrid>
      <w:tr w:rsidR="001C2394" w:rsidRPr="009F63DF" w14:paraId="03230127" w14:textId="77777777" w:rsidTr="009167D3">
        <w:tc>
          <w:tcPr>
            <w:tcW w:w="1796" w:type="dxa"/>
            <w:shd w:val="clear" w:color="auto" w:fill="E6E6E6"/>
          </w:tcPr>
          <w:p w14:paraId="397DE8C8" w14:textId="481E0BE8" w:rsidR="001C2394" w:rsidRPr="009F63DF" w:rsidRDefault="001C2394"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33" w:type="dxa"/>
            <w:gridSpan w:val="4"/>
          </w:tcPr>
          <w:p w14:paraId="2E580E22" w14:textId="6B1DEC84" w:rsidR="001C2394" w:rsidRPr="009F63DF" w:rsidRDefault="001549D8" w:rsidP="009A616B">
            <w:pPr>
              <w:keepNext/>
              <w:suppressAutoHyphens/>
              <w:spacing w:before="60" w:after="60"/>
              <w:ind w:right="57"/>
              <w:rPr>
                <w:rFonts w:cs="Arial"/>
                <w:b/>
                <w:i/>
                <w:sz w:val="20"/>
                <w:lang w:val="en-GB" w:eastAsia="en-US"/>
              </w:rPr>
            </w:pPr>
            <m:oMathPara>
              <m:oMathParaPr>
                <m:jc m:val="left"/>
              </m:oMathParaPr>
              <m:oMath>
                <m:sSub>
                  <m:sSubPr>
                    <m:ctrlPr>
                      <w:rPr>
                        <w:rFonts w:ascii="Cambria Math" w:hAnsi="Cambria Math" w:cs="Arial"/>
                        <w:b/>
                        <w:i/>
                        <w:sz w:val="20"/>
                        <w:szCs w:val="18"/>
                        <w:lang w:val="en-GB" w:eastAsia="en-US"/>
                      </w:rPr>
                    </m:ctrlPr>
                  </m:sSubPr>
                  <m:e>
                    <m:r>
                      <m:rPr>
                        <m:sty m:val="bi"/>
                      </m:rPr>
                      <w:rPr>
                        <w:rFonts w:ascii="Cambria Math" w:hAnsi="Cambria Math" w:cs="Arial"/>
                        <w:sz w:val="20"/>
                        <w:szCs w:val="18"/>
                        <w:lang w:val="en-GB" w:eastAsia="en-US"/>
                      </w:rPr>
                      <m:t>CD</m:t>
                    </m:r>
                  </m:e>
                  <m:sub>
                    <m:r>
                      <m:rPr>
                        <m:sty m:val="bi"/>
                      </m:rPr>
                      <w:rPr>
                        <w:rFonts w:ascii="Cambria Math" w:hAnsi="Cambria Math" w:cs="Arial"/>
                        <w:sz w:val="20"/>
                        <w:szCs w:val="18"/>
                        <w:lang w:val="en-GB" w:eastAsia="en-US"/>
                      </w:rPr>
                      <m:t>y</m:t>
                    </m:r>
                  </m:sub>
                </m:sSub>
              </m:oMath>
            </m:oMathPara>
          </w:p>
        </w:tc>
      </w:tr>
      <w:tr w:rsidR="001C2394" w:rsidRPr="009F63DF" w14:paraId="1AA05081" w14:textId="77777777" w:rsidTr="009167D3">
        <w:tc>
          <w:tcPr>
            <w:tcW w:w="1796" w:type="dxa"/>
            <w:shd w:val="clear" w:color="auto" w:fill="E6E6E6"/>
          </w:tcPr>
          <w:p w14:paraId="70EFDDA0" w14:textId="43BB9D7F"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33" w:type="dxa"/>
            <w:gridSpan w:val="4"/>
          </w:tcPr>
          <w:p w14:paraId="3D1646A1" w14:textId="1FE4E881" w:rsidR="001C2394" w:rsidRPr="009F63DF" w:rsidRDefault="001C2394" w:rsidP="009A616B">
            <w:pPr>
              <w:suppressAutoHyphens/>
              <w:spacing w:before="60" w:after="60"/>
              <w:ind w:right="57"/>
              <w:rPr>
                <w:rFonts w:cs="Arial"/>
                <w:sz w:val="20"/>
                <w:lang w:val="en-GB" w:eastAsia="en-US"/>
              </w:rPr>
            </w:pPr>
            <w:r w:rsidRPr="009F63DF">
              <w:rPr>
                <w:rFonts w:cs="Arial"/>
                <w:sz w:val="20"/>
                <w:szCs w:val="18"/>
                <w:lang w:val="en-GB" w:eastAsia="en-US"/>
              </w:rPr>
              <w:t xml:space="preserve">Days in a calendar year </w:t>
            </w:r>
            <w:r w:rsidRPr="009F63DF">
              <w:rPr>
                <w:rFonts w:cs="Arial"/>
                <w:i/>
                <w:sz w:val="20"/>
                <w:szCs w:val="18"/>
                <w:lang w:val="en-GB" w:eastAsia="en-US"/>
              </w:rPr>
              <w:t>y</w:t>
            </w:r>
          </w:p>
        </w:tc>
      </w:tr>
      <w:tr w:rsidR="001C2394" w:rsidRPr="009F63DF" w14:paraId="014144C4" w14:textId="77777777" w:rsidTr="009167D3">
        <w:tc>
          <w:tcPr>
            <w:tcW w:w="1796" w:type="dxa"/>
            <w:shd w:val="clear" w:color="auto" w:fill="E6E6E6"/>
          </w:tcPr>
          <w:p w14:paraId="133D1951" w14:textId="0F95DF4A"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33" w:type="dxa"/>
            <w:gridSpan w:val="4"/>
          </w:tcPr>
          <w:p w14:paraId="2A00F199" w14:textId="77777777" w:rsidR="001C2394" w:rsidRPr="009F63DF" w:rsidRDefault="001C2394" w:rsidP="009A616B">
            <w:pPr>
              <w:suppressAutoHyphens/>
              <w:spacing w:before="60" w:after="60"/>
              <w:ind w:right="57"/>
              <w:rPr>
                <w:rFonts w:cs="Arial"/>
                <w:sz w:val="20"/>
                <w:lang w:val="en-GB" w:eastAsia="en-US"/>
              </w:rPr>
            </w:pPr>
            <w:r w:rsidRPr="009F63DF">
              <w:rPr>
                <w:rFonts w:cs="Arial"/>
                <w:sz w:val="20"/>
                <w:szCs w:val="18"/>
                <w:lang w:val="en-GB" w:eastAsia="en-US"/>
              </w:rPr>
              <w:t>Number</w:t>
            </w:r>
          </w:p>
        </w:tc>
      </w:tr>
      <w:tr w:rsidR="001C2394" w:rsidRPr="009F63DF" w14:paraId="5A1ED2CB" w14:textId="77777777" w:rsidTr="009167D3">
        <w:tc>
          <w:tcPr>
            <w:tcW w:w="1796" w:type="dxa"/>
            <w:shd w:val="clear" w:color="auto" w:fill="E6E6E6"/>
          </w:tcPr>
          <w:p w14:paraId="3FF7BFF0" w14:textId="03A3DEAC"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33" w:type="dxa"/>
            <w:gridSpan w:val="4"/>
            <w:tcBorders>
              <w:bottom w:val="single" w:sz="4" w:space="0" w:color="auto"/>
            </w:tcBorders>
          </w:tcPr>
          <w:p w14:paraId="1E8B1E87" w14:textId="3CE5B284" w:rsidR="001C2394" w:rsidRPr="009F63DF" w:rsidRDefault="00815BBA" w:rsidP="009A616B">
            <w:pPr>
              <w:suppressAutoHyphens/>
              <w:spacing w:before="60" w:after="60"/>
              <w:ind w:right="57"/>
              <w:rPr>
                <w:rFonts w:cs="Arial"/>
                <w:sz w:val="20"/>
                <w:lang w:val="en-GB" w:eastAsia="en-US"/>
              </w:rPr>
            </w:pPr>
            <w:r w:rsidRPr="009F63DF">
              <w:rPr>
                <w:rFonts w:cs="Arial"/>
                <w:sz w:val="20"/>
                <w:lang w:val="en-GB" w:eastAsia="en-US"/>
              </w:rPr>
              <w:t>Equation (</w:t>
            </w:r>
            <w:r w:rsidR="006B6EA7" w:rsidRPr="009F63DF">
              <w:rPr>
                <w:rFonts w:cs="Arial"/>
                <w:sz w:val="20"/>
                <w:lang w:val="en-GB" w:eastAsia="en-US"/>
              </w:rPr>
              <w:t>6</w:t>
            </w:r>
            <w:r w:rsidRPr="009F63DF">
              <w:rPr>
                <w:rFonts w:cs="Arial"/>
                <w:sz w:val="20"/>
                <w:lang w:val="en-GB" w:eastAsia="en-US"/>
              </w:rPr>
              <w:t>)</w:t>
            </w:r>
            <w:r w:rsidR="006B6EA7" w:rsidRPr="009F63DF">
              <w:rPr>
                <w:rFonts w:cs="Arial"/>
                <w:sz w:val="20"/>
                <w:lang w:val="en-GB" w:eastAsia="en-US"/>
              </w:rPr>
              <w:t xml:space="preserve">, </w:t>
            </w:r>
            <w:r w:rsidRPr="009F63DF">
              <w:rPr>
                <w:rFonts w:cs="Arial"/>
                <w:sz w:val="20"/>
                <w:lang w:val="en-GB" w:eastAsia="en-US"/>
              </w:rPr>
              <w:t>(</w:t>
            </w:r>
            <w:r w:rsidR="006B6EA7" w:rsidRPr="009F63DF">
              <w:rPr>
                <w:rFonts w:cs="Arial"/>
                <w:sz w:val="20"/>
                <w:lang w:val="en-GB" w:eastAsia="en-US"/>
              </w:rPr>
              <w:t>7</w:t>
            </w:r>
            <w:r w:rsidRPr="009F63DF">
              <w:rPr>
                <w:rFonts w:cs="Arial"/>
                <w:sz w:val="20"/>
                <w:lang w:val="en-GB" w:eastAsia="en-US"/>
              </w:rPr>
              <w:t>)</w:t>
            </w:r>
            <w:r w:rsidR="006B6EA7" w:rsidRPr="009F63DF">
              <w:rPr>
                <w:rFonts w:cs="Arial"/>
                <w:sz w:val="20"/>
                <w:lang w:val="en-GB" w:eastAsia="en-US"/>
              </w:rPr>
              <w:t xml:space="preserve">, </w:t>
            </w:r>
            <w:r w:rsidRPr="009F63DF">
              <w:rPr>
                <w:rFonts w:cs="Arial"/>
                <w:sz w:val="20"/>
                <w:lang w:val="en-GB" w:eastAsia="en-US"/>
              </w:rPr>
              <w:t>(</w:t>
            </w:r>
            <w:r w:rsidR="002573BC" w:rsidRPr="009F63DF">
              <w:rPr>
                <w:rFonts w:cs="Arial"/>
                <w:sz w:val="20"/>
                <w:lang w:val="en-GB" w:eastAsia="en-US"/>
              </w:rPr>
              <w:t>1</w:t>
            </w:r>
            <w:r w:rsidR="008A20FB">
              <w:rPr>
                <w:rFonts w:cs="Arial"/>
                <w:sz w:val="20"/>
                <w:lang w:val="en-GB" w:eastAsia="en-US"/>
              </w:rPr>
              <w:t>3</w:t>
            </w:r>
            <w:r w:rsidRPr="009F63DF">
              <w:rPr>
                <w:rFonts w:cs="Arial"/>
                <w:sz w:val="20"/>
                <w:lang w:val="en-GB" w:eastAsia="en-US"/>
              </w:rPr>
              <w:t>)</w:t>
            </w:r>
            <w:r w:rsidR="006B6EA7" w:rsidRPr="009F63DF">
              <w:rPr>
                <w:rFonts w:cs="Arial"/>
                <w:sz w:val="20"/>
                <w:lang w:val="en-GB" w:eastAsia="en-US"/>
              </w:rPr>
              <w:t xml:space="preserve">, </w:t>
            </w:r>
            <w:r w:rsidRPr="009F63DF">
              <w:rPr>
                <w:rFonts w:cs="Arial"/>
                <w:sz w:val="20"/>
                <w:lang w:val="en-GB" w:eastAsia="en-US"/>
              </w:rPr>
              <w:t>(</w:t>
            </w:r>
            <w:r w:rsidR="008A20FB">
              <w:rPr>
                <w:rFonts w:cs="Arial"/>
                <w:sz w:val="20"/>
                <w:lang w:val="en-GB" w:eastAsia="en-US"/>
              </w:rPr>
              <w:t>14</w:t>
            </w:r>
            <w:r w:rsidRPr="009F63DF">
              <w:rPr>
                <w:rFonts w:cs="Arial"/>
                <w:sz w:val="20"/>
                <w:lang w:val="en-GB" w:eastAsia="en-US"/>
              </w:rPr>
              <w:t>)</w:t>
            </w:r>
            <w:r w:rsidR="006B6EA7" w:rsidRPr="009F63DF">
              <w:rPr>
                <w:rFonts w:cs="Arial"/>
                <w:sz w:val="20"/>
                <w:lang w:val="en-GB" w:eastAsia="en-US"/>
              </w:rPr>
              <w:t xml:space="preserve">, </w:t>
            </w:r>
            <w:r w:rsidRPr="009F63DF">
              <w:rPr>
                <w:rFonts w:cs="Arial"/>
                <w:sz w:val="20"/>
                <w:lang w:val="en-GB" w:eastAsia="en-US"/>
              </w:rPr>
              <w:t>(</w:t>
            </w:r>
            <w:r w:rsidR="006B6EA7" w:rsidRPr="009F63DF">
              <w:rPr>
                <w:rFonts w:cs="Arial"/>
                <w:sz w:val="20"/>
                <w:lang w:val="en-GB" w:eastAsia="en-US"/>
              </w:rPr>
              <w:t>2</w:t>
            </w:r>
            <w:r w:rsidR="00921B34">
              <w:rPr>
                <w:rFonts w:cs="Arial"/>
                <w:sz w:val="20"/>
                <w:lang w:val="en-GB" w:eastAsia="en-US"/>
              </w:rPr>
              <w:t>2</w:t>
            </w:r>
            <w:r w:rsidRPr="009F63DF">
              <w:rPr>
                <w:rFonts w:cs="Arial"/>
                <w:sz w:val="20"/>
                <w:lang w:val="en-GB" w:eastAsia="en-US"/>
              </w:rPr>
              <w:t>)</w:t>
            </w:r>
            <w:r w:rsidR="006B6EA7" w:rsidRPr="009F63DF">
              <w:rPr>
                <w:rFonts w:cs="Arial"/>
                <w:sz w:val="20"/>
                <w:lang w:val="en-GB" w:eastAsia="en-US"/>
              </w:rPr>
              <w:t xml:space="preserve">, </w:t>
            </w:r>
            <w:r w:rsidRPr="009F63DF">
              <w:rPr>
                <w:rFonts w:cs="Arial"/>
                <w:sz w:val="20"/>
                <w:lang w:val="en-GB" w:eastAsia="en-US"/>
              </w:rPr>
              <w:t>(</w:t>
            </w:r>
            <w:r w:rsidR="00921B34">
              <w:rPr>
                <w:rFonts w:cs="Arial"/>
                <w:sz w:val="20"/>
                <w:lang w:val="en-GB" w:eastAsia="en-US"/>
              </w:rPr>
              <w:t>23</w:t>
            </w:r>
            <w:r w:rsidRPr="009F63DF">
              <w:rPr>
                <w:rFonts w:cs="Arial"/>
                <w:sz w:val="20"/>
                <w:lang w:val="en-GB" w:eastAsia="en-US"/>
              </w:rPr>
              <w:t>)</w:t>
            </w:r>
          </w:p>
        </w:tc>
      </w:tr>
      <w:tr w:rsidR="001C2394" w:rsidRPr="009F63DF" w14:paraId="02BB3112" w14:textId="77777777" w:rsidTr="009167D3">
        <w:tc>
          <w:tcPr>
            <w:tcW w:w="1796" w:type="dxa"/>
            <w:shd w:val="clear" w:color="auto" w:fill="E6E6E6"/>
          </w:tcPr>
          <w:p w14:paraId="6B89A6F6" w14:textId="40A21638"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28" w:type="dxa"/>
            <w:tcBorders>
              <w:bottom w:val="nil"/>
              <w:right w:val="nil"/>
            </w:tcBorders>
          </w:tcPr>
          <w:p w14:paraId="1AD716D1" w14:textId="253B42DA"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Baseline </w:t>
            </w:r>
            <w:r w:rsidR="00084B79" w:rsidRPr="009F63DF">
              <w:rPr>
                <w:rFonts w:cs="Arial"/>
                <w:sz w:val="20"/>
                <w:lang w:val="en-GB" w:eastAsia="en-US"/>
              </w:rPr>
              <w:t>Scenario</w:t>
            </w:r>
          </w:p>
        </w:tc>
        <w:tc>
          <w:tcPr>
            <w:tcW w:w="2145" w:type="dxa"/>
            <w:gridSpan w:val="2"/>
            <w:tcBorders>
              <w:left w:val="nil"/>
              <w:bottom w:val="nil"/>
              <w:right w:val="nil"/>
            </w:tcBorders>
          </w:tcPr>
          <w:p w14:paraId="489315AF" w14:textId="6D807D3C"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w:t>
            </w:r>
            <w:r w:rsidR="002646DE" w:rsidRPr="009F63DF">
              <w:rPr>
                <w:rFonts w:cs="Arial"/>
                <w:sz w:val="20"/>
                <w:lang w:val="en-GB" w:eastAsia="en-US"/>
              </w:rPr>
              <w:t>Activity</w:t>
            </w:r>
            <w:r w:rsidRPr="009F63DF">
              <w:rPr>
                <w:rFonts w:cs="Arial"/>
                <w:sz w:val="20"/>
                <w:lang w:val="en-GB" w:eastAsia="en-US"/>
              </w:rPr>
              <w:t xml:space="preserve"> </w:t>
            </w:r>
            <w:r w:rsidR="00084B79" w:rsidRPr="009F63DF">
              <w:rPr>
                <w:rFonts w:cs="Arial"/>
                <w:sz w:val="20"/>
                <w:lang w:val="en-GB" w:eastAsia="en-US"/>
              </w:rPr>
              <w:t>Scenario</w:t>
            </w:r>
          </w:p>
        </w:tc>
        <w:tc>
          <w:tcPr>
            <w:tcW w:w="2260" w:type="dxa"/>
            <w:tcBorders>
              <w:left w:val="nil"/>
              <w:bottom w:val="nil"/>
            </w:tcBorders>
          </w:tcPr>
          <w:p w14:paraId="4DB3B889" w14:textId="16C0F92F"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Leakage</w:t>
            </w:r>
          </w:p>
        </w:tc>
      </w:tr>
      <w:tr w:rsidR="001C2394" w:rsidRPr="009F63DF" w14:paraId="7C6F9B88" w14:textId="77777777" w:rsidTr="009167D3">
        <w:tc>
          <w:tcPr>
            <w:tcW w:w="1796" w:type="dxa"/>
            <w:shd w:val="clear" w:color="auto" w:fill="E6E6E6"/>
          </w:tcPr>
          <w:p w14:paraId="62563616" w14:textId="4B9F02B7"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33" w:type="dxa"/>
            <w:gridSpan w:val="4"/>
            <w:tcBorders>
              <w:bottom w:val="single" w:sz="4" w:space="0" w:color="auto"/>
            </w:tcBorders>
          </w:tcPr>
          <w:p w14:paraId="2065CCD4" w14:textId="77777777" w:rsidR="001C2394" w:rsidRPr="009F63DF" w:rsidRDefault="001C2394" w:rsidP="009A616B">
            <w:pPr>
              <w:suppressAutoHyphens/>
              <w:spacing w:before="60" w:after="60"/>
              <w:ind w:right="57"/>
              <w:rPr>
                <w:rFonts w:cs="Arial"/>
                <w:i/>
                <w:sz w:val="20"/>
                <w:lang w:val="en-GB" w:eastAsia="en-US"/>
              </w:rPr>
            </w:pPr>
            <w:r w:rsidRPr="009F63DF">
              <w:rPr>
                <w:rFonts w:cs="Arial"/>
                <w:sz w:val="20"/>
                <w:szCs w:val="18"/>
                <w:lang w:val="en-GB" w:eastAsia="en-US"/>
              </w:rPr>
              <w:t>365 (non-leap year) or 366 (leap year)</w:t>
            </w:r>
          </w:p>
        </w:tc>
      </w:tr>
      <w:tr w:rsidR="001C2394" w:rsidRPr="009F63DF" w14:paraId="29FA5041" w14:textId="77777777" w:rsidTr="009167D3">
        <w:tc>
          <w:tcPr>
            <w:tcW w:w="1796" w:type="dxa"/>
            <w:shd w:val="clear" w:color="auto" w:fill="E6E6E6"/>
          </w:tcPr>
          <w:p w14:paraId="60AEAB49" w14:textId="2E37F9BA"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640" w:type="dxa"/>
            <w:gridSpan w:val="2"/>
            <w:tcBorders>
              <w:bottom w:val="single" w:sz="4" w:space="0" w:color="auto"/>
              <w:right w:val="nil"/>
            </w:tcBorders>
            <w:vAlign w:val="center"/>
          </w:tcPr>
          <w:p w14:paraId="27EE0B87" w14:textId="77777777" w:rsidR="001C2394" w:rsidRPr="009F63DF" w:rsidRDefault="001C2394" w:rsidP="009A616B">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3" w:type="dxa"/>
            <w:gridSpan w:val="2"/>
            <w:tcBorders>
              <w:left w:val="nil"/>
              <w:bottom w:val="single" w:sz="4" w:space="0" w:color="auto"/>
            </w:tcBorders>
            <w:vAlign w:val="center"/>
          </w:tcPr>
          <w:p w14:paraId="723D051E" w14:textId="77777777"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1C2394" w:rsidRPr="009F63DF" w14:paraId="68F22668" w14:textId="77777777" w:rsidTr="009167D3">
        <w:tc>
          <w:tcPr>
            <w:tcW w:w="1796" w:type="dxa"/>
            <w:shd w:val="clear" w:color="auto" w:fill="E6E6E6"/>
          </w:tcPr>
          <w:p w14:paraId="02E586F0" w14:textId="347426D8"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33" w:type="dxa"/>
            <w:gridSpan w:val="4"/>
            <w:tcBorders>
              <w:top w:val="single" w:sz="4" w:space="0" w:color="auto"/>
            </w:tcBorders>
          </w:tcPr>
          <w:p w14:paraId="3A7656F1" w14:textId="77777777" w:rsidR="001C2394" w:rsidRPr="009F63DF" w:rsidRDefault="001C2394" w:rsidP="009A616B">
            <w:pPr>
              <w:suppressAutoHyphens/>
              <w:spacing w:before="60" w:after="60"/>
              <w:ind w:right="57"/>
              <w:rPr>
                <w:rFonts w:cs="Arial"/>
                <w:sz w:val="20"/>
                <w:lang w:val="en-GB" w:eastAsia="en-US"/>
              </w:rPr>
            </w:pPr>
            <w:r w:rsidRPr="009F63DF">
              <w:rPr>
                <w:rFonts w:cs="Arial"/>
                <w:sz w:val="20"/>
                <w:lang w:val="en-GB" w:eastAsia="en-US"/>
              </w:rPr>
              <w:t>N/A</w:t>
            </w:r>
          </w:p>
        </w:tc>
      </w:tr>
      <w:tr w:rsidR="001C2394" w:rsidRPr="009F63DF" w14:paraId="78DCBA6E" w14:textId="77777777" w:rsidTr="009167D3">
        <w:tc>
          <w:tcPr>
            <w:tcW w:w="1796" w:type="dxa"/>
            <w:shd w:val="clear" w:color="auto" w:fill="E6E6E6"/>
          </w:tcPr>
          <w:p w14:paraId="2CB83FDF" w14:textId="6702F0E0" w:rsidR="001C2394" w:rsidRPr="009F63DF" w:rsidRDefault="001C2394"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p>
        </w:tc>
        <w:tc>
          <w:tcPr>
            <w:tcW w:w="6733" w:type="dxa"/>
            <w:gridSpan w:val="4"/>
          </w:tcPr>
          <w:p w14:paraId="33770A8E" w14:textId="77777777" w:rsidR="001C2394" w:rsidRPr="009F63DF" w:rsidRDefault="001C2394" w:rsidP="009A616B">
            <w:pPr>
              <w:keepNext/>
              <w:suppressAutoHyphens/>
              <w:spacing w:before="60" w:after="60"/>
              <w:ind w:right="57"/>
              <w:rPr>
                <w:rFonts w:cs="Arial"/>
                <w:sz w:val="20"/>
                <w:lang w:val="en-GB" w:eastAsia="en-US"/>
              </w:rPr>
            </w:pPr>
            <w:r w:rsidRPr="009F63DF">
              <w:rPr>
                <w:rFonts w:cs="Arial"/>
                <w:sz w:val="20"/>
                <w:lang w:val="en-GB" w:eastAsia="en-US"/>
              </w:rPr>
              <w:t>N/A</w:t>
            </w:r>
          </w:p>
        </w:tc>
      </w:tr>
      <w:tr w:rsidR="001C2394" w:rsidRPr="009F63DF" w14:paraId="4E415C23" w14:textId="77777777" w:rsidTr="009167D3">
        <w:tc>
          <w:tcPr>
            <w:tcW w:w="1796" w:type="dxa"/>
            <w:shd w:val="clear" w:color="auto" w:fill="E6E6E6"/>
          </w:tcPr>
          <w:p w14:paraId="46E90DCA" w14:textId="76DFBB5B"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p>
        </w:tc>
        <w:tc>
          <w:tcPr>
            <w:tcW w:w="6733" w:type="dxa"/>
            <w:gridSpan w:val="4"/>
          </w:tcPr>
          <w:p w14:paraId="75C2D3B9" w14:textId="77777777" w:rsidR="001C2394" w:rsidRPr="009F63DF" w:rsidRDefault="001C2394" w:rsidP="009A616B">
            <w:pPr>
              <w:suppressAutoHyphens/>
              <w:spacing w:before="60" w:after="60"/>
              <w:ind w:right="57"/>
              <w:rPr>
                <w:rFonts w:cs="Arial"/>
                <w:i/>
                <w:iCs/>
                <w:sz w:val="20"/>
                <w:lang w:val="en-GB" w:eastAsia="en-US"/>
              </w:rPr>
            </w:pPr>
            <w:r w:rsidRPr="009F63DF">
              <w:rPr>
                <w:rFonts w:cs="Arial"/>
                <w:sz w:val="20"/>
                <w:lang w:val="en-GB" w:eastAsia="en-US"/>
              </w:rPr>
              <w:t>-</w:t>
            </w:r>
          </w:p>
        </w:tc>
      </w:tr>
    </w:tbl>
    <w:p w14:paraId="322471CC" w14:textId="5ED9C675"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4</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796"/>
        <w:gridCol w:w="2372"/>
        <w:gridCol w:w="1266"/>
        <w:gridCol w:w="835"/>
        <w:gridCol w:w="2260"/>
      </w:tblGrid>
      <w:tr w:rsidR="001C2394" w:rsidRPr="009F63DF" w14:paraId="77E6EFDD" w14:textId="77777777" w:rsidTr="009167D3">
        <w:tc>
          <w:tcPr>
            <w:tcW w:w="1796" w:type="dxa"/>
            <w:shd w:val="clear" w:color="auto" w:fill="E6E6E6"/>
          </w:tcPr>
          <w:p w14:paraId="7905F049" w14:textId="0023872D" w:rsidR="001C2394" w:rsidRPr="009F63DF" w:rsidRDefault="001C2394"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33" w:type="dxa"/>
            <w:gridSpan w:val="4"/>
          </w:tcPr>
          <w:p w14:paraId="73E01DDF" w14:textId="77777777" w:rsidR="001C2394" w:rsidRPr="009F63DF" w:rsidRDefault="001549D8" w:rsidP="009A616B">
            <w:pPr>
              <w:keepNext/>
              <w:suppressAutoHyphens/>
              <w:spacing w:before="60" w:after="60"/>
              <w:ind w:right="57"/>
              <w:rPr>
                <w:rFonts w:cs="Arial"/>
                <w:b/>
                <w:i/>
                <w:sz w:val="20"/>
                <w:lang w:val="en-GB" w:eastAsia="en-US"/>
              </w:rPr>
            </w:pPr>
            <m:oMathPara>
              <m:oMathParaPr>
                <m:jc m:val="left"/>
              </m:oMathParaPr>
              <m:oMath>
                <m:sSub>
                  <m:sSubPr>
                    <m:ctrlPr>
                      <w:rPr>
                        <w:rFonts w:ascii="Cambria Math" w:eastAsia="Cambria Math" w:hAnsi="Cambria Math" w:cs="Arial"/>
                        <w:sz w:val="20"/>
                        <w:szCs w:val="18"/>
                        <w:lang w:val="en-GB" w:eastAsia="en-US"/>
                      </w:rPr>
                    </m:ctrlPr>
                  </m:sSubPr>
                  <m:e>
                    <m:r>
                      <m:rPr>
                        <m:sty m:val="bi"/>
                      </m:rPr>
                      <w:rPr>
                        <w:rFonts w:ascii="Cambria Math" w:hAnsi="Cambria Math" w:cs="Arial"/>
                        <w:sz w:val="20"/>
                        <w:szCs w:val="18"/>
                        <w:lang w:val="en-GB" w:eastAsia="en-US"/>
                      </w:rPr>
                      <m:t>EF</m:t>
                    </m:r>
                  </m:e>
                  <m:sub>
                    <m:r>
                      <m:rPr>
                        <m:sty m:val="bi"/>
                      </m:rPr>
                      <w:rPr>
                        <w:rFonts w:ascii="Cambria Math" w:hAnsi="Cambria Math" w:cs="Arial"/>
                        <w:sz w:val="20"/>
                        <w:szCs w:val="18"/>
                        <w:lang w:val="en-GB" w:eastAsia="en-US"/>
                      </w:rPr>
                      <m:t>i,CO</m:t>
                    </m:r>
                    <m:r>
                      <m:rPr>
                        <m:sty m:val="bi"/>
                      </m:rPr>
                      <w:rPr>
                        <w:rFonts w:ascii="Cambria Math" w:hAnsi="Cambria Math" w:cs="Arial"/>
                        <w:sz w:val="20"/>
                        <w:szCs w:val="18"/>
                        <w:lang w:val="en-GB" w:eastAsia="en-US"/>
                      </w:rPr>
                      <m:t>2</m:t>
                    </m:r>
                  </m:sub>
                </m:sSub>
              </m:oMath>
            </m:oMathPara>
          </w:p>
        </w:tc>
      </w:tr>
      <w:tr w:rsidR="001C2394" w:rsidRPr="009F63DF" w14:paraId="28CF16C0" w14:textId="77777777" w:rsidTr="009167D3">
        <w:tc>
          <w:tcPr>
            <w:tcW w:w="1796" w:type="dxa"/>
            <w:shd w:val="clear" w:color="auto" w:fill="E6E6E6"/>
          </w:tcPr>
          <w:p w14:paraId="718CFB3A" w14:textId="6E057939"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33" w:type="dxa"/>
            <w:gridSpan w:val="4"/>
          </w:tcPr>
          <w:p w14:paraId="488EC958" w14:textId="77777777" w:rsidR="001C2394" w:rsidRPr="009F63DF" w:rsidRDefault="001C2394" w:rsidP="009A616B">
            <w:pPr>
              <w:suppressAutoHyphens/>
              <w:spacing w:before="60" w:after="60"/>
              <w:ind w:right="57"/>
              <w:rPr>
                <w:rFonts w:cs="Arial"/>
                <w:sz w:val="20"/>
                <w:lang w:val="en-GB" w:eastAsia="en-US"/>
              </w:rPr>
            </w:pPr>
            <w:r w:rsidRPr="009F63DF">
              <w:rPr>
                <w:rFonts w:cs="Arial"/>
                <w:sz w:val="20"/>
                <w:szCs w:val="18"/>
                <w:lang w:val="en-GB" w:eastAsia="en-US"/>
              </w:rPr>
              <w:t>CO</w:t>
            </w:r>
            <w:r w:rsidRPr="009F63DF">
              <w:rPr>
                <w:rFonts w:cs="Arial"/>
                <w:sz w:val="20"/>
                <w:szCs w:val="18"/>
                <w:vertAlign w:val="subscript"/>
                <w:lang w:val="en-GB" w:eastAsia="en-US"/>
              </w:rPr>
              <w:t>2</w:t>
            </w:r>
            <w:r w:rsidRPr="009F63DF">
              <w:rPr>
                <w:rFonts w:cs="Arial"/>
                <w:sz w:val="20"/>
                <w:szCs w:val="18"/>
                <w:lang w:val="en-GB" w:eastAsia="en-US"/>
              </w:rPr>
              <w:t xml:space="preserve"> emission factor for fuel </w:t>
            </w:r>
            <w:r w:rsidRPr="009F63DF">
              <w:rPr>
                <w:rFonts w:cs="Arial"/>
                <w:i/>
                <w:sz w:val="20"/>
                <w:szCs w:val="18"/>
                <w:lang w:val="en-GB" w:eastAsia="en-US"/>
              </w:rPr>
              <w:t>i</w:t>
            </w:r>
          </w:p>
        </w:tc>
      </w:tr>
      <w:tr w:rsidR="001C2394" w:rsidRPr="009F63DF" w14:paraId="2C007323" w14:textId="77777777" w:rsidTr="009167D3">
        <w:tc>
          <w:tcPr>
            <w:tcW w:w="1796" w:type="dxa"/>
            <w:shd w:val="clear" w:color="auto" w:fill="E6E6E6"/>
          </w:tcPr>
          <w:p w14:paraId="2BA89F2A" w14:textId="63088288"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33" w:type="dxa"/>
            <w:gridSpan w:val="4"/>
          </w:tcPr>
          <w:p w14:paraId="7EEED8CF" w14:textId="652E6FFE" w:rsidR="001C2394" w:rsidRPr="009F63DF" w:rsidRDefault="001C2394" w:rsidP="009A616B">
            <w:pPr>
              <w:suppressAutoHyphens/>
              <w:spacing w:before="60" w:after="60"/>
              <w:ind w:right="57"/>
              <w:rPr>
                <w:rFonts w:cs="Arial"/>
                <w:sz w:val="20"/>
                <w:lang w:val="en-GB" w:eastAsia="en-US"/>
              </w:rPr>
            </w:pPr>
            <w:r w:rsidRPr="009F63DF">
              <w:rPr>
                <w:rFonts w:cs="Arial"/>
                <w:sz w:val="20"/>
                <w:szCs w:val="18"/>
                <w:lang w:val="en-GB" w:eastAsia="en-US"/>
              </w:rPr>
              <w:t>t</w:t>
            </w:r>
            <w:r w:rsidR="00220A11" w:rsidRPr="009F63DF">
              <w:rPr>
                <w:rFonts w:cs="Arial"/>
                <w:sz w:val="20"/>
                <w:szCs w:val="18"/>
                <w:lang w:val="en-GB" w:eastAsia="en-US"/>
              </w:rPr>
              <w:t xml:space="preserve"> </w:t>
            </w:r>
            <w:r w:rsidRPr="009F63DF">
              <w:rPr>
                <w:rFonts w:cs="Arial"/>
                <w:sz w:val="20"/>
                <w:szCs w:val="18"/>
                <w:lang w:val="en-GB" w:eastAsia="en-US"/>
              </w:rPr>
              <w:t>CO</w:t>
            </w:r>
            <w:r w:rsidRPr="009F63DF">
              <w:rPr>
                <w:rFonts w:cs="Arial"/>
                <w:sz w:val="20"/>
                <w:szCs w:val="18"/>
                <w:vertAlign w:val="subscript"/>
                <w:lang w:val="en-GB" w:eastAsia="en-US"/>
              </w:rPr>
              <w:t>2</w:t>
            </w:r>
            <w:r w:rsidR="0097505D" w:rsidRPr="009F63DF">
              <w:rPr>
                <w:rFonts w:cs="Arial"/>
                <w:sz w:val="20"/>
                <w:szCs w:val="18"/>
                <w:lang w:val="en-GB" w:eastAsia="en-US"/>
              </w:rPr>
              <w:t xml:space="preserve"> </w:t>
            </w:r>
            <w:r w:rsidRPr="009F63DF">
              <w:rPr>
                <w:rFonts w:cs="Arial"/>
                <w:sz w:val="20"/>
                <w:szCs w:val="18"/>
                <w:lang w:val="en-GB" w:eastAsia="en-US"/>
              </w:rPr>
              <w:t>/</w:t>
            </w:r>
            <w:r w:rsidR="0097505D" w:rsidRPr="009F63DF">
              <w:rPr>
                <w:rFonts w:cs="Arial"/>
                <w:sz w:val="20"/>
                <w:szCs w:val="18"/>
                <w:lang w:val="en-GB" w:eastAsia="en-US"/>
              </w:rPr>
              <w:t xml:space="preserve"> </w:t>
            </w:r>
            <w:r w:rsidRPr="009F63DF">
              <w:rPr>
                <w:rFonts w:cs="Arial"/>
                <w:sz w:val="20"/>
                <w:szCs w:val="18"/>
                <w:lang w:val="en-GB" w:eastAsia="en-US"/>
              </w:rPr>
              <w:t>TJ</w:t>
            </w:r>
          </w:p>
        </w:tc>
      </w:tr>
      <w:tr w:rsidR="001C2394" w:rsidRPr="009F63DF" w14:paraId="5CC30E9D" w14:textId="77777777" w:rsidTr="009167D3">
        <w:tc>
          <w:tcPr>
            <w:tcW w:w="1796" w:type="dxa"/>
            <w:shd w:val="clear" w:color="auto" w:fill="E6E6E6"/>
          </w:tcPr>
          <w:p w14:paraId="284DDBF6" w14:textId="5884892D"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33" w:type="dxa"/>
            <w:gridSpan w:val="4"/>
            <w:tcBorders>
              <w:bottom w:val="single" w:sz="4" w:space="0" w:color="auto"/>
            </w:tcBorders>
          </w:tcPr>
          <w:p w14:paraId="4DFC2277" w14:textId="133B431C" w:rsidR="001C2394" w:rsidRPr="00B71ACB" w:rsidRDefault="00815BBA" w:rsidP="009A616B">
            <w:pPr>
              <w:suppressAutoHyphens/>
              <w:spacing w:before="60" w:after="60"/>
              <w:ind w:right="57"/>
              <w:rPr>
                <w:rFonts w:cs="Arial"/>
                <w:sz w:val="20"/>
                <w:szCs w:val="20"/>
                <w:highlight w:val="yellow"/>
                <w:lang w:val="en-GB" w:eastAsia="en-US"/>
              </w:rPr>
            </w:pPr>
            <w:r w:rsidRPr="009F63DF">
              <w:rPr>
                <w:rFonts w:cs="Arial"/>
                <w:sz w:val="20"/>
                <w:lang w:val="en-GB" w:eastAsia="en-US"/>
              </w:rPr>
              <w:t>Equation (</w:t>
            </w:r>
            <w:r w:rsidR="006B6EA7" w:rsidRPr="009F63DF">
              <w:rPr>
                <w:rFonts w:cs="Arial"/>
                <w:sz w:val="20"/>
                <w:lang w:val="en-GB" w:eastAsia="en-US"/>
              </w:rPr>
              <w:t>2</w:t>
            </w:r>
            <w:r w:rsidRPr="009F63DF">
              <w:rPr>
                <w:rFonts w:cs="Arial"/>
                <w:sz w:val="20"/>
                <w:lang w:val="en-GB" w:eastAsia="en-US"/>
              </w:rPr>
              <w:t>)</w:t>
            </w:r>
            <w:r w:rsidR="006B6EA7" w:rsidRPr="009F63DF">
              <w:rPr>
                <w:rFonts w:cs="Arial"/>
                <w:sz w:val="20"/>
                <w:lang w:val="en-GB" w:eastAsia="en-US"/>
              </w:rPr>
              <w:t xml:space="preserve">, </w:t>
            </w:r>
            <w:r w:rsidRPr="009F63DF">
              <w:rPr>
                <w:rFonts w:cs="Arial"/>
                <w:sz w:val="20"/>
                <w:lang w:val="en-GB" w:eastAsia="en-US"/>
              </w:rPr>
              <w:t>(</w:t>
            </w:r>
            <w:r w:rsidR="00F41FE0">
              <w:rPr>
                <w:rFonts w:cs="Arial"/>
                <w:sz w:val="20"/>
                <w:lang w:val="en-GB" w:eastAsia="en-US"/>
              </w:rPr>
              <w:t>11</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1</w:t>
            </w:r>
            <w:r w:rsidR="00017568" w:rsidRPr="009F63DF">
              <w:rPr>
                <w:rFonts w:cs="Arial"/>
                <w:sz w:val="20"/>
                <w:lang w:val="en-GB" w:eastAsia="en-US"/>
              </w:rPr>
              <w:t>8</w:t>
            </w:r>
            <w:r w:rsidRPr="009F63DF">
              <w:rPr>
                <w:rFonts w:cs="Arial"/>
                <w:sz w:val="20"/>
                <w:lang w:val="en-GB" w:eastAsia="en-US"/>
              </w:rPr>
              <w:t>)</w:t>
            </w:r>
            <w:r w:rsidR="002413E8" w:rsidRPr="009F63DF">
              <w:rPr>
                <w:rFonts w:cs="Arial"/>
                <w:sz w:val="20"/>
                <w:lang w:val="en-GB" w:eastAsia="en-US"/>
              </w:rPr>
              <w:t>,</w:t>
            </w:r>
            <w:r w:rsidR="00154C00">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2</w:t>
            </w:r>
            <w:r w:rsidR="00154C00">
              <w:rPr>
                <w:rFonts w:cs="Arial"/>
                <w:sz w:val="20"/>
                <w:lang w:val="en-GB" w:eastAsia="en-US"/>
              </w:rPr>
              <w:t>8</w:t>
            </w:r>
            <w:r w:rsidRPr="009F63DF">
              <w:rPr>
                <w:rFonts w:cs="Arial"/>
                <w:sz w:val="20"/>
                <w:lang w:val="en-GB" w:eastAsia="en-US"/>
              </w:rPr>
              <w:t>)</w:t>
            </w:r>
          </w:p>
        </w:tc>
      </w:tr>
      <w:tr w:rsidR="001C2394" w:rsidRPr="009F63DF" w14:paraId="225FE9BF" w14:textId="77777777" w:rsidTr="009167D3">
        <w:tc>
          <w:tcPr>
            <w:tcW w:w="1796" w:type="dxa"/>
            <w:shd w:val="clear" w:color="auto" w:fill="E6E6E6"/>
          </w:tcPr>
          <w:p w14:paraId="42147FA4" w14:textId="6F8F6128"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72" w:type="dxa"/>
            <w:tcBorders>
              <w:bottom w:val="nil"/>
              <w:right w:val="nil"/>
            </w:tcBorders>
          </w:tcPr>
          <w:p w14:paraId="277191EB" w14:textId="6A8F2541" w:rsidR="001C2394" w:rsidRPr="009F63DF" w:rsidRDefault="001C2394" w:rsidP="009A616B">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Baseline </w:t>
            </w:r>
            <w:r w:rsidR="00084B79" w:rsidRPr="009F63DF">
              <w:rPr>
                <w:rFonts w:cs="Arial"/>
                <w:spacing w:val="-2"/>
                <w:sz w:val="20"/>
                <w:lang w:val="en-GB" w:eastAsia="en-US"/>
              </w:rPr>
              <w:t>Scenario</w:t>
            </w:r>
          </w:p>
        </w:tc>
        <w:tc>
          <w:tcPr>
            <w:tcW w:w="2101" w:type="dxa"/>
            <w:gridSpan w:val="2"/>
            <w:tcBorders>
              <w:left w:val="nil"/>
              <w:bottom w:val="nil"/>
              <w:right w:val="nil"/>
            </w:tcBorders>
          </w:tcPr>
          <w:p w14:paraId="4AF7A7F5" w14:textId="109513D8" w:rsidR="001C2394" w:rsidRPr="009F63DF" w:rsidRDefault="001C2394" w:rsidP="009A616B">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1"/>
                  </w:checkBox>
                </w:ffData>
              </w:fldChar>
            </w:r>
            <w:bookmarkStart w:id="785" w:name="Check2"/>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bookmarkEnd w:id="785"/>
            <w:r w:rsidRPr="009F63DF">
              <w:rPr>
                <w:rFonts w:cs="Arial"/>
                <w:spacing w:val="-2"/>
                <w:sz w:val="20"/>
                <w:lang w:val="en-GB" w:eastAsia="en-US"/>
              </w:rPr>
              <w:t xml:space="preserve"> </w:t>
            </w:r>
            <w:r w:rsidR="002646DE" w:rsidRPr="009F63DF">
              <w:rPr>
                <w:rFonts w:cs="Arial"/>
                <w:spacing w:val="-2"/>
                <w:sz w:val="20"/>
                <w:lang w:val="en-GB" w:eastAsia="en-US"/>
              </w:rPr>
              <w:t>Activity</w:t>
            </w:r>
            <w:r w:rsidRPr="009F63DF">
              <w:rPr>
                <w:rFonts w:cs="Arial"/>
                <w:spacing w:val="-2"/>
                <w:sz w:val="20"/>
                <w:lang w:val="en-GB" w:eastAsia="en-US"/>
              </w:rPr>
              <w:t xml:space="preserve"> </w:t>
            </w:r>
            <w:r w:rsidR="00084B79" w:rsidRPr="009F63DF">
              <w:rPr>
                <w:rFonts w:cs="Arial"/>
                <w:spacing w:val="-2"/>
                <w:sz w:val="20"/>
                <w:lang w:val="en-GB" w:eastAsia="en-US"/>
              </w:rPr>
              <w:t>Scenario</w:t>
            </w:r>
          </w:p>
        </w:tc>
        <w:tc>
          <w:tcPr>
            <w:tcW w:w="2260" w:type="dxa"/>
            <w:tcBorders>
              <w:left w:val="nil"/>
              <w:bottom w:val="nil"/>
            </w:tcBorders>
          </w:tcPr>
          <w:p w14:paraId="19F335B4" w14:textId="04243B7F" w:rsidR="001C2394" w:rsidRPr="009F63DF" w:rsidRDefault="001C2394" w:rsidP="009A616B">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Leakage</w:t>
            </w:r>
          </w:p>
        </w:tc>
      </w:tr>
      <w:tr w:rsidR="001C2394" w:rsidRPr="009F63DF" w14:paraId="347715C9" w14:textId="77777777" w:rsidTr="00021FFE">
        <w:tc>
          <w:tcPr>
            <w:tcW w:w="1796" w:type="dxa"/>
            <w:shd w:val="clear" w:color="auto" w:fill="E6E6E6"/>
          </w:tcPr>
          <w:p w14:paraId="5497166F" w14:textId="6E70B355"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33" w:type="dxa"/>
            <w:gridSpan w:val="4"/>
            <w:tcBorders>
              <w:bottom w:val="single" w:sz="4" w:space="0" w:color="auto"/>
            </w:tcBorders>
          </w:tcPr>
          <w:p w14:paraId="25551022" w14:textId="3BBFB416" w:rsidR="001C2394" w:rsidRPr="009F63DF" w:rsidRDefault="45BE99B7" w:rsidP="009A616B">
            <w:pPr>
              <w:suppressAutoHyphens/>
              <w:spacing w:before="60" w:after="60"/>
              <w:jc w:val="left"/>
              <w:rPr>
                <w:rFonts w:cs="Arial"/>
                <w:sz w:val="20"/>
                <w:szCs w:val="20"/>
                <w:lang w:val="en-GB"/>
              </w:rPr>
            </w:pPr>
            <w:r w:rsidRPr="009F63DF">
              <w:rPr>
                <w:rFonts w:cs="Arial"/>
                <w:color w:val="000000" w:themeColor="text1"/>
                <w:sz w:val="20"/>
                <w:szCs w:val="20"/>
                <w:lang w:val="en-GB" w:eastAsia="en-US"/>
              </w:rPr>
              <w:t>Fuelwood:</w:t>
            </w:r>
            <w:r w:rsidR="2286D992" w:rsidRPr="009F63DF">
              <w:rPr>
                <w:rFonts w:cs="Arial"/>
                <w:color w:val="000000" w:themeColor="text1"/>
                <w:sz w:val="20"/>
                <w:szCs w:val="20"/>
                <w:lang w:val="en-GB" w:eastAsia="en-US"/>
              </w:rPr>
              <w:t xml:space="preserve"> 112</w:t>
            </w:r>
          </w:p>
          <w:p w14:paraId="3C5610A5" w14:textId="5FF53F21" w:rsidR="001C2394" w:rsidRPr="009F63DF" w:rsidRDefault="45BE99B7" w:rsidP="009A616B">
            <w:pPr>
              <w:suppressAutoHyphens/>
              <w:spacing w:before="60" w:after="60"/>
              <w:jc w:val="left"/>
              <w:rPr>
                <w:rFonts w:cs="Arial"/>
                <w:sz w:val="20"/>
                <w:szCs w:val="20"/>
                <w:lang w:val="en-GB"/>
              </w:rPr>
            </w:pPr>
            <w:r w:rsidRPr="009F63DF">
              <w:rPr>
                <w:rFonts w:cs="Arial"/>
                <w:color w:val="000000" w:themeColor="text1"/>
                <w:sz w:val="20"/>
                <w:szCs w:val="20"/>
                <w:lang w:val="en-GB" w:eastAsia="en-US"/>
              </w:rPr>
              <w:t xml:space="preserve">Artisanal charcoal: </w:t>
            </w:r>
            <w:r w:rsidR="00F4578A" w:rsidRPr="009F63DF">
              <w:rPr>
                <w:rFonts w:eastAsia="Montserrat" w:cs="Arial"/>
                <w:sz w:val="20"/>
                <w:szCs w:val="20"/>
                <w:lang w:val="en-GB"/>
              </w:rPr>
              <w:t>89</w:t>
            </w:r>
          </w:p>
          <w:p w14:paraId="43447631" w14:textId="3764707F" w:rsidR="001C2394" w:rsidRPr="009F63DF" w:rsidRDefault="00DE29CD" w:rsidP="009A616B">
            <w:pPr>
              <w:suppressAutoHyphens/>
              <w:spacing w:before="60" w:after="60"/>
              <w:ind w:right="57"/>
              <w:rPr>
                <w:rFonts w:cs="Arial"/>
                <w:sz w:val="20"/>
                <w:szCs w:val="20"/>
                <w:lang w:val="en-GB"/>
              </w:rPr>
            </w:pPr>
            <w:r w:rsidRPr="009F63DF">
              <w:rPr>
                <w:rFonts w:cs="Arial"/>
                <w:iCs/>
                <w:color w:val="000000" w:themeColor="text1"/>
                <w:sz w:val="20"/>
                <w:szCs w:val="20"/>
                <w:lang w:val="en-GB" w:eastAsia="en-US"/>
              </w:rPr>
              <w:t xml:space="preserve"> </w:t>
            </w:r>
          </w:p>
        </w:tc>
      </w:tr>
      <w:tr w:rsidR="001C2394" w:rsidRPr="009F63DF" w14:paraId="22D80BD9" w14:textId="77777777" w:rsidTr="00021FFE">
        <w:tc>
          <w:tcPr>
            <w:tcW w:w="1796" w:type="dxa"/>
            <w:shd w:val="clear" w:color="auto" w:fill="E6E6E6"/>
          </w:tcPr>
          <w:p w14:paraId="578B8DA5" w14:textId="749CA4AF"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638" w:type="dxa"/>
            <w:gridSpan w:val="2"/>
            <w:tcBorders>
              <w:bottom w:val="single" w:sz="4" w:space="0" w:color="auto"/>
              <w:right w:val="nil"/>
            </w:tcBorders>
            <w:vAlign w:val="center"/>
          </w:tcPr>
          <w:p w14:paraId="1FC5D3AD" w14:textId="77777777" w:rsidR="001C2394" w:rsidRPr="009F63DF" w:rsidRDefault="001C2394" w:rsidP="009A616B">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5" w:type="dxa"/>
            <w:gridSpan w:val="2"/>
            <w:tcBorders>
              <w:left w:val="nil"/>
              <w:bottom w:val="single" w:sz="4" w:space="0" w:color="auto"/>
            </w:tcBorders>
            <w:vAlign w:val="center"/>
          </w:tcPr>
          <w:p w14:paraId="03565A6F" w14:textId="77777777" w:rsidR="001C2394" w:rsidRPr="009F63DF" w:rsidRDefault="001C2394"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1C2394" w:rsidRPr="009F63DF" w14:paraId="068D758F" w14:textId="77777777" w:rsidTr="00021FFE">
        <w:tc>
          <w:tcPr>
            <w:tcW w:w="1796" w:type="dxa"/>
            <w:shd w:val="clear" w:color="auto" w:fill="E6E6E6"/>
          </w:tcPr>
          <w:p w14:paraId="554B4E29" w14:textId="3866C17D"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33" w:type="dxa"/>
            <w:gridSpan w:val="4"/>
            <w:tcBorders>
              <w:top w:val="single" w:sz="4" w:space="0" w:color="auto"/>
            </w:tcBorders>
          </w:tcPr>
          <w:p w14:paraId="45025BED" w14:textId="7366BFCA" w:rsidR="001C2394" w:rsidRPr="009F63DF" w:rsidRDefault="00D83E14" w:rsidP="009A616B">
            <w:pPr>
              <w:suppressAutoHyphens/>
              <w:spacing w:before="60" w:after="60"/>
              <w:ind w:right="57"/>
              <w:rPr>
                <w:rFonts w:cs="Arial"/>
                <w:sz w:val="20"/>
                <w:lang w:val="en-GB" w:eastAsia="en-US"/>
              </w:rPr>
            </w:pPr>
            <w:r w:rsidRPr="009F63DF">
              <w:rPr>
                <w:rFonts w:cs="Arial"/>
                <w:sz w:val="20"/>
                <w:lang w:val="en-GB" w:eastAsia="en-US"/>
              </w:rPr>
              <w:t>The wood value</w:t>
            </w:r>
            <w:r w:rsidR="00AC4F1B" w:rsidRPr="009F63DF">
              <w:rPr>
                <w:rFonts w:cs="Arial"/>
                <w:sz w:val="20"/>
                <w:lang w:val="en-GB" w:eastAsia="en-US"/>
              </w:rPr>
              <w:t xml:space="preserve"> is</w:t>
            </w:r>
            <w:r w:rsidRPr="009F63DF">
              <w:rPr>
                <w:rFonts w:cs="Arial"/>
                <w:sz w:val="20"/>
                <w:lang w:val="en-GB" w:eastAsia="en-US"/>
              </w:rPr>
              <w:t xml:space="preserve"> derived from the 2006 </w:t>
            </w:r>
            <w:r w:rsidRPr="009F63DF">
              <w:rPr>
                <w:rFonts w:cs="Arial"/>
                <w:color w:val="000000" w:themeColor="text1"/>
                <w:sz w:val="20"/>
                <w:szCs w:val="20"/>
                <w:lang w:val="en-GB" w:eastAsia="en-US"/>
              </w:rPr>
              <w:t xml:space="preserve">IPCC Guidelines for National </w:t>
            </w:r>
            <w:r w:rsidRPr="009F63DF">
              <w:rPr>
                <w:rFonts w:cs="Arial"/>
                <w:sz w:val="20"/>
                <w:szCs w:val="20"/>
                <w:lang w:val="en-GB" w:eastAsia="en-US"/>
              </w:rPr>
              <w:t>GHG</w:t>
            </w:r>
            <w:r w:rsidRPr="009F63DF">
              <w:rPr>
                <w:rFonts w:cs="Arial"/>
                <w:color w:val="000000" w:themeColor="text1"/>
                <w:sz w:val="20"/>
                <w:szCs w:val="20"/>
                <w:lang w:val="en-GB" w:eastAsia="en-US"/>
              </w:rPr>
              <w:t xml:space="preserve"> Inventories, Chapter 2, Table 2.5 default emission factor values for CO</w:t>
            </w:r>
            <w:r w:rsidRPr="009F63DF">
              <w:rPr>
                <w:rFonts w:cs="Arial"/>
                <w:color w:val="000000" w:themeColor="text1"/>
                <w:sz w:val="20"/>
                <w:szCs w:val="20"/>
                <w:vertAlign w:val="subscript"/>
                <w:lang w:val="en-GB" w:eastAsia="en-US"/>
              </w:rPr>
              <w:t>2</w:t>
            </w:r>
            <w:r w:rsidR="001D4D25" w:rsidRPr="009F63DF">
              <w:rPr>
                <w:rFonts w:cs="Arial"/>
                <w:color w:val="000000" w:themeColor="text1"/>
                <w:sz w:val="20"/>
                <w:szCs w:val="20"/>
                <w:vertAlign w:val="subscript"/>
                <w:lang w:val="en-GB" w:eastAsia="en-US"/>
              </w:rPr>
              <w:br/>
            </w:r>
            <w:r w:rsidR="002C7452" w:rsidRPr="009F63DF">
              <w:rPr>
                <w:rFonts w:cs="Arial"/>
                <w:sz w:val="20"/>
                <w:lang w:val="en-GB" w:eastAsia="en-US"/>
              </w:rPr>
              <w:t xml:space="preserve">The charcoal value is derived from </w:t>
            </w:r>
            <w:r w:rsidR="00022C56" w:rsidRPr="009F63DF">
              <w:rPr>
                <w:rFonts w:cs="Arial"/>
                <w:sz w:val="20"/>
                <w:lang w:val="en-GB" w:eastAsia="en-US"/>
              </w:rPr>
              <w:t xml:space="preserve">research results </w:t>
            </w:r>
            <w:r w:rsidR="003E65BD" w:rsidRPr="009F63DF">
              <w:rPr>
                <w:rFonts w:cs="Arial"/>
                <w:sz w:val="20"/>
                <w:lang w:val="en-GB" w:eastAsia="en-US"/>
              </w:rPr>
              <w:t xml:space="preserve">for artisanal charcoal combustion in traditional cookstoves </w:t>
            </w:r>
            <w:r w:rsidR="00022C56" w:rsidRPr="009F63DF">
              <w:rPr>
                <w:rFonts w:cs="Arial"/>
                <w:sz w:val="20"/>
                <w:lang w:val="en-GB" w:eastAsia="en-US"/>
              </w:rPr>
              <w:t xml:space="preserve">summarized in </w:t>
            </w:r>
            <w:r w:rsidR="00124847" w:rsidRPr="009F63DF">
              <w:rPr>
                <w:sz w:val="20"/>
              </w:rPr>
              <w:fldChar w:fldCharType="begin"/>
            </w:r>
            <w:r w:rsidR="00124847" w:rsidRPr="009F63DF">
              <w:rPr>
                <w:sz w:val="20"/>
                <w:lang w:val="en-GB"/>
              </w:rPr>
              <w:instrText xml:space="preserve"> REF _Ref227014105 \r \h </w:instrText>
            </w:r>
            <w:r w:rsidR="00124847" w:rsidRPr="009F63DF">
              <w:rPr>
                <w:sz w:val="20"/>
                <w:szCs w:val="20"/>
                <w:lang w:val="en-GB"/>
              </w:rPr>
              <w:instrText xml:space="preserve"> \* MERGEFORMAT </w:instrText>
            </w:r>
            <w:r w:rsidR="00124847" w:rsidRPr="009F63DF">
              <w:rPr>
                <w:sz w:val="20"/>
              </w:rPr>
            </w:r>
            <w:r w:rsidR="00124847" w:rsidRPr="009F63DF">
              <w:rPr>
                <w:sz w:val="20"/>
              </w:rPr>
              <w:fldChar w:fldCharType="separate"/>
            </w:r>
            <w:r w:rsidR="00831DAE">
              <w:rPr>
                <w:sz w:val="20"/>
                <w:cs/>
                <w:lang w:val="en-GB"/>
              </w:rPr>
              <w:t>‎</w:t>
            </w:r>
            <w:r w:rsidR="00831DAE">
              <w:rPr>
                <w:sz w:val="20"/>
                <w:lang w:val="en-GB"/>
              </w:rPr>
              <w:t>0</w:t>
            </w:r>
            <w:r w:rsidR="00124847" w:rsidRPr="009F63DF">
              <w:rPr>
                <w:sz w:val="20"/>
              </w:rPr>
              <w:fldChar w:fldCharType="end"/>
            </w:r>
          </w:p>
        </w:tc>
      </w:tr>
      <w:tr w:rsidR="001C2394" w:rsidRPr="009F63DF" w14:paraId="7923E39A" w14:textId="77777777" w:rsidTr="009167D3">
        <w:tc>
          <w:tcPr>
            <w:tcW w:w="1796" w:type="dxa"/>
            <w:shd w:val="clear" w:color="auto" w:fill="E6E6E6"/>
          </w:tcPr>
          <w:p w14:paraId="7BE395FC" w14:textId="5919B23F" w:rsidR="001C2394" w:rsidRPr="009F63DF" w:rsidRDefault="001C2394"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p>
        </w:tc>
        <w:tc>
          <w:tcPr>
            <w:tcW w:w="6733" w:type="dxa"/>
            <w:gridSpan w:val="4"/>
          </w:tcPr>
          <w:p w14:paraId="64FDD6BC" w14:textId="30AAF7FE" w:rsidR="001C2394" w:rsidRPr="009F63DF" w:rsidRDefault="0001178F" w:rsidP="009A616B">
            <w:pPr>
              <w:keepNext/>
              <w:suppressAutoHyphens/>
              <w:spacing w:before="60" w:after="60"/>
              <w:ind w:right="57"/>
              <w:rPr>
                <w:rFonts w:cs="Arial"/>
                <w:sz w:val="20"/>
                <w:lang w:val="en-GB" w:eastAsia="en-US"/>
              </w:rPr>
            </w:pPr>
            <w:r w:rsidRPr="009F63DF">
              <w:rPr>
                <w:rFonts w:cs="Arial"/>
                <w:sz w:val="20"/>
                <w:lang w:val="en-GB" w:eastAsia="en-US"/>
              </w:rPr>
              <w:t>Th</w:t>
            </w:r>
            <w:r w:rsidR="00C82F81" w:rsidRPr="009F63DF">
              <w:rPr>
                <w:rFonts w:cs="Arial"/>
                <w:sz w:val="20"/>
                <w:lang w:val="en-GB" w:eastAsia="en-US"/>
              </w:rPr>
              <w:t>e values represent average (fuelwood) and conservative (charcoal)</w:t>
            </w:r>
            <w:r w:rsidR="00894DBB" w:rsidRPr="009F63DF">
              <w:rPr>
                <w:rFonts w:cs="Arial"/>
                <w:sz w:val="20"/>
                <w:lang w:val="en-GB" w:eastAsia="en-US"/>
              </w:rPr>
              <w:t xml:space="preserve"> estimates</w:t>
            </w:r>
            <w:r w:rsidR="0075689B" w:rsidRPr="009F63DF">
              <w:rPr>
                <w:rFonts w:cs="Arial"/>
                <w:sz w:val="20"/>
                <w:lang w:val="en-GB" w:eastAsia="en-US"/>
              </w:rPr>
              <w:t>.</w:t>
            </w:r>
            <w:r w:rsidR="006136D2" w:rsidRPr="009F63DF">
              <w:rPr>
                <w:rFonts w:cs="Arial"/>
                <w:sz w:val="20"/>
                <w:lang w:val="en-GB" w:eastAsia="en-US"/>
              </w:rPr>
              <w:t xml:space="preserve"> </w:t>
            </w:r>
            <w:r w:rsidR="002E4FBF" w:rsidRPr="009F63DF">
              <w:rPr>
                <w:rFonts w:cs="Arial"/>
                <w:sz w:val="20"/>
                <w:lang w:val="en-GB" w:eastAsia="en-US"/>
              </w:rPr>
              <w:t>The</w:t>
            </w:r>
            <w:r w:rsidR="006136D2" w:rsidRPr="009F63DF">
              <w:rPr>
                <w:rFonts w:cs="Arial"/>
                <w:sz w:val="20"/>
                <w:lang w:val="en-GB" w:eastAsia="en-US"/>
              </w:rPr>
              <w:t xml:space="preserve"> use </w:t>
            </w:r>
            <w:r w:rsidR="002E4FBF" w:rsidRPr="009F63DF">
              <w:rPr>
                <w:rFonts w:cs="Arial"/>
                <w:sz w:val="20"/>
                <w:lang w:val="en-GB" w:eastAsia="en-US"/>
              </w:rPr>
              <w:t>of the fuelwood</w:t>
            </w:r>
            <w:r w:rsidR="00894DBB" w:rsidRPr="009F63DF">
              <w:rPr>
                <w:rFonts w:cs="Arial"/>
                <w:sz w:val="20"/>
                <w:lang w:val="en-GB" w:eastAsia="en-US"/>
              </w:rPr>
              <w:t xml:space="preserve"> value</w:t>
            </w:r>
            <w:r w:rsidR="006136D2" w:rsidRPr="009F63DF">
              <w:rPr>
                <w:rFonts w:cs="Arial"/>
                <w:sz w:val="20"/>
                <w:lang w:val="en-GB" w:eastAsia="en-US"/>
              </w:rPr>
              <w:t xml:space="preserve"> is justified</w:t>
            </w:r>
            <w:r w:rsidR="005958AF" w:rsidRPr="009F63DF">
              <w:rPr>
                <w:rFonts w:cs="Arial"/>
                <w:sz w:val="20"/>
                <w:lang w:val="en-GB" w:eastAsia="en-US"/>
              </w:rPr>
              <w:t xml:space="preserve"> in relation to</w:t>
            </w:r>
            <w:r w:rsidR="00894DBB" w:rsidRPr="009F63DF">
              <w:rPr>
                <w:rFonts w:cs="Arial"/>
                <w:sz w:val="20"/>
                <w:lang w:val="en-GB" w:eastAsia="en-US"/>
              </w:rPr>
              <w:t xml:space="preserve"> </w:t>
            </w:r>
            <w:r w:rsidR="005958AF" w:rsidRPr="009F63DF">
              <w:rPr>
                <w:rFonts w:cs="Arial"/>
                <w:sz w:val="20"/>
                <w:lang w:val="en-GB" w:eastAsia="en-US"/>
              </w:rPr>
              <w:t>t</w:t>
            </w:r>
            <w:r w:rsidR="004507F6" w:rsidRPr="009F63DF">
              <w:rPr>
                <w:rFonts w:cs="Arial"/>
                <w:sz w:val="20"/>
                <w:lang w:val="en-GB" w:eastAsia="en-US"/>
              </w:rPr>
              <w:t>he conservativeness provisions</w:t>
            </w:r>
            <w:r w:rsidR="00DD1368" w:rsidRPr="009F63DF">
              <w:rPr>
                <w:rFonts w:cs="Arial"/>
                <w:sz w:val="20"/>
                <w:lang w:val="en-GB" w:eastAsia="en-US"/>
              </w:rPr>
              <w:t xml:space="preserve"> in the definition of the </w:t>
            </w:r>
            <w:r w:rsidR="004A2162" w:rsidRPr="009F63DF">
              <w:rPr>
                <w:rFonts w:cs="Arial"/>
                <w:sz w:val="20"/>
                <w:lang w:val="en-GB" w:eastAsia="en-US"/>
              </w:rPr>
              <w:t xml:space="preserve">benchmark </w:t>
            </w:r>
            <w:r w:rsidR="00DD1368" w:rsidRPr="009F63DF">
              <w:rPr>
                <w:rFonts w:cs="Arial"/>
                <w:sz w:val="20"/>
                <w:lang w:val="en-GB" w:eastAsia="en-US"/>
              </w:rPr>
              <w:t>baseline efficiency</w:t>
            </w:r>
            <w:r w:rsidR="002E4FBF" w:rsidRPr="009F63DF">
              <w:rPr>
                <w:rFonts w:cs="Arial"/>
                <w:sz w:val="20"/>
                <w:lang w:val="en-GB" w:eastAsia="en-US"/>
              </w:rPr>
              <w:t xml:space="preserve"> of fuelwood stoves</w:t>
            </w:r>
          </w:p>
        </w:tc>
      </w:tr>
      <w:tr w:rsidR="001C2394" w:rsidRPr="009F63DF" w14:paraId="5B2DBD43" w14:textId="77777777" w:rsidTr="009167D3">
        <w:tc>
          <w:tcPr>
            <w:tcW w:w="1796" w:type="dxa"/>
            <w:shd w:val="clear" w:color="auto" w:fill="E6E6E6"/>
          </w:tcPr>
          <w:p w14:paraId="70DF8E11" w14:textId="49D812EC"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p>
        </w:tc>
        <w:tc>
          <w:tcPr>
            <w:tcW w:w="6733" w:type="dxa"/>
            <w:gridSpan w:val="4"/>
          </w:tcPr>
          <w:p w14:paraId="4B5A1D95" w14:textId="77777777" w:rsidR="001C2394" w:rsidRPr="009F63DF" w:rsidRDefault="001C2394" w:rsidP="009A616B">
            <w:pPr>
              <w:suppressAutoHyphens/>
              <w:spacing w:before="60" w:after="60"/>
              <w:ind w:right="57"/>
              <w:rPr>
                <w:rFonts w:cs="Arial"/>
                <w:sz w:val="20"/>
                <w:lang w:val="en-GB" w:eastAsia="en-US"/>
              </w:rPr>
            </w:pPr>
            <w:r w:rsidRPr="009F63DF">
              <w:rPr>
                <w:rFonts w:cs="Arial"/>
                <w:sz w:val="20"/>
                <w:lang w:val="en-GB" w:eastAsia="en-US"/>
              </w:rPr>
              <w:t>N/A</w:t>
            </w:r>
          </w:p>
        </w:tc>
      </w:tr>
    </w:tbl>
    <w:p w14:paraId="704EA7FC" w14:textId="00107175" w:rsidR="00E62A1D" w:rsidRPr="009F63DF" w:rsidRDefault="00E62A1D" w:rsidP="00E62A1D">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5</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796"/>
        <w:gridCol w:w="2372"/>
        <w:gridCol w:w="1266"/>
        <w:gridCol w:w="835"/>
        <w:gridCol w:w="2260"/>
      </w:tblGrid>
      <w:tr w:rsidR="00E62A1D" w:rsidRPr="009F63DF" w14:paraId="0B497F4D" w14:textId="77777777" w:rsidTr="009167D3">
        <w:tc>
          <w:tcPr>
            <w:tcW w:w="1796" w:type="dxa"/>
            <w:shd w:val="clear" w:color="auto" w:fill="E6E6E6"/>
          </w:tcPr>
          <w:p w14:paraId="148F6EFA" w14:textId="015AC121" w:rsidR="00E62A1D" w:rsidRPr="009F63DF" w:rsidRDefault="00E62A1D"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33" w:type="dxa"/>
            <w:gridSpan w:val="4"/>
          </w:tcPr>
          <w:p w14:paraId="5DA12D08" w14:textId="1A19182D" w:rsidR="00E62A1D" w:rsidRPr="009F63DF" w:rsidRDefault="001549D8" w:rsidP="009A616B">
            <w:pPr>
              <w:keepNext/>
              <w:suppressAutoHyphens/>
              <w:spacing w:before="60" w:after="60"/>
              <w:ind w:right="57"/>
              <w:rPr>
                <w:rFonts w:cs="Arial"/>
                <w:b/>
                <w:i/>
                <w:sz w:val="20"/>
                <w:lang w:val="en-GB" w:eastAsia="en-US"/>
              </w:rPr>
            </w:pPr>
            <m:oMathPara>
              <m:oMathParaPr>
                <m:jc m:val="left"/>
              </m:oMathParaPr>
              <m:oMath>
                <m:sSub>
                  <m:sSubPr>
                    <m:ctrlPr>
                      <w:rPr>
                        <w:rFonts w:ascii="Cambria Math" w:eastAsia="Cambria Math" w:hAnsi="Cambria Math" w:cs="Arial"/>
                        <w:sz w:val="20"/>
                        <w:szCs w:val="18"/>
                        <w:lang w:val="en-GB" w:eastAsia="en-US"/>
                      </w:rPr>
                    </m:ctrlPr>
                  </m:sSubPr>
                  <m:e>
                    <m:r>
                      <m:rPr>
                        <m:sty m:val="bi"/>
                      </m:rPr>
                      <w:rPr>
                        <w:rFonts w:ascii="Cambria Math" w:hAnsi="Cambria Math" w:cs="Arial"/>
                        <w:sz w:val="20"/>
                        <w:szCs w:val="18"/>
                        <w:lang w:val="en-GB" w:eastAsia="en-US"/>
                      </w:rPr>
                      <m:t>EF</m:t>
                    </m:r>
                  </m:e>
                  <m:sub>
                    <m:r>
                      <m:rPr>
                        <m:sty m:val="bi"/>
                      </m:rPr>
                      <w:rPr>
                        <w:rFonts w:ascii="Cambria Math" w:hAnsi="Cambria Math" w:cs="Arial"/>
                        <w:sz w:val="20"/>
                        <w:szCs w:val="18"/>
                        <w:lang w:val="en-GB" w:eastAsia="en-US"/>
                      </w:rPr>
                      <m:t>j,CO</m:t>
                    </m:r>
                    <m:r>
                      <m:rPr>
                        <m:sty m:val="bi"/>
                      </m:rPr>
                      <w:rPr>
                        <w:rFonts w:ascii="Cambria Math" w:hAnsi="Cambria Math" w:cs="Arial"/>
                        <w:sz w:val="20"/>
                        <w:szCs w:val="18"/>
                        <w:lang w:val="en-GB" w:eastAsia="en-US"/>
                      </w:rPr>
                      <m:t>2</m:t>
                    </m:r>
                  </m:sub>
                </m:sSub>
              </m:oMath>
            </m:oMathPara>
          </w:p>
        </w:tc>
      </w:tr>
      <w:tr w:rsidR="00E62A1D" w:rsidRPr="009F63DF" w14:paraId="1B2D457A" w14:textId="77777777" w:rsidTr="009167D3">
        <w:tc>
          <w:tcPr>
            <w:tcW w:w="1796" w:type="dxa"/>
            <w:shd w:val="clear" w:color="auto" w:fill="E6E6E6"/>
          </w:tcPr>
          <w:p w14:paraId="1DA555F6" w14:textId="11AFB6DA" w:rsidR="00E62A1D" w:rsidRPr="009F63DF" w:rsidRDefault="00E62A1D" w:rsidP="00540956">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33" w:type="dxa"/>
            <w:gridSpan w:val="4"/>
          </w:tcPr>
          <w:p w14:paraId="6ADF7F8D" w14:textId="2D7CB9AE" w:rsidR="00E62A1D" w:rsidRPr="009F63DF" w:rsidRDefault="00E62A1D" w:rsidP="009A616B">
            <w:pPr>
              <w:suppressAutoHyphens/>
              <w:spacing w:before="60" w:after="60"/>
              <w:ind w:right="57"/>
              <w:rPr>
                <w:rFonts w:cs="Arial"/>
                <w:sz w:val="20"/>
                <w:lang w:val="en-GB" w:eastAsia="en-US"/>
              </w:rPr>
            </w:pPr>
            <w:r w:rsidRPr="009F63DF">
              <w:rPr>
                <w:rFonts w:cs="Arial"/>
                <w:sz w:val="20"/>
                <w:szCs w:val="18"/>
                <w:lang w:val="en-GB" w:eastAsia="en-US"/>
              </w:rPr>
              <w:t>CO</w:t>
            </w:r>
            <w:r w:rsidRPr="009F63DF">
              <w:rPr>
                <w:rFonts w:cs="Arial"/>
                <w:sz w:val="20"/>
                <w:szCs w:val="18"/>
                <w:vertAlign w:val="subscript"/>
                <w:lang w:val="en-GB" w:eastAsia="en-US"/>
              </w:rPr>
              <w:t>2</w:t>
            </w:r>
            <w:r w:rsidRPr="009F63DF">
              <w:rPr>
                <w:rFonts w:cs="Arial"/>
                <w:sz w:val="20"/>
                <w:szCs w:val="18"/>
                <w:lang w:val="en-GB" w:eastAsia="en-US"/>
              </w:rPr>
              <w:t xml:space="preserve"> emission factor for fuel </w:t>
            </w:r>
            <w:r w:rsidRPr="009F63DF">
              <w:rPr>
                <w:rFonts w:cs="Arial"/>
                <w:i/>
                <w:sz w:val="20"/>
                <w:szCs w:val="18"/>
                <w:lang w:val="en-GB" w:eastAsia="en-US"/>
              </w:rPr>
              <w:t>j</w:t>
            </w:r>
          </w:p>
        </w:tc>
      </w:tr>
      <w:tr w:rsidR="00E62A1D" w:rsidRPr="009F63DF" w14:paraId="59CE8675" w14:textId="77777777" w:rsidTr="009167D3">
        <w:tc>
          <w:tcPr>
            <w:tcW w:w="1796" w:type="dxa"/>
            <w:shd w:val="clear" w:color="auto" w:fill="E6E6E6"/>
          </w:tcPr>
          <w:p w14:paraId="32CF1989" w14:textId="1D0694F4" w:rsidR="00E62A1D" w:rsidRPr="009F63DF" w:rsidRDefault="00E62A1D" w:rsidP="00540956">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33" w:type="dxa"/>
            <w:gridSpan w:val="4"/>
          </w:tcPr>
          <w:p w14:paraId="4E1369CC" w14:textId="734FD022" w:rsidR="00E62A1D" w:rsidRPr="009F63DF" w:rsidRDefault="00E62A1D" w:rsidP="009A616B">
            <w:pPr>
              <w:suppressAutoHyphens/>
              <w:spacing w:before="60" w:after="60"/>
              <w:ind w:right="57"/>
              <w:rPr>
                <w:rFonts w:cs="Arial"/>
                <w:sz w:val="20"/>
                <w:lang w:val="en-GB" w:eastAsia="en-US"/>
              </w:rPr>
            </w:pPr>
            <w:r w:rsidRPr="009F63DF">
              <w:rPr>
                <w:rFonts w:cs="Arial"/>
                <w:sz w:val="20"/>
                <w:szCs w:val="18"/>
                <w:lang w:val="en-GB" w:eastAsia="en-US"/>
              </w:rPr>
              <w:t>t CO</w:t>
            </w:r>
            <w:r w:rsidRPr="009F63DF">
              <w:rPr>
                <w:rFonts w:cs="Arial"/>
                <w:sz w:val="20"/>
                <w:szCs w:val="18"/>
                <w:vertAlign w:val="subscript"/>
                <w:lang w:val="en-GB" w:eastAsia="en-US"/>
              </w:rPr>
              <w:t>2</w:t>
            </w:r>
            <w:r w:rsidR="0097505D" w:rsidRPr="009F63DF">
              <w:rPr>
                <w:rFonts w:cs="Arial"/>
                <w:sz w:val="20"/>
                <w:szCs w:val="18"/>
                <w:lang w:val="en-GB" w:eastAsia="en-US"/>
              </w:rPr>
              <w:t xml:space="preserve"> </w:t>
            </w:r>
            <w:r w:rsidRPr="009F63DF">
              <w:rPr>
                <w:rFonts w:cs="Arial"/>
                <w:sz w:val="20"/>
                <w:szCs w:val="18"/>
                <w:lang w:val="en-GB" w:eastAsia="en-US"/>
              </w:rPr>
              <w:t>/</w:t>
            </w:r>
            <w:r w:rsidR="0097505D" w:rsidRPr="009F63DF">
              <w:rPr>
                <w:rFonts w:cs="Arial"/>
                <w:sz w:val="20"/>
                <w:szCs w:val="18"/>
                <w:lang w:val="en-GB" w:eastAsia="en-US"/>
              </w:rPr>
              <w:t xml:space="preserve"> </w:t>
            </w:r>
            <w:r w:rsidRPr="009F63DF">
              <w:rPr>
                <w:rFonts w:cs="Arial"/>
                <w:sz w:val="20"/>
                <w:szCs w:val="18"/>
                <w:lang w:val="en-GB" w:eastAsia="en-US"/>
              </w:rPr>
              <w:t>TJ</w:t>
            </w:r>
          </w:p>
        </w:tc>
      </w:tr>
      <w:tr w:rsidR="00E62A1D" w:rsidRPr="009F63DF" w14:paraId="07010BF6" w14:textId="77777777" w:rsidTr="009167D3">
        <w:tc>
          <w:tcPr>
            <w:tcW w:w="1796" w:type="dxa"/>
            <w:shd w:val="clear" w:color="auto" w:fill="E6E6E6"/>
          </w:tcPr>
          <w:p w14:paraId="63091E0E" w14:textId="208D05C2" w:rsidR="00E62A1D" w:rsidRPr="009F63DF" w:rsidRDefault="00E62A1D"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33" w:type="dxa"/>
            <w:gridSpan w:val="4"/>
            <w:tcBorders>
              <w:bottom w:val="single" w:sz="4" w:space="0" w:color="auto"/>
            </w:tcBorders>
          </w:tcPr>
          <w:p w14:paraId="6FD2D9F9" w14:textId="6311D3E1" w:rsidR="00E62A1D" w:rsidRPr="009F63DF" w:rsidRDefault="00815BBA" w:rsidP="009A616B">
            <w:pPr>
              <w:suppressAutoHyphens/>
              <w:spacing w:before="60" w:after="60"/>
              <w:ind w:right="57"/>
              <w:rPr>
                <w:rFonts w:cs="Arial"/>
                <w:sz w:val="20"/>
                <w:szCs w:val="20"/>
                <w:lang w:val="en-GB" w:eastAsia="en-US"/>
              </w:rPr>
            </w:pPr>
            <w:r w:rsidRPr="009F63DF">
              <w:rPr>
                <w:rFonts w:cs="Arial"/>
                <w:sz w:val="20"/>
                <w:lang w:val="en-GB" w:eastAsia="en-US"/>
              </w:rPr>
              <w:t>Equation (</w:t>
            </w:r>
            <w:r w:rsidR="002413E8" w:rsidRPr="009F63DF">
              <w:rPr>
                <w:rFonts w:cs="Arial"/>
                <w:sz w:val="20"/>
                <w:lang w:val="en-GB" w:eastAsia="en-US"/>
              </w:rPr>
              <w:t>3</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11</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BB7EDB">
              <w:rPr>
                <w:rFonts w:cs="Arial"/>
                <w:sz w:val="20"/>
                <w:lang w:val="en-GB" w:eastAsia="en-US"/>
              </w:rPr>
              <w:t>19</w:t>
            </w:r>
            <w:r w:rsidRPr="009F63DF">
              <w:rPr>
                <w:rFonts w:cs="Arial"/>
                <w:sz w:val="20"/>
                <w:lang w:val="en-GB" w:eastAsia="en-US"/>
              </w:rPr>
              <w:t>)</w:t>
            </w:r>
          </w:p>
        </w:tc>
      </w:tr>
      <w:tr w:rsidR="00E62A1D" w:rsidRPr="009F63DF" w14:paraId="31EE498E" w14:textId="77777777" w:rsidTr="009167D3">
        <w:tc>
          <w:tcPr>
            <w:tcW w:w="1796" w:type="dxa"/>
            <w:shd w:val="clear" w:color="auto" w:fill="E6E6E6"/>
          </w:tcPr>
          <w:p w14:paraId="4E34A26D" w14:textId="5D22ACA5" w:rsidR="00E62A1D" w:rsidRPr="009F63DF" w:rsidRDefault="00E62A1D"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72" w:type="dxa"/>
            <w:tcBorders>
              <w:bottom w:val="nil"/>
              <w:right w:val="nil"/>
            </w:tcBorders>
          </w:tcPr>
          <w:p w14:paraId="54480311" w14:textId="16460AE0" w:rsidR="00E62A1D" w:rsidRPr="009F63DF" w:rsidRDefault="00E62A1D" w:rsidP="009A616B">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Baseline </w:t>
            </w:r>
            <w:r w:rsidR="00084B79" w:rsidRPr="009F63DF">
              <w:rPr>
                <w:rFonts w:cs="Arial"/>
                <w:spacing w:val="-2"/>
                <w:sz w:val="20"/>
                <w:lang w:val="en-GB" w:eastAsia="en-US"/>
              </w:rPr>
              <w:t>Scenario</w:t>
            </w:r>
          </w:p>
        </w:tc>
        <w:tc>
          <w:tcPr>
            <w:tcW w:w="2101" w:type="dxa"/>
            <w:gridSpan w:val="2"/>
            <w:tcBorders>
              <w:left w:val="nil"/>
              <w:bottom w:val="nil"/>
              <w:right w:val="nil"/>
            </w:tcBorders>
          </w:tcPr>
          <w:p w14:paraId="69AA8A5A" w14:textId="181BF5C4" w:rsidR="00E62A1D" w:rsidRPr="009F63DF" w:rsidRDefault="00E62A1D" w:rsidP="009A616B">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w:t>
            </w:r>
            <w:r w:rsidR="002646DE" w:rsidRPr="009F63DF">
              <w:rPr>
                <w:rFonts w:cs="Arial"/>
                <w:spacing w:val="-2"/>
                <w:sz w:val="20"/>
                <w:lang w:val="en-GB" w:eastAsia="en-US"/>
              </w:rPr>
              <w:t>Activity</w:t>
            </w:r>
            <w:r w:rsidRPr="009F63DF">
              <w:rPr>
                <w:rFonts w:cs="Arial"/>
                <w:spacing w:val="-2"/>
                <w:sz w:val="20"/>
                <w:lang w:val="en-GB" w:eastAsia="en-US"/>
              </w:rPr>
              <w:t xml:space="preserve"> </w:t>
            </w:r>
            <w:r w:rsidR="00084B79" w:rsidRPr="009F63DF">
              <w:rPr>
                <w:rFonts w:cs="Arial"/>
                <w:spacing w:val="-2"/>
                <w:sz w:val="20"/>
                <w:lang w:val="en-GB" w:eastAsia="en-US"/>
              </w:rPr>
              <w:t>Scenario</w:t>
            </w:r>
          </w:p>
        </w:tc>
        <w:tc>
          <w:tcPr>
            <w:tcW w:w="2260" w:type="dxa"/>
            <w:tcBorders>
              <w:left w:val="nil"/>
              <w:bottom w:val="nil"/>
            </w:tcBorders>
          </w:tcPr>
          <w:p w14:paraId="4E8A7D1B" w14:textId="29F89AED" w:rsidR="00E62A1D" w:rsidRPr="009F63DF" w:rsidRDefault="00E62A1D" w:rsidP="009A616B">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Leakage</w:t>
            </w:r>
          </w:p>
        </w:tc>
      </w:tr>
      <w:tr w:rsidR="00E62A1D" w:rsidRPr="009F63DF" w14:paraId="1EBA8BF5" w14:textId="77777777" w:rsidTr="009167D3">
        <w:tc>
          <w:tcPr>
            <w:tcW w:w="1796" w:type="dxa"/>
            <w:shd w:val="clear" w:color="auto" w:fill="E6E6E6"/>
          </w:tcPr>
          <w:p w14:paraId="1D8890C6" w14:textId="148E1048" w:rsidR="00E62A1D" w:rsidRPr="009F63DF" w:rsidRDefault="00E62A1D" w:rsidP="00540956">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33" w:type="dxa"/>
            <w:gridSpan w:val="4"/>
            <w:tcBorders>
              <w:bottom w:val="single" w:sz="4" w:space="0" w:color="auto"/>
            </w:tcBorders>
          </w:tcPr>
          <w:p w14:paraId="7866E70B" w14:textId="68386067" w:rsidR="00E62A1D" w:rsidRPr="009F63DF" w:rsidRDefault="00E62A1D" w:rsidP="009A616B">
            <w:pPr>
              <w:suppressAutoHyphens/>
              <w:spacing w:before="60" w:after="60"/>
              <w:ind w:right="57"/>
              <w:rPr>
                <w:rFonts w:cs="Arial"/>
                <w:iCs/>
                <w:sz w:val="20"/>
                <w:szCs w:val="20"/>
                <w:lang w:val="en-GB" w:eastAsia="en-US"/>
              </w:rPr>
            </w:pPr>
            <w:r w:rsidRPr="009F63DF">
              <w:rPr>
                <w:rFonts w:cs="Arial"/>
                <w:color w:val="000000" w:themeColor="text1"/>
                <w:sz w:val="20"/>
                <w:szCs w:val="20"/>
                <w:lang w:val="en-GB" w:eastAsia="en-US"/>
              </w:rPr>
              <w:t xml:space="preserve">Any other fuels: Default values from the latest version of the IPCC Guidelines for National </w:t>
            </w:r>
            <w:r w:rsidRPr="009F63DF">
              <w:rPr>
                <w:rFonts w:cs="Arial"/>
                <w:sz w:val="20"/>
                <w:szCs w:val="20"/>
                <w:lang w:val="en-GB" w:eastAsia="en-US"/>
              </w:rPr>
              <w:t>GHG</w:t>
            </w:r>
            <w:r w:rsidRPr="009F63DF">
              <w:rPr>
                <w:rFonts w:cs="Arial"/>
                <w:color w:val="000000" w:themeColor="text1"/>
                <w:sz w:val="20"/>
                <w:szCs w:val="20"/>
                <w:lang w:val="en-GB" w:eastAsia="en-US"/>
              </w:rPr>
              <w:t xml:space="preserve"> Inventories.</w:t>
            </w:r>
            <w:r w:rsidR="001D4D25" w:rsidRPr="009F63DF">
              <w:rPr>
                <w:rFonts w:cs="Arial"/>
                <w:color w:val="000000" w:themeColor="text1"/>
                <w:sz w:val="20"/>
                <w:szCs w:val="20"/>
                <w:lang w:val="en-GB" w:eastAsia="en-US"/>
              </w:rPr>
              <w:br/>
            </w:r>
            <w:r w:rsidRPr="009F63DF">
              <w:rPr>
                <w:rFonts w:cs="Arial"/>
                <w:iCs/>
                <w:color w:val="000000" w:themeColor="text1"/>
                <w:sz w:val="20"/>
                <w:szCs w:val="20"/>
                <w:lang w:val="en-GB" w:eastAsia="en-US"/>
              </w:rPr>
              <w:t xml:space="preserve">For fuels such as dung and </w:t>
            </w:r>
            <w:r w:rsidR="00F5628E" w:rsidRPr="009F63DF">
              <w:rPr>
                <w:rFonts w:cs="Arial"/>
                <w:iCs/>
                <w:color w:val="000000" w:themeColor="text1"/>
                <w:sz w:val="20"/>
                <w:szCs w:val="20"/>
                <w:lang w:val="en-GB" w:eastAsia="en-US"/>
              </w:rPr>
              <w:t>agricultural residues, the values shall be 0</w:t>
            </w:r>
          </w:p>
        </w:tc>
      </w:tr>
      <w:tr w:rsidR="00E62A1D" w:rsidRPr="009F63DF" w14:paraId="0241CAB6" w14:textId="77777777" w:rsidTr="009167D3">
        <w:tc>
          <w:tcPr>
            <w:tcW w:w="1796" w:type="dxa"/>
            <w:shd w:val="clear" w:color="auto" w:fill="E6E6E6"/>
          </w:tcPr>
          <w:p w14:paraId="7597EC53" w14:textId="29136636" w:rsidR="00E62A1D" w:rsidRPr="009F63DF" w:rsidRDefault="00E62A1D" w:rsidP="00540956">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638" w:type="dxa"/>
            <w:gridSpan w:val="2"/>
            <w:tcBorders>
              <w:bottom w:val="single" w:sz="4" w:space="0" w:color="auto"/>
              <w:right w:val="nil"/>
            </w:tcBorders>
            <w:vAlign w:val="center"/>
          </w:tcPr>
          <w:p w14:paraId="60522070" w14:textId="77777777" w:rsidR="00E62A1D" w:rsidRPr="009F63DF" w:rsidRDefault="00E62A1D" w:rsidP="009A616B">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5" w:type="dxa"/>
            <w:gridSpan w:val="2"/>
            <w:tcBorders>
              <w:left w:val="nil"/>
              <w:bottom w:val="single" w:sz="4" w:space="0" w:color="auto"/>
            </w:tcBorders>
            <w:vAlign w:val="center"/>
          </w:tcPr>
          <w:p w14:paraId="49B3654B" w14:textId="77777777" w:rsidR="00E62A1D" w:rsidRPr="009F63DF" w:rsidRDefault="00E62A1D" w:rsidP="009A616B">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E62A1D" w:rsidRPr="009F63DF" w14:paraId="78B96CDE" w14:textId="77777777" w:rsidTr="009167D3">
        <w:tc>
          <w:tcPr>
            <w:tcW w:w="1796" w:type="dxa"/>
            <w:shd w:val="clear" w:color="auto" w:fill="E6E6E6"/>
          </w:tcPr>
          <w:p w14:paraId="310A6124" w14:textId="6844E71A" w:rsidR="00E62A1D" w:rsidRPr="009F63DF" w:rsidRDefault="00E62A1D"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33" w:type="dxa"/>
            <w:gridSpan w:val="4"/>
            <w:tcBorders>
              <w:top w:val="single" w:sz="4" w:space="0" w:color="auto"/>
            </w:tcBorders>
          </w:tcPr>
          <w:p w14:paraId="2B586222" w14:textId="5BA7432B" w:rsidR="00E62A1D" w:rsidRPr="009F63DF" w:rsidRDefault="003F34F3" w:rsidP="009A616B">
            <w:pPr>
              <w:suppressAutoHyphens/>
              <w:spacing w:before="60" w:after="60"/>
              <w:ind w:right="57"/>
              <w:rPr>
                <w:rFonts w:cs="Arial"/>
                <w:sz w:val="20"/>
                <w:lang w:val="en-GB" w:eastAsia="en-US"/>
              </w:rPr>
            </w:pPr>
            <w:r w:rsidRPr="009F63DF">
              <w:rPr>
                <w:rFonts w:cs="Arial"/>
                <w:sz w:val="20"/>
                <w:lang w:val="en-GB" w:eastAsia="en-US"/>
              </w:rPr>
              <w:t>-</w:t>
            </w:r>
          </w:p>
        </w:tc>
      </w:tr>
      <w:tr w:rsidR="00E62A1D" w:rsidRPr="009F63DF" w14:paraId="3B3AB155" w14:textId="77777777" w:rsidTr="009167D3">
        <w:tc>
          <w:tcPr>
            <w:tcW w:w="1796" w:type="dxa"/>
            <w:shd w:val="clear" w:color="auto" w:fill="E6E6E6"/>
          </w:tcPr>
          <w:p w14:paraId="7C927B87" w14:textId="3662C735" w:rsidR="00E62A1D" w:rsidRPr="009F63DF" w:rsidRDefault="00E62A1D"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p>
        </w:tc>
        <w:tc>
          <w:tcPr>
            <w:tcW w:w="6733" w:type="dxa"/>
            <w:gridSpan w:val="4"/>
          </w:tcPr>
          <w:p w14:paraId="79EE0BB7" w14:textId="70E0FB61" w:rsidR="00686123" w:rsidRPr="009F63DF" w:rsidRDefault="00686123" w:rsidP="009A616B">
            <w:pPr>
              <w:keepNext/>
              <w:suppressAutoHyphens/>
              <w:spacing w:before="60" w:after="60"/>
              <w:ind w:right="57"/>
              <w:rPr>
                <w:rFonts w:cs="Arial"/>
                <w:sz w:val="20"/>
                <w:lang w:val="en-GB" w:eastAsia="en-US"/>
              </w:rPr>
            </w:pPr>
            <w:r w:rsidRPr="009F63DF">
              <w:rPr>
                <w:rFonts w:cs="Arial"/>
                <w:sz w:val="20"/>
                <w:lang w:val="en-GB" w:eastAsia="en-US"/>
              </w:rPr>
              <w:t xml:space="preserve">See paragraph </w:t>
            </w:r>
            <w:r w:rsidR="007B2E90" w:rsidRPr="009F63DF">
              <w:rPr>
                <w:rFonts w:cs="Arial"/>
                <w:sz w:val="20"/>
                <w:highlight w:val="yellow"/>
                <w:lang w:eastAsia="en-US"/>
              </w:rPr>
              <w:fldChar w:fldCharType="begin"/>
            </w:r>
            <w:r w:rsidR="007B2E90" w:rsidRPr="009F63DF">
              <w:rPr>
                <w:rFonts w:cs="Arial"/>
                <w:sz w:val="20"/>
                <w:lang w:val="en-GB" w:eastAsia="en-US"/>
              </w:rPr>
              <w:instrText xml:space="preserve"> REF _Ref227244228 \r \h </w:instrText>
            </w:r>
            <w:r w:rsidR="00540956" w:rsidRPr="009F63DF">
              <w:rPr>
                <w:rFonts w:cs="Arial"/>
                <w:sz w:val="20"/>
                <w:highlight w:val="yellow"/>
                <w:lang w:val="en-GB" w:eastAsia="en-US"/>
              </w:rPr>
              <w:instrText xml:space="preserve"> \* MERGEFORMAT </w:instrText>
            </w:r>
            <w:r w:rsidR="007B2E90" w:rsidRPr="009F63DF">
              <w:rPr>
                <w:rFonts w:cs="Arial"/>
                <w:sz w:val="20"/>
                <w:highlight w:val="yellow"/>
                <w:lang w:eastAsia="en-US"/>
              </w:rPr>
            </w:r>
            <w:r w:rsidR="007B2E90" w:rsidRPr="009F63DF">
              <w:rPr>
                <w:rFonts w:cs="Arial"/>
                <w:sz w:val="20"/>
                <w:highlight w:val="yellow"/>
                <w:lang w:eastAsia="en-US"/>
              </w:rPr>
              <w:fldChar w:fldCharType="separate"/>
            </w:r>
            <w:r w:rsidR="00831DAE">
              <w:rPr>
                <w:rFonts w:cs="Arial"/>
                <w:sz w:val="20"/>
                <w:cs/>
                <w:lang w:val="en-GB" w:eastAsia="en-US"/>
              </w:rPr>
              <w:t>‎</w:t>
            </w:r>
            <w:r w:rsidR="00831DAE">
              <w:rPr>
                <w:rFonts w:cs="Arial"/>
                <w:sz w:val="20"/>
                <w:lang w:val="en-GB" w:eastAsia="en-US"/>
              </w:rPr>
              <w:t>113</w:t>
            </w:r>
            <w:r w:rsidR="007B2E90" w:rsidRPr="009F63DF">
              <w:rPr>
                <w:rFonts w:cs="Arial"/>
                <w:sz w:val="20"/>
                <w:highlight w:val="yellow"/>
                <w:lang w:eastAsia="en-US"/>
              </w:rPr>
              <w:fldChar w:fldCharType="end"/>
            </w:r>
          </w:p>
          <w:p w14:paraId="1D1B4BE1" w14:textId="09FFD9A8" w:rsidR="00E62A1D" w:rsidRPr="009F63DF" w:rsidRDefault="00E62A1D" w:rsidP="009A616B">
            <w:pPr>
              <w:keepNext/>
              <w:suppressAutoHyphens/>
              <w:spacing w:before="60" w:after="60"/>
              <w:ind w:right="57"/>
              <w:rPr>
                <w:rFonts w:cs="Arial"/>
                <w:sz w:val="20"/>
                <w:lang w:val="en-GB" w:eastAsia="en-US"/>
              </w:rPr>
            </w:pPr>
          </w:p>
        </w:tc>
      </w:tr>
      <w:tr w:rsidR="00E62A1D" w:rsidRPr="009F63DF" w14:paraId="6BF449EF" w14:textId="77777777" w:rsidTr="009167D3">
        <w:tc>
          <w:tcPr>
            <w:tcW w:w="1796" w:type="dxa"/>
            <w:shd w:val="clear" w:color="auto" w:fill="E6E6E6"/>
          </w:tcPr>
          <w:p w14:paraId="55B1E55E" w14:textId="20A6CEFD" w:rsidR="00E62A1D" w:rsidRPr="009F63DF" w:rsidRDefault="00E62A1D"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p>
        </w:tc>
        <w:tc>
          <w:tcPr>
            <w:tcW w:w="6733" w:type="dxa"/>
            <w:gridSpan w:val="4"/>
          </w:tcPr>
          <w:p w14:paraId="24B918AC" w14:textId="77777777" w:rsidR="00E62A1D" w:rsidRPr="009F63DF" w:rsidRDefault="00E62A1D" w:rsidP="009A616B">
            <w:pPr>
              <w:suppressAutoHyphens/>
              <w:spacing w:before="60" w:after="60"/>
              <w:ind w:right="57"/>
              <w:rPr>
                <w:rFonts w:cs="Arial"/>
                <w:sz w:val="20"/>
                <w:lang w:val="en-GB" w:eastAsia="en-US"/>
              </w:rPr>
            </w:pPr>
            <w:r w:rsidRPr="009F63DF">
              <w:rPr>
                <w:rFonts w:cs="Arial"/>
                <w:sz w:val="20"/>
                <w:lang w:val="en-GB" w:eastAsia="en-US"/>
              </w:rPr>
              <w:t>N/A</w:t>
            </w:r>
          </w:p>
        </w:tc>
      </w:tr>
    </w:tbl>
    <w:p w14:paraId="4EBA2C73" w14:textId="2438B305" w:rsidR="006A2398" w:rsidRPr="009F63DF" w:rsidRDefault="006A2398" w:rsidP="006A2398">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6</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796"/>
        <w:gridCol w:w="2372"/>
        <w:gridCol w:w="1266"/>
        <w:gridCol w:w="835"/>
        <w:gridCol w:w="2260"/>
      </w:tblGrid>
      <w:tr w:rsidR="006A2398" w:rsidRPr="009F63DF" w14:paraId="4BA55E14" w14:textId="77777777" w:rsidTr="009167D3">
        <w:tc>
          <w:tcPr>
            <w:tcW w:w="1796" w:type="dxa"/>
            <w:shd w:val="clear" w:color="auto" w:fill="E6E6E6"/>
          </w:tcPr>
          <w:p w14:paraId="5748052D" w14:textId="77777777" w:rsidR="006A2398" w:rsidRPr="009F63DF" w:rsidRDefault="006A2398"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33" w:type="dxa"/>
            <w:gridSpan w:val="4"/>
          </w:tcPr>
          <w:p w14:paraId="00FB818B" w14:textId="77777777" w:rsidR="006A2398" w:rsidRPr="009F63DF" w:rsidRDefault="001549D8" w:rsidP="001E4E35">
            <w:pPr>
              <w:keepNext/>
              <w:suppressAutoHyphens/>
              <w:spacing w:before="60" w:after="60"/>
              <w:ind w:right="57"/>
              <w:rPr>
                <w:rFonts w:cs="Arial"/>
                <w:b/>
                <w:i/>
                <w:sz w:val="20"/>
                <w:lang w:val="en-GB" w:eastAsia="en-US"/>
              </w:rPr>
            </w:pPr>
            <m:oMathPara>
              <m:oMathParaPr>
                <m:jc m:val="left"/>
              </m:oMathParaPr>
              <m:oMath>
                <m:sSub>
                  <m:sSubPr>
                    <m:ctrlPr>
                      <w:rPr>
                        <w:rFonts w:ascii="Cambria Math" w:eastAsia="Cambria Math" w:hAnsi="Cambria Math" w:cs="Arial"/>
                        <w:sz w:val="20"/>
                        <w:szCs w:val="18"/>
                        <w:lang w:val="en-GB" w:eastAsia="en-US"/>
                      </w:rPr>
                    </m:ctrlPr>
                  </m:sSubPr>
                  <m:e>
                    <m:r>
                      <m:rPr>
                        <m:sty m:val="bi"/>
                      </m:rPr>
                      <w:rPr>
                        <w:rFonts w:ascii="Cambria Math" w:hAnsi="Cambria Math" w:cs="Arial"/>
                        <w:sz w:val="20"/>
                        <w:szCs w:val="18"/>
                        <w:lang w:val="en-GB" w:eastAsia="en-US"/>
                      </w:rPr>
                      <m:t>EF</m:t>
                    </m:r>
                  </m:e>
                  <m:sub>
                    <m:r>
                      <m:rPr>
                        <m:sty m:val="bi"/>
                      </m:rPr>
                      <w:rPr>
                        <w:rFonts w:ascii="Cambria Math" w:hAnsi="Cambria Math" w:cs="Arial"/>
                        <w:sz w:val="20"/>
                        <w:szCs w:val="18"/>
                        <w:lang w:val="en-GB" w:eastAsia="en-US"/>
                      </w:rPr>
                      <m:t>i,nonCO</m:t>
                    </m:r>
                    <m:r>
                      <m:rPr>
                        <m:sty m:val="bi"/>
                      </m:rPr>
                      <w:rPr>
                        <w:rFonts w:ascii="Cambria Math" w:hAnsi="Cambria Math" w:cs="Arial"/>
                        <w:sz w:val="20"/>
                        <w:szCs w:val="18"/>
                        <w:lang w:val="en-GB" w:eastAsia="en-US"/>
                      </w:rPr>
                      <m:t>2</m:t>
                    </m:r>
                  </m:sub>
                </m:sSub>
              </m:oMath>
            </m:oMathPara>
          </w:p>
        </w:tc>
      </w:tr>
      <w:tr w:rsidR="006A2398" w:rsidRPr="009F63DF" w14:paraId="3ED0B606" w14:textId="77777777" w:rsidTr="009167D3">
        <w:tc>
          <w:tcPr>
            <w:tcW w:w="1796" w:type="dxa"/>
            <w:shd w:val="clear" w:color="auto" w:fill="E6E6E6"/>
          </w:tcPr>
          <w:p w14:paraId="22170208" w14:textId="77777777" w:rsidR="006A2398" w:rsidRPr="009F63DF" w:rsidRDefault="006A2398" w:rsidP="00540956">
            <w:pPr>
              <w:suppressAutoHyphens/>
              <w:spacing w:before="60" w:after="60"/>
              <w:ind w:right="57"/>
              <w:jc w:val="left"/>
              <w:rPr>
                <w:rFonts w:cs="Arial"/>
                <w:sz w:val="20"/>
                <w:lang w:val="en-GB" w:eastAsia="en-US"/>
              </w:rPr>
            </w:pPr>
            <w:r w:rsidRPr="009F63DF">
              <w:rPr>
                <w:rFonts w:cs="Arial"/>
                <w:sz w:val="20"/>
                <w:lang w:val="en-GB" w:eastAsia="en-US"/>
              </w:rPr>
              <w:t>Description</w:t>
            </w:r>
            <w:r w:rsidRPr="009F63DF">
              <w:rPr>
                <w:rFonts w:cs="Arial"/>
                <w:sz w:val="20"/>
                <w:lang w:val="en-GB"/>
              </w:rPr>
              <w:t>:</w:t>
            </w:r>
          </w:p>
        </w:tc>
        <w:tc>
          <w:tcPr>
            <w:tcW w:w="6733" w:type="dxa"/>
            <w:gridSpan w:val="4"/>
          </w:tcPr>
          <w:p w14:paraId="67B5A6E6" w14:textId="77777777" w:rsidR="006A2398" w:rsidRPr="009F63DF" w:rsidRDefault="006A2398" w:rsidP="001E4E35">
            <w:pPr>
              <w:suppressAutoHyphens/>
              <w:spacing w:before="60" w:after="60"/>
              <w:ind w:right="57"/>
              <w:rPr>
                <w:rFonts w:cs="Arial"/>
                <w:sz w:val="20"/>
                <w:lang w:val="en-GB" w:eastAsia="en-US"/>
              </w:rPr>
            </w:pPr>
            <w:r w:rsidRPr="009F63DF">
              <w:rPr>
                <w:rFonts w:cs="Arial"/>
                <w:sz w:val="20"/>
                <w:szCs w:val="18"/>
                <w:lang w:val="en-GB" w:eastAsia="en-US"/>
              </w:rPr>
              <w:t>Non-CO</w:t>
            </w:r>
            <w:r w:rsidRPr="009F63DF">
              <w:rPr>
                <w:rFonts w:cs="Arial"/>
                <w:sz w:val="20"/>
                <w:szCs w:val="18"/>
                <w:vertAlign w:val="subscript"/>
                <w:lang w:val="en-GB" w:eastAsia="en-US"/>
              </w:rPr>
              <w:t>2</w:t>
            </w:r>
            <w:r w:rsidRPr="009F63DF">
              <w:rPr>
                <w:rFonts w:cs="Arial"/>
                <w:sz w:val="20"/>
                <w:szCs w:val="18"/>
                <w:lang w:val="en-GB" w:eastAsia="en-US"/>
              </w:rPr>
              <w:t xml:space="preserve"> emission factor for fuel </w:t>
            </w:r>
            <w:r w:rsidRPr="009F63DF">
              <w:rPr>
                <w:rFonts w:cs="Arial"/>
                <w:i/>
                <w:sz w:val="20"/>
                <w:szCs w:val="18"/>
                <w:lang w:val="en-GB" w:eastAsia="en-US"/>
              </w:rPr>
              <w:t>i</w:t>
            </w:r>
          </w:p>
        </w:tc>
      </w:tr>
      <w:tr w:rsidR="006A2398" w:rsidRPr="009F63DF" w14:paraId="0D0CDDD0" w14:textId="77777777" w:rsidTr="009167D3">
        <w:tc>
          <w:tcPr>
            <w:tcW w:w="1796" w:type="dxa"/>
            <w:shd w:val="clear" w:color="auto" w:fill="E6E6E6"/>
          </w:tcPr>
          <w:p w14:paraId="67E3D04E" w14:textId="77777777" w:rsidR="006A2398" w:rsidRPr="009F63DF" w:rsidRDefault="006A2398" w:rsidP="00540956">
            <w:pPr>
              <w:suppressAutoHyphens/>
              <w:spacing w:before="60" w:after="60"/>
              <w:ind w:right="57"/>
              <w:jc w:val="left"/>
              <w:rPr>
                <w:rFonts w:cs="Arial"/>
                <w:sz w:val="20"/>
                <w:lang w:val="en-GB" w:eastAsia="en-US"/>
              </w:rPr>
            </w:pPr>
            <w:r w:rsidRPr="009F63DF">
              <w:rPr>
                <w:rFonts w:cs="Arial"/>
                <w:sz w:val="20"/>
                <w:lang w:val="en-GB" w:eastAsia="en-US"/>
              </w:rPr>
              <w:t>Data unit</w:t>
            </w:r>
            <w:r w:rsidRPr="009F63DF">
              <w:rPr>
                <w:rFonts w:cs="Arial"/>
                <w:sz w:val="20"/>
                <w:lang w:val="en-GB"/>
              </w:rPr>
              <w:t>:</w:t>
            </w:r>
          </w:p>
        </w:tc>
        <w:tc>
          <w:tcPr>
            <w:tcW w:w="6733" w:type="dxa"/>
            <w:gridSpan w:val="4"/>
          </w:tcPr>
          <w:p w14:paraId="29BB2F28" w14:textId="355A0217" w:rsidR="006A2398" w:rsidRPr="001E67DB" w:rsidRDefault="00CF6D43" w:rsidP="001E4E35">
            <w:pPr>
              <w:suppressAutoHyphens/>
              <w:spacing w:before="60" w:after="60"/>
              <w:ind w:right="57"/>
              <w:rPr>
                <w:rFonts w:cs="Arial"/>
                <w:sz w:val="20"/>
                <w:szCs w:val="20"/>
                <w:lang w:val="en-GB" w:eastAsia="en-US"/>
              </w:rPr>
            </w:pPr>
            <w:r w:rsidRPr="001E67DB">
              <w:rPr>
                <w:rFonts w:eastAsia="Montserrat"/>
                <w:color w:val="000000" w:themeColor="text1"/>
                <w:sz w:val="20"/>
                <w:szCs w:val="20"/>
              </w:rPr>
              <w:t>t CO</w:t>
            </w:r>
            <w:r w:rsidRPr="001E67DB">
              <w:rPr>
                <w:rFonts w:eastAsia="Montserrat"/>
                <w:color w:val="000000" w:themeColor="text1"/>
                <w:sz w:val="20"/>
                <w:szCs w:val="20"/>
                <w:vertAlign w:val="subscript"/>
              </w:rPr>
              <w:t>2</w:t>
            </w:r>
            <w:r w:rsidR="00213FD4">
              <w:rPr>
                <w:rFonts w:eastAsia="Montserrat"/>
                <w:color w:val="000000" w:themeColor="text1"/>
                <w:sz w:val="20"/>
                <w:szCs w:val="20"/>
              </w:rPr>
              <w:t xml:space="preserve"> </w:t>
            </w:r>
            <w:r w:rsidRPr="001E67DB">
              <w:rPr>
                <w:rFonts w:eastAsia="Montserrat"/>
                <w:color w:val="000000" w:themeColor="text1"/>
                <w:sz w:val="20"/>
                <w:szCs w:val="20"/>
              </w:rPr>
              <w:t>eq</w:t>
            </w:r>
            <w:r w:rsidRPr="001E67DB">
              <w:rPr>
                <w:rFonts w:cs="Arial"/>
                <w:sz w:val="20"/>
                <w:szCs w:val="20"/>
                <w:lang w:val="en-GB" w:eastAsia="en-US"/>
              </w:rPr>
              <w:t xml:space="preserve"> </w:t>
            </w:r>
            <w:r w:rsidR="006A2398" w:rsidRPr="001E67DB">
              <w:rPr>
                <w:rFonts w:cs="Arial"/>
                <w:sz w:val="20"/>
                <w:szCs w:val="20"/>
                <w:lang w:val="en-GB" w:eastAsia="en-US"/>
              </w:rPr>
              <w:t>/</w:t>
            </w:r>
            <w:r w:rsidR="0097505D" w:rsidRPr="001E67DB">
              <w:rPr>
                <w:rFonts w:cs="Arial"/>
                <w:sz w:val="20"/>
                <w:szCs w:val="20"/>
                <w:lang w:val="en-GB" w:eastAsia="en-US"/>
              </w:rPr>
              <w:t xml:space="preserve"> </w:t>
            </w:r>
            <w:r w:rsidR="006A2398" w:rsidRPr="001E67DB">
              <w:rPr>
                <w:rFonts w:cs="Arial"/>
                <w:sz w:val="20"/>
                <w:szCs w:val="20"/>
                <w:lang w:val="en-GB" w:eastAsia="en-US"/>
              </w:rPr>
              <w:t>TJ</w:t>
            </w:r>
          </w:p>
        </w:tc>
      </w:tr>
      <w:tr w:rsidR="006A2398" w:rsidRPr="009F63DF" w14:paraId="4DA857C1" w14:textId="77777777" w:rsidTr="009167D3">
        <w:tc>
          <w:tcPr>
            <w:tcW w:w="1796" w:type="dxa"/>
            <w:shd w:val="clear" w:color="auto" w:fill="E6E6E6"/>
          </w:tcPr>
          <w:p w14:paraId="41A62497" w14:textId="77777777" w:rsidR="006A2398" w:rsidRPr="009F63DF" w:rsidRDefault="006A2398"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r w:rsidRPr="009F63DF">
              <w:rPr>
                <w:rFonts w:cs="Arial"/>
                <w:sz w:val="20"/>
                <w:lang w:val="en-GB"/>
              </w:rPr>
              <w:t>:</w:t>
            </w:r>
          </w:p>
        </w:tc>
        <w:tc>
          <w:tcPr>
            <w:tcW w:w="6733" w:type="dxa"/>
            <w:gridSpan w:val="4"/>
            <w:tcBorders>
              <w:bottom w:val="single" w:sz="4" w:space="0" w:color="auto"/>
            </w:tcBorders>
          </w:tcPr>
          <w:p w14:paraId="1DD69F42" w14:textId="07575F96" w:rsidR="006A2398" w:rsidRPr="009F63DF" w:rsidRDefault="00815BBA" w:rsidP="001E4E35">
            <w:pPr>
              <w:suppressAutoHyphens/>
              <w:spacing w:before="60" w:after="60"/>
              <w:ind w:right="57"/>
              <w:rPr>
                <w:rFonts w:cs="Arial"/>
                <w:sz w:val="20"/>
                <w:lang w:val="en-GB" w:eastAsia="en-US"/>
              </w:rPr>
            </w:pPr>
            <w:r w:rsidRPr="009F63DF">
              <w:rPr>
                <w:rFonts w:cs="Arial"/>
                <w:sz w:val="20"/>
                <w:lang w:val="en-GB" w:eastAsia="en-US"/>
              </w:rPr>
              <w:t>Equation (</w:t>
            </w:r>
            <w:r w:rsidR="002413E8" w:rsidRPr="009F63DF">
              <w:rPr>
                <w:rFonts w:cs="Arial"/>
                <w:sz w:val="20"/>
                <w:lang w:val="en-GB" w:eastAsia="en-US"/>
              </w:rPr>
              <w:t>4</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10</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C6594D">
              <w:rPr>
                <w:rFonts w:cs="Arial"/>
                <w:sz w:val="20"/>
                <w:lang w:val="en-GB" w:eastAsia="en-US"/>
              </w:rPr>
              <w:t>20</w:t>
            </w:r>
            <w:r w:rsidRPr="009F63DF">
              <w:rPr>
                <w:rFonts w:cs="Arial"/>
                <w:sz w:val="20"/>
                <w:lang w:val="en-GB" w:eastAsia="en-US"/>
              </w:rPr>
              <w:t>)</w:t>
            </w:r>
          </w:p>
        </w:tc>
      </w:tr>
      <w:tr w:rsidR="006A2398" w:rsidRPr="009F63DF" w14:paraId="251B79C4" w14:textId="77777777" w:rsidTr="009167D3">
        <w:tc>
          <w:tcPr>
            <w:tcW w:w="1796" w:type="dxa"/>
            <w:shd w:val="clear" w:color="auto" w:fill="E6E6E6"/>
          </w:tcPr>
          <w:p w14:paraId="4E3B6A78" w14:textId="77777777" w:rsidR="006A2398" w:rsidRPr="009F63DF" w:rsidRDefault="006A2398"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r w:rsidRPr="009F63DF">
              <w:rPr>
                <w:rFonts w:cs="Arial"/>
                <w:sz w:val="20"/>
                <w:lang w:val="en-GB"/>
              </w:rPr>
              <w:t>:</w:t>
            </w:r>
          </w:p>
        </w:tc>
        <w:tc>
          <w:tcPr>
            <w:tcW w:w="2372" w:type="dxa"/>
            <w:tcBorders>
              <w:bottom w:val="nil"/>
              <w:right w:val="nil"/>
            </w:tcBorders>
          </w:tcPr>
          <w:p w14:paraId="587051E3" w14:textId="3A5F854B" w:rsidR="006A2398" w:rsidRPr="009F63DF" w:rsidRDefault="006A2398"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Baseline </w:t>
            </w:r>
            <w:r w:rsidR="00084B79" w:rsidRPr="009F63DF">
              <w:rPr>
                <w:rFonts w:cs="Arial"/>
                <w:spacing w:val="-2"/>
                <w:sz w:val="20"/>
                <w:lang w:val="en-GB" w:eastAsia="en-US"/>
              </w:rPr>
              <w:t>Scenario</w:t>
            </w:r>
          </w:p>
        </w:tc>
        <w:tc>
          <w:tcPr>
            <w:tcW w:w="2101" w:type="dxa"/>
            <w:gridSpan w:val="2"/>
            <w:tcBorders>
              <w:left w:val="nil"/>
              <w:bottom w:val="nil"/>
              <w:right w:val="nil"/>
            </w:tcBorders>
          </w:tcPr>
          <w:p w14:paraId="68025890" w14:textId="7D896FB9" w:rsidR="006A2398" w:rsidRPr="009F63DF" w:rsidRDefault="006A2398"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w:t>
            </w:r>
            <w:r w:rsidR="002646DE" w:rsidRPr="009F63DF">
              <w:rPr>
                <w:rFonts w:cs="Arial"/>
                <w:spacing w:val="-2"/>
                <w:sz w:val="20"/>
                <w:lang w:val="en-GB" w:eastAsia="en-US"/>
              </w:rPr>
              <w:t>Activity</w:t>
            </w:r>
            <w:r w:rsidRPr="009F63DF">
              <w:rPr>
                <w:rFonts w:cs="Arial"/>
                <w:spacing w:val="-2"/>
                <w:sz w:val="20"/>
                <w:lang w:val="en-GB" w:eastAsia="en-US"/>
              </w:rPr>
              <w:t xml:space="preserve"> </w:t>
            </w:r>
            <w:r w:rsidR="00084B79" w:rsidRPr="009F63DF">
              <w:rPr>
                <w:rFonts w:cs="Arial"/>
                <w:spacing w:val="-2"/>
                <w:sz w:val="20"/>
                <w:lang w:val="en-GB" w:eastAsia="en-US"/>
              </w:rPr>
              <w:t>Scenario</w:t>
            </w:r>
          </w:p>
        </w:tc>
        <w:tc>
          <w:tcPr>
            <w:tcW w:w="2260" w:type="dxa"/>
            <w:tcBorders>
              <w:left w:val="nil"/>
              <w:bottom w:val="nil"/>
            </w:tcBorders>
          </w:tcPr>
          <w:p w14:paraId="3D0C8A1E" w14:textId="5263860C" w:rsidR="006A2398" w:rsidRPr="009F63DF" w:rsidRDefault="006A2398"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Leakage</w:t>
            </w:r>
          </w:p>
        </w:tc>
      </w:tr>
      <w:tr w:rsidR="006A2398" w:rsidRPr="009F63DF" w14:paraId="2236DC11" w14:textId="77777777" w:rsidTr="009167D3">
        <w:tc>
          <w:tcPr>
            <w:tcW w:w="1796" w:type="dxa"/>
            <w:shd w:val="clear" w:color="auto" w:fill="E6E6E6"/>
          </w:tcPr>
          <w:p w14:paraId="2A1B1804" w14:textId="77777777" w:rsidR="006A2398" w:rsidRPr="009F63DF" w:rsidRDefault="006A2398" w:rsidP="00540956">
            <w:pPr>
              <w:suppressAutoHyphens/>
              <w:spacing w:before="60" w:after="60"/>
              <w:ind w:right="57"/>
              <w:jc w:val="left"/>
              <w:rPr>
                <w:rFonts w:cs="Arial"/>
                <w:sz w:val="20"/>
                <w:lang w:val="en-GB" w:eastAsia="en-US"/>
              </w:rPr>
            </w:pPr>
            <w:r w:rsidRPr="009F63DF">
              <w:rPr>
                <w:rFonts w:cs="Arial"/>
                <w:sz w:val="20"/>
                <w:lang w:val="en-GB" w:eastAsia="en-US"/>
              </w:rPr>
              <w:t>Value(s) applied</w:t>
            </w:r>
            <w:r w:rsidRPr="009F63DF">
              <w:rPr>
                <w:rFonts w:cs="Arial"/>
                <w:sz w:val="20"/>
                <w:lang w:val="en-GB"/>
              </w:rPr>
              <w:t>:</w:t>
            </w:r>
          </w:p>
        </w:tc>
        <w:tc>
          <w:tcPr>
            <w:tcW w:w="6733" w:type="dxa"/>
            <w:gridSpan w:val="4"/>
            <w:tcBorders>
              <w:bottom w:val="single" w:sz="4" w:space="0" w:color="auto"/>
            </w:tcBorders>
          </w:tcPr>
          <w:p w14:paraId="121A9E48" w14:textId="67392B5B" w:rsidR="006A2398" w:rsidRPr="009F63DF" w:rsidRDefault="006A2398" w:rsidP="001E4E35">
            <w:pPr>
              <w:suppressAutoHyphens/>
              <w:spacing w:before="60" w:after="60"/>
              <w:jc w:val="left"/>
              <w:rPr>
                <w:rFonts w:cs="Arial"/>
                <w:sz w:val="20"/>
                <w:szCs w:val="20"/>
                <w:lang w:val="en-GB"/>
              </w:rPr>
            </w:pPr>
            <w:r w:rsidRPr="009F63DF">
              <w:rPr>
                <w:rFonts w:cs="Arial"/>
                <w:color w:val="000000" w:themeColor="text1"/>
                <w:sz w:val="20"/>
                <w:szCs w:val="20"/>
                <w:lang w:val="en-GB" w:eastAsia="en-US"/>
              </w:rPr>
              <w:t>Fuelwood: 8.635</w:t>
            </w:r>
            <w:r w:rsidR="001E4E35" w:rsidRPr="009F63DF">
              <w:rPr>
                <w:rFonts w:cs="Arial"/>
                <w:color w:val="000000" w:themeColor="text1"/>
                <w:sz w:val="20"/>
                <w:szCs w:val="20"/>
                <w:lang w:val="en-GB" w:eastAsia="en-US"/>
              </w:rPr>
              <w:br/>
            </w:r>
            <w:r w:rsidRPr="009F63DF">
              <w:rPr>
                <w:rFonts w:cs="Arial"/>
                <w:color w:val="000000" w:themeColor="text1"/>
                <w:sz w:val="20"/>
                <w:szCs w:val="20"/>
                <w:lang w:val="en-GB" w:eastAsia="en-US"/>
              </w:rPr>
              <w:t xml:space="preserve">Artisanal charcoal: </w:t>
            </w:r>
            <w:r w:rsidRPr="009F63DF">
              <w:rPr>
                <w:rFonts w:eastAsia="Montserrat" w:cs="Arial"/>
                <w:sz w:val="20"/>
                <w:szCs w:val="20"/>
                <w:lang w:val="en-GB"/>
              </w:rPr>
              <w:t>5.845</w:t>
            </w:r>
          </w:p>
        </w:tc>
      </w:tr>
      <w:tr w:rsidR="006A2398" w:rsidRPr="009F63DF" w14:paraId="7C855BAF" w14:textId="77777777" w:rsidTr="009167D3">
        <w:tc>
          <w:tcPr>
            <w:tcW w:w="1796" w:type="dxa"/>
            <w:shd w:val="clear" w:color="auto" w:fill="E6E6E6"/>
          </w:tcPr>
          <w:p w14:paraId="2DA53C96" w14:textId="77777777" w:rsidR="006A2398" w:rsidRPr="009F63DF" w:rsidRDefault="006A2398" w:rsidP="00540956">
            <w:pPr>
              <w:suppressAutoHyphens/>
              <w:spacing w:before="60" w:after="60"/>
              <w:ind w:right="57"/>
              <w:jc w:val="left"/>
              <w:rPr>
                <w:rFonts w:cs="Arial"/>
                <w:sz w:val="20"/>
                <w:lang w:val="en-GB" w:eastAsia="en-US"/>
              </w:rPr>
            </w:pPr>
            <w:r w:rsidRPr="009F63DF">
              <w:rPr>
                <w:rFonts w:cs="Arial"/>
                <w:sz w:val="20"/>
                <w:lang w:val="en-GB" w:eastAsia="en-US"/>
              </w:rPr>
              <w:t>Source of data</w:t>
            </w:r>
            <w:r w:rsidRPr="009F63DF">
              <w:rPr>
                <w:rFonts w:cs="Arial"/>
                <w:sz w:val="20"/>
                <w:lang w:val="en-GB"/>
              </w:rPr>
              <w:t>:</w:t>
            </w:r>
          </w:p>
        </w:tc>
        <w:tc>
          <w:tcPr>
            <w:tcW w:w="3638" w:type="dxa"/>
            <w:gridSpan w:val="2"/>
            <w:tcBorders>
              <w:bottom w:val="nil"/>
              <w:right w:val="nil"/>
            </w:tcBorders>
            <w:vAlign w:val="center"/>
          </w:tcPr>
          <w:p w14:paraId="37121A1D" w14:textId="77777777" w:rsidR="006A2398" w:rsidRPr="009F63DF" w:rsidRDefault="006A2398" w:rsidP="001E4E35">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5" w:type="dxa"/>
            <w:gridSpan w:val="2"/>
            <w:tcBorders>
              <w:left w:val="nil"/>
              <w:bottom w:val="nil"/>
            </w:tcBorders>
            <w:vAlign w:val="center"/>
          </w:tcPr>
          <w:p w14:paraId="4C809949" w14:textId="77777777" w:rsidR="006A2398" w:rsidRPr="009F63DF" w:rsidRDefault="006A2398" w:rsidP="001E4E35">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6A2398" w:rsidRPr="009F63DF" w14:paraId="6B1E4EF6" w14:textId="77777777" w:rsidTr="009167D3">
        <w:tc>
          <w:tcPr>
            <w:tcW w:w="1796" w:type="dxa"/>
            <w:shd w:val="clear" w:color="auto" w:fill="E6E6E6"/>
          </w:tcPr>
          <w:p w14:paraId="231B446F" w14:textId="77777777" w:rsidR="006A2398" w:rsidRPr="009F63DF" w:rsidRDefault="006A2398"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r w:rsidRPr="009F63DF">
              <w:rPr>
                <w:rFonts w:cs="Arial"/>
                <w:sz w:val="20"/>
                <w:lang w:val="en-GB"/>
              </w:rPr>
              <w:t>:</w:t>
            </w:r>
          </w:p>
        </w:tc>
        <w:tc>
          <w:tcPr>
            <w:tcW w:w="6733" w:type="dxa"/>
            <w:gridSpan w:val="4"/>
            <w:tcBorders>
              <w:top w:val="single" w:sz="4" w:space="0" w:color="auto"/>
            </w:tcBorders>
          </w:tcPr>
          <w:p w14:paraId="55925D9E" w14:textId="486A98E6" w:rsidR="006A2398" w:rsidRPr="009F63DF" w:rsidRDefault="006A2398" w:rsidP="001E4E35">
            <w:pPr>
              <w:suppressAutoHyphens/>
              <w:spacing w:before="60" w:after="60"/>
              <w:ind w:right="57"/>
              <w:rPr>
                <w:rFonts w:cs="Arial"/>
                <w:sz w:val="20"/>
                <w:lang w:val="en-GB" w:eastAsia="en-US"/>
              </w:rPr>
            </w:pPr>
            <w:r w:rsidRPr="009F63DF">
              <w:rPr>
                <w:rFonts w:cs="Arial"/>
                <w:sz w:val="20"/>
                <w:lang w:val="en-GB" w:eastAsia="en-US"/>
              </w:rPr>
              <w:t xml:space="preserve">The wood value is derived from the 2006 </w:t>
            </w:r>
            <w:r w:rsidRPr="009F63DF">
              <w:rPr>
                <w:rFonts w:cs="Arial"/>
                <w:color w:val="000000" w:themeColor="text1"/>
                <w:sz w:val="20"/>
                <w:szCs w:val="20"/>
                <w:lang w:val="en-GB" w:eastAsia="en-US"/>
              </w:rPr>
              <w:t xml:space="preserve">IPCC Guidelines for National </w:t>
            </w:r>
            <w:r w:rsidRPr="009F63DF">
              <w:rPr>
                <w:rFonts w:cs="Arial"/>
                <w:sz w:val="20"/>
                <w:szCs w:val="20"/>
                <w:lang w:val="en-GB" w:eastAsia="en-US"/>
              </w:rPr>
              <w:t>GHG</w:t>
            </w:r>
            <w:r w:rsidRPr="009F63DF">
              <w:rPr>
                <w:rFonts w:cs="Arial"/>
                <w:color w:val="000000" w:themeColor="text1"/>
                <w:sz w:val="20"/>
                <w:szCs w:val="20"/>
                <w:lang w:val="en-GB" w:eastAsia="en-US"/>
              </w:rPr>
              <w:t xml:space="preserve"> Inventories, Chapter 2, Table 2.5 default emission factor values for CH</w:t>
            </w:r>
            <w:r w:rsidRPr="009F63DF">
              <w:rPr>
                <w:rFonts w:cs="Arial"/>
                <w:color w:val="000000" w:themeColor="text1"/>
                <w:sz w:val="20"/>
                <w:szCs w:val="20"/>
                <w:vertAlign w:val="subscript"/>
                <w:lang w:val="en-GB" w:eastAsia="en-US"/>
              </w:rPr>
              <w:t>4</w:t>
            </w:r>
            <w:r w:rsidRPr="009F63DF">
              <w:rPr>
                <w:rFonts w:cs="Arial"/>
                <w:color w:val="000000" w:themeColor="text1"/>
                <w:sz w:val="20"/>
                <w:szCs w:val="20"/>
                <w:lang w:val="en-GB" w:eastAsia="en-US"/>
              </w:rPr>
              <w:t xml:space="preserve"> of 300 kg</w:t>
            </w:r>
            <w:r w:rsidR="0097505D" w:rsidRPr="009F63DF">
              <w:rPr>
                <w:rFonts w:cs="Arial"/>
                <w:color w:val="000000" w:themeColor="text1"/>
                <w:sz w:val="20"/>
                <w:szCs w:val="20"/>
                <w:lang w:val="en-GB" w:eastAsia="en-US"/>
              </w:rPr>
              <w:t xml:space="preserve"> </w:t>
            </w:r>
            <w:r w:rsidRPr="009F63DF">
              <w:rPr>
                <w:rFonts w:cs="Arial"/>
                <w:color w:val="000000" w:themeColor="text1"/>
                <w:sz w:val="20"/>
                <w:szCs w:val="20"/>
                <w:lang w:val="en-GB" w:eastAsia="en-US"/>
              </w:rPr>
              <w:t>/</w:t>
            </w:r>
            <w:r w:rsidR="0097505D" w:rsidRPr="009F63DF">
              <w:rPr>
                <w:rFonts w:cs="Arial"/>
                <w:color w:val="000000" w:themeColor="text1"/>
                <w:sz w:val="20"/>
                <w:szCs w:val="20"/>
                <w:lang w:val="en-GB" w:eastAsia="en-US"/>
              </w:rPr>
              <w:t xml:space="preserve"> </w:t>
            </w:r>
            <w:r w:rsidRPr="009F63DF">
              <w:rPr>
                <w:rFonts w:cs="Arial"/>
                <w:color w:val="000000" w:themeColor="text1"/>
                <w:sz w:val="20"/>
                <w:szCs w:val="20"/>
                <w:lang w:val="en-GB" w:eastAsia="en-US"/>
              </w:rPr>
              <w:t>TJ and for N</w:t>
            </w:r>
            <w:r w:rsidRPr="009F63DF">
              <w:rPr>
                <w:rFonts w:cs="Arial"/>
                <w:color w:val="000000" w:themeColor="text1"/>
                <w:sz w:val="20"/>
                <w:vertAlign w:val="subscript"/>
                <w:lang w:val="en-GB" w:eastAsia="en-US"/>
              </w:rPr>
              <w:t>2</w:t>
            </w:r>
            <w:r w:rsidRPr="009F63DF">
              <w:rPr>
                <w:rFonts w:cs="Arial"/>
                <w:color w:val="000000" w:themeColor="text1"/>
                <w:sz w:val="20"/>
                <w:szCs w:val="20"/>
                <w:lang w:val="en-GB" w:eastAsia="en-US"/>
              </w:rPr>
              <w:t>O of 4 kg</w:t>
            </w:r>
            <w:r w:rsidR="0097505D" w:rsidRPr="009F63DF">
              <w:rPr>
                <w:rFonts w:cs="Arial"/>
                <w:color w:val="000000" w:themeColor="text1"/>
                <w:sz w:val="20"/>
                <w:szCs w:val="20"/>
                <w:lang w:val="en-GB" w:eastAsia="en-US"/>
              </w:rPr>
              <w:t xml:space="preserve"> </w:t>
            </w:r>
            <w:r w:rsidRPr="009F63DF">
              <w:rPr>
                <w:rFonts w:cs="Arial"/>
                <w:color w:val="000000" w:themeColor="text1"/>
                <w:sz w:val="20"/>
                <w:szCs w:val="20"/>
                <w:lang w:val="en-GB" w:eastAsia="en-US"/>
              </w:rPr>
              <w:t>/</w:t>
            </w:r>
            <w:r w:rsidR="0097505D" w:rsidRPr="009F63DF">
              <w:rPr>
                <w:rFonts w:cs="Arial"/>
                <w:color w:val="000000" w:themeColor="text1"/>
                <w:sz w:val="20"/>
                <w:szCs w:val="20"/>
                <w:lang w:val="en-GB" w:eastAsia="en-US"/>
              </w:rPr>
              <w:t xml:space="preserve"> </w:t>
            </w:r>
            <w:r w:rsidRPr="009F63DF">
              <w:rPr>
                <w:rFonts w:cs="Arial"/>
                <w:color w:val="000000" w:themeColor="text1"/>
                <w:sz w:val="20"/>
                <w:szCs w:val="20"/>
                <w:lang w:val="en-GB" w:eastAsia="en-US"/>
              </w:rPr>
              <w:t xml:space="preserve">TJ and </w:t>
            </w:r>
            <w:r w:rsidRPr="009F63DF">
              <w:rPr>
                <w:sz w:val="20"/>
                <w:lang w:val="en-GB"/>
              </w:rPr>
              <w:t xml:space="preserve">IPCC Fifth Assessment Report (AR5) </w:t>
            </w:r>
            <w:r w:rsidRPr="009F63DF">
              <w:rPr>
                <w:rFonts w:cs="Arial"/>
                <w:color w:val="000000" w:themeColor="text1"/>
                <w:sz w:val="20"/>
                <w:szCs w:val="20"/>
                <w:lang w:val="en-GB" w:eastAsia="en-US"/>
              </w:rPr>
              <w:t>GWPs for biogenic CH</w:t>
            </w:r>
            <w:r w:rsidRPr="009F63DF">
              <w:rPr>
                <w:rFonts w:cs="Arial"/>
                <w:color w:val="000000" w:themeColor="text1"/>
                <w:sz w:val="20"/>
                <w:szCs w:val="20"/>
                <w:vertAlign w:val="subscript"/>
                <w:lang w:val="en-GB" w:eastAsia="en-US"/>
              </w:rPr>
              <w:t>4</w:t>
            </w:r>
            <w:r w:rsidRPr="009F63DF">
              <w:rPr>
                <w:rFonts w:cs="Arial"/>
                <w:color w:val="000000" w:themeColor="text1"/>
                <w:sz w:val="20"/>
                <w:szCs w:val="20"/>
                <w:lang w:val="en-GB" w:eastAsia="en-US"/>
              </w:rPr>
              <w:t xml:space="preserve"> of 25.25 and for N</w:t>
            </w:r>
            <w:r w:rsidRPr="009F63DF">
              <w:rPr>
                <w:rFonts w:cs="Arial"/>
                <w:color w:val="000000" w:themeColor="text1"/>
                <w:sz w:val="20"/>
                <w:vertAlign w:val="subscript"/>
                <w:lang w:val="en-GB" w:eastAsia="en-US"/>
              </w:rPr>
              <w:t>2</w:t>
            </w:r>
            <w:r w:rsidRPr="009F63DF">
              <w:rPr>
                <w:rFonts w:cs="Arial"/>
                <w:color w:val="000000" w:themeColor="text1"/>
                <w:sz w:val="20"/>
                <w:szCs w:val="20"/>
                <w:lang w:val="en-GB" w:eastAsia="en-US"/>
              </w:rPr>
              <w:t>O of 265.</w:t>
            </w:r>
            <w:r w:rsidR="0036573A" w:rsidRPr="009F63DF">
              <w:rPr>
                <w:rFonts w:cs="Arial"/>
                <w:color w:val="000000" w:themeColor="text1"/>
                <w:sz w:val="20"/>
                <w:szCs w:val="20"/>
                <w:lang w:val="en-GB" w:eastAsia="en-US"/>
              </w:rPr>
              <w:br/>
            </w:r>
            <w:r w:rsidRPr="009F63DF">
              <w:rPr>
                <w:rFonts w:cs="Arial"/>
                <w:color w:val="000000" w:themeColor="text1"/>
                <w:sz w:val="20"/>
                <w:szCs w:val="20"/>
                <w:lang w:val="en-GB" w:eastAsia="en-US"/>
              </w:rPr>
              <w:t xml:space="preserve">The charcoal value </w:t>
            </w:r>
            <w:r w:rsidRPr="009F63DF">
              <w:rPr>
                <w:rFonts w:cs="Arial"/>
                <w:sz w:val="20"/>
                <w:lang w:val="en-GB" w:eastAsia="en-US"/>
              </w:rPr>
              <w:t xml:space="preserve">is derived from the 2006 </w:t>
            </w:r>
            <w:r w:rsidRPr="009F63DF">
              <w:rPr>
                <w:rFonts w:cs="Arial"/>
                <w:color w:val="000000" w:themeColor="text1"/>
                <w:sz w:val="20"/>
                <w:szCs w:val="20"/>
                <w:lang w:val="en-GB" w:eastAsia="en-US"/>
              </w:rPr>
              <w:t xml:space="preserve">IPCC Guidelines for National </w:t>
            </w:r>
            <w:r w:rsidRPr="009F63DF">
              <w:rPr>
                <w:rFonts w:cs="Arial"/>
                <w:sz w:val="20"/>
                <w:szCs w:val="20"/>
                <w:lang w:val="en-GB" w:eastAsia="en-US"/>
              </w:rPr>
              <w:t>GHG</w:t>
            </w:r>
            <w:r w:rsidRPr="009F63DF">
              <w:rPr>
                <w:rFonts w:cs="Arial"/>
                <w:color w:val="000000" w:themeColor="text1"/>
                <w:sz w:val="20"/>
                <w:szCs w:val="20"/>
                <w:lang w:val="en-GB" w:eastAsia="en-US"/>
              </w:rPr>
              <w:t xml:space="preserve"> Inventories, Chapter 2, Table 2.5 default emission factor values for CH4 of 200 kg</w:t>
            </w:r>
            <w:r w:rsidR="0097505D" w:rsidRPr="009F63DF">
              <w:rPr>
                <w:rFonts w:cs="Arial"/>
                <w:color w:val="000000" w:themeColor="text1"/>
                <w:sz w:val="20"/>
                <w:szCs w:val="20"/>
                <w:lang w:val="en-GB" w:eastAsia="en-US"/>
              </w:rPr>
              <w:t xml:space="preserve"> </w:t>
            </w:r>
            <w:r w:rsidRPr="009F63DF">
              <w:rPr>
                <w:rFonts w:cs="Arial"/>
                <w:color w:val="000000" w:themeColor="text1"/>
                <w:sz w:val="20"/>
                <w:szCs w:val="20"/>
                <w:lang w:val="en-GB" w:eastAsia="en-US"/>
              </w:rPr>
              <w:t>/</w:t>
            </w:r>
            <w:r w:rsidR="0097505D" w:rsidRPr="009F63DF">
              <w:rPr>
                <w:rFonts w:cs="Arial"/>
                <w:color w:val="000000" w:themeColor="text1"/>
                <w:sz w:val="20"/>
                <w:szCs w:val="20"/>
                <w:lang w:val="en-GB" w:eastAsia="en-US"/>
              </w:rPr>
              <w:t xml:space="preserve"> </w:t>
            </w:r>
            <w:r w:rsidRPr="009F63DF">
              <w:rPr>
                <w:rFonts w:cs="Arial"/>
                <w:color w:val="000000" w:themeColor="text1"/>
                <w:sz w:val="20"/>
                <w:szCs w:val="20"/>
                <w:lang w:val="en-GB" w:eastAsia="en-US"/>
              </w:rPr>
              <w:t>TJ and the higher bound for N</w:t>
            </w:r>
            <w:r w:rsidRPr="009F63DF">
              <w:rPr>
                <w:rFonts w:cs="Arial"/>
                <w:color w:val="000000" w:themeColor="text1"/>
                <w:sz w:val="20"/>
                <w:vertAlign w:val="subscript"/>
                <w:lang w:val="en-GB" w:eastAsia="en-US"/>
              </w:rPr>
              <w:t>2</w:t>
            </w:r>
            <w:r w:rsidRPr="009F63DF">
              <w:rPr>
                <w:rFonts w:cs="Arial"/>
                <w:color w:val="000000" w:themeColor="text1"/>
                <w:sz w:val="20"/>
                <w:szCs w:val="20"/>
                <w:lang w:val="en-GB" w:eastAsia="en-US"/>
              </w:rPr>
              <w:t>O of 3 kg</w:t>
            </w:r>
            <w:r w:rsidR="0097505D" w:rsidRPr="009F63DF">
              <w:rPr>
                <w:rFonts w:cs="Arial"/>
                <w:color w:val="000000" w:themeColor="text1"/>
                <w:sz w:val="20"/>
                <w:szCs w:val="20"/>
                <w:lang w:val="en-GB" w:eastAsia="en-US"/>
              </w:rPr>
              <w:t xml:space="preserve"> </w:t>
            </w:r>
            <w:r w:rsidRPr="009F63DF">
              <w:rPr>
                <w:rFonts w:cs="Arial"/>
                <w:color w:val="000000" w:themeColor="text1"/>
                <w:sz w:val="20"/>
                <w:szCs w:val="20"/>
                <w:lang w:val="en-GB" w:eastAsia="en-US"/>
              </w:rPr>
              <w:t>/</w:t>
            </w:r>
            <w:r w:rsidR="0097505D" w:rsidRPr="009F63DF">
              <w:rPr>
                <w:rFonts w:cs="Arial"/>
                <w:color w:val="000000" w:themeColor="text1"/>
                <w:sz w:val="20"/>
                <w:szCs w:val="20"/>
                <w:lang w:val="en-GB" w:eastAsia="en-US"/>
              </w:rPr>
              <w:t xml:space="preserve"> </w:t>
            </w:r>
            <w:r w:rsidRPr="009F63DF">
              <w:rPr>
                <w:rFonts w:cs="Arial"/>
                <w:color w:val="000000" w:themeColor="text1"/>
                <w:sz w:val="20"/>
                <w:szCs w:val="20"/>
                <w:lang w:val="en-GB" w:eastAsia="en-US"/>
              </w:rPr>
              <w:t xml:space="preserve">TJ and the same AR5 GWPs as compared to </w:t>
            </w:r>
            <w:r w:rsidRPr="009F63DF">
              <w:rPr>
                <w:rFonts w:cs="Arial"/>
                <w:sz w:val="20"/>
                <w:lang w:val="en-GB" w:eastAsia="en-US"/>
              </w:rPr>
              <w:t xml:space="preserve">research results for artisanal charcoal combustion in traditional cookstoves summarized in </w:t>
            </w:r>
            <w:r w:rsidRPr="009F63DF">
              <w:rPr>
                <w:sz w:val="20"/>
              </w:rPr>
              <w:fldChar w:fldCharType="begin"/>
            </w:r>
            <w:r w:rsidRPr="009F63DF">
              <w:rPr>
                <w:sz w:val="20"/>
                <w:szCs w:val="20"/>
                <w:lang w:val="en-GB"/>
              </w:rPr>
              <w:instrText xml:space="preserve"> REF _Ref227014105 \r \h  \* MERGEFORMAT </w:instrText>
            </w:r>
            <w:r w:rsidRPr="009F63DF">
              <w:rPr>
                <w:sz w:val="20"/>
              </w:rPr>
            </w:r>
            <w:r w:rsidRPr="009F63DF">
              <w:rPr>
                <w:sz w:val="20"/>
              </w:rPr>
              <w:fldChar w:fldCharType="separate"/>
            </w:r>
            <w:r w:rsidR="00831DAE">
              <w:rPr>
                <w:sz w:val="20"/>
                <w:szCs w:val="20"/>
                <w:cs/>
                <w:lang w:val="en-GB"/>
              </w:rPr>
              <w:t>‎</w:t>
            </w:r>
            <w:r w:rsidR="00831DAE">
              <w:rPr>
                <w:sz w:val="20"/>
                <w:szCs w:val="20"/>
                <w:lang w:val="en-GB"/>
              </w:rPr>
              <w:t>0</w:t>
            </w:r>
            <w:r w:rsidRPr="009F63DF">
              <w:rPr>
                <w:sz w:val="20"/>
              </w:rPr>
              <w:fldChar w:fldCharType="end"/>
            </w:r>
            <w:r w:rsidRPr="009F63DF">
              <w:rPr>
                <w:rFonts w:cs="Arial"/>
                <w:color w:val="000000" w:themeColor="text1"/>
                <w:sz w:val="20"/>
                <w:szCs w:val="20"/>
                <w:lang w:val="en-GB" w:eastAsia="en-US"/>
              </w:rPr>
              <w:t>.</w:t>
            </w:r>
            <w:r w:rsidR="0036573A" w:rsidRPr="009F63DF">
              <w:rPr>
                <w:rFonts w:cs="Arial"/>
                <w:color w:val="000000" w:themeColor="text1"/>
                <w:sz w:val="20"/>
                <w:szCs w:val="20"/>
                <w:lang w:val="en-GB" w:eastAsia="en-US"/>
              </w:rPr>
              <w:br/>
            </w:r>
            <w:r w:rsidRPr="009F63DF">
              <w:rPr>
                <w:sz w:val="20"/>
                <w:lang w:val="en-GB"/>
              </w:rPr>
              <w:t>The GWPs shall be updated according to any future CMA decisions</w:t>
            </w:r>
          </w:p>
        </w:tc>
      </w:tr>
      <w:tr w:rsidR="006A2398" w:rsidRPr="009F63DF" w14:paraId="0650E846" w14:textId="77777777" w:rsidTr="009167D3">
        <w:tc>
          <w:tcPr>
            <w:tcW w:w="1796" w:type="dxa"/>
            <w:shd w:val="clear" w:color="auto" w:fill="E6E6E6"/>
          </w:tcPr>
          <w:p w14:paraId="04C82809" w14:textId="77777777" w:rsidR="006A2398" w:rsidRPr="009F63DF" w:rsidRDefault="006A2398"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r w:rsidRPr="009F63DF">
              <w:rPr>
                <w:rFonts w:cs="Arial"/>
                <w:sz w:val="20"/>
                <w:lang w:val="en-GB"/>
              </w:rPr>
              <w:t>:</w:t>
            </w:r>
          </w:p>
        </w:tc>
        <w:tc>
          <w:tcPr>
            <w:tcW w:w="6733" w:type="dxa"/>
            <w:gridSpan w:val="4"/>
          </w:tcPr>
          <w:p w14:paraId="2214781E" w14:textId="791EA3A2" w:rsidR="006A2398" w:rsidRPr="009F63DF" w:rsidRDefault="006A2398" w:rsidP="001E4E35">
            <w:pPr>
              <w:keepNext/>
              <w:suppressAutoHyphens/>
              <w:spacing w:before="60" w:after="60"/>
              <w:ind w:right="57"/>
              <w:rPr>
                <w:rFonts w:cs="Arial"/>
                <w:sz w:val="20"/>
                <w:lang w:val="en-GB" w:eastAsia="en-US"/>
              </w:rPr>
            </w:pPr>
            <w:r w:rsidRPr="009F63DF">
              <w:rPr>
                <w:rFonts w:cs="Arial"/>
                <w:sz w:val="20"/>
                <w:lang w:val="en-GB" w:eastAsia="en-US"/>
              </w:rPr>
              <w:t xml:space="preserve">Wood value: The central value is average to conservative in the context of household cooking in the </w:t>
            </w:r>
            <w:r w:rsidR="00634B87" w:rsidRPr="009F63DF">
              <w:rPr>
                <w:rFonts w:cs="Arial"/>
                <w:sz w:val="20"/>
                <w:lang w:val="en-GB" w:eastAsia="en-US"/>
              </w:rPr>
              <w:t>activity</w:t>
            </w:r>
            <w:r w:rsidRPr="009F63DF">
              <w:rPr>
                <w:rFonts w:cs="Arial"/>
                <w:sz w:val="20"/>
                <w:lang w:val="en-GB" w:eastAsia="en-US"/>
              </w:rPr>
              <w:t xml:space="preserve"> setting since the combustion setting tends toward higher emissions and the uncertainty of the average value -33</w:t>
            </w:r>
            <w:r w:rsidR="00DE7B9B" w:rsidRPr="009F63DF">
              <w:rPr>
                <w:rFonts w:cs="Arial"/>
                <w:sz w:val="20"/>
                <w:lang w:val="en-GB" w:eastAsia="en-US"/>
              </w:rPr>
              <w:t xml:space="preserve"> per cent</w:t>
            </w:r>
            <w:r w:rsidRPr="009F63DF">
              <w:rPr>
                <w:rFonts w:cs="Arial"/>
                <w:sz w:val="20"/>
                <w:lang w:val="en-GB" w:eastAsia="en-US"/>
              </w:rPr>
              <w:t xml:space="preserve"> to +300</w:t>
            </w:r>
            <w:r w:rsidR="00DE7B9B" w:rsidRPr="009F63DF">
              <w:rPr>
                <w:rFonts w:cs="Arial"/>
                <w:sz w:val="20"/>
                <w:lang w:val="en-GB" w:eastAsia="en-US"/>
              </w:rPr>
              <w:t xml:space="preserve"> per cent</w:t>
            </w:r>
            <w:r w:rsidRPr="009F63DF">
              <w:rPr>
                <w:rFonts w:cs="Arial"/>
                <w:sz w:val="20"/>
                <w:lang w:val="en-GB" w:eastAsia="en-US"/>
              </w:rPr>
              <w:t>.</w:t>
            </w:r>
            <w:r w:rsidR="0036573A" w:rsidRPr="009F63DF">
              <w:rPr>
                <w:rFonts w:cs="Arial"/>
                <w:sz w:val="20"/>
                <w:lang w:val="en-GB" w:eastAsia="en-US"/>
              </w:rPr>
              <w:br/>
            </w:r>
            <w:r w:rsidRPr="009F63DF">
              <w:rPr>
                <w:rFonts w:cs="Arial"/>
                <w:sz w:val="20"/>
                <w:lang w:val="en-GB" w:eastAsia="en-US"/>
              </w:rPr>
              <w:t xml:space="preserve">Charcoal value: The values are average to conservative in the context of household cooking in the </w:t>
            </w:r>
            <w:r w:rsidR="00634B87" w:rsidRPr="009F63DF">
              <w:rPr>
                <w:rFonts w:cs="Arial"/>
                <w:sz w:val="20"/>
                <w:lang w:val="en-GB" w:eastAsia="en-US"/>
              </w:rPr>
              <w:t>activity</w:t>
            </w:r>
            <w:r w:rsidRPr="009F63DF">
              <w:rPr>
                <w:rFonts w:cs="Arial"/>
                <w:sz w:val="20"/>
                <w:lang w:val="en-GB" w:eastAsia="en-US"/>
              </w:rPr>
              <w:t xml:space="preserve"> setting since the combustion setting tends toward higher emissions. In particular, the N</w:t>
            </w:r>
            <w:r w:rsidRPr="009F63DF">
              <w:rPr>
                <w:rFonts w:cs="Arial"/>
                <w:sz w:val="20"/>
                <w:vertAlign w:val="subscript"/>
                <w:lang w:val="en-GB" w:eastAsia="en-US"/>
              </w:rPr>
              <w:t>2</w:t>
            </w:r>
            <w:r w:rsidRPr="009F63DF">
              <w:rPr>
                <w:rFonts w:cs="Arial"/>
                <w:sz w:val="20"/>
                <w:lang w:val="en-GB" w:eastAsia="en-US"/>
              </w:rPr>
              <w:t xml:space="preserve">O emissions level derived from research results for artisanal charcoal combustion in traditional cookstoves and summarized in </w:t>
            </w:r>
            <w:r w:rsidRPr="009F63DF">
              <w:rPr>
                <w:sz w:val="20"/>
              </w:rPr>
              <w:fldChar w:fldCharType="begin"/>
            </w:r>
            <w:r w:rsidRPr="009F63DF">
              <w:rPr>
                <w:sz w:val="20"/>
                <w:szCs w:val="20"/>
                <w:lang w:val="en-GB"/>
              </w:rPr>
              <w:instrText xml:space="preserve"> REF _Ref227014105 \r \h  \* MERGEFORMAT </w:instrText>
            </w:r>
            <w:r w:rsidRPr="009F63DF">
              <w:rPr>
                <w:sz w:val="20"/>
              </w:rPr>
            </w:r>
            <w:r w:rsidRPr="009F63DF">
              <w:rPr>
                <w:sz w:val="20"/>
              </w:rPr>
              <w:fldChar w:fldCharType="separate"/>
            </w:r>
            <w:r w:rsidR="00831DAE">
              <w:rPr>
                <w:sz w:val="20"/>
                <w:szCs w:val="20"/>
                <w:cs/>
                <w:lang w:val="en-GB"/>
              </w:rPr>
              <w:t>‎</w:t>
            </w:r>
            <w:r w:rsidR="00831DAE">
              <w:rPr>
                <w:sz w:val="20"/>
                <w:szCs w:val="20"/>
                <w:lang w:val="en-GB"/>
              </w:rPr>
              <w:t>0</w:t>
            </w:r>
            <w:r w:rsidRPr="009F63DF">
              <w:rPr>
                <w:sz w:val="20"/>
              </w:rPr>
              <w:fldChar w:fldCharType="end"/>
            </w:r>
            <w:r w:rsidRPr="009F63DF">
              <w:rPr>
                <w:sz w:val="20"/>
                <w:szCs w:val="20"/>
                <w:lang w:val="en-GB"/>
              </w:rPr>
              <w:t xml:space="preserve"> is 250</w:t>
            </w:r>
            <w:r w:rsidR="00DE7B9B" w:rsidRPr="009F63DF">
              <w:rPr>
                <w:sz w:val="20"/>
                <w:szCs w:val="20"/>
                <w:lang w:val="en-GB"/>
              </w:rPr>
              <w:t xml:space="preserve"> per cent</w:t>
            </w:r>
            <w:r w:rsidRPr="009F63DF">
              <w:rPr>
                <w:sz w:val="20"/>
                <w:szCs w:val="20"/>
                <w:lang w:val="en-GB"/>
              </w:rPr>
              <w:t xml:space="preserve"> of </w:t>
            </w:r>
            <w:r w:rsidRPr="009F63DF">
              <w:rPr>
                <w:rFonts w:cs="Arial"/>
                <w:sz w:val="20"/>
                <w:lang w:val="en-GB" w:eastAsia="en-US"/>
              </w:rPr>
              <w:t>the default IPCC upper bound value applied here</w:t>
            </w:r>
          </w:p>
        </w:tc>
      </w:tr>
      <w:tr w:rsidR="006A2398" w:rsidRPr="009F63DF" w14:paraId="04ED3062" w14:textId="77777777" w:rsidTr="009167D3">
        <w:tc>
          <w:tcPr>
            <w:tcW w:w="1796" w:type="dxa"/>
            <w:shd w:val="clear" w:color="auto" w:fill="E6E6E6"/>
          </w:tcPr>
          <w:p w14:paraId="68EB82F2" w14:textId="77777777" w:rsidR="006A2398" w:rsidRPr="009F63DF" w:rsidRDefault="006A2398"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r w:rsidRPr="009F63DF">
              <w:rPr>
                <w:rFonts w:cs="Arial"/>
                <w:sz w:val="20"/>
                <w:lang w:val="en-GB"/>
              </w:rPr>
              <w:t>:</w:t>
            </w:r>
          </w:p>
        </w:tc>
        <w:tc>
          <w:tcPr>
            <w:tcW w:w="6733" w:type="dxa"/>
            <w:gridSpan w:val="4"/>
          </w:tcPr>
          <w:p w14:paraId="2E0B5CA0" w14:textId="77777777" w:rsidR="006A2398" w:rsidRPr="009F63DF" w:rsidRDefault="006A2398" w:rsidP="001E4E35">
            <w:pPr>
              <w:suppressAutoHyphens/>
              <w:spacing w:before="60" w:after="60"/>
              <w:ind w:right="57"/>
              <w:rPr>
                <w:rFonts w:cs="Arial"/>
                <w:sz w:val="20"/>
                <w:lang w:val="en-GB" w:eastAsia="en-US"/>
              </w:rPr>
            </w:pPr>
            <w:r w:rsidRPr="009F63DF">
              <w:rPr>
                <w:rFonts w:cs="Arial"/>
                <w:sz w:val="20"/>
                <w:lang w:val="en-GB" w:eastAsia="en-US"/>
              </w:rPr>
              <w:t>N/A</w:t>
            </w:r>
          </w:p>
        </w:tc>
      </w:tr>
    </w:tbl>
    <w:p w14:paraId="2685BA15" w14:textId="56E1A5AE" w:rsidR="00686123" w:rsidRPr="009F63DF" w:rsidRDefault="00686123" w:rsidP="00686123">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7</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796"/>
        <w:gridCol w:w="2372"/>
        <w:gridCol w:w="1266"/>
        <w:gridCol w:w="835"/>
        <w:gridCol w:w="2260"/>
      </w:tblGrid>
      <w:tr w:rsidR="00686123" w:rsidRPr="009F63DF" w14:paraId="521594CC" w14:textId="77777777" w:rsidTr="009167D3">
        <w:tc>
          <w:tcPr>
            <w:tcW w:w="1796" w:type="dxa"/>
            <w:shd w:val="clear" w:color="auto" w:fill="E6E6E6"/>
          </w:tcPr>
          <w:p w14:paraId="73407704" w14:textId="77777777" w:rsidR="00686123" w:rsidRPr="009F63DF" w:rsidRDefault="00686123"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33" w:type="dxa"/>
            <w:gridSpan w:val="4"/>
          </w:tcPr>
          <w:p w14:paraId="0B22D36C" w14:textId="77777777" w:rsidR="00686123" w:rsidRPr="009F63DF" w:rsidRDefault="001549D8" w:rsidP="001E4E35">
            <w:pPr>
              <w:keepNext/>
              <w:suppressAutoHyphens/>
              <w:spacing w:before="60" w:after="60"/>
              <w:ind w:right="57"/>
              <w:rPr>
                <w:rFonts w:cs="Arial"/>
                <w:b/>
                <w:i/>
                <w:sz w:val="20"/>
                <w:lang w:val="en-GB" w:eastAsia="en-US"/>
              </w:rPr>
            </w:pPr>
            <m:oMathPara>
              <m:oMathParaPr>
                <m:jc m:val="left"/>
              </m:oMathParaPr>
              <m:oMath>
                <m:sSub>
                  <m:sSubPr>
                    <m:ctrlPr>
                      <w:rPr>
                        <w:rFonts w:ascii="Cambria Math" w:eastAsia="Cambria Math" w:hAnsi="Cambria Math" w:cs="Arial"/>
                        <w:sz w:val="20"/>
                        <w:szCs w:val="18"/>
                        <w:lang w:val="en-GB" w:eastAsia="en-US"/>
                      </w:rPr>
                    </m:ctrlPr>
                  </m:sSubPr>
                  <m:e>
                    <m:r>
                      <m:rPr>
                        <m:sty m:val="bi"/>
                      </m:rPr>
                      <w:rPr>
                        <w:rFonts w:ascii="Cambria Math" w:hAnsi="Cambria Math" w:cs="Arial"/>
                        <w:sz w:val="20"/>
                        <w:szCs w:val="18"/>
                        <w:lang w:val="en-GB" w:eastAsia="en-US"/>
                      </w:rPr>
                      <m:t>EF</m:t>
                    </m:r>
                  </m:e>
                  <m:sub>
                    <m:r>
                      <m:rPr>
                        <m:sty m:val="bi"/>
                      </m:rPr>
                      <w:rPr>
                        <w:rFonts w:ascii="Cambria Math" w:hAnsi="Cambria Math" w:cs="Arial"/>
                        <w:sz w:val="20"/>
                        <w:szCs w:val="18"/>
                        <w:lang w:val="en-GB" w:eastAsia="en-US"/>
                      </w:rPr>
                      <m:t>j,nonCO</m:t>
                    </m:r>
                    <m:r>
                      <m:rPr>
                        <m:sty m:val="bi"/>
                      </m:rPr>
                      <w:rPr>
                        <w:rFonts w:ascii="Cambria Math" w:hAnsi="Cambria Math" w:cs="Arial"/>
                        <w:sz w:val="20"/>
                        <w:szCs w:val="18"/>
                        <w:lang w:val="en-GB" w:eastAsia="en-US"/>
                      </w:rPr>
                      <m:t>2</m:t>
                    </m:r>
                  </m:sub>
                </m:sSub>
              </m:oMath>
            </m:oMathPara>
          </w:p>
        </w:tc>
      </w:tr>
      <w:tr w:rsidR="00686123" w:rsidRPr="009F63DF" w14:paraId="354F7A2A" w14:textId="77777777" w:rsidTr="009167D3">
        <w:tc>
          <w:tcPr>
            <w:tcW w:w="1796" w:type="dxa"/>
            <w:shd w:val="clear" w:color="auto" w:fill="E6E6E6"/>
          </w:tcPr>
          <w:p w14:paraId="20FA49A7" w14:textId="77777777" w:rsidR="00686123" w:rsidRPr="009F63DF" w:rsidRDefault="00686123" w:rsidP="00540956">
            <w:pPr>
              <w:suppressAutoHyphens/>
              <w:spacing w:before="60" w:after="60"/>
              <w:ind w:right="57"/>
              <w:jc w:val="left"/>
              <w:rPr>
                <w:rFonts w:cs="Arial"/>
                <w:sz w:val="20"/>
                <w:lang w:val="en-GB" w:eastAsia="en-US"/>
              </w:rPr>
            </w:pPr>
            <w:r w:rsidRPr="009F63DF">
              <w:rPr>
                <w:rFonts w:cs="Arial"/>
                <w:sz w:val="20"/>
                <w:lang w:val="en-GB" w:eastAsia="en-US"/>
              </w:rPr>
              <w:t>Description</w:t>
            </w:r>
            <w:r w:rsidRPr="009F63DF">
              <w:rPr>
                <w:rFonts w:cs="Arial"/>
                <w:sz w:val="20"/>
                <w:lang w:val="en-GB"/>
              </w:rPr>
              <w:t>:</w:t>
            </w:r>
          </w:p>
        </w:tc>
        <w:tc>
          <w:tcPr>
            <w:tcW w:w="6733" w:type="dxa"/>
            <w:gridSpan w:val="4"/>
          </w:tcPr>
          <w:p w14:paraId="3CE84297" w14:textId="77777777" w:rsidR="00686123" w:rsidRPr="009F63DF" w:rsidRDefault="00686123" w:rsidP="001E4E35">
            <w:pPr>
              <w:suppressAutoHyphens/>
              <w:spacing w:before="60" w:after="60"/>
              <w:ind w:right="57"/>
              <w:rPr>
                <w:rFonts w:cs="Arial"/>
                <w:sz w:val="20"/>
                <w:lang w:val="en-GB" w:eastAsia="en-US"/>
              </w:rPr>
            </w:pPr>
            <w:r w:rsidRPr="009F63DF">
              <w:rPr>
                <w:rFonts w:cs="Arial"/>
                <w:sz w:val="20"/>
                <w:szCs w:val="18"/>
                <w:lang w:val="en-GB" w:eastAsia="en-US"/>
              </w:rPr>
              <w:t>Non-CO</w:t>
            </w:r>
            <w:r w:rsidRPr="009F63DF">
              <w:rPr>
                <w:rFonts w:cs="Arial"/>
                <w:sz w:val="20"/>
                <w:szCs w:val="18"/>
                <w:vertAlign w:val="subscript"/>
                <w:lang w:val="en-GB" w:eastAsia="en-US"/>
              </w:rPr>
              <w:t>2</w:t>
            </w:r>
            <w:r w:rsidRPr="009F63DF">
              <w:rPr>
                <w:rFonts w:cs="Arial"/>
                <w:sz w:val="20"/>
                <w:szCs w:val="18"/>
                <w:lang w:val="en-GB" w:eastAsia="en-US"/>
              </w:rPr>
              <w:t xml:space="preserve"> emission factor for fuel </w:t>
            </w:r>
            <w:r w:rsidRPr="009F63DF">
              <w:rPr>
                <w:rFonts w:cs="Arial"/>
                <w:i/>
                <w:sz w:val="20"/>
                <w:szCs w:val="18"/>
                <w:lang w:val="en-GB" w:eastAsia="en-US"/>
              </w:rPr>
              <w:t>j</w:t>
            </w:r>
          </w:p>
        </w:tc>
      </w:tr>
      <w:tr w:rsidR="00686123" w:rsidRPr="009F63DF" w14:paraId="6B5E71E0" w14:textId="77777777" w:rsidTr="009167D3">
        <w:tc>
          <w:tcPr>
            <w:tcW w:w="1796" w:type="dxa"/>
            <w:shd w:val="clear" w:color="auto" w:fill="E6E6E6"/>
          </w:tcPr>
          <w:p w14:paraId="450E78E5" w14:textId="77777777" w:rsidR="00686123" w:rsidRPr="009F63DF" w:rsidRDefault="00686123" w:rsidP="00540956">
            <w:pPr>
              <w:suppressAutoHyphens/>
              <w:spacing w:before="60" w:after="60"/>
              <w:ind w:right="57"/>
              <w:jc w:val="left"/>
              <w:rPr>
                <w:rFonts w:cs="Arial"/>
                <w:sz w:val="20"/>
                <w:lang w:val="en-GB" w:eastAsia="en-US"/>
              </w:rPr>
            </w:pPr>
            <w:r w:rsidRPr="009F63DF">
              <w:rPr>
                <w:rFonts w:cs="Arial"/>
                <w:sz w:val="20"/>
                <w:lang w:val="en-GB" w:eastAsia="en-US"/>
              </w:rPr>
              <w:t>Data unit</w:t>
            </w:r>
            <w:r w:rsidRPr="009F63DF">
              <w:rPr>
                <w:rFonts w:cs="Arial"/>
                <w:sz w:val="20"/>
                <w:lang w:val="en-GB"/>
              </w:rPr>
              <w:t>:</w:t>
            </w:r>
          </w:p>
        </w:tc>
        <w:tc>
          <w:tcPr>
            <w:tcW w:w="6733" w:type="dxa"/>
            <w:gridSpan w:val="4"/>
          </w:tcPr>
          <w:p w14:paraId="5740C8A6" w14:textId="30CC5992" w:rsidR="00686123" w:rsidRPr="001E67DB" w:rsidRDefault="001E67DB" w:rsidP="001E4E35">
            <w:pPr>
              <w:suppressAutoHyphens/>
              <w:spacing w:before="60" w:after="60"/>
              <w:ind w:right="57"/>
              <w:rPr>
                <w:rFonts w:cs="Arial"/>
                <w:sz w:val="20"/>
                <w:szCs w:val="20"/>
                <w:lang w:val="en-GB" w:eastAsia="en-US"/>
              </w:rPr>
            </w:pPr>
            <w:r w:rsidRPr="001E67DB">
              <w:rPr>
                <w:rFonts w:eastAsia="Montserrat"/>
                <w:color w:val="000000" w:themeColor="text1"/>
                <w:sz w:val="20"/>
                <w:szCs w:val="20"/>
              </w:rPr>
              <w:t>t CO</w:t>
            </w:r>
            <w:r w:rsidRPr="001E67DB">
              <w:rPr>
                <w:rFonts w:eastAsia="Montserrat"/>
                <w:color w:val="000000" w:themeColor="text1"/>
                <w:sz w:val="20"/>
                <w:szCs w:val="20"/>
                <w:vertAlign w:val="subscript"/>
              </w:rPr>
              <w:t>2</w:t>
            </w:r>
            <w:r w:rsidR="00213FD4">
              <w:rPr>
                <w:rFonts w:eastAsia="Montserrat"/>
                <w:color w:val="000000" w:themeColor="text1"/>
                <w:sz w:val="20"/>
                <w:szCs w:val="20"/>
              </w:rPr>
              <w:t xml:space="preserve"> </w:t>
            </w:r>
            <w:r w:rsidRPr="001E67DB">
              <w:rPr>
                <w:rFonts w:eastAsia="Montserrat"/>
                <w:color w:val="000000" w:themeColor="text1"/>
                <w:sz w:val="20"/>
                <w:szCs w:val="20"/>
              </w:rPr>
              <w:t>eq</w:t>
            </w:r>
            <w:r w:rsidRPr="001E67DB">
              <w:rPr>
                <w:rFonts w:cs="Arial"/>
                <w:sz w:val="20"/>
                <w:szCs w:val="20"/>
                <w:lang w:val="en-GB" w:eastAsia="en-US"/>
              </w:rPr>
              <w:t xml:space="preserve"> </w:t>
            </w:r>
            <w:r w:rsidR="00686123" w:rsidRPr="001E67DB">
              <w:rPr>
                <w:rFonts w:cs="Arial"/>
                <w:sz w:val="20"/>
                <w:szCs w:val="20"/>
                <w:lang w:val="en-GB" w:eastAsia="en-US"/>
              </w:rPr>
              <w:t>/</w:t>
            </w:r>
            <w:r w:rsidR="0097505D" w:rsidRPr="001E67DB">
              <w:rPr>
                <w:rFonts w:cs="Arial"/>
                <w:sz w:val="20"/>
                <w:szCs w:val="20"/>
                <w:lang w:val="en-GB" w:eastAsia="en-US"/>
              </w:rPr>
              <w:t xml:space="preserve"> </w:t>
            </w:r>
            <w:r w:rsidR="00686123" w:rsidRPr="001E67DB">
              <w:rPr>
                <w:rFonts w:cs="Arial"/>
                <w:sz w:val="20"/>
                <w:szCs w:val="20"/>
                <w:lang w:val="en-GB" w:eastAsia="en-US"/>
              </w:rPr>
              <w:t>TJ</w:t>
            </w:r>
          </w:p>
        </w:tc>
      </w:tr>
      <w:tr w:rsidR="00686123" w:rsidRPr="009F63DF" w14:paraId="00CAD8E8" w14:textId="77777777" w:rsidTr="009167D3">
        <w:tc>
          <w:tcPr>
            <w:tcW w:w="1796" w:type="dxa"/>
            <w:shd w:val="clear" w:color="auto" w:fill="E6E6E6"/>
          </w:tcPr>
          <w:p w14:paraId="21439BF5" w14:textId="77777777" w:rsidR="00686123" w:rsidRPr="009F63DF" w:rsidRDefault="00686123"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r w:rsidRPr="009F63DF">
              <w:rPr>
                <w:rFonts w:cs="Arial"/>
                <w:sz w:val="20"/>
                <w:lang w:val="en-GB"/>
              </w:rPr>
              <w:t>:</w:t>
            </w:r>
          </w:p>
        </w:tc>
        <w:tc>
          <w:tcPr>
            <w:tcW w:w="6733" w:type="dxa"/>
            <w:gridSpan w:val="4"/>
            <w:tcBorders>
              <w:bottom w:val="single" w:sz="4" w:space="0" w:color="auto"/>
            </w:tcBorders>
          </w:tcPr>
          <w:p w14:paraId="39C2C9F7" w14:textId="54EDDED9" w:rsidR="00686123" w:rsidRPr="009F63DF" w:rsidRDefault="00815BBA" w:rsidP="001E4E35">
            <w:pPr>
              <w:suppressAutoHyphens/>
              <w:spacing w:before="60" w:after="60"/>
              <w:ind w:right="57"/>
              <w:rPr>
                <w:rFonts w:cs="Arial"/>
                <w:sz w:val="20"/>
                <w:lang w:val="en-GB" w:eastAsia="en-US"/>
              </w:rPr>
            </w:pPr>
            <w:r w:rsidRPr="009F63DF">
              <w:rPr>
                <w:rFonts w:cs="Arial"/>
                <w:sz w:val="20"/>
                <w:lang w:val="en-GB" w:eastAsia="en-US"/>
              </w:rPr>
              <w:t>Equation (</w:t>
            </w:r>
            <w:r w:rsidR="002413E8" w:rsidRPr="009F63DF">
              <w:rPr>
                <w:rFonts w:cs="Arial"/>
                <w:sz w:val="20"/>
                <w:lang w:val="en-GB" w:eastAsia="en-US"/>
              </w:rPr>
              <w:t>5</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12</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034B27" w:rsidRPr="009F63DF">
              <w:rPr>
                <w:rFonts w:cs="Arial"/>
                <w:sz w:val="20"/>
                <w:lang w:val="en-GB" w:eastAsia="en-US"/>
              </w:rPr>
              <w:t>21</w:t>
            </w:r>
            <w:r w:rsidRPr="009F63DF">
              <w:rPr>
                <w:rFonts w:cs="Arial"/>
                <w:sz w:val="20"/>
                <w:lang w:val="en-GB" w:eastAsia="en-US"/>
              </w:rPr>
              <w:t>)</w:t>
            </w:r>
          </w:p>
        </w:tc>
      </w:tr>
      <w:tr w:rsidR="00686123" w:rsidRPr="009F63DF" w14:paraId="490D3D32" w14:textId="77777777" w:rsidTr="009167D3">
        <w:tc>
          <w:tcPr>
            <w:tcW w:w="1796" w:type="dxa"/>
            <w:shd w:val="clear" w:color="auto" w:fill="E6E6E6"/>
          </w:tcPr>
          <w:p w14:paraId="00EFFD66" w14:textId="77777777" w:rsidR="00686123" w:rsidRPr="009F63DF" w:rsidRDefault="00686123"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r w:rsidRPr="009F63DF">
              <w:rPr>
                <w:rFonts w:cs="Arial"/>
                <w:sz w:val="20"/>
                <w:lang w:val="en-GB"/>
              </w:rPr>
              <w:t>:</w:t>
            </w:r>
          </w:p>
        </w:tc>
        <w:tc>
          <w:tcPr>
            <w:tcW w:w="2372" w:type="dxa"/>
            <w:tcBorders>
              <w:bottom w:val="nil"/>
              <w:right w:val="nil"/>
            </w:tcBorders>
          </w:tcPr>
          <w:p w14:paraId="11D8DF9E" w14:textId="5F07B4FE" w:rsidR="00686123" w:rsidRPr="009F63DF" w:rsidRDefault="00686123"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Baseline </w:t>
            </w:r>
            <w:r w:rsidR="006A17D0" w:rsidRPr="009F63DF">
              <w:rPr>
                <w:rFonts w:cs="Arial"/>
                <w:spacing w:val="-2"/>
                <w:sz w:val="20"/>
                <w:lang w:val="en-GB" w:eastAsia="en-US"/>
              </w:rPr>
              <w:t>Scenario</w:t>
            </w:r>
          </w:p>
        </w:tc>
        <w:tc>
          <w:tcPr>
            <w:tcW w:w="2101" w:type="dxa"/>
            <w:gridSpan w:val="2"/>
            <w:tcBorders>
              <w:left w:val="nil"/>
              <w:bottom w:val="nil"/>
              <w:right w:val="nil"/>
            </w:tcBorders>
          </w:tcPr>
          <w:p w14:paraId="480759CB" w14:textId="45B768B6" w:rsidR="00686123" w:rsidRPr="009F63DF" w:rsidRDefault="00686123"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w:t>
            </w:r>
            <w:r w:rsidR="002646DE" w:rsidRPr="009F63DF">
              <w:rPr>
                <w:rFonts w:cs="Arial"/>
                <w:spacing w:val="-2"/>
                <w:sz w:val="20"/>
                <w:lang w:val="en-GB" w:eastAsia="en-US"/>
              </w:rPr>
              <w:t>Activity</w:t>
            </w:r>
            <w:r w:rsidRPr="009F63DF">
              <w:rPr>
                <w:rFonts w:cs="Arial"/>
                <w:spacing w:val="-2"/>
                <w:sz w:val="20"/>
                <w:lang w:val="en-GB" w:eastAsia="en-US"/>
              </w:rPr>
              <w:t xml:space="preserve"> </w:t>
            </w:r>
            <w:r w:rsidR="006A17D0" w:rsidRPr="009F63DF">
              <w:rPr>
                <w:rFonts w:cs="Arial"/>
                <w:spacing w:val="-2"/>
                <w:sz w:val="20"/>
                <w:lang w:val="en-GB" w:eastAsia="en-US"/>
              </w:rPr>
              <w:t>Scenario</w:t>
            </w:r>
          </w:p>
        </w:tc>
        <w:tc>
          <w:tcPr>
            <w:tcW w:w="2260" w:type="dxa"/>
            <w:tcBorders>
              <w:left w:val="nil"/>
              <w:bottom w:val="nil"/>
            </w:tcBorders>
          </w:tcPr>
          <w:p w14:paraId="5D0CA470" w14:textId="6FEC4081" w:rsidR="00686123" w:rsidRPr="009F63DF" w:rsidRDefault="00686123"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Leakage</w:t>
            </w:r>
          </w:p>
        </w:tc>
      </w:tr>
      <w:tr w:rsidR="00686123" w:rsidRPr="009F63DF" w14:paraId="00D5A64A" w14:textId="77777777" w:rsidTr="009167D3">
        <w:tc>
          <w:tcPr>
            <w:tcW w:w="1796" w:type="dxa"/>
            <w:shd w:val="clear" w:color="auto" w:fill="E6E6E6"/>
          </w:tcPr>
          <w:p w14:paraId="1BF17F35" w14:textId="77777777" w:rsidR="00686123" w:rsidRPr="009F63DF" w:rsidRDefault="00686123" w:rsidP="00540956">
            <w:pPr>
              <w:suppressAutoHyphens/>
              <w:spacing w:before="60" w:after="60"/>
              <w:ind w:right="57"/>
              <w:jc w:val="left"/>
              <w:rPr>
                <w:rFonts w:cs="Arial"/>
                <w:sz w:val="20"/>
                <w:lang w:val="en-GB" w:eastAsia="en-US"/>
              </w:rPr>
            </w:pPr>
            <w:r w:rsidRPr="009F63DF">
              <w:rPr>
                <w:rFonts w:cs="Arial"/>
                <w:sz w:val="20"/>
                <w:lang w:val="en-GB" w:eastAsia="en-US"/>
              </w:rPr>
              <w:t>Value(s) applied</w:t>
            </w:r>
            <w:r w:rsidRPr="009F63DF">
              <w:rPr>
                <w:rFonts w:cs="Arial"/>
                <w:sz w:val="20"/>
                <w:lang w:val="en-GB"/>
              </w:rPr>
              <w:t>:</w:t>
            </w:r>
          </w:p>
        </w:tc>
        <w:tc>
          <w:tcPr>
            <w:tcW w:w="6733" w:type="dxa"/>
            <w:gridSpan w:val="4"/>
            <w:tcBorders>
              <w:bottom w:val="single" w:sz="4" w:space="0" w:color="auto"/>
            </w:tcBorders>
          </w:tcPr>
          <w:p w14:paraId="1AA9D824" w14:textId="77777777" w:rsidR="00686123" w:rsidRPr="009F63DF" w:rsidRDefault="00686123" w:rsidP="001E4E35">
            <w:pPr>
              <w:suppressAutoHyphens/>
              <w:spacing w:before="60" w:after="60"/>
              <w:ind w:right="57"/>
              <w:rPr>
                <w:rFonts w:cs="Arial"/>
                <w:i/>
                <w:sz w:val="20"/>
                <w:lang w:val="en-GB" w:eastAsia="en-US"/>
              </w:rPr>
            </w:pPr>
            <w:r w:rsidRPr="009F63DF">
              <w:rPr>
                <w:rFonts w:cs="Arial"/>
                <w:color w:val="000000" w:themeColor="text1"/>
                <w:sz w:val="20"/>
                <w:szCs w:val="20"/>
                <w:lang w:val="en-GB" w:eastAsia="en-US"/>
              </w:rPr>
              <w:t xml:space="preserve">Default values from the latest version of the IPCC Guidelines for National </w:t>
            </w:r>
            <w:r w:rsidRPr="009F63DF">
              <w:rPr>
                <w:rFonts w:cs="Arial"/>
                <w:sz w:val="20"/>
                <w:szCs w:val="20"/>
                <w:lang w:val="en-GB" w:eastAsia="en-US"/>
              </w:rPr>
              <w:t>GHG</w:t>
            </w:r>
            <w:r w:rsidRPr="009F63DF">
              <w:rPr>
                <w:rFonts w:cs="Arial"/>
                <w:color w:val="000000" w:themeColor="text1"/>
                <w:sz w:val="20"/>
                <w:szCs w:val="20"/>
                <w:lang w:val="en-GB" w:eastAsia="en-US"/>
              </w:rPr>
              <w:t xml:space="preserve"> Inventories</w:t>
            </w:r>
          </w:p>
        </w:tc>
      </w:tr>
      <w:tr w:rsidR="00686123" w:rsidRPr="009F63DF" w14:paraId="6885A9C8" w14:textId="77777777" w:rsidTr="009167D3">
        <w:tc>
          <w:tcPr>
            <w:tcW w:w="1796" w:type="dxa"/>
            <w:shd w:val="clear" w:color="auto" w:fill="E6E6E6"/>
          </w:tcPr>
          <w:p w14:paraId="1F5903C1" w14:textId="77777777" w:rsidR="00686123" w:rsidRPr="009F63DF" w:rsidRDefault="00686123" w:rsidP="00540956">
            <w:pPr>
              <w:suppressAutoHyphens/>
              <w:spacing w:before="60" w:after="60"/>
              <w:ind w:right="57"/>
              <w:jc w:val="left"/>
              <w:rPr>
                <w:rFonts w:cs="Arial"/>
                <w:sz w:val="20"/>
                <w:lang w:val="en-GB" w:eastAsia="en-US"/>
              </w:rPr>
            </w:pPr>
            <w:r w:rsidRPr="009F63DF">
              <w:rPr>
                <w:rFonts w:cs="Arial"/>
                <w:sz w:val="20"/>
                <w:lang w:val="en-GB" w:eastAsia="en-US"/>
              </w:rPr>
              <w:t>Source of data</w:t>
            </w:r>
            <w:r w:rsidRPr="009F63DF">
              <w:rPr>
                <w:rFonts w:cs="Arial"/>
                <w:sz w:val="20"/>
                <w:lang w:val="en-GB"/>
              </w:rPr>
              <w:t>:</w:t>
            </w:r>
          </w:p>
        </w:tc>
        <w:tc>
          <w:tcPr>
            <w:tcW w:w="3638" w:type="dxa"/>
            <w:gridSpan w:val="2"/>
            <w:tcBorders>
              <w:bottom w:val="nil"/>
              <w:right w:val="nil"/>
            </w:tcBorders>
            <w:vAlign w:val="center"/>
          </w:tcPr>
          <w:p w14:paraId="34F1D6A9" w14:textId="77777777" w:rsidR="00686123" w:rsidRPr="009F63DF" w:rsidRDefault="00686123" w:rsidP="001E4E35">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5" w:type="dxa"/>
            <w:gridSpan w:val="2"/>
            <w:tcBorders>
              <w:left w:val="nil"/>
              <w:bottom w:val="nil"/>
            </w:tcBorders>
            <w:vAlign w:val="center"/>
          </w:tcPr>
          <w:p w14:paraId="3CC4E4AE" w14:textId="77777777" w:rsidR="00686123" w:rsidRPr="009F63DF" w:rsidRDefault="00686123" w:rsidP="001E4E35">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686123" w:rsidRPr="009F63DF" w14:paraId="5DE6F535" w14:textId="77777777" w:rsidTr="009167D3">
        <w:tc>
          <w:tcPr>
            <w:tcW w:w="1796" w:type="dxa"/>
            <w:shd w:val="clear" w:color="auto" w:fill="E6E6E6"/>
          </w:tcPr>
          <w:p w14:paraId="6ACF5996" w14:textId="77777777" w:rsidR="00686123" w:rsidRPr="009F63DF" w:rsidRDefault="00686123"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r w:rsidRPr="009F63DF">
              <w:rPr>
                <w:rFonts w:cs="Arial"/>
                <w:sz w:val="20"/>
                <w:lang w:val="en-GB"/>
              </w:rPr>
              <w:t>:</w:t>
            </w:r>
          </w:p>
        </w:tc>
        <w:tc>
          <w:tcPr>
            <w:tcW w:w="6733" w:type="dxa"/>
            <w:gridSpan w:val="4"/>
            <w:tcBorders>
              <w:top w:val="single" w:sz="4" w:space="0" w:color="auto"/>
            </w:tcBorders>
          </w:tcPr>
          <w:p w14:paraId="106716EB" w14:textId="3157705F" w:rsidR="00686123" w:rsidRPr="009F63DF" w:rsidRDefault="00686123" w:rsidP="001E4E35">
            <w:pPr>
              <w:suppressAutoHyphens/>
              <w:spacing w:before="60" w:after="60"/>
              <w:ind w:right="57"/>
              <w:rPr>
                <w:rFonts w:cs="Arial"/>
                <w:sz w:val="20"/>
                <w:lang w:val="en-GB" w:eastAsia="en-US"/>
              </w:rPr>
            </w:pPr>
            <w:r w:rsidRPr="009F63DF">
              <w:rPr>
                <w:sz w:val="20"/>
                <w:lang w:val="en-GB"/>
              </w:rPr>
              <w:t xml:space="preserve">IPCC Fifth Assessment Report (AR5) </w:t>
            </w:r>
            <w:r w:rsidRPr="009F63DF">
              <w:rPr>
                <w:rFonts w:cs="Arial"/>
                <w:color w:val="000000" w:themeColor="text1"/>
                <w:sz w:val="20"/>
                <w:szCs w:val="20"/>
                <w:lang w:val="en-GB" w:eastAsia="en-US"/>
              </w:rPr>
              <w:t>GWPs for biogenic CH</w:t>
            </w:r>
            <w:r w:rsidRPr="009F63DF">
              <w:rPr>
                <w:rFonts w:cs="Arial"/>
                <w:color w:val="000000" w:themeColor="text1"/>
                <w:sz w:val="20"/>
                <w:szCs w:val="20"/>
                <w:vertAlign w:val="subscript"/>
                <w:lang w:val="en-GB" w:eastAsia="en-US"/>
              </w:rPr>
              <w:t>4</w:t>
            </w:r>
            <w:r w:rsidRPr="009F63DF">
              <w:rPr>
                <w:rFonts w:cs="Arial"/>
                <w:color w:val="000000" w:themeColor="text1"/>
                <w:sz w:val="20"/>
                <w:szCs w:val="20"/>
                <w:lang w:val="en-GB" w:eastAsia="en-US"/>
              </w:rPr>
              <w:t xml:space="preserve"> of 25.25 and for N</w:t>
            </w:r>
            <w:r w:rsidRPr="009F63DF">
              <w:rPr>
                <w:rFonts w:cs="Arial"/>
                <w:color w:val="000000" w:themeColor="text1"/>
                <w:sz w:val="20"/>
                <w:vertAlign w:val="subscript"/>
                <w:lang w:val="en-GB" w:eastAsia="en-US"/>
              </w:rPr>
              <w:t>2</w:t>
            </w:r>
            <w:r w:rsidRPr="009F63DF">
              <w:rPr>
                <w:rFonts w:cs="Arial"/>
                <w:color w:val="000000" w:themeColor="text1"/>
                <w:sz w:val="20"/>
                <w:szCs w:val="20"/>
                <w:lang w:val="en-GB" w:eastAsia="en-US"/>
              </w:rPr>
              <w:t>O of 265.</w:t>
            </w:r>
            <w:r w:rsidR="0036573A" w:rsidRPr="009F63DF">
              <w:rPr>
                <w:rFonts w:cs="Arial"/>
                <w:color w:val="000000" w:themeColor="text1"/>
                <w:sz w:val="20"/>
                <w:szCs w:val="20"/>
                <w:lang w:val="en-GB" w:eastAsia="en-US"/>
              </w:rPr>
              <w:br/>
            </w:r>
            <w:r w:rsidRPr="009F63DF">
              <w:rPr>
                <w:sz w:val="20"/>
                <w:lang w:val="en-GB"/>
              </w:rPr>
              <w:t>The GWPs shall be updated according to any future CMA decisions</w:t>
            </w:r>
          </w:p>
        </w:tc>
      </w:tr>
      <w:tr w:rsidR="00686123" w:rsidRPr="009F63DF" w14:paraId="48A4014C" w14:textId="77777777" w:rsidTr="009167D3">
        <w:tc>
          <w:tcPr>
            <w:tcW w:w="1796" w:type="dxa"/>
            <w:shd w:val="clear" w:color="auto" w:fill="E6E6E6"/>
          </w:tcPr>
          <w:p w14:paraId="0059E92B" w14:textId="77777777" w:rsidR="00686123" w:rsidRPr="009F63DF" w:rsidRDefault="00686123"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r w:rsidRPr="009F63DF">
              <w:rPr>
                <w:rFonts w:cs="Arial"/>
                <w:sz w:val="20"/>
                <w:lang w:val="en-GB"/>
              </w:rPr>
              <w:t>:</w:t>
            </w:r>
          </w:p>
        </w:tc>
        <w:tc>
          <w:tcPr>
            <w:tcW w:w="6733" w:type="dxa"/>
            <w:gridSpan w:val="4"/>
          </w:tcPr>
          <w:p w14:paraId="1452D437" w14:textId="4DD442CD" w:rsidR="00686123" w:rsidRPr="009F63DF" w:rsidRDefault="00155E6B" w:rsidP="001E4E35">
            <w:pPr>
              <w:keepNext/>
              <w:suppressAutoHyphens/>
              <w:spacing w:before="60" w:after="60"/>
              <w:ind w:right="57"/>
              <w:rPr>
                <w:rFonts w:cs="Arial"/>
                <w:sz w:val="20"/>
                <w:lang w:val="en-GB" w:eastAsia="en-US"/>
              </w:rPr>
            </w:pPr>
            <w:r w:rsidRPr="009F63DF">
              <w:rPr>
                <w:rFonts w:cs="Arial"/>
                <w:sz w:val="20"/>
                <w:lang w:val="en-GB" w:eastAsia="en-US"/>
              </w:rPr>
              <w:t>Central values shall be used</w:t>
            </w:r>
          </w:p>
        </w:tc>
      </w:tr>
      <w:tr w:rsidR="00686123" w:rsidRPr="009F63DF" w14:paraId="46EB776D" w14:textId="77777777" w:rsidTr="009167D3">
        <w:tc>
          <w:tcPr>
            <w:tcW w:w="1796" w:type="dxa"/>
            <w:shd w:val="clear" w:color="auto" w:fill="E6E6E6"/>
          </w:tcPr>
          <w:p w14:paraId="56D2951C" w14:textId="77777777" w:rsidR="00686123" w:rsidRPr="009F63DF" w:rsidRDefault="00686123"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r w:rsidRPr="009F63DF">
              <w:rPr>
                <w:rFonts w:cs="Arial"/>
                <w:sz w:val="20"/>
                <w:lang w:val="en-GB"/>
              </w:rPr>
              <w:t>:</w:t>
            </w:r>
          </w:p>
        </w:tc>
        <w:tc>
          <w:tcPr>
            <w:tcW w:w="6733" w:type="dxa"/>
            <w:gridSpan w:val="4"/>
          </w:tcPr>
          <w:p w14:paraId="67AF30AE" w14:textId="77777777" w:rsidR="00686123" w:rsidRPr="009F63DF" w:rsidRDefault="00686123" w:rsidP="001E4E35">
            <w:pPr>
              <w:suppressAutoHyphens/>
              <w:spacing w:before="60" w:after="60"/>
              <w:ind w:right="57"/>
              <w:rPr>
                <w:rFonts w:cs="Arial"/>
                <w:sz w:val="20"/>
                <w:lang w:val="en-GB" w:eastAsia="en-US"/>
              </w:rPr>
            </w:pPr>
            <w:r w:rsidRPr="009F63DF">
              <w:rPr>
                <w:rFonts w:cs="Arial"/>
                <w:sz w:val="20"/>
                <w:lang w:val="en-GB" w:eastAsia="en-US"/>
              </w:rPr>
              <w:t>N/A</w:t>
            </w:r>
          </w:p>
        </w:tc>
      </w:tr>
    </w:tbl>
    <w:p w14:paraId="51711BD5" w14:textId="39F75304"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8</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796"/>
        <w:gridCol w:w="2372"/>
        <w:gridCol w:w="1266"/>
        <w:gridCol w:w="835"/>
        <w:gridCol w:w="2260"/>
      </w:tblGrid>
      <w:tr w:rsidR="001C2394" w:rsidRPr="009F63DF" w14:paraId="4A089B4C" w14:textId="77777777" w:rsidTr="009167D3">
        <w:tc>
          <w:tcPr>
            <w:tcW w:w="1796" w:type="dxa"/>
            <w:shd w:val="clear" w:color="auto" w:fill="E6E6E6"/>
          </w:tcPr>
          <w:p w14:paraId="134165A5" w14:textId="2BB421D5" w:rsidR="001C2394" w:rsidRPr="009F63DF" w:rsidRDefault="001C2394"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33" w:type="dxa"/>
            <w:gridSpan w:val="4"/>
          </w:tcPr>
          <w:p w14:paraId="4EE533FF" w14:textId="7DF7A101" w:rsidR="001C2394" w:rsidRPr="009F63DF" w:rsidRDefault="001549D8" w:rsidP="001E4E35">
            <w:pPr>
              <w:keepNext/>
              <w:suppressAutoHyphens/>
              <w:spacing w:before="60" w:after="60"/>
              <w:ind w:right="57"/>
              <w:rPr>
                <w:rFonts w:cs="Arial"/>
                <w:b/>
                <w:i/>
                <w:sz w:val="20"/>
                <w:lang w:val="en-GB" w:eastAsia="en-US"/>
              </w:rPr>
            </w:pPr>
            <w:sdt>
              <w:sdtPr>
                <w:rPr>
                  <w:rFonts w:cs="Arial"/>
                  <w:sz w:val="20"/>
                  <w:szCs w:val="18"/>
                  <w:lang w:eastAsia="en-US"/>
                </w:rPr>
                <w:tag w:val="goog_rdk_114"/>
                <w:id w:val="-1068562457"/>
              </w:sdtPr>
              <w:sdtEndPr/>
              <w:sdtContent>
                <m:oMath>
                  <m:sSub>
                    <m:sSubPr>
                      <m:ctrlPr>
                        <w:rPr>
                          <w:rFonts w:ascii="Cambria Math" w:eastAsia="Cambria Math" w:hAnsi="Cambria Math" w:cs="Arial"/>
                          <w:sz w:val="20"/>
                          <w:szCs w:val="18"/>
                          <w:lang w:val="en-GB" w:eastAsia="en-US"/>
                        </w:rPr>
                      </m:ctrlPr>
                    </m:sSubPr>
                    <m:e>
                      <m:r>
                        <m:rPr>
                          <m:sty m:val="bi"/>
                        </m:rPr>
                        <w:rPr>
                          <w:rFonts w:ascii="Cambria Math" w:hAnsi="Cambria Math" w:cs="Arial"/>
                          <w:sz w:val="20"/>
                          <w:szCs w:val="18"/>
                          <w:lang w:val="en-GB" w:eastAsia="en-US"/>
                        </w:rPr>
                        <m:t>EF</m:t>
                      </m:r>
                    </m:e>
                    <m:sub>
                      <m:r>
                        <m:rPr>
                          <m:sty m:val="bi"/>
                        </m:rPr>
                        <w:rPr>
                          <w:rFonts w:ascii="Cambria Math" w:hAnsi="Cambria Math" w:cs="Arial"/>
                          <w:sz w:val="20"/>
                          <w:szCs w:val="18"/>
                          <w:lang w:val="en-GB" w:eastAsia="en-US"/>
                        </w:rPr>
                        <m:t>i,CO</m:t>
                      </m:r>
                      <m:r>
                        <m:rPr>
                          <m:sty m:val="bi"/>
                        </m:rPr>
                        <w:rPr>
                          <w:rFonts w:ascii="Cambria Math" w:hAnsi="Cambria Math" w:cs="Arial"/>
                          <w:sz w:val="20"/>
                          <w:szCs w:val="18"/>
                          <w:lang w:val="en-GB" w:eastAsia="en-US"/>
                        </w:rPr>
                        <m:t>2,upstream</m:t>
                      </m:r>
                    </m:sub>
                  </m:sSub>
                </m:oMath>
              </w:sdtContent>
            </w:sdt>
          </w:p>
        </w:tc>
      </w:tr>
      <w:tr w:rsidR="001C2394" w:rsidRPr="009F63DF" w14:paraId="38717B53" w14:textId="77777777" w:rsidTr="009167D3">
        <w:tc>
          <w:tcPr>
            <w:tcW w:w="1796" w:type="dxa"/>
            <w:shd w:val="clear" w:color="auto" w:fill="E6E6E6"/>
          </w:tcPr>
          <w:p w14:paraId="473A8E65" w14:textId="3882A226"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33" w:type="dxa"/>
            <w:gridSpan w:val="4"/>
          </w:tcPr>
          <w:p w14:paraId="2C75A617" w14:textId="5329F526" w:rsidR="001C2394" w:rsidRPr="009F63DF" w:rsidRDefault="00851DF5" w:rsidP="001E4E35">
            <w:pPr>
              <w:suppressAutoHyphens/>
              <w:spacing w:before="60" w:after="60"/>
              <w:ind w:right="57"/>
              <w:rPr>
                <w:rFonts w:cs="Arial"/>
                <w:sz w:val="20"/>
                <w:lang w:val="en-GB" w:eastAsia="en-US"/>
              </w:rPr>
            </w:pPr>
            <w:r w:rsidRPr="009F63DF">
              <w:rPr>
                <w:rFonts w:cs="Arial"/>
                <w:sz w:val="20"/>
                <w:szCs w:val="18"/>
                <w:lang w:val="en-GB" w:eastAsia="en-US"/>
              </w:rPr>
              <w:t>CO</w:t>
            </w:r>
            <w:r w:rsidRPr="009F63DF">
              <w:rPr>
                <w:rFonts w:cs="Arial"/>
                <w:sz w:val="20"/>
                <w:szCs w:val="18"/>
                <w:vertAlign w:val="subscript"/>
                <w:lang w:val="en-GB" w:eastAsia="en-US"/>
              </w:rPr>
              <w:t>2</w:t>
            </w:r>
            <w:r w:rsidRPr="009F63DF">
              <w:rPr>
                <w:rFonts w:cs="Arial"/>
                <w:sz w:val="20"/>
                <w:szCs w:val="18"/>
                <w:lang w:val="en-GB" w:eastAsia="en-US"/>
              </w:rPr>
              <w:t xml:space="preserve"> u</w:t>
            </w:r>
            <w:r w:rsidR="001C2394" w:rsidRPr="009F63DF">
              <w:rPr>
                <w:rFonts w:cs="Arial"/>
                <w:sz w:val="20"/>
                <w:szCs w:val="18"/>
                <w:lang w:val="en-GB" w:eastAsia="en-US"/>
              </w:rPr>
              <w:t>pstream emission factor for fuel</w:t>
            </w:r>
            <w:r w:rsidR="001C2394" w:rsidRPr="009F63DF">
              <w:rPr>
                <w:rFonts w:cs="Arial"/>
                <w:i/>
                <w:sz w:val="20"/>
                <w:szCs w:val="18"/>
                <w:lang w:val="en-GB" w:eastAsia="en-US"/>
              </w:rPr>
              <w:t xml:space="preserve"> i</w:t>
            </w:r>
          </w:p>
        </w:tc>
      </w:tr>
      <w:tr w:rsidR="001C2394" w:rsidRPr="009F63DF" w14:paraId="51413B1C" w14:textId="77777777" w:rsidTr="009167D3">
        <w:tc>
          <w:tcPr>
            <w:tcW w:w="1796" w:type="dxa"/>
            <w:shd w:val="clear" w:color="auto" w:fill="E6E6E6"/>
          </w:tcPr>
          <w:p w14:paraId="7494F71E" w14:textId="0693675F"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33" w:type="dxa"/>
            <w:gridSpan w:val="4"/>
          </w:tcPr>
          <w:p w14:paraId="11D91D2E" w14:textId="0F6B2C0C" w:rsidR="001C2394" w:rsidRPr="009F63DF" w:rsidRDefault="001C2394" w:rsidP="001E4E35">
            <w:pPr>
              <w:suppressAutoHyphens/>
              <w:spacing w:before="60" w:after="60"/>
              <w:ind w:right="57"/>
              <w:rPr>
                <w:rFonts w:cs="Arial"/>
                <w:sz w:val="20"/>
                <w:lang w:val="en-GB" w:eastAsia="en-US"/>
              </w:rPr>
            </w:pPr>
            <w:r w:rsidRPr="009F63DF">
              <w:rPr>
                <w:rFonts w:cs="Arial"/>
                <w:sz w:val="20"/>
                <w:szCs w:val="18"/>
                <w:lang w:val="en-GB" w:eastAsia="en-US"/>
              </w:rPr>
              <w:t>t</w:t>
            </w:r>
            <w:r w:rsidR="00220A11" w:rsidRPr="009F63DF">
              <w:rPr>
                <w:rFonts w:cs="Arial"/>
                <w:sz w:val="20"/>
                <w:szCs w:val="18"/>
                <w:lang w:val="en-GB" w:eastAsia="en-US"/>
              </w:rPr>
              <w:t xml:space="preserve"> </w:t>
            </w:r>
            <w:r w:rsidRPr="009F63DF">
              <w:rPr>
                <w:rFonts w:cs="Arial"/>
                <w:sz w:val="20"/>
                <w:szCs w:val="18"/>
                <w:lang w:val="en-GB" w:eastAsia="en-US"/>
              </w:rPr>
              <w:t>CO</w:t>
            </w:r>
            <w:r w:rsidRPr="009F63DF">
              <w:rPr>
                <w:rFonts w:cs="Arial"/>
                <w:sz w:val="20"/>
                <w:szCs w:val="18"/>
                <w:vertAlign w:val="subscript"/>
                <w:lang w:val="en-GB" w:eastAsia="en-US"/>
              </w:rPr>
              <w:t>2</w:t>
            </w:r>
            <w:r w:rsidR="006808D2" w:rsidRPr="009F63DF">
              <w:rPr>
                <w:rFonts w:cs="Arial"/>
                <w:sz w:val="20"/>
                <w:szCs w:val="18"/>
                <w:lang w:val="en-GB" w:eastAsia="en-US"/>
              </w:rPr>
              <w:t xml:space="preserve"> </w:t>
            </w:r>
            <w:r w:rsidRPr="009F63DF">
              <w:rPr>
                <w:rFonts w:cs="Arial"/>
                <w:sz w:val="20"/>
                <w:szCs w:val="18"/>
                <w:lang w:val="en-GB" w:eastAsia="en-US"/>
              </w:rPr>
              <w:t>/</w:t>
            </w:r>
            <w:r w:rsidR="006808D2" w:rsidRPr="009F63DF">
              <w:rPr>
                <w:rFonts w:cs="Arial"/>
                <w:sz w:val="20"/>
                <w:szCs w:val="18"/>
                <w:lang w:val="en-GB" w:eastAsia="en-US"/>
              </w:rPr>
              <w:t xml:space="preserve"> </w:t>
            </w:r>
            <w:r w:rsidRPr="009F63DF">
              <w:rPr>
                <w:rFonts w:cs="Arial"/>
                <w:sz w:val="20"/>
                <w:szCs w:val="18"/>
                <w:lang w:val="en-GB" w:eastAsia="en-US"/>
              </w:rPr>
              <w:t>TJ</w:t>
            </w:r>
          </w:p>
        </w:tc>
      </w:tr>
      <w:tr w:rsidR="001C2394" w:rsidRPr="009F63DF" w14:paraId="5E14C7B1" w14:textId="77777777" w:rsidTr="009167D3">
        <w:tc>
          <w:tcPr>
            <w:tcW w:w="1796" w:type="dxa"/>
            <w:shd w:val="clear" w:color="auto" w:fill="E6E6E6"/>
          </w:tcPr>
          <w:p w14:paraId="4E85935D" w14:textId="5FF159A3"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33" w:type="dxa"/>
            <w:gridSpan w:val="4"/>
            <w:tcBorders>
              <w:bottom w:val="single" w:sz="4" w:space="0" w:color="auto"/>
            </w:tcBorders>
          </w:tcPr>
          <w:p w14:paraId="757329BA" w14:textId="72BC4090" w:rsidR="001C2394" w:rsidRPr="009F63DF" w:rsidRDefault="00815BBA" w:rsidP="001E4E35">
            <w:pPr>
              <w:suppressAutoHyphens/>
              <w:spacing w:before="60" w:after="60"/>
              <w:ind w:right="57"/>
              <w:rPr>
                <w:rFonts w:cs="Arial"/>
                <w:sz w:val="20"/>
                <w:lang w:val="en-GB" w:eastAsia="en-US"/>
              </w:rPr>
            </w:pPr>
            <w:r w:rsidRPr="009F63DF">
              <w:rPr>
                <w:rFonts w:cs="Arial"/>
                <w:sz w:val="20"/>
                <w:lang w:val="en-GB" w:eastAsia="en-US"/>
              </w:rPr>
              <w:t>Equation (</w:t>
            </w:r>
            <w:r w:rsidR="002413E8" w:rsidRPr="009F63DF">
              <w:rPr>
                <w:rFonts w:cs="Arial"/>
                <w:sz w:val="20"/>
                <w:lang w:val="en-GB" w:eastAsia="en-US"/>
              </w:rPr>
              <w:t>2</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9</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1</w:t>
            </w:r>
            <w:r w:rsidR="008771E1" w:rsidRPr="009F63DF">
              <w:rPr>
                <w:rFonts w:cs="Arial"/>
                <w:sz w:val="20"/>
                <w:lang w:val="en-GB" w:eastAsia="en-US"/>
              </w:rPr>
              <w:t>8</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2</w:t>
            </w:r>
            <w:r w:rsidR="005256A1">
              <w:rPr>
                <w:rFonts w:cs="Arial"/>
                <w:sz w:val="20"/>
                <w:lang w:val="en-GB" w:eastAsia="en-US"/>
              </w:rPr>
              <w:t>8</w:t>
            </w:r>
            <w:r w:rsidR="00BE4FFA">
              <w:rPr>
                <w:rFonts w:cs="Arial"/>
                <w:sz w:val="20"/>
                <w:lang w:val="en-GB" w:eastAsia="en-US"/>
              </w:rPr>
              <w:t>)</w:t>
            </w:r>
          </w:p>
        </w:tc>
      </w:tr>
      <w:tr w:rsidR="001C2394" w:rsidRPr="009F63DF" w14:paraId="50816866" w14:textId="77777777" w:rsidTr="009167D3">
        <w:tc>
          <w:tcPr>
            <w:tcW w:w="1796" w:type="dxa"/>
            <w:shd w:val="clear" w:color="auto" w:fill="E6E6E6"/>
          </w:tcPr>
          <w:p w14:paraId="5E3DCCB5" w14:textId="4908AFE9"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72" w:type="dxa"/>
            <w:tcBorders>
              <w:bottom w:val="nil"/>
              <w:right w:val="nil"/>
            </w:tcBorders>
          </w:tcPr>
          <w:p w14:paraId="03E31BD1" w14:textId="6D51547C" w:rsidR="001C2394" w:rsidRPr="009F63DF" w:rsidRDefault="001C2394"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Baseline </w:t>
            </w:r>
            <w:r w:rsidR="001205C8" w:rsidRPr="009F63DF">
              <w:rPr>
                <w:rFonts w:cs="Arial"/>
                <w:spacing w:val="-2"/>
                <w:sz w:val="20"/>
                <w:lang w:val="en-GB" w:eastAsia="en-US"/>
              </w:rPr>
              <w:t>Scenario</w:t>
            </w:r>
          </w:p>
        </w:tc>
        <w:tc>
          <w:tcPr>
            <w:tcW w:w="2101" w:type="dxa"/>
            <w:gridSpan w:val="2"/>
            <w:tcBorders>
              <w:left w:val="nil"/>
              <w:bottom w:val="nil"/>
              <w:right w:val="nil"/>
            </w:tcBorders>
          </w:tcPr>
          <w:p w14:paraId="3AAECF28" w14:textId="642306E4" w:rsidR="001C2394" w:rsidRPr="009F63DF" w:rsidRDefault="001C2394"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w:t>
            </w:r>
            <w:r w:rsidR="002646DE" w:rsidRPr="009F63DF">
              <w:rPr>
                <w:rFonts w:cs="Arial"/>
                <w:spacing w:val="-2"/>
                <w:sz w:val="20"/>
                <w:lang w:val="en-GB" w:eastAsia="en-US"/>
              </w:rPr>
              <w:t>Activity</w:t>
            </w:r>
            <w:r w:rsidRPr="009F63DF">
              <w:rPr>
                <w:rFonts w:cs="Arial"/>
                <w:spacing w:val="-2"/>
                <w:sz w:val="20"/>
                <w:lang w:val="en-GB" w:eastAsia="en-US"/>
              </w:rPr>
              <w:t xml:space="preserve"> </w:t>
            </w:r>
            <w:r w:rsidR="001205C8" w:rsidRPr="009F63DF">
              <w:rPr>
                <w:rFonts w:cs="Arial"/>
                <w:spacing w:val="-2"/>
                <w:sz w:val="20"/>
                <w:lang w:val="en-GB" w:eastAsia="en-US"/>
              </w:rPr>
              <w:t>Scenario</w:t>
            </w:r>
          </w:p>
        </w:tc>
        <w:tc>
          <w:tcPr>
            <w:tcW w:w="2260" w:type="dxa"/>
            <w:tcBorders>
              <w:left w:val="nil"/>
              <w:bottom w:val="nil"/>
            </w:tcBorders>
          </w:tcPr>
          <w:p w14:paraId="5F4E0E24" w14:textId="2ECC3DC2" w:rsidR="001C2394" w:rsidRPr="009F63DF" w:rsidRDefault="001C2394"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Leakage </w:t>
            </w:r>
          </w:p>
        </w:tc>
      </w:tr>
      <w:tr w:rsidR="001C2394" w:rsidRPr="009F63DF" w14:paraId="4E3DF0E9" w14:textId="77777777" w:rsidTr="009167D3">
        <w:tc>
          <w:tcPr>
            <w:tcW w:w="1796" w:type="dxa"/>
            <w:shd w:val="clear" w:color="auto" w:fill="E6E6E6"/>
          </w:tcPr>
          <w:p w14:paraId="0F8EEB6C" w14:textId="6C6A08A6"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33" w:type="dxa"/>
            <w:gridSpan w:val="4"/>
            <w:tcBorders>
              <w:bottom w:val="single" w:sz="4" w:space="0" w:color="auto"/>
            </w:tcBorders>
          </w:tcPr>
          <w:p w14:paraId="55857124" w14:textId="7ED38468" w:rsidR="00455D85" w:rsidRPr="009F63DF" w:rsidRDefault="00455D85" w:rsidP="001E4E35">
            <w:pPr>
              <w:suppressAutoHyphens/>
              <w:spacing w:before="60" w:after="60"/>
              <w:ind w:right="57"/>
              <w:rPr>
                <w:rFonts w:cs="Arial"/>
                <w:sz w:val="20"/>
                <w:szCs w:val="18"/>
                <w:lang w:val="en-GB" w:eastAsia="en-US"/>
              </w:rPr>
            </w:pPr>
            <w:r w:rsidRPr="009F63DF">
              <w:rPr>
                <w:rFonts w:cs="Arial"/>
                <w:sz w:val="20"/>
                <w:szCs w:val="18"/>
                <w:lang w:val="en-GB" w:eastAsia="en-US"/>
              </w:rPr>
              <w:t>Fuelwood: 0</w:t>
            </w:r>
          </w:p>
          <w:p w14:paraId="78EA43F4" w14:textId="14F86907" w:rsidR="001C2394" w:rsidRPr="009F63DF" w:rsidRDefault="007A3CB2" w:rsidP="001E4E35">
            <w:pPr>
              <w:keepNext/>
              <w:suppressAutoHyphens/>
              <w:spacing w:before="60" w:after="60"/>
              <w:ind w:right="57"/>
              <w:rPr>
                <w:rFonts w:cs="Arial"/>
                <w:i/>
                <w:sz w:val="20"/>
                <w:lang w:val="en-GB" w:eastAsia="en-US"/>
              </w:rPr>
            </w:pPr>
            <w:r w:rsidRPr="009F63DF">
              <w:rPr>
                <w:rFonts w:cs="Arial"/>
                <w:sz w:val="20"/>
                <w:szCs w:val="18"/>
                <w:lang w:val="en-GB" w:eastAsia="en-US"/>
              </w:rPr>
              <w:t>Charcoal:</w:t>
            </w:r>
            <w:r w:rsidR="00B75329" w:rsidRPr="009F63DF">
              <w:rPr>
                <w:rFonts w:cs="Arial"/>
                <w:sz w:val="20"/>
                <w:szCs w:val="18"/>
                <w:lang w:val="en-GB" w:eastAsia="en-US"/>
              </w:rPr>
              <w:t xml:space="preserve"> </w:t>
            </w:r>
            <w:r w:rsidR="00B45D85" w:rsidRPr="009F63DF">
              <w:rPr>
                <w:rFonts w:cs="Arial"/>
                <w:sz w:val="20"/>
                <w:szCs w:val="18"/>
                <w:lang w:val="en-GB" w:eastAsia="en-US"/>
              </w:rPr>
              <w:t>98</w:t>
            </w:r>
          </w:p>
        </w:tc>
      </w:tr>
      <w:tr w:rsidR="001C2394" w:rsidRPr="009F63DF" w14:paraId="322C49B1" w14:textId="77777777" w:rsidTr="009167D3">
        <w:tc>
          <w:tcPr>
            <w:tcW w:w="1796" w:type="dxa"/>
            <w:shd w:val="clear" w:color="auto" w:fill="E6E6E6"/>
          </w:tcPr>
          <w:p w14:paraId="394FEB7E" w14:textId="3ADACBF4"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638" w:type="dxa"/>
            <w:gridSpan w:val="2"/>
            <w:tcBorders>
              <w:bottom w:val="nil"/>
              <w:right w:val="nil"/>
            </w:tcBorders>
            <w:vAlign w:val="center"/>
          </w:tcPr>
          <w:p w14:paraId="4A0A1A3D" w14:textId="77777777" w:rsidR="001C2394" w:rsidRPr="009F63DF" w:rsidRDefault="001C2394" w:rsidP="001E4E35">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5" w:type="dxa"/>
            <w:gridSpan w:val="2"/>
            <w:tcBorders>
              <w:left w:val="nil"/>
              <w:bottom w:val="nil"/>
            </w:tcBorders>
            <w:vAlign w:val="center"/>
          </w:tcPr>
          <w:p w14:paraId="009D6B5C" w14:textId="77777777" w:rsidR="001C2394" w:rsidRPr="009F63DF" w:rsidRDefault="001C2394" w:rsidP="001E4E35">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1C2394" w:rsidRPr="009F63DF" w14:paraId="5FB1D1EE" w14:textId="77777777" w:rsidTr="009167D3">
        <w:tc>
          <w:tcPr>
            <w:tcW w:w="1796" w:type="dxa"/>
            <w:shd w:val="clear" w:color="auto" w:fill="E6E6E6"/>
          </w:tcPr>
          <w:p w14:paraId="6813D7A7" w14:textId="76CF2F05"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33" w:type="dxa"/>
            <w:gridSpan w:val="4"/>
            <w:tcBorders>
              <w:top w:val="single" w:sz="4" w:space="0" w:color="auto"/>
            </w:tcBorders>
          </w:tcPr>
          <w:p w14:paraId="5C450A87" w14:textId="768400EA" w:rsidR="001C2394" w:rsidRPr="009F63DF" w:rsidRDefault="00DE4ADF" w:rsidP="001E4E35">
            <w:pPr>
              <w:suppressAutoHyphens/>
              <w:spacing w:before="60" w:after="60"/>
              <w:ind w:right="57"/>
              <w:rPr>
                <w:rFonts w:cs="Arial"/>
                <w:sz w:val="20"/>
                <w:lang w:val="en-GB" w:eastAsia="en-US"/>
              </w:rPr>
            </w:pPr>
            <w:r w:rsidRPr="009F63DF">
              <w:rPr>
                <w:rFonts w:cs="Arial"/>
                <w:sz w:val="20"/>
                <w:lang w:val="en-GB" w:eastAsia="en-US"/>
              </w:rPr>
              <w:t xml:space="preserve"> The charcoal value is derived from research results for artisanal charcoal production in earth mound kilns summarized in </w:t>
            </w:r>
            <w:r w:rsidRPr="009F63DF">
              <w:rPr>
                <w:sz w:val="20"/>
              </w:rPr>
              <w:fldChar w:fldCharType="begin"/>
            </w:r>
            <w:r w:rsidRPr="009F63DF">
              <w:rPr>
                <w:sz w:val="20"/>
                <w:szCs w:val="20"/>
                <w:lang w:val="en-GB"/>
              </w:rPr>
              <w:instrText xml:space="preserve"> REF _Ref227014105 \r \h  \* MERGEFORMAT </w:instrText>
            </w:r>
            <w:r w:rsidRPr="009F63DF">
              <w:rPr>
                <w:sz w:val="20"/>
              </w:rPr>
            </w:r>
            <w:r w:rsidRPr="009F63DF">
              <w:rPr>
                <w:sz w:val="20"/>
              </w:rPr>
              <w:fldChar w:fldCharType="separate"/>
            </w:r>
            <w:r w:rsidR="00831DAE">
              <w:rPr>
                <w:sz w:val="20"/>
                <w:szCs w:val="20"/>
                <w:cs/>
                <w:lang w:val="en-GB"/>
              </w:rPr>
              <w:t>‎</w:t>
            </w:r>
            <w:r w:rsidR="00831DAE">
              <w:rPr>
                <w:sz w:val="20"/>
                <w:szCs w:val="20"/>
                <w:lang w:val="en-GB"/>
              </w:rPr>
              <w:t>0</w:t>
            </w:r>
            <w:r w:rsidRPr="009F63DF">
              <w:rPr>
                <w:sz w:val="20"/>
              </w:rPr>
              <w:fldChar w:fldCharType="end"/>
            </w:r>
          </w:p>
        </w:tc>
      </w:tr>
      <w:tr w:rsidR="001C2394" w:rsidRPr="009F63DF" w14:paraId="06697737" w14:textId="77777777" w:rsidTr="009167D3">
        <w:tc>
          <w:tcPr>
            <w:tcW w:w="1796" w:type="dxa"/>
            <w:shd w:val="clear" w:color="auto" w:fill="E6E6E6"/>
          </w:tcPr>
          <w:p w14:paraId="43CF7F16" w14:textId="4A3B895B" w:rsidR="001C2394" w:rsidRPr="009F63DF" w:rsidRDefault="001C2394"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p>
        </w:tc>
        <w:tc>
          <w:tcPr>
            <w:tcW w:w="6733" w:type="dxa"/>
            <w:gridSpan w:val="4"/>
          </w:tcPr>
          <w:p w14:paraId="0A4B50DA" w14:textId="1FA3D724" w:rsidR="001C2394" w:rsidRPr="009F63DF" w:rsidRDefault="00183087" w:rsidP="001E4E35">
            <w:pPr>
              <w:keepNext/>
              <w:suppressAutoHyphens/>
              <w:spacing w:before="60" w:after="60"/>
              <w:ind w:right="57"/>
              <w:rPr>
                <w:rFonts w:cs="Arial"/>
                <w:sz w:val="20"/>
                <w:lang w:val="en-GB" w:eastAsia="en-US"/>
              </w:rPr>
            </w:pPr>
            <w:r w:rsidRPr="009F63DF">
              <w:rPr>
                <w:rFonts w:cs="Arial"/>
                <w:sz w:val="20"/>
                <w:lang w:val="en-GB" w:eastAsia="en-US"/>
              </w:rPr>
              <w:t xml:space="preserve">The value for charcoal is conservative since it reflects a </w:t>
            </w:r>
            <w:r w:rsidR="00DD6AD5" w:rsidRPr="009F63DF">
              <w:rPr>
                <w:rFonts w:cs="Arial"/>
                <w:sz w:val="20"/>
                <w:lang w:val="en-GB" w:eastAsia="en-US"/>
              </w:rPr>
              <w:t xml:space="preserve">wood-to-charcoal ratio of </w:t>
            </w:r>
            <w:r w:rsidR="00D85141" w:rsidRPr="009F63DF">
              <w:rPr>
                <w:rFonts w:cs="Arial"/>
                <w:sz w:val="20"/>
                <w:lang w:val="en-GB" w:eastAsia="en-US"/>
              </w:rPr>
              <w:t>5:1</w:t>
            </w:r>
            <w:r w:rsidR="00797E44" w:rsidRPr="009F63DF">
              <w:rPr>
                <w:rFonts w:cs="Arial"/>
                <w:sz w:val="20"/>
                <w:lang w:val="en-GB" w:eastAsia="en-US"/>
              </w:rPr>
              <w:t xml:space="preserve"> whereas measured ratios in field operations are consistently higher than this </w:t>
            </w:r>
            <w:r w:rsidR="00402B25" w:rsidRPr="009F63DF">
              <w:rPr>
                <w:rFonts w:cs="Arial"/>
                <w:sz w:val="20"/>
                <w:lang w:val="en-GB" w:eastAsia="en-US"/>
              </w:rPr>
              <w:t xml:space="preserve">as described further in </w:t>
            </w:r>
            <w:r w:rsidR="00402B25" w:rsidRPr="009F63DF">
              <w:rPr>
                <w:sz w:val="20"/>
              </w:rPr>
              <w:fldChar w:fldCharType="begin"/>
            </w:r>
            <w:r w:rsidR="00402B25" w:rsidRPr="009F63DF">
              <w:rPr>
                <w:sz w:val="20"/>
                <w:szCs w:val="20"/>
                <w:lang w:val="en-GB"/>
              </w:rPr>
              <w:instrText xml:space="preserve"> REF _Ref227014105 \r \h  \* MERGEFORMAT </w:instrText>
            </w:r>
            <w:r w:rsidR="00402B25" w:rsidRPr="009F63DF">
              <w:rPr>
                <w:sz w:val="20"/>
              </w:rPr>
            </w:r>
            <w:r w:rsidR="00402B25" w:rsidRPr="009F63DF">
              <w:rPr>
                <w:sz w:val="20"/>
              </w:rPr>
              <w:fldChar w:fldCharType="separate"/>
            </w:r>
            <w:r w:rsidR="00831DAE">
              <w:rPr>
                <w:sz w:val="20"/>
                <w:szCs w:val="20"/>
                <w:cs/>
                <w:lang w:val="en-GB"/>
              </w:rPr>
              <w:t>‎</w:t>
            </w:r>
            <w:r w:rsidR="00831DAE">
              <w:rPr>
                <w:sz w:val="20"/>
                <w:szCs w:val="20"/>
                <w:lang w:val="en-GB"/>
              </w:rPr>
              <w:t>0</w:t>
            </w:r>
            <w:r w:rsidR="00402B25" w:rsidRPr="009F63DF">
              <w:rPr>
                <w:sz w:val="20"/>
              </w:rPr>
              <w:fldChar w:fldCharType="end"/>
            </w:r>
          </w:p>
        </w:tc>
      </w:tr>
      <w:tr w:rsidR="001C2394" w:rsidRPr="009F63DF" w14:paraId="14727C14" w14:textId="77777777" w:rsidTr="009167D3">
        <w:tc>
          <w:tcPr>
            <w:tcW w:w="1796" w:type="dxa"/>
            <w:shd w:val="clear" w:color="auto" w:fill="E6E6E6"/>
          </w:tcPr>
          <w:p w14:paraId="170F3F6A" w14:textId="5883EA6C" w:rsidR="001C2394" w:rsidRPr="009F63DF" w:rsidRDefault="001C2394"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p>
        </w:tc>
        <w:tc>
          <w:tcPr>
            <w:tcW w:w="6733" w:type="dxa"/>
            <w:gridSpan w:val="4"/>
          </w:tcPr>
          <w:p w14:paraId="3F009575" w14:textId="16341C33" w:rsidR="001C2394" w:rsidRPr="009F63DF" w:rsidRDefault="001C2394" w:rsidP="001E4E35">
            <w:pPr>
              <w:suppressAutoHyphens/>
              <w:spacing w:before="60" w:after="60"/>
              <w:ind w:right="57"/>
              <w:rPr>
                <w:rFonts w:cs="Arial"/>
                <w:sz w:val="20"/>
                <w:lang w:val="en-GB" w:eastAsia="en-US"/>
              </w:rPr>
            </w:pPr>
            <w:r w:rsidRPr="009F63DF">
              <w:rPr>
                <w:rFonts w:cs="Arial"/>
                <w:sz w:val="20"/>
                <w:szCs w:val="18"/>
                <w:lang w:val="en-GB" w:eastAsia="en-US"/>
              </w:rPr>
              <w:t xml:space="preserve">Upstream emissions for fuelwood are considered </w:t>
            </w:r>
            <w:r w:rsidR="00A71358" w:rsidRPr="009F63DF">
              <w:rPr>
                <w:rFonts w:cs="Arial"/>
                <w:sz w:val="20"/>
                <w:szCs w:val="18"/>
                <w:lang w:val="en-GB" w:eastAsia="en-US"/>
              </w:rPr>
              <w:t xml:space="preserve">to be </w:t>
            </w:r>
            <w:r w:rsidRPr="009F63DF">
              <w:rPr>
                <w:rFonts w:cs="Arial"/>
                <w:sz w:val="20"/>
                <w:szCs w:val="18"/>
                <w:lang w:val="en-GB" w:eastAsia="en-US"/>
              </w:rPr>
              <w:t>zero</w:t>
            </w:r>
          </w:p>
        </w:tc>
      </w:tr>
    </w:tbl>
    <w:p w14:paraId="7E23A772" w14:textId="6555B1CC"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9</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796"/>
        <w:gridCol w:w="2372"/>
        <w:gridCol w:w="1266"/>
        <w:gridCol w:w="835"/>
        <w:gridCol w:w="2260"/>
      </w:tblGrid>
      <w:tr w:rsidR="00851DF5" w:rsidRPr="009F63DF" w14:paraId="77284777" w14:textId="77777777" w:rsidTr="009167D3">
        <w:tc>
          <w:tcPr>
            <w:tcW w:w="1796" w:type="dxa"/>
            <w:shd w:val="clear" w:color="auto" w:fill="E6E6E6"/>
          </w:tcPr>
          <w:p w14:paraId="2ACE5165" w14:textId="57C506F4" w:rsidR="00851DF5" w:rsidRPr="009F63DF" w:rsidRDefault="00851DF5"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33" w:type="dxa"/>
            <w:gridSpan w:val="4"/>
          </w:tcPr>
          <w:p w14:paraId="4815609D" w14:textId="58E3121E" w:rsidR="00851DF5" w:rsidRPr="009F63DF" w:rsidRDefault="001549D8" w:rsidP="001E4E35">
            <w:pPr>
              <w:keepNext/>
              <w:suppressAutoHyphens/>
              <w:spacing w:before="60" w:after="60"/>
              <w:ind w:right="57"/>
              <w:rPr>
                <w:rFonts w:cs="Arial"/>
                <w:b/>
                <w:i/>
                <w:sz w:val="20"/>
                <w:lang w:val="en-GB" w:eastAsia="en-US"/>
              </w:rPr>
            </w:pPr>
            <w:sdt>
              <w:sdtPr>
                <w:rPr>
                  <w:rFonts w:cs="Arial"/>
                  <w:sz w:val="20"/>
                  <w:szCs w:val="18"/>
                  <w:lang w:eastAsia="en-US"/>
                </w:rPr>
                <w:tag w:val="goog_rdk_114"/>
                <w:id w:val="1668590862"/>
              </w:sdtPr>
              <w:sdtEndPr/>
              <w:sdtContent>
                <m:oMath>
                  <m:sSub>
                    <m:sSubPr>
                      <m:ctrlPr>
                        <w:rPr>
                          <w:rFonts w:ascii="Cambria Math" w:eastAsia="Cambria Math" w:hAnsi="Cambria Math" w:cs="Arial"/>
                          <w:sz w:val="20"/>
                          <w:szCs w:val="18"/>
                          <w:lang w:val="en-GB" w:eastAsia="en-US"/>
                        </w:rPr>
                      </m:ctrlPr>
                    </m:sSubPr>
                    <m:e>
                      <m:r>
                        <m:rPr>
                          <m:sty m:val="bi"/>
                        </m:rPr>
                        <w:rPr>
                          <w:rFonts w:ascii="Cambria Math" w:hAnsi="Cambria Math" w:cs="Arial"/>
                          <w:sz w:val="20"/>
                          <w:szCs w:val="18"/>
                          <w:lang w:val="en-GB" w:eastAsia="en-US"/>
                        </w:rPr>
                        <m:t>EF</m:t>
                      </m:r>
                    </m:e>
                    <m:sub>
                      <m:r>
                        <m:rPr>
                          <m:sty m:val="bi"/>
                        </m:rPr>
                        <w:rPr>
                          <w:rFonts w:ascii="Cambria Math" w:hAnsi="Cambria Math" w:cs="Arial"/>
                          <w:sz w:val="20"/>
                          <w:szCs w:val="18"/>
                          <w:lang w:val="en-GB" w:eastAsia="en-US"/>
                        </w:rPr>
                        <m:t>i,nonCO</m:t>
                      </m:r>
                      <m:r>
                        <m:rPr>
                          <m:sty m:val="bi"/>
                        </m:rPr>
                        <w:rPr>
                          <w:rFonts w:ascii="Cambria Math" w:hAnsi="Cambria Math" w:cs="Arial"/>
                          <w:sz w:val="20"/>
                          <w:szCs w:val="18"/>
                          <w:lang w:val="en-GB" w:eastAsia="en-US"/>
                        </w:rPr>
                        <m:t>2,upstream</m:t>
                      </m:r>
                    </m:sub>
                  </m:sSub>
                </m:oMath>
              </w:sdtContent>
            </w:sdt>
          </w:p>
        </w:tc>
      </w:tr>
      <w:tr w:rsidR="00851DF5" w:rsidRPr="009F63DF" w14:paraId="378111D2" w14:textId="77777777" w:rsidTr="009167D3">
        <w:tc>
          <w:tcPr>
            <w:tcW w:w="1796" w:type="dxa"/>
            <w:shd w:val="clear" w:color="auto" w:fill="E6E6E6"/>
          </w:tcPr>
          <w:p w14:paraId="5F4A97AA" w14:textId="3CA890B0"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33" w:type="dxa"/>
            <w:gridSpan w:val="4"/>
          </w:tcPr>
          <w:p w14:paraId="4BA94320" w14:textId="4E3593BB" w:rsidR="00851DF5" w:rsidRPr="009F63DF" w:rsidRDefault="00851DF5" w:rsidP="001E4E35">
            <w:pPr>
              <w:suppressAutoHyphens/>
              <w:spacing w:before="60" w:after="60"/>
              <w:ind w:right="57"/>
              <w:rPr>
                <w:rFonts w:cs="Arial"/>
                <w:sz w:val="20"/>
                <w:lang w:val="en-GB" w:eastAsia="en-US"/>
              </w:rPr>
            </w:pPr>
            <w:r w:rsidRPr="009F63DF">
              <w:rPr>
                <w:rFonts w:cs="Arial"/>
                <w:sz w:val="20"/>
                <w:szCs w:val="18"/>
                <w:lang w:val="en-GB" w:eastAsia="en-US"/>
              </w:rPr>
              <w:t>Non-CO</w:t>
            </w:r>
            <w:r w:rsidRPr="009F63DF">
              <w:rPr>
                <w:rFonts w:cs="Arial"/>
                <w:sz w:val="20"/>
                <w:szCs w:val="18"/>
                <w:vertAlign w:val="subscript"/>
                <w:lang w:val="en-GB" w:eastAsia="en-US"/>
              </w:rPr>
              <w:t>2</w:t>
            </w:r>
            <w:r w:rsidRPr="009F63DF">
              <w:rPr>
                <w:rFonts w:cs="Arial"/>
                <w:sz w:val="20"/>
                <w:szCs w:val="18"/>
                <w:lang w:val="en-GB" w:eastAsia="en-US"/>
              </w:rPr>
              <w:t xml:space="preserve"> upstream emission factor for fuel</w:t>
            </w:r>
            <w:r w:rsidRPr="009F63DF">
              <w:rPr>
                <w:rFonts w:cs="Arial"/>
                <w:i/>
                <w:sz w:val="20"/>
                <w:szCs w:val="18"/>
                <w:lang w:val="en-GB" w:eastAsia="en-US"/>
              </w:rPr>
              <w:t xml:space="preserve"> i</w:t>
            </w:r>
          </w:p>
        </w:tc>
      </w:tr>
      <w:tr w:rsidR="00851DF5" w:rsidRPr="009F63DF" w14:paraId="06F96BB7" w14:textId="77777777" w:rsidTr="009167D3">
        <w:tc>
          <w:tcPr>
            <w:tcW w:w="1796" w:type="dxa"/>
            <w:shd w:val="clear" w:color="auto" w:fill="E6E6E6"/>
          </w:tcPr>
          <w:p w14:paraId="6D956E0B" w14:textId="29C385CF"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33" w:type="dxa"/>
            <w:gridSpan w:val="4"/>
          </w:tcPr>
          <w:p w14:paraId="18AB8426" w14:textId="385D6AF1" w:rsidR="00851DF5" w:rsidRPr="009F63DF" w:rsidRDefault="00851DF5" w:rsidP="001E4E35">
            <w:pPr>
              <w:suppressAutoHyphens/>
              <w:spacing w:before="60" w:after="60"/>
              <w:ind w:right="57"/>
              <w:rPr>
                <w:rFonts w:cs="Arial"/>
                <w:sz w:val="20"/>
                <w:lang w:val="en-GB" w:eastAsia="en-US"/>
              </w:rPr>
            </w:pPr>
            <w:r w:rsidRPr="009F63DF">
              <w:rPr>
                <w:rFonts w:cs="Arial"/>
                <w:sz w:val="20"/>
                <w:szCs w:val="18"/>
                <w:lang w:val="en-GB" w:eastAsia="en-US"/>
              </w:rPr>
              <w:t>t</w:t>
            </w:r>
            <w:r w:rsidR="00220A11" w:rsidRPr="009F63DF">
              <w:rPr>
                <w:rFonts w:cs="Arial"/>
                <w:sz w:val="20"/>
                <w:szCs w:val="18"/>
                <w:lang w:val="en-GB" w:eastAsia="en-US"/>
              </w:rPr>
              <w:t xml:space="preserve"> </w:t>
            </w:r>
            <w:r w:rsidRPr="009F63DF">
              <w:rPr>
                <w:rFonts w:cs="Arial"/>
                <w:sz w:val="20"/>
                <w:szCs w:val="18"/>
                <w:lang w:val="en-GB" w:eastAsia="en-US"/>
              </w:rPr>
              <w:t>CO</w:t>
            </w:r>
            <w:r w:rsidRPr="009F63DF">
              <w:rPr>
                <w:rFonts w:cs="Arial"/>
                <w:sz w:val="20"/>
                <w:szCs w:val="18"/>
                <w:vertAlign w:val="subscript"/>
                <w:lang w:val="en-GB" w:eastAsia="en-US"/>
              </w:rPr>
              <w:t>2</w:t>
            </w:r>
            <w:r w:rsidR="002752DB">
              <w:rPr>
                <w:rFonts w:cs="Arial"/>
                <w:sz w:val="20"/>
                <w:szCs w:val="18"/>
                <w:lang w:val="en-GB" w:eastAsia="en-US"/>
              </w:rPr>
              <w:t xml:space="preserve"> </w:t>
            </w:r>
            <w:r w:rsidRPr="009F63DF">
              <w:rPr>
                <w:rFonts w:cs="Arial"/>
                <w:sz w:val="20"/>
                <w:szCs w:val="18"/>
                <w:lang w:val="en-GB" w:eastAsia="en-US"/>
              </w:rPr>
              <w:t>e</w:t>
            </w:r>
            <w:r w:rsidR="00220A11" w:rsidRPr="009F63DF">
              <w:rPr>
                <w:rFonts w:cs="Arial"/>
                <w:sz w:val="20"/>
                <w:szCs w:val="18"/>
                <w:lang w:val="en-GB" w:eastAsia="en-US"/>
              </w:rPr>
              <w:t>q</w:t>
            </w:r>
            <w:r w:rsidR="006808D2" w:rsidRPr="009F63DF">
              <w:rPr>
                <w:rFonts w:cs="Arial"/>
                <w:sz w:val="20"/>
                <w:szCs w:val="18"/>
                <w:lang w:val="en-GB" w:eastAsia="en-US"/>
              </w:rPr>
              <w:t xml:space="preserve"> </w:t>
            </w:r>
            <w:r w:rsidRPr="009F63DF">
              <w:rPr>
                <w:rFonts w:cs="Arial"/>
                <w:sz w:val="20"/>
                <w:szCs w:val="18"/>
                <w:lang w:val="en-GB" w:eastAsia="en-US"/>
              </w:rPr>
              <w:t>/</w:t>
            </w:r>
            <w:r w:rsidR="006808D2" w:rsidRPr="009F63DF">
              <w:rPr>
                <w:rFonts w:cs="Arial"/>
                <w:sz w:val="20"/>
                <w:szCs w:val="18"/>
                <w:lang w:val="en-GB" w:eastAsia="en-US"/>
              </w:rPr>
              <w:t xml:space="preserve"> </w:t>
            </w:r>
            <w:r w:rsidRPr="009F63DF">
              <w:rPr>
                <w:rFonts w:cs="Arial"/>
                <w:sz w:val="20"/>
                <w:szCs w:val="18"/>
                <w:lang w:val="en-GB" w:eastAsia="en-US"/>
              </w:rPr>
              <w:t>TJ</w:t>
            </w:r>
          </w:p>
        </w:tc>
      </w:tr>
      <w:tr w:rsidR="00851DF5" w:rsidRPr="009F63DF" w14:paraId="68794BE3" w14:textId="77777777" w:rsidTr="009167D3">
        <w:tc>
          <w:tcPr>
            <w:tcW w:w="1796" w:type="dxa"/>
            <w:shd w:val="clear" w:color="auto" w:fill="E6E6E6"/>
          </w:tcPr>
          <w:p w14:paraId="29A61104" w14:textId="4CF10FD2"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33" w:type="dxa"/>
            <w:gridSpan w:val="4"/>
            <w:tcBorders>
              <w:bottom w:val="single" w:sz="4" w:space="0" w:color="auto"/>
            </w:tcBorders>
          </w:tcPr>
          <w:p w14:paraId="62E78F82" w14:textId="7E01BD85" w:rsidR="00851DF5" w:rsidRPr="009F63DF" w:rsidRDefault="00815BBA" w:rsidP="001E4E35">
            <w:pPr>
              <w:suppressAutoHyphens/>
              <w:spacing w:before="60" w:after="60"/>
              <w:ind w:right="57"/>
              <w:rPr>
                <w:rFonts w:cs="Arial"/>
                <w:sz w:val="20"/>
                <w:lang w:val="en-GB" w:eastAsia="en-US"/>
              </w:rPr>
            </w:pPr>
            <w:r w:rsidRPr="009F63DF">
              <w:rPr>
                <w:rFonts w:cs="Arial"/>
                <w:sz w:val="20"/>
                <w:lang w:val="en-GB" w:eastAsia="en-US"/>
              </w:rPr>
              <w:t>Equation (</w:t>
            </w:r>
            <w:r w:rsidR="002413E8" w:rsidRPr="009F63DF">
              <w:rPr>
                <w:rFonts w:cs="Arial"/>
                <w:sz w:val="20"/>
                <w:lang w:val="en-GB" w:eastAsia="en-US"/>
              </w:rPr>
              <w:t>4</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10</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3A6550">
              <w:rPr>
                <w:rFonts w:cs="Arial"/>
                <w:sz w:val="20"/>
                <w:lang w:val="en-GB" w:eastAsia="en-US"/>
              </w:rPr>
              <w:t>20</w:t>
            </w:r>
            <w:r w:rsidRPr="009F63DF">
              <w:rPr>
                <w:rFonts w:cs="Arial"/>
                <w:sz w:val="20"/>
                <w:lang w:val="en-GB" w:eastAsia="en-US"/>
              </w:rPr>
              <w:t>)</w:t>
            </w:r>
          </w:p>
        </w:tc>
      </w:tr>
      <w:tr w:rsidR="00851DF5" w:rsidRPr="009F63DF" w14:paraId="5F805CEA" w14:textId="77777777" w:rsidTr="009167D3">
        <w:tc>
          <w:tcPr>
            <w:tcW w:w="1796" w:type="dxa"/>
            <w:shd w:val="clear" w:color="auto" w:fill="E6E6E6"/>
          </w:tcPr>
          <w:p w14:paraId="10611F41" w14:textId="56F8B8EA"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72" w:type="dxa"/>
            <w:tcBorders>
              <w:bottom w:val="nil"/>
              <w:right w:val="nil"/>
            </w:tcBorders>
          </w:tcPr>
          <w:p w14:paraId="78F8C7A4" w14:textId="1EDAC9BE"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Baseline </w:t>
            </w:r>
            <w:r w:rsidR="001205C8" w:rsidRPr="009F63DF">
              <w:rPr>
                <w:rFonts w:cs="Arial"/>
                <w:spacing w:val="-2"/>
                <w:sz w:val="20"/>
                <w:lang w:val="en-GB" w:eastAsia="en-US"/>
              </w:rPr>
              <w:t>Scenario</w:t>
            </w:r>
          </w:p>
        </w:tc>
        <w:tc>
          <w:tcPr>
            <w:tcW w:w="2101" w:type="dxa"/>
            <w:gridSpan w:val="2"/>
            <w:tcBorders>
              <w:left w:val="nil"/>
              <w:bottom w:val="nil"/>
              <w:right w:val="nil"/>
            </w:tcBorders>
          </w:tcPr>
          <w:p w14:paraId="7B0FE645" w14:textId="4A7A449B"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w:t>
            </w:r>
            <w:r w:rsidR="002646DE" w:rsidRPr="009F63DF">
              <w:rPr>
                <w:rFonts w:cs="Arial"/>
                <w:spacing w:val="-2"/>
                <w:sz w:val="20"/>
                <w:lang w:val="en-GB" w:eastAsia="en-US"/>
              </w:rPr>
              <w:t>Activity</w:t>
            </w:r>
            <w:r w:rsidRPr="009F63DF">
              <w:rPr>
                <w:rFonts w:cs="Arial"/>
                <w:spacing w:val="-2"/>
                <w:sz w:val="20"/>
                <w:lang w:val="en-GB" w:eastAsia="en-US"/>
              </w:rPr>
              <w:t xml:space="preserve"> </w:t>
            </w:r>
            <w:r w:rsidR="001205C8" w:rsidRPr="009F63DF">
              <w:rPr>
                <w:rFonts w:cs="Arial"/>
                <w:spacing w:val="-2"/>
                <w:sz w:val="20"/>
                <w:lang w:val="en-GB" w:eastAsia="en-US"/>
              </w:rPr>
              <w:t>Scenario</w:t>
            </w:r>
          </w:p>
        </w:tc>
        <w:tc>
          <w:tcPr>
            <w:tcW w:w="2260" w:type="dxa"/>
            <w:tcBorders>
              <w:left w:val="nil"/>
              <w:bottom w:val="nil"/>
            </w:tcBorders>
          </w:tcPr>
          <w:p w14:paraId="2C01E379" w14:textId="34C1FCC4"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Leakage</w:t>
            </w:r>
          </w:p>
        </w:tc>
      </w:tr>
      <w:tr w:rsidR="00851DF5" w:rsidRPr="009F63DF" w14:paraId="78775E60" w14:textId="77777777" w:rsidTr="00A00CAC">
        <w:tc>
          <w:tcPr>
            <w:tcW w:w="1796" w:type="dxa"/>
            <w:tcBorders>
              <w:bottom w:val="single" w:sz="4" w:space="0" w:color="auto"/>
            </w:tcBorders>
            <w:shd w:val="clear" w:color="auto" w:fill="E6E6E6"/>
          </w:tcPr>
          <w:p w14:paraId="5A79738B" w14:textId="4CF4647E"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33" w:type="dxa"/>
            <w:gridSpan w:val="4"/>
            <w:tcBorders>
              <w:bottom w:val="single" w:sz="4" w:space="0" w:color="auto"/>
            </w:tcBorders>
          </w:tcPr>
          <w:p w14:paraId="005282FA" w14:textId="18DEFAD8" w:rsidR="00851DF5" w:rsidRPr="009F63DF" w:rsidRDefault="009D197C" w:rsidP="001E4E35">
            <w:pPr>
              <w:suppressAutoHyphens/>
              <w:spacing w:before="60" w:after="60"/>
              <w:ind w:right="57"/>
              <w:rPr>
                <w:rFonts w:cs="Arial"/>
                <w:i/>
                <w:sz w:val="20"/>
                <w:lang w:val="en-GB" w:eastAsia="en-US"/>
              </w:rPr>
            </w:pPr>
            <w:r w:rsidRPr="009F63DF">
              <w:rPr>
                <w:rFonts w:cs="Arial"/>
                <w:sz w:val="20"/>
                <w:szCs w:val="18"/>
                <w:lang w:val="en-GB" w:eastAsia="en-US"/>
              </w:rPr>
              <w:t>Fuelwood: 0</w:t>
            </w:r>
            <w:r w:rsidR="001E4E35" w:rsidRPr="009F63DF">
              <w:rPr>
                <w:rFonts w:cs="Arial"/>
                <w:sz w:val="20"/>
                <w:szCs w:val="18"/>
                <w:lang w:val="en-GB" w:eastAsia="en-US"/>
              </w:rPr>
              <w:br/>
            </w:r>
            <w:r w:rsidRPr="009F63DF">
              <w:rPr>
                <w:rFonts w:cs="Arial"/>
                <w:sz w:val="20"/>
                <w:szCs w:val="18"/>
                <w:lang w:val="en-GB" w:eastAsia="en-US"/>
              </w:rPr>
              <w:t>Charcoal:</w:t>
            </w:r>
            <w:r w:rsidR="00B45D85" w:rsidRPr="009F63DF">
              <w:rPr>
                <w:rFonts w:cs="Arial"/>
                <w:sz w:val="20"/>
                <w:szCs w:val="18"/>
                <w:lang w:val="en-GB" w:eastAsia="en-US"/>
              </w:rPr>
              <w:t xml:space="preserve"> 59.312</w:t>
            </w:r>
          </w:p>
        </w:tc>
      </w:tr>
      <w:tr w:rsidR="00851DF5" w:rsidRPr="009F63DF" w14:paraId="0D8E4FB7" w14:textId="77777777" w:rsidTr="00A00CAC">
        <w:tc>
          <w:tcPr>
            <w:tcW w:w="1796" w:type="dxa"/>
            <w:tcBorders>
              <w:bottom w:val="single" w:sz="4" w:space="0" w:color="auto"/>
            </w:tcBorders>
            <w:shd w:val="clear" w:color="auto" w:fill="E6E6E6"/>
          </w:tcPr>
          <w:p w14:paraId="166C7381" w14:textId="56C016CE"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638" w:type="dxa"/>
            <w:gridSpan w:val="2"/>
            <w:tcBorders>
              <w:bottom w:val="single" w:sz="4" w:space="0" w:color="auto"/>
              <w:right w:val="nil"/>
            </w:tcBorders>
            <w:vAlign w:val="center"/>
          </w:tcPr>
          <w:p w14:paraId="5997C97E" w14:textId="77777777" w:rsidR="00851DF5" w:rsidRPr="009F63DF" w:rsidRDefault="00851DF5" w:rsidP="001E4E35">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5" w:type="dxa"/>
            <w:gridSpan w:val="2"/>
            <w:tcBorders>
              <w:left w:val="nil"/>
              <w:bottom w:val="single" w:sz="4" w:space="0" w:color="auto"/>
            </w:tcBorders>
            <w:vAlign w:val="center"/>
          </w:tcPr>
          <w:p w14:paraId="2F19D85E" w14:textId="77777777" w:rsidR="00851DF5" w:rsidRPr="009F63DF" w:rsidRDefault="00851DF5" w:rsidP="001E4E35">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851DF5" w:rsidRPr="009F63DF" w14:paraId="402469D8" w14:textId="77777777" w:rsidTr="00A00CAC">
        <w:tc>
          <w:tcPr>
            <w:tcW w:w="1796" w:type="dxa"/>
            <w:tcBorders>
              <w:top w:val="single" w:sz="4" w:space="0" w:color="auto"/>
            </w:tcBorders>
            <w:shd w:val="clear" w:color="auto" w:fill="E6E6E6"/>
          </w:tcPr>
          <w:p w14:paraId="2794D07C" w14:textId="2237BF4B"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33" w:type="dxa"/>
            <w:gridSpan w:val="4"/>
            <w:tcBorders>
              <w:top w:val="single" w:sz="4" w:space="0" w:color="auto"/>
            </w:tcBorders>
          </w:tcPr>
          <w:p w14:paraId="130EF6F2" w14:textId="503E0365" w:rsidR="00851DF5" w:rsidRPr="009F63DF" w:rsidRDefault="000150B4" w:rsidP="001E4E35">
            <w:pPr>
              <w:suppressAutoHyphens/>
              <w:spacing w:before="60" w:after="60"/>
              <w:ind w:right="57"/>
              <w:rPr>
                <w:rFonts w:cs="Arial"/>
                <w:sz w:val="20"/>
                <w:lang w:val="en-GB" w:eastAsia="en-US"/>
              </w:rPr>
            </w:pPr>
            <w:r w:rsidRPr="009F63DF">
              <w:rPr>
                <w:rFonts w:cs="Arial"/>
                <w:sz w:val="20"/>
                <w:lang w:val="en-GB" w:eastAsia="en-US"/>
              </w:rPr>
              <w:t xml:space="preserve">The charcoal value is derived from research results for artisanal charcoal production in earth mound kilns summarized in </w:t>
            </w:r>
            <w:r w:rsidRPr="009F63DF">
              <w:rPr>
                <w:sz w:val="20"/>
              </w:rPr>
              <w:fldChar w:fldCharType="begin"/>
            </w:r>
            <w:r w:rsidRPr="009F63DF">
              <w:rPr>
                <w:sz w:val="20"/>
                <w:szCs w:val="20"/>
                <w:lang w:val="en-GB"/>
              </w:rPr>
              <w:instrText xml:space="preserve"> REF _Ref227014105 \r \h  \* MERGEFORMAT </w:instrText>
            </w:r>
            <w:r w:rsidRPr="009F63DF">
              <w:rPr>
                <w:sz w:val="20"/>
              </w:rPr>
            </w:r>
            <w:r w:rsidRPr="009F63DF">
              <w:rPr>
                <w:sz w:val="20"/>
              </w:rPr>
              <w:fldChar w:fldCharType="separate"/>
            </w:r>
            <w:r w:rsidR="00831DAE">
              <w:rPr>
                <w:sz w:val="20"/>
                <w:szCs w:val="20"/>
                <w:cs/>
                <w:lang w:val="en-GB"/>
              </w:rPr>
              <w:t>‎</w:t>
            </w:r>
            <w:r w:rsidR="00831DAE">
              <w:rPr>
                <w:sz w:val="20"/>
                <w:szCs w:val="20"/>
                <w:lang w:val="en-GB"/>
              </w:rPr>
              <w:t>0</w:t>
            </w:r>
            <w:r w:rsidRPr="009F63DF">
              <w:rPr>
                <w:sz w:val="20"/>
              </w:rPr>
              <w:fldChar w:fldCharType="end"/>
            </w:r>
          </w:p>
        </w:tc>
      </w:tr>
      <w:tr w:rsidR="00851DF5" w:rsidRPr="009F63DF" w14:paraId="0F668DE9" w14:textId="77777777" w:rsidTr="009167D3">
        <w:tc>
          <w:tcPr>
            <w:tcW w:w="1796" w:type="dxa"/>
            <w:shd w:val="clear" w:color="auto" w:fill="E6E6E6"/>
          </w:tcPr>
          <w:p w14:paraId="4FFD6BB1" w14:textId="0B254523" w:rsidR="00851DF5" w:rsidRPr="009F63DF" w:rsidRDefault="00851DF5"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p>
        </w:tc>
        <w:tc>
          <w:tcPr>
            <w:tcW w:w="6733" w:type="dxa"/>
            <w:gridSpan w:val="4"/>
          </w:tcPr>
          <w:p w14:paraId="4819588A" w14:textId="22F9CA4D" w:rsidR="00851DF5" w:rsidRPr="009F63DF" w:rsidRDefault="000150B4" w:rsidP="001E4E35">
            <w:pPr>
              <w:keepNext/>
              <w:suppressAutoHyphens/>
              <w:spacing w:before="60" w:after="60"/>
              <w:ind w:right="57"/>
              <w:rPr>
                <w:rFonts w:cs="Arial"/>
                <w:sz w:val="20"/>
                <w:lang w:val="en-GB" w:eastAsia="en-US"/>
              </w:rPr>
            </w:pPr>
            <w:r w:rsidRPr="009F63DF">
              <w:rPr>
                <w:rFonts w:cs="Arial"/>
                <w:sz w:val="20"/>
                <w:lang w:val="en-GB" w:eastAsia="en-US"/>
              </w:rPr>
              <w:t xml:space="preserve">The value for charcoal is conservative since it reflects a wood-to-charcoal ratio of </w:t>
            </w:r>
            <w:r w:rsidR="001B340B" w:rsidRPr="009F63DF">
              <w:rPr>
                <w:rFonts w:cs="Arial"/>
                <w:sz w:val="20"/>
                <w:lang w:val="en-GB" w:eastAsia="en-US"/>
              </w:rPr>
              <w:t>5:1</w:t>
            </w:r>
            <w:r w:rsidRPr="009F63DF">
              <w:rPr>
                <w:rFonts w:cs="Arial"/>
                <w:sz w:val="20"/>
                <w:lang w:val="en-GB" w:eastAsia="en-US"/>
              </w:rPr>
              <w:t xml:space="preserve"> whereas measured ratios in field operations are consistently higher than this as described further in </w:t>
            </w:r>
            <w:r w:rsidRPr="009F63DF">
              <w:rPr>
                <w:sz w:val="20"/>
              </w:rPr>
              <w:fldChar w:fldCharType="begin"/>
            </w:r>
            <w:r w:rsidRPr="009F63DF">
              <w:rPr>
                <w:sz w:val="20"/>
                <w:szCs w:val="20"/>
                <w:lang w:val="en-GB"/>
              </w:rPr>
              <w:instrText xml:space="preserve"> REF _Ref227014105 \r \h  \* MERGEFORMAT </w:instrText>
            </w:r>
            <w:r w:rsidRPr="009F63DF">
              <w:rPr>
                <w:sz w:val="20"/>
              </w:rPr>
            </w:r>
            <w:r w:rsidRPr="009F63DF">
              <w:rPr>
                <w:sz w:val="20"/>
              </w:rPr>
              <w:fldChar w:fldCharType="separate"/>
            </w:r>
            <w:r w:rsidR="00831DAE">
              <w:rPr>
                <w:sz w:val="20"/>
                <w:szCs w:val="20"/>
                <w:cs/>
                <w:lang w:val="en-GB"/>
              </w:rPr>
              <w:t>‎</w:t>
            </w:r>
            <w:r w:rsidR="00831DAE">
              <w:rPr>
                <w:sz w:val="20"/>
                <w:szCs w:val="20"/>
                <w:lang w:val="en-GB"/>
              </w:rPr>
              <w:t>0</w:t>
            </w:r>
            <w:r w:rsidRPr="009F63DF">
              <w:rPr>
                <w:sz w:val="20"/>
              </w:rPr>
              <w:fldChar w:fldCharType="end"/>
            </w:r>
          </w:p>
        </w:tc>
      </w:tr>
      <w:tr w:rsidR="00851DF5" w:rsidRPr="009F63DF" w14:paraId="42D58941" w14:textId="77777777" w:rsidTr="009167D3">
        <w:tc>
          <w:tcPr>
            <w:tcW w:w="1796" w:type="dxa"/>
            <w:shd w:val="clear" w:color="auto" w:fill="E6E6E6"/>
          </w:tcPr>
          <w:p w14:paraId="6C5EED12" w14:textId="58B0CC5F"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p>
        </w:tc>
        <w:tc>
          <w:tcPr>
            <w:tcW w:w="6733" w:type="dxa"/>
            <w:gridSpan w:val="4"/>
          </w:tcPr>
          <w:p w14:paraId="10B9CC0B" w14:textId="77777777" w:rsidR="00851DF5" w:rsidRPr="009F63DF" w:rsidRDefault="00851DF5" w:rsidP="001E4E35">
            <w:pPr>
              <w:suppressAutoHyphens/>
              <w:spacing w:before="60" w:after="60"/>
              <w:ind w:right="57"/>
              <w:rPr>
                <w:rFonts w:cs="Arial"/>
                <w:sz w:val="20"/>
                <w:lang w:val="en-GB" w:eastAsia="en-US"/>
              </w:rPr>
            </w:pPr>
            <w:r w:rsidRPr="009F63DF">
              <w:rPr>
                <w:rFonts w:cs="Arial"/>
                <w:sz w:val="20"/>
                <w:szCs w:val="18"/>
                <w:lang w:val="en-GB" w:eastAsia="en-US"/>
              </w:rPr>
              <w:t>Upstream emissions for fuelwood are considered as zero</w:t>
            </w:r>
          </w:p>
        </w:tc>
      </w:tr>
    </w:tbl>
    <w:p w14:paraId="2CB56DA9" w14:textId="7862CC7E"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10</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796"/>
        <w:gridCol w:w="2372"/>
        <w:gridCol w:w="1266"/>
        <w:gridCol w:w="835"/>
        <w:gridCol w:w="2260"/>
      </w:tblGrid>
      <w:tr w:rsidR="00851DF5" w:rsidRPr="009F63DF" w14:paraId="64444B04" w14:textId="77777777" w:rsidTr="009167D3">
        <w:tc>
          <w:tcPr>
            <w:tcW w:w="1796" w:type="dxa"/>
            <w:shd w:val="clear" w:color="auto" w:fill="E6E6E6"/>
          </w:tcPr>
          <w:p w14:paraId="61F9B94D" w14:textId="119D2D69" w:rsidR="00851DF5" w:rsidRPr="009F63DF" w:rsidRDefault="00851DF5"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33" w:type="dxa"/>
            <w:gridSpan w:val="4"/>
          </w:tcPr>
          <w:p w14:paraId="44469EBB" w14:textId="7357E06D" w:rsidR="00851DF5" w:rsidRPr="009F63DF" w:rsidRDefault="001549D8" w:rsidP="001E4E35">
            <w:pPr>
              <w:keepNext/>
              <w:suppressAutoHyphens/>
              <w:spacing w:before="60" w:after="60"/>
              <w:ind w:right="57"/>
              <w:rPr>
                <w:rFonts w:cs="Arial"/>
                <w:b/>
                <w:i/>
                <w:sz w:val="20"/>
                <w:lang w:val="en-GB" w:eastAsia="en-US"/>
              </w:rPr>
            </w:pPr>
            <m:oMathPara>
              <m:oMathParaPr>
                <m:jc m:val="left"/>
              </m:oMathParaPr>
              <m:oMath>
                <m:sSub>
                  <m:sSubPr>
                    <m:ctrlPr>
                      <w:rPr>
                        <w:rFonts w:ascii="Cambria Math" w:eastAsia="Cambria Math" w:hAnsi="Cambria Math" w:cs="Arial"/>
                        <w:i/>
                        <w:sz w:val="20"/>
                        <w:szCs w:val="18"/>
                        <w:lang w:val="en-GB" w:eastAsia="en-US"/>
                      </w:rPr>
                    </m:ctrlPr>
                  </m:sSubPr>
                  <m:e>
                    <m:r>
                      <m:rPr>
                        <m:sty m:val="bi"/>
                      </m:rPr>
                      <w:rPr>
                        <w:rFonts w:ascii="Cambria Math" w:hAnsi="Cambria Math" w:cs="Arial"/>
                        <w:sz w:val="20"/>
                        <w:szCs w:val="18"/>
                        <w:lang w:val="en-GB" w:eastAsia="en-US"/>
                      </w:rPr>
                      <m:t>fNRB</m:t>
                    </m:r>
                    <m:r>
                      <m:rPr>
                        <m:sty m:val="b"/>
                      </m:rPr>
                      <w:rPr>
                        <w:rFonts w:ascii="Cambria Math" w:hAnsi="Cambria Math" w:cs="Arial"/>
                        <w:sz w:val="20"/>
                        <w:szCs w:val="18"/>
                        <w:lang w:val="en-GB" w:eastAsia="en-US"/>
                      </w:rPr>
                      <m:t xml:space="preserve"> </m:t>
                    </m:r>
                  </m:e>
                  <m:sub>
                    <m:r>
                      <m:rPr>
                        <m:sty m:val="bi"/>
                      </m:rPr>
                      <w:rPr>
                        <w:rFonts w:ascii="Cambria Math" w:hAnsi="Cambria Math" w:cs="Arial"/>
                        <w:sz w:val="20"/>
                        <w:szCs w:val="18"/>
                        <w:lang w:val="en-GB" w:eastAsia="en-US"/>
                      </w:rPr>
                      <m:t>i,y</m:t>
                    </m:r>
                  </m:sub>
                </m:sSub>
              </m:oMath>
            </m:oMathPara>
          </w:p>
        </w:tc>
      </w:tr>
      <w:tr w:rsidR="00851DF5" w:rsidRPr="009F63DF" w14:paraId="531536A9" w14:textId="77777777" w:rsidTr="009167D3">
        <w:tc>
          <w:tcPr>
            <w:tcW w:w="1796" w:type="dxa"/>
            <w:shd w:val="clear" w:color="auto" w:fill="E6E6E6"/>
          </w:tcPr>
          <w:p w14:paraId="2AFEC58D" w14:textId="55E3C0E7"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33" w:type="dxa"/>
            <w:gridSpan w:val="4"/>
          </w:tcPr>
          <w:p w14:paraId="0AED77AF" w14:textId="77777777" w:rsidR="00851DF5" w:rsidRPr="009F63DF" w:rsidRDefault="00851DF5" w:rsidP="001E4E35">
            <w:pPr>
              <w:suppressAutoHyphens/>
              <w:spacing w:before="60" w:after="60"/>
              <w:ind w:right="57"/>
              <w:rPr>
                <w:rFonts w:cs="Arial"/>
                <w:sz w:val="20"/>
                <w:lang w:val="en-GB" w:eastAsia="en-US"/>
              </w:rPr>
            </w:pPr>
            <w:r w:rsidRPr="009F63DF">
              <w:rPr>
                <w:rFonts w:cs="Arial"/>
                <w:sz w:val="20"/>
                <w:szCs w:val="18"/>
                <w:lang w:val="en-GB" w:eastAsia="en-US"/>
              </w:rPr>
              <w:t xml:space="preserve">Fraction of non-renewable woody biomass fuel </w:t>
            </w:r>
            <w:r w:rsidRPr="009F63DF">
              <w:rPr>
                <w:rFonts w:cs="Arial"/>
                <w:i/>
                <w:iCs/>
                <w:sz w:val="20"/>
                <w:szCs w:val="18"/>
                <w:lang w:val="en-GB" w:eastAsia="en-US"/>
              </w:rPr>
              <w:t>i</w:t>
            </w:r>
            <w:r w:rsidRPr="009F63DF">
              <w:rPr>
                <w:rFonts w:cs="Arial"/>
                <w:sz w:val="20"/>
                <w:szCs w:val="18"/>
                <w:lang w:val="en-GB" w:eastAsia="en-US"/>
              </w:rPr>
              <w:t xml:space="preserve"> during year </w:t>
            </w:r>
            <w:r w:rsidRPr="009F63DF">
              <w:rPr>
                <w:rFonts w:cs="Arial"/>
                <w:i/>
                <w:iCs/>
                <w:sz w:val="20"/>
                <w:szCs w:val="18"/>
                <w:lang w:val="en-GB" w:eastAsia="en-US"/>
              </w:rPr>
              <w:t>y</w:t>
            </w:r>
          </w:p>
        </w:tc>
      </w:tr>
      <w:tr w:rsidR="00851DF5" w:rsidRPr="009F63DF" w14:paraId="1EB94365" w14:textId="77777777" w:rsidTr="009167D3">
        <w:tc>
          <w:tcPr>
            <w:tcW w:w="1796" w:type="dxa"/>
            <w:shd w:val="clear" w:color="auto" w:fill="E6E6E6"/>
          </w:tcPr>
          <w:p w14:paraId="6FDED32C" w14:textId="1D6C3AC2"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33" w:type="dxa"/>
            <w:gridSpan w:val="4"/>
          </w:tcPr>
          <w:p w14:paraId="525840C2" w14:textId="56973CB3" w:rsidR="00851DF5" w:rsidRPr="009F63DF" w:rsidRDefault="00DE7B9B" w:rsidP="001E4E35">
            <w:pPr>
              <w:suppressAutoHyphens/>
              <w:spacing w:before="60" w:after="60"/>
              <w:ind w:right="57"/>
              <w:rPr>
                <w:rFonts w:cs="Arial"/>
                <w:sz w:val="20"/>
                <w:lang w:val="en-GB" w:eastAsia="en-US"/>
              </w:rPr>
            </w:pPr>
            <w:r w:rsidRPr="009F63DF">
              <w:rPr>
                <w:rFonts w:cs="Arial"/>
                <w:sz w:val="20"/>
                <w:lang w:val="en-GB" w:eastAsia="en-US"/>
              </w:rPr>
              <w:t>per cent</w:t>
            </w:r>
          </w:p>
        </w:tc>
      </w:tr>
      <w:tr w:rsidR="00851DF5" w:rsidRPr="009F63DF" w14:paraId="64FDDFA2" w14:textId="77777777" w:rsidTr="009167D3">
        <w:tc>
          <w:tcPr>
            <w:tcW w:w="1796" w:type="dxa"/>
            <w:shd w:val="clear" w:color="auto" w:fill="E6E6E6"/>
          </w:tcPr>
          <w:p w14:paraId="445B4944" w14:textId="5C16D9F9"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33" w:type="dxa"/>
            <w:gridSpan w:val="4"/>
            <w:tcBorders>
              <w:bottom w:val="single" w:sz="4" w:space="0" w:color="auto"/>
            </w:tcBorders>
          </w:tcPr>
          <w:p w14:paraId="7D168BCB" w14:textId="5175EBDB" w:rsidR="00851DF5" w:rsidRPr="009F63DF" w:rsidRDefault="00815BBA" w:rsidP="001E4E35">
            <w:pPr>
              <w:suppressAutoHyphens/>
              <w:spacing w:before="60" w:after="60"/>
              <w:ind w:right="57"/>
              <w:rPr>
                <w:rFonts w:cs="Arial"/>
                <w:sz w:val="20"/>
                <w:lang w:val="en-GB" w:eastAsia="en-US"/>
              </w:rPr>
            </w:pPr>
            <w:r w:rsidRPr="009F63DF">
              <w:rPr>
                <w:rFonts w:cs="Arial"/>
                <w:sz w:val="20"/>
                <w:lang w:val="en-GB" w:eastAsia="en-US"/>
              </w:rPr>
              <w:t>Equation (</w:t>
            </w:r>
            <w:r w:rsidR="002413E8" w:rsidRPr="009F63DF">
              <w:rPr>
                <w:rFonts w:cs="Arial"/>
                <w:sz w:val="20"/>
                <w:lang w:val="en-GB" w:eastAsia="en-US"/>
              </w:rPr>
              <w:t>2</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9</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1</w:t>
            </w:r>
            <w:r w:rsidR="00A21FC3" w:rsidRPr="009F63DF">
              <w:rPr>
                <w:rFonts w:cs="Arial"/>
                <w:sz w:val="20"/>
                <w:lang w:val="en-GB" w:eastAsia="en-US"/>
              </w:rPr>
              <w:t>8</w:t>
            </w:r>
            <w:r w:rsidRPr="009F63DF">
              <w:rPr>
                <w:rFonts w:cs="Arial"/>
                <w:sz w:val="20"/>
                <w:lang w:val="en-GB" w:eastAsia="en-US"/>
              </w:rPr>
              <w:t>)</w:t>
            </w:r>
            <w:r w:rsidR="002413E8" w:rsidRPr="009F63DF">
              <w:rPr>
                <w:rFonts w:cs="Arial"/>
                <w:sz w:val="20"/>
                <w:lang w:val="en-GB" w:eastAsia="en-US"/>
              </w:rPr>
              <w:t xml:space="preserve">, </w:t>
            </w:r>
            <w:r w:rsidRPr="009F63DF">
              <w:rPr>
                <w:rFonts w:cs="Arial"/>
                <w:sz w:val="20"/>
                <w:lang w:val="en-GB" w:eastAsia="en-US"/>
              </w:rPr>
              <w:t>(</w:t>
            </w:r>
            <w:r w:rsidR="002413E8" w:rsidRPr="009F63DF">
              <w:rPr>
                <w:rFonts w:cs="Arial"/>
                <w:sz w:val="20"/>
                <w:lang w:val="en-GB" w:eastAsia="en-US"/>
              </w:rPr>
              <w:t>2</w:t>
            </w:r>
            <w:r w:rsidR="00DC25DC">
              <w:rPr>
                <w:rFonts w:cs="Arial"/>
                <w:sz w:val="20"/>
                <w:lang w:val="en-GB" w:eastAsia="en-US"/>
              </w:rPr>
              <w:t>8)</w:t>
            </w:r>
          </w:p>
        </w:tc>
      </w:tr>
      <w:tr w:rsidR="00851DF5" w:rsidRPr="009F63DF" w14:paraId="04D1751A" w14:textId="77777777" w:rsidTr="009167D3">
        <w:tc>
          <w:tcPr>
            <w:tcW w:w="1796" w:type="dxa"/>
            <w:shd w:val="clear" w:color="auto" w:fill="E6E6E6"/>
          </w:tcPr>
          <w:p w14:paraId="7A793179" w14:textId="73B519D1"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72" w:type="dxa"/>
            <w:tcBorders>
              <w:bottom w:val="single" w:sz="4" w:space="0" w:color="auto"/>
              <w:right w:val="nil"/>
            </w:tcBorders>
          </w:tcPr>
          <w:p w14:paraId="166BF72E" w14:textId="05AC6A81"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Baseline </w:t>
            </w:r>
            <w:r w:rsidR="001205C8" w:rsidRPr="009F63DF">
              <w:rPr>
                <w:rFonts w:cs="Arial"/>
                <w:spacing w:val="-2"/>
                <w:sz w:val="20"/>
                <w:lang w:val="en-GB" w:eastAsia="en-US"/>
              </w:rPr>
              <w:t>Scenario</w:t>
            </w:r>
          </w:p>
        </w:tc>
        <w:tc>
          <w:tcPr>
            <w:tcW w:w="2101" w:type="dxa"/>
            <w:gridSpan w:val="2"/>
            <w:tcBorders>
              <w:left w:val="nil"/>
              <w:bottom w:val="single" w:sz="4" w:space="0" w:color="auto"/>
              <w:right w:val="nil"/>
            </w:tcBorders>
          </w:tcPr>
          <w:p w14:paraId="46F65BBA" w14:textId="427E88D7"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w:t>
            </w:r>
            <w:r w:rsidR="002646DE" w:rsidRPr="009F63DF">
              <w:rPr>
                <w:rFonts w:cs="Arial"/>
                <w:spacing w:val="-2"/>
                <w:sz w:val="20"/>
                <w:lang w:val="en-GB" w:eastAsia="en-US"/>
              </w:rPr>
              <w:t>Activity</w:t>
            </w:r>
            <w:r w:rsidRPr="009F63DF">
              <w:rPr>
                <w:rFonts w:cs="Arial"/>
                <w:spacing w:val="-2"/>
                <w:sz w:val="20"/>
                <w:lang w:val="en-GB" w:eastAsia="en-US"/>
              </w:rPr>
              <w:t xml:space="preserve"> </w:t>
            </w:r>
            <w:r w:rsidR="001205C8" w:rsidRPr="009F63DF">
              <w:rPr>
                <w:rFonts w:cs="Arial"/>
                <w:spacing w:val="-2"/>
                <w:sz w:val="20"/>
                <w:lang w:val="en-GB" w:eastAsia="en-US"/>
              </w:rPr>
              <w:t>Scenario</w:t>
            </w:r>
          </w:p>
        </w:tc>
        <w:tc>
          <w:tcPr>
            <w:tcW w:w="2260" w:type="dxa"/>
            <w:tcBorders>
              <w:left w:val="nil"/>
              <w:bottom w:val="single" w:sz="4" w:space="0" w:color="auto"/>
            </w:tcBorders>
          </w:tcPr>
          <w:p w14:paraId="7429DB5D" w14:textId="0B547FDE"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Leakage </w:t>
            </w:r>
          </w:p>
        </w:tc>
      </w:tr>
      <w:tr w:rsidR="00851DF5" w:rsidRPr="009F63DF" w14:paraId="5AEE6DAA" w14:textId="77777777" w:rsidTr="009167D3">
        <w:tc>
          <w:tcPr>
            <w:tcW w:w="1796" w:type="dxa"/>
            <w:shd w:val="clear" w:color="auto" w:fill="E6E6E6"/>
          </w:tcPr>
          <w:p w14:paraId="728612BA" w14:textId="43BA205F"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33" w:type="dxa"/>
            <w:gridSpan w:val="4"/>
            <w:tcBorders>
              <w:top w:val="single" w:sz="4" w:space="0" w:color="auto"/>
              <w:bottom w:val="single" w:sz="4" w:space="0" w:color="auto"/>
            </w:tcBorders>
          </w:tcPr>
          <w:p w14:paraId="1C8950D3" w14:textId="15FC744C" w:rsidR="00851DF5" w:rsidRPr="009F63DF" w:rsidRDefault="00851DF5" w:rsidP="001E4E35">
            <w:pPr>
              <w:suppressAutoHyphens/>
              <w:spacing w:before="60" w:after="60"/>
              <w:ind w:right="57"/>
              <w:rPr>
                <w:rFonts w:cs="Arial"/>
                <w:i/>
                <w:sz w:val="20"/>
                <w:lang w:val="en-GB" w:eastAsia="en-US"/>
              </w:rPr>
            </w:pPr>
            <w:r w:rsidRPr="009F63DF">
              <w:rPr>
                <w:rFonts w:cs="Arial"/>
                <w:sz w:val="20"/>
                <w:szCs w:val="18"/>
                <w:lang w:val="en-GB" w:eastAsia="en-US"/>
              </w:rPr>
              <w:t xml:space="preserve">As per </w:t>
            </w:r>
            <w:r w:rsidR="004D054D" w:rsidRPr="009F63DF">
              <w:rPr>
                <w:rFonts w:cs="Arial"/>
                <w:sz w:val="20"/>
                <w:szCs w:val="20"/>
                <w:lang w:val="en-GB" w:eastAsia="en-US"/>
              </w:rPr>
              <w:t>the</w:t>
            </w:r>
            <w:r w:rsidR="005E4C02" w:rsidRPr="009F63DF">
              <w:rPr>
                <w:rFonts w:cs="Arial"/>
                <w:sz w:val="20"/>
                <w:szCs w:val="20"/>
                <w:lang w:val="en-GB" w:eastAsia="en-US"/>
              </w:rPr>
              <w:t xml:space="preserve"> </w:t>
            </w:r>
            <w:r w:rsidR="008A6110" w:rsidRPr="009F63DF">
              <w:rPr>
                <w:rFonts w:cs="Arial"/>
                <w:sz w:val="20"/>
                <w:szCs w:val="20"/>
                <w:lang w:val="en-GB" w:eastAsia="en-US"/>
              </w:rPr>
              <w:t>fNRB tool</w:t>
            </w:r>
          </w:p>
        </w:tc>
      </w:tr>
      <w:tr w:rsidR="00851DF5" w:rsidRPr="009F63DF" w14:paraId="2FCF4177" w14:textId="77777777" w:rsidTr="009167D3">
        <w:tc>
          <w:tcPr>
            <w:tcW w:w="1796" w:type="dxa"/>
            <w:shd w:val="clear" w:color="auto" w:fill="E6E6E6"/>
          </w:tcPr>
          <w:p w14:paraId="07F209BF" w14:textId="5678A33E"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638" w:type="dxa"/>
            <w:gridSpan w:val="2"/>
            <w:tcBorders>
              <w:bottom w:val="nil"/>
              <w:right w:val="nil"/>
            </w:tcBorders>
            <w:vAlign w:val="center"/>
          </w:tcPr>
          <w:p w14:paraId="6B6CA8F2" w14:textId="77777777" w:rsidR="00851DF5" w:rsidRPr="009F63DF" w:rsidRDefault="00851DF5" w:rsidP="001E4E35">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095" w:type="dxa"/>
            <w:gridSpan w:val="2"/>
            <w:tcBorders>
              <w:left w:val="nil"/>
              <w:bottom w:val="nil"/>
            </w:tcBorders>
            <w:vAlign w:val="center"/>
          </w:tcPr>
          <w:p w14:paraId="429A2D79" w14:textId="77777777" w:rsidR="00851DF5" w:rsidRPr="009F63DF" w:rsidRDefault="00851DF5" w:rsidP="001E4E35">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851DF5" w:rsidRPr="009F63DF" w14:paraId="718B02EC" w14:textId="77777777" w:rsidTr="009167D3">
        <w:tc>
          <w:tcPr>
            <w:tcW w:w="1796" w:type="dxa"/>
            <w:shd w:val="clear" w:color="auto" w:fill="E6E6E6"/>
          </w:tcPr>
          <w:p w14:paraId="3D0F4926" w14:textId="6D1B6D58"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33" w:type="dxa"/>
            <w:gridSpan w:val="4"/>
            <w:tcBorders>
              <w:top w:val="single" w:sz="4" w:space="0" w:color="auto"/>
            </w:tcBorders>
          </w:tcPr>
          <w:p w14:paraId="26F3C9A2" w14:textId="5C2A2841" w:rsidR="00851DF5" w:rsidRPr="009F63DF" w:rsidRDefault="00851DF5" w:rsidP="001E4E35">
            <w:pPr>
              <w:suppressAutoHyphens/>
              <w:spacing w:after="120"/>
              <w:jc w:val="left"/>
              <w:rPr>
                <w:rFonts w:cs="Arial"/>
                <w:sz w:val="20"/>
                <w:lang w:val="en-GB"/>
              </w:rPr>
            </w:pPr>
            <w:r w:rsidRPr="009F63DF">
              <w:rPr>
                <w:rFonts w:cs="Arial"/>
                <w:sz w:val="20"/>
                <w:lang w:val="en-GB"/>
              </w:rPr>
              <w:t xml:space="preserve">Select </w:t>
            </w:r>
            <w:r w:rsidR="00210B05" w:rsidRPr="009F63DF">
              <w:rPr>
                <w:rFonts w:cs="Arial"/>
                <w:sz w:val="20"/>
                <w:lang w:val="en-GB"/>
              </w:rPr>
              <w:t>a</w:t>
            </w:r>
            <w:r w:rsidRPr="009F63DF">
              <w:rPr>
                <w:rFonts w:cs="Arial"/>
                <w:sz w:val="20"/>
                <w:lang w:val="en-GB"/>
              </w:rPr>
              <w:t xml:space="preserve"> multi-national, national</w:t>
            </w:r>
            <w:r w:rsidR="006B7A3F" w:rsidRPr="009F63DF">
              <w:rPr>
                <w:rFonts w:cs="Arial"/>
                <w:sz w:val="20"/>
                <w:lang w:val="en-GB"/>
              </w:rPr>
              <w:t>,</w:t>
            </w:r>
            <w:r w:rsidRPr="009F63DF">
              <w:rPr>
                <w:rFonts w:cs="Arial"/>
                <w:sz w:val="20"/>
                <w:lang w:val="en-GB"/>
              </w:rPr>
              <w:t xml:space="preserve"> or sub-national </w:t>
            </w:r>
            <w:r w:rsidR="00F45DEC" w:rsidRPr="009F63DF">
              <w:rPr>
                <w:rFonts w:cs="Arial"/>
                <w:sz w:val="20"/>
                <w:lang w:val="en-GB"/>
              </w:rPr>
              <w:t xml:space="preserve">parameter </w:t>
            </w:r>
            <w:r w:rsidRPr="009F63DF">
              <w:rPr>
                <w:rFonts w:cs="Arial"/>
                <w:sz w:val="20"/>
                <w:lang w:val="en-GB"/>
              </w:rPr>
              <w:t xml:space="preserve">from the </w:t>
            </w:r>
            <w:r w:rsidR="008A6110" w:rsidRPr="009F63DF">
              <w:rPr>
                <w:rFonts w:cs="Arial"/>
                <w:sz w:val="20"/>
                <w:lang w:val="en-GB"/>
              </w:rPr>
              <w:t xml:space="preserve">fNRB tool </w:t>
            </w:r>
            <w:r w:rsidR="00722F6D" w:rsidRPr="009F63DF">
              <w:rPr>
                <w:rFonts w:cs="Arial"/>
                <w:sz w:val="20"/>
                <w:lang w:val="en-GB"/>
              </w:rPr>
              <w:t xml:space="preserve">for each biomass fuel </w:t>
            </w:r>
            <w:r w:rsidR="00722F6D" w:rsidRPr="009F63DF">
              <w:rPr>
                <w:rFonts w:cs="Arial"/>
                <w:i/>
                <w:sz w:val="20"/>
                <w:lang w:val="en-GB"/>
              </w:rPr>
              <w:t>i</w:t>
            </w:r>
            <w:r w:rsidR="00722F6D" w:rsidRPr="009F63DF">
              <w:rPr>
                <w:rFonts w:cs="Arial"/>
                <w:sz w:val="20"/>
                <w:lang w:val="en-GB"/>
              </w:rPr>
              <w:t xml:space="preserve">, </w:t>
            </w:r>
            <w:r w:rsidR="00D12F01" w:rsidRPr="009F63DF">
              <w:rPr>
                <w:rFonts w:cs="Arial"/>
                <w:sz w:val="20"/>
                <w:lang w:val="en-GB"/>
              </w:rPr>
              <w:t xml:space="preserve">based on the requirements of paragraph </w:t>
            </w:r>
            <w:r w:rsidR="0027549A" w:rsidRPr="009F63DF">
              <w:rPr>
                <w:rFonts w:cs="Arial"/>
                <w:sz w:val="20"/>
              </w:rPr>
              <w:fldChar w:fldCharType="begin"/>
            </w:r>
            <w:r w:rsidR="0027549A" w:rsidRPr="009F63DF">
              <w:rPr>
                <w:rFonts w:cs="Arial"/>
                <w:sz w:val="20"/>
                <w:lang w:val="en-GB"/>
              </w:rPr>
              <w:instrText xml:space="preserve"> REF _Ref226994046 \n \h </w:instrText>
            </w:r>
            <w:r w:rsidR="00540956" w:rsidRPr="009F63DF">
              <w:rPr>
                <w:rFonts w:cs="Arial"/>
                <w:sz w:val="20"/>
                <w:lang w:val="en-GB"/>
              </w:rPr>
              <w:instrText xml:space="preserve"> \* MERGEFORMAT </w:instrText>
            </w:r>
            <w:r w:rsidR="0027549A" w:rsidRPr="009F63DF">
              <w:rPr>
                <w:rFonts w:cs="Arial"/>
                <w:sz w:val="20"/>
              </w:rPr>
            </w:r>
            <w:r w:rsidR="0027549A" w:rsidRPr="009F63DF">
              <w:rPr>
                <w:rFonts w:cs="Arial"/>
                <w:sz w:val="20"/>
              </w:rPr>
              <w:fldChar w:fldCharType="separate"/>
            </w:r>
            <w:r w:rsidR="00831DAE">
              <w:rPr>
                <w:rFonts w:cs="Arial"/>
                <w:sz w:val="20"/>
                <w:cs/>
                <w:lang w:val="en-GB"/>
              </w:rPr>
              <w:t>‎</w:t>
            </w:r>
            <w:r w:rsidR="00831DAE">
              <w:rPr>
                <w:rFonts w:cs="Arial"/>
                <w:sz w:val="20"/>
                <w:lang w:val="en-GB"/>
              </w:rPr>
              <w:t>23</w:t>
            </w:r>
            <w:r w:rsidR="0027549A" w:rsidRPr="009F63DF">
              <w:rPr>
                <w:rFonts w:cs="Arial"/>
                <w:sz w:val="20"/>
              </w:rPr>
              <w:fldChar w:fldCharType="end"/>
            </w:r>
          </w:p>
        </w:tc>
      </w:tr>
      <w:tr w:rsidR="00851DF5" w:rsidRPr="009F63DF" w14:paraId="25E8E20D" w14:textId="77777777" w:rsidTr="009167D3">
        <w:tc>
          <w:tcPr>
            <w:tcW w:w="1796" w:type="dxa"/>
            <w:shd w:val="clear" w:color="auto" w:fill="E6E6E6"/>
          </w:tcPr>
          <w:p w14:paraId="7CFC04FA" w14:textId="503EB16B" w:rsidR="00851DF5" w:rsidRPr="009F63DF" w:rsidRDefault="00851DF5"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p>
        </w:tc>
        <w:tc>
          <w:tcPr>
            <w:tcW w:w="6733" w:type="dxa"/>
            <w:gridSpan w:val="4"/>
          </w:tcPr>
          <w:p w14:paraId="6B57E494" w14:textId="45B7484E" w:rsidR="00851DF5" w:rsidRPr="009F63DF" w:rsidRDefault="00155E6B" w:rsidP="001E4E35">
            <w:pPr>
              <w:keepNext/>
              <w:suppressAutoHyphens/>
              <w:spacing w:before="60" w:after="60"/>
              <w:ind w:right="57"/>
              <w:rPr>
                <w:rFonts w:cs="Arial"/>
                <w:sz w:val="20"/>
                <w:lang w:val="en-GB" w:eastAsia="en-US"/>
              </w:rPr>
            </w:pPr>
            <w:r w:rsidRPr="009F63DF">
              <w:rPr>
                <w:rFonts w:cs="Arial"/>
                <w:sz w:val="20"/>
                <w:lang w:val="en-GB" w:eastAsia="en-US"/>
              </w:rPr>
              <w:t>Note that it is</w:t>
            </w:r>
            <w:r w:rsidRPr="009F63DF">
              <w:rPr>
                <w:rFonts w:ascii="Symbol" w:hAnsi="Symbol" w:cs="Symbol"/>
                <w:sz w:val="20"/>
                <w:lang w:val="en-GB" w:eastAsia="en-US"/>
              </w:rPr>
              <w:t xml:space="preserve"> </w:t>
            </w:r>
            <w:r w:rsidR="00851DF5" w:rsidRPr="009F63DF">
              <w:rPr>
                <w:rFonts w:ascii="Symbol" w:hAnsi="Symbol" w:cs="Symbol"/>
                <w:sz w:val="20"/>
                <w:lang w:val="en-GB" w:eastAsia="en-US"/>
              </w:rPr>
              <w:t>±</w:t>
            </w:r>
            <w:r w:rsidR="00851DF5" w:rsidRPr="009F63DF">
              <w:rPr>
                <w:rFonts w:cs="Arial"/>
                <w:sz w:val="20"/>
                <w:szCs w:val="20"/>
                <w:lang w:val="en-GB" w:eastAsia="en-US"/>
              </w:rPr>
              <w:t>30</w:t>
            </w:r>
            <w:r w:rsidR="00851DF5" w:rsidRPr="009F63DF">
              <w:rPr>
                <w:sz w:val="20"/>
                <w:szCs w:val="20"/>
                <w:lang w:val="en-GB"/>
              </w:rPr>
              <w:t xml:space="preserve"> per cent</w:t>
            </w:r>
            <w:r w:rsidR="00851DF5" w:rsidRPr="009F63DF">
              <w:rPr>
                <w:rFonts w:cs="Arial"/>
                <w:sz w:val="20"/>
                <w:szCs w:val="20"/>
                <w:lang w:val="en-GB" w:eastAsia="en-US"/>
              </w:rPr>
              <w:t xml:space="preserve"> of</w:t>
            </w:r>
            <w:r w:rsidR="00851DF5" w:rsidRPr="009F63DF">
              <w:rPr>
                <w:rFonts w:cs="Arial"/>
                <w:sz w:val="20"/>
                <w:lang w:val="en-GB" w:eastAsia="en-US"/>
              </w:rPr>
              <w:t xml:space="preserve"> the fNRB value at the 95 per cent confidence interval</w:t>
            </w:r>
            <w:r w:rsidRPr="009F63DF">
              <w:rPr>
                <w:rFonts w:cs="Arial"/>
                <w:sz w:val="20"/>
                <w:lang w:val="en-GB" w:eastAsia="en-US"/>
              </w:rPr>
              <w:t>, for informational purposes</w:t>
            </w:r>
          </w:p>
        </w:tc>
      </w:tr>
      <w:tr w:rsidR="00851DF5" w:rsidRPr="009F63DF" w14:paraId="4DF4F8F5" w14:textId="77777777" w:rsidTr="009167D3">
        <w:tc>
          <w:tcPr>
            <w:tcW w:w="1796" w:type="dxa"/>
            <w:shd w:val="clear" w:color="auto" w:fill="E6E6E6"/>
          </w:tcPr>
          <w:p w14:paraId="7234CFEE" w14:textId="1375300F"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p>
        </w:tc>
        <w:tc>
          <w:tcPr>
            <w:tcW w:w="6733" w:type="dxa"/>
            <w:gridSpan w:val="4"/>
          </w:tcPr>
          <w:p w14:paraId="6F19DB0A" w14:textId="77777777" w:rsidR="00851DF5" w:rsidRPr="009F63DF" w:rsidRDefault="00851DF5" w:rsidP="001E4E35">
            <w:pPr>
              <w:suppressAutoHyphens/>
              <w:spacing w:before="60" w:after="60"/>
              <w:ind w:right="57"/>
              <w:rPr>
                <w:rFonts w:cs="Arial"/>
                <w:sz w:val="20"/>
                <w:lang w:val="en-GB" w:eastAsia="en-US"/>
              </w:rPr>
            </w:pPr>
            <w:r w:rsidRPr="009F63DF">
              <w:rPr>
                <w:rFonts w:cs="Arial"/>
                <w:sz w:val="20"/>
                <w:szCs w:val="18"/>
                <w:lang w:val="en-GB" w:eastAsia="en-US"/>
              </w:rPr>
              <w:t>Updated at crediting period renewal</w:t>
            </w:r>
          </w:p>
        </w:tc>
      </w:tr>
    </w:tbl>
    <w:p w14:paraId="0006F5A6" w14:textId="449E9F5B"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11</w:t>
      </w:r>
      <w:r w:rsidRPr="009F63DF">
        <w:rPr>
          <w:b/>
          <w:sz w:val="20"/>
        </w:rPr>
        <w:fldChar w:fldCharType="end"/>
      </w:r>
      <w:r w:rsidRPr="009F63DF">
        <w:rPr>
          <w:b/>
          <w:sz w:val="20"/>
        </w:rPr>
        <w:t>.</w:t>
      </w:r>
    </w:p>
    <w:tbl>
      <w:tblPr>
        <w:tblStyle w:val="TableGrid"/>
        <w:tblW w:w="8546" w:type="dxa"/>
        <w:tblInd w:w="805" w:type="dxa"/>
        <w:tblLook w:val="04A0" w:firstRow="1" w:lastRow="0" w:firstColumn="1" w:lastColumn="0" w:noHBand="0" w:noVBand="1"/>
      </w:tblPr>
      <w:tblGrid>
        <w:gridCol w:w="1796"/>
        <w:gridCol w:w="2372"/>
        <w:gridCol w:w="1266"/>
        <w:gridCol w:w="835"/>
        <w:gridCol w:w="2277"/>
      </w:tblGrid>
      <w:tr w:rsidR="00851DF5" w:rsidRPr="009F63DF" w14:paraId="43BA8659" w14:textId="77777777" w:rsidTr="009167D3">
        <w:tc>
          <w:tcPr>
            <w:tcW w:w="1796" w:type="dxa"/>
            <w:shd w:val="clear" w:color="auto" w:fill="E6E6E6"/>
          </w:tcPr>
          <w:p w14:paraId="4D313235" w14:textId="11C15823" w:rsidR="00851DF5" w:rsidRPr="009F63DF" w:rsidRDefault="00851DF5" w:rsidP="00540956">
            <w:pPr>
              <w:keepNext/>
              <w:suppressAutoHyphens/>
              <w:spacing w:before="60" w:after="60"/>
              <w:ind w:right="57"/>
              <w:jc w:val="left"/>
              <w:rPr>
                <w:rFonts w:cs="Arial"/>
                <w:b/>
                <w:bCs/>
                <w:sz w:val="20"/>
                <w:lang w:val="en-GB" w:eastAsia="en-US"/>
              </w:rPr>
            </w:pPr>
            <w:r w:rsidRPr="009F63DF">
              <w:rPr>
                <w:rFonts w:cs="Arial"/>
                <w:b/>
                <w:bCs/>
                <w:sz w:val="20"/>
                <w:lang w:val="en-GB" w:eastAsia="en-US"/>
              </w:rPr>
              <w:t>Data/parameter</w:t>
            </w:r>
          </w:p>
        </w:tc>
        <w:tc>
          <w:tcPr>
            <w:tcW w:w="6750" w:type="dxa"/>
            <w:gridSpan w:val="4"/>
          </w:tcPr>
          <w:p w14:paraId="735FF803" w14:textId="24676023" w:rsidR="00851DF5" w:rsidRPr="009F63DF" w:rsidRDefault="001549D8" w:rsidP="001E4E35">
            <w:pPr>
              <w:keepNext/>
              <w:suppressAutoHyphens/>
              <w:spacing w:before="60" w:after="60"/>
              <w:ind w:right="57"/>
              <w:rPr>
                <w:rFonts w:cs="Arial"/>
                <w:b/>
                <w:bCs/>
                <w:i/>
                <w:sz w:val="20"/>
                <w:lang w:val="en-GB" w:eastAsia="en-US"/>
              </w:rPr>
            </w:pPr>
            <m:oMathPara>
              <m:oMathParaPr>
                <m:jc m:val="left"/>
              </m:oMathParaPr>
              <m:oMath>
                <m:sSub>
                  <m:sSubPr>
                    <m:ctrlPr>
                      <w:rPr>
                        <w:rFonts w:ascii="Cambria Math" w:eastAsia="Cambria Math" w:hAnsi="Cambria Math" w:cs="Arial"/>
                        <w:sz w:val="20"/>
                        <w:szCs w:val="18"/>
                        <w:lang w:val="en-GB" w:eastAsia="en-US"/>
                      </w:rPr>
                    </m:ctrlPr>
                  </m:sSubPr>
                  <m:e>
                    <m:sSub>
                      <m:sSubPr>
                        <m:ctrlPr>
                          <w:rPr>
                            <w:rFonts w:ascii="Cambria Math" w:eastAsia="Cambria Math" w:hAnsi="Cambria Math" w:cs="Arial"/>
                            <w:sz w:val="20"/>
                            <w:szCs w:val="18"/>
                            <w:lang w:val="en-GB" w:eastAsia="en-US"/>
                          </w:rPr>
                        </m:ctrlPr>
                      </m:sSubPr>
                      <m:e>
                        <m:r>
                          <m:rPr>
                            <m:sty m:val="bi"/>
                          </m:rPr>
                          <w:rPr>
                            <w:rFonts w:ascii="Cambria Math" w:hAnsi="Cambria Math" w:cs="Arial"/>
                            <w:sz w:val="20"/>
                            <w:szCs w:val="18"/>
                            <w:lang w:val="en-GB" w:eastAsia="en-US"/>
                          </w:rPr>
                          <m:t>NCV</m:t>
                        </m:r>
                      </m:e>
                      <m:sub>
                        <m:r>
                          <m:rPr>
                            <m:sty m:val="bi"/>
                          </m:rPr>
                          <w:rPr>
                            <w:rFonts w:ascii="Cambria Math" w:hAnsi="Cambria Math" w:cs="Arial"/>
                            <w:sz w:val="20"/>
                            <w:szCs w:val="18"/>
                            <w:lang w:val="en-GB" w:eastAsia="en-US"/>
                          </w:rPr>
                          <m:t>i</m:t>
                        </m:r>
                      </m:sub>
                    </m:sSub>
                  </m:e>
                  <m:sub/>
                </m:sSub>
              </m:oMath>
            </m:oMathPara>
          </w:p>
        </w:tc>
      </w:tr>
      <w:tr w:rsidR="00851DF5" w:rsidRPr="009F63DF" w14:paraId="4D0F4893" w14:textId="77777777" w:rsidTr="009167D3">
        <w:tc>
          <w:tcPr>
            <w:tcW w:w="1796" w:type="dxa"/>
            <w:shd w:val="clear" w:color="auto" w:fill="E6E6E6"/>
          </w:tcPr>
          <w:p w14:paraId="65C0D687" w14:textId="415F0265"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Description</w:t>
            </w:r>
          </w:p>
        </w:tc>
        <w:tc>
          <w:tcPr>
            <w:tcW w:w="6750" w:type="dxa"/>
            <w:gridSpan w:val="4"/>
          </w:tcPr>
          <w:p w14:paraId="31F2DCD9" w14:textId="623F0736" w:rsidR="00851DF5" w:rsidRPr="009F63DF" w:rsidRDefault="00851DF5" w:rsidP="001E4E35">
            <w:pPr>
              <w:suppressAutoHyphens/>
              <w:spacing w:before="60" w:after="60"/>
              <w:ind w:right="57"/>
              <w:rPr>
                <w:rFonts w:cs="Arial"/>
                <w:sz w:val="20"/>
                <w:lang w:val="en-GB" w:eastAsia="en-US"/>
              </w:rPr>
            </w:pPr>
            <w:r w:rsidRPr="009F63DF">
              <w:rPr>
                <w:rFonts w:cs="Arial"/>
                <w:sz w:val="20"/>
                <w:szCs w:val="18"/>
                <w:lang w:val="en-GB" w:eastAsia="en-US"/>
              </w:rPr>
              <w:t xml:space="preserve">Net calorific value of fuel </w:t>
            </w:r>
            <w:r w:rsidR="00C13EBC" w:rsidRPr="009F63DF">
              <w:rPr>
                <w:rFonts w:cs="Arial"/>
                <w:i/>
                <w:iCs/>
                <w:sz w:val="20"/>
                <w:szCs w:val="18"/>
                <w:lang w:val="en-GB" w:eastAsia="en-US"/>
              </w:rPr>
              <w:t>i</w:t>
            </w:r>
          </w:p>
        </w:tc>
      </w:tr>
      <w:tr w:rsidR="00851DF5" w:rsidRPr="009F63DF" w14:paraId="093B4B49" w14:textId="77777777" w:rsidTr="009167D3">
        <w:tc>
          <w:tcPr>
            <w:tcW w:w="1796" w:type="dxa"/>
            <w:shd w:val="clear" w:color="auto" w:fill="E6E6E6"/>
          </w:tcPr>
          <w:p w14:paraId="5E5FFDC7" w14:textId="74EBA1B3"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Data unit</w:t>
            </w:r>
          </w:p>
        </w:tc>
        <w:tc>
          <w:tcPr>
            <w:tcW w:w="6750" w:type="dxa"/>
            <w:gridSpan w:val="4"/>
          </w:tcPr>
          <w:p w14:paraId="239794FC" w14:textId="195608CB" w:rsidR="00851DF5" w:rsidRPr="009F63DF" w:rsidRDefault="00851DF5" w:rsidP="001E4E35">
            <w:pPr>
              <w:suppressAutoHyphens/>
              <w:spacing w:before="60" w:after="60"/>
              <w:ind w:right="57"/>
              <w:rPr>
                <w:rFonts w:cs="Arial"/>
                <w:sz w:val="20"/>
                <w:lang w:val="en-GB" w:eastAsia="en-US"/>
              </w:rPr>
            </w:pPr>
            <w:r w:rsidRPr="009F63DF">
              <w:rPr>
                <w:rFonts w:cs="Arial"/>
                <w:sz w:val="20"/>
                <w:szCs w:val="18"/>
                <w:lang w:val="en-GB" w:eastAsia="en-US"/>
              </w:rPr>
              <w:t>TJ</w:t>
            </w:r>
            <w:r w:rsidR="003232AF" w:rsidRPr="009F63DF">
              <w:rPr>
                <w:rFonts w:cs="Arial"/>
                <w:sz w:val="20"/>
                <w:szCs w:val="18"/>
                <w:lang w:val="en-GB" w:eastAsia="en-US"/>
              </w:rPr>
              <w:t xml:space="preserve"> </w:t>
            </w:r>
            <w:r w:rsidRPr="009F63DF">
              <w:rPr>
                <w:rFonts w:cs="Arial"/>
                <w:sz w:val="20"/>
                <w:szCs w:val="18"/>
                <w:lang w:val="en-GB" w:eastAsia="en-US"/>
              </w:rPr>
              <w:t>/</w:t>
            </w:r>
            <w:r w:rsidR="003232AF" w:rsidRPr="009F63DF">
              <w:rPr>
                <w:rFonts w:cs="Arial"/>
                <w:sz w:val="20"/>
                <w:szCs w:val="18"/>
                <w:lang w:val="en-GB" w:eastAsia="en-US"/>
              </w:rPr>
              <w:t xml:space="preserve"> </w:t>
            </w:r>
            <w:r w:rsidRPr="009F63DF">
              <w:rPr>
                <w:rFonts w:cs="Arial"/>
                <w:sz w:val="20"/>
                <w:szCs w:val="18"/>
                <w:lang w:val="en-GB" w:eastAsia="en-US"/>
              </w:rPr>
              <w:t>tonnes</w:t>
            </w:r>
          </w:p>
        </w:tc>
      </w:tr>
      <w:tr w:rsidR="00851DF5" w:rsidRPr="009F63DF" w14:paraId="04140EB9" w14:textId="77777777" w:rsidTr="005A4B4B">
        <w:tc>
          <w:tcPr>
            <w:tcW w:w="1796" w:type="dxa"/>
            <w:shd w:val="clear" w:color="auto" w:fill="E6E6E6"/>
          </w:tcPr>
          <w:p w14:paraId="42C3EACA" w14:textId="0EA73509"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Equations referred</w:t>
            </w:r>
          </w:p>
        </w:tc>
        <w:tc>
          <w:tcPr>
            <w:tcW w:w="6750" w:type="dxa"/>
            <w:gridSpan w:val="4"/>
            <w:tcBorders>
              <w:bottom w:val="single" w:sz="4" w:space="0" w:color="auto"/>
            </w:tcBorders>
          </w:tcPr>
          <w:p w14:paraId="711314DB" w14:textId="2DB4F9C7" w:rsidR="00851DF5" w:rsidRPr="009F63DF" w:rsidRDefault="00815BBA" w:rsidP="001E4E35">
            <w:pPr>
              <w:suppressAutoHyphens/>
              <w:spacing w:before="60" w:after="60"/>
              <w:ind w:right="57"/>
              <w:rPr>
                <w:rFonts w:cs="Arial"/>
                <w:sz w:val="20"/>
                <w:lang w:val="en-GB" w:eastAsia="en-US"/>
              </w:rPr>
            </w:pPr>
            <w:r w:rsidRPr="009F63DF">
              <w:rPr>
                <w:rFonts w:cs="Arial"/>
                <w:sz w:val="20"/>
                <w:lang w:val="en-GB" w:eastAsia="en-US"/>
              </w:rPr>
              <w:t>Equation (</w:t>
            </w:r>
            <w:r w:rsidR="00B12BB6">
              <w:rPr>
                <w:rFonts w:cs="Arial"/>
                <w:sz w:val="20"/>
                <w:lang w:val="en-GB" w:eastAsia="en-US"/>
              </w:rPr>
              <w:t>16</w:t>
            </w:r>
            <w:r w:rsidRPr="009F63DF">
              <w:rPr>
                <w:rFonts w:cs="Arial"/>
                <w:sz w:val="20"/>
                <w:lang w:val="en-GB" w:eastAsia="en-US"/>
              </w:rPr>
              <w:t>)</w:t>
            </w:r>
          </w:p>
        </w:tc>
      </w:tr>
      <w:tr w:rsidR="00851DF5" w:rsidRPr="009F63DF" w14:paraId="22907491" w14:textId="77777777" w:rsidTr="005A4B4B">
        <w:tc>
          <w:tcPr>
            <w:tcW w:w="1796" w:type="dxa"/>
            <w:shd w:val="clear" w:color="auto" w:fill="E6E6E6"/>
          </w:tcPr>
          <w:p w14:paraId="108577BF" w14:textId="3FAA480D"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Purpose of data</w:t>
            </w:r>
          </w:p>
        </w:tc>
        <w:tc>
          <w:tcPr>
            <w:tcW w:w="2372" w:type="dxa"/>
            <w:tcBorders>
              <w:bottom w:val="single" w:sz="4" w:space="0" w:color="auto"/>
              <w:right w:val="nil"/>
            </w:tcBorders>
          </w:tcPr>
          <w:p w14:paraId="6B4F9820" w14:textId="029AF3E4"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Baseline </w:t>
            </w:r>
            <w:r w:rsidR="00A32450" w:rsidRPr="009F63DF">
              <w:rPr>
                <w:rFonts w:cs="Arial"/>
                <w:spacing w:val="-2"/>
                <w:sz w:val="20"/>
                <w:lang w:val="en-GB" w:eastAsia="en-US"/>
              </w:rPr>
              <w:t>Scenario</w:t>
            </w:r>
          </w:p>
        </w:tc>
        <w:tc>
          <w:tcPr>
            <w:tcW w:w="2101" w:type="dxa"/>
            <w:gridSpan w:val="2"/>
            <w:tcBorders>
              <w:left w:val="nil"/>
              <w:bottom w:val="single" w:sz="4" w:space="0" w:color="auto"/>
              <w:right w:val="nil"/>
            </w:tcBorders>
          </w:tcPr>
          <w:p w14:paraId="678BF73D" w14:textId="0D8B2B27"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w:t>
            </w:r>
            <w:r w:rsidR="002646DE" w:rsidRPr="009F63DF">
              <w:rPr>
                <w:rFonts w:cs="Arial"/>
                <w:spacing w:val="-2"/>
                <w:sz w:val="20"/>
                <w:lang w:val="en-GB" w:eastAsia="en-US"/>
              </w:rPr>
              <w:t>Activity</w:t>
            </w:r>
            <w:r w:rsidRPr="009F63DF">
              <w:rPr>
                <w:rFonts w:cs="Arial"/>
                <w:spacing w:val="-2"/>
                <w:sz w:val="20"/>
                <w:lang w:val="en-GB" w:eastAsia="en-US"/>
              </w:rPr>
              <w:t xml:space="preserve"> </w:t>
            </w:r>
            <w:r w:rsidR="00A32450" w:rsidRPr="009F63DF">
              <w:rPr>
                <w:rFonts w:cs="Arial"/>
                <w:spacing w:val="-2"/>
                <w:sz w:val="20"/>
                <w:lang w:val="en-GB" w:eastAsia="en-US"/>
              </w:rPr>
              <w:t>Scenario</w:t>
            </w:r>
          </w:p>
        </w:tc>
        <w:tc>
          <w:tcPr>
            <w:tcW w:w="2277" w:type="dxa"/>
            <w:tcBorders>
              <w:left w:val="nil"/>
              <w:bottom w:val="single" w:sz="4" w:space="0" w:color="auto"/>
            </w:tcBorders>
          </w:tcPr>
          <w:p w14:paraId="7F98C37C" w14:textId="58605F1B" w:rsidR="00851DF5" w:rsidRPr="009F63DF" w:rsidRDefault="00851DF5" w:rsidP="001E4E35">
            <w:pPr>
              <w:suppressAutoHyphens/>
              <w:spacing w:before="60" w:after="60"/>
              <w:ind w:right="57"/>
              <w:jc w:val="left"/>
              <w:rPr>
                <w:rFonts w:cs="Arial"/>
                <w:spacing w:val="-2"/>
                <w:sz w:val="20"/>
                <w:lang w:val="en-GB" w:eastAsia="en-US"/>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val="en-GB"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val="en-GB" w:eastAsia="en-US"/>
              </w:rPr>
              <w:t xml:space="preserve"> Leakage</w:t>
            </w:r>
          </w:p>
        </w:tc>
      </w:tr>
      <w:tr w:rsidR="00851DF5" w:rsidRPr="009F63DF" w14:paraId="7E681F5B" w14:textId="77777777" w:rsidTr="005A4B4B">
        <w:tc>
          <w:tcPr>
            <w:tcW w:w="1796" w:type="dxa"/>
            <w:tcBorders>
              <w:bottom w:val="single" w:sz="4" w:space="0" w:color="auto"/>
            </w:tcBorders>
            <w:shd w:val="clear" w:color="auto" w:fill="E6E6E6"/>
          </w:tcPr>
          <w:p w14:paraId="1AD4B692" w14:textId="2745C798"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Value(s) applied</w:t>
            </w:r>
          </w:p>
        </w:tc>
        <w:tc>
          <w:tcPr>
            <w:tcW w:w="6750" w:type="dxa"/>
            <w:gridSpan w:val="4"/>
            <w:tcBorders>
              <w:top w:val="single" w:sz="4" w:space="0" w:color="auto"/>
              <w:bottom w:val="single" w:sz="4" w:space="0" w:color="auto"/>
            </w:tcBorders>
          </w:tcPr>
          <w:p w14:paraId="6D6CB4FC" w14:textId="431C3AD1" w:rsidR="00851DF5" w:rsidRPr="009F63DF" w:rsidRDefault="00A151CD" w:rsidP="001E4E35">
            <w:pPr>
              <w:suppressAutoHyphens/>
              <w:spacing w:before="60" w:after="60"/>
              <w:jc w:val="left"/>
              <w:rPr>
                <w:rFonts w:cs="Arial"/>
                <w:i/>
                <w:sz w:val="20"/>
                <w:lang w:val="en-GB" w:eastAsia="en-US"/>
              </w:rPr>
            </w:pPr>
            <w:r w:rsidRPr="009F63DF">
              <w:rPr>
                <w:rFonts w:cs="Arial"/>
                <w:color w:val="000000" w:themeColor="text1"/>
                <w:sz w:val="20"/>
                <w:szCs w:val="20"/>
                <w:lang w:val="en-GB" w:eastAsia="en-US"/>
              </w:rPr>
              <w:t xml:space="preserve">Fuelwood: </w:t>
            </w:r>
            <w:r w:rsidR="003D6256" w:rsidRPr="009F63DF">
              <w:rPr>
                <w:rFonts w:cs="Arial"/>
                <w:color w:val="000000" w:themeColor="text1"/>
                <w:sz w:val="20"/>
                <w:szCs w:val="20"/>
                <w:lang w:val="en-GB" w:eastAsia="en-US"/>
              </w:rPr>
              <w:t>0.0156</w:t>
            </w:r>
            <w:r w:rsidR="0036573A" w:rsidRPr="009F63DF">
              <w:rPr>
                <w:rFonts w:cs="Arial"/>
                <w:color w:val="000000" w:themeColor="text1"/>
                <w:sz w:val="20"/>
                <w:szCs w:val="20"/>
                <w:lang w:val="en-GB" w:eastAsia="en-US"/>
              </w:rPr>
              <w:t>.</w:t>
            </w:r>
            <w:r w:rsidR="0036573A" w:rsidRPr="009F63DF">
              <w:rPr>
                <w:rFonts w:cs="Arial"/>
                <w:color w:val="000000" w:themeColor="text1"/>
                <w:sz w:val="20"/>
                <w:szCs w:val="20"/>
                <w:lang w:val="en-GB" w:eastAsia="en-US"/>
              </w:rPr>
              <w:br/>
            </w:r>
            <w:r w:rsidRPr="009F63DF">
              <w:rPr>
                <w:rFonts w:cs="Arial"/>
                <w:color w:val="000000" w:themeColor="text1"/>
                <w:sz w:val="20"/>
                <w:szCs w:val="20"/>
                <w:lang w:val="en-GB" w:eastAsia="en-US"/>
              </w:rPr>
              <w:t xml:space="preserve">Artisanal charcoal: </w:t>
            </w:r>
            <w:r w:rsidR="003D6256" w:rsidRPr="009F63DF">
              <w:rPr>
                <w:rFonts w:eastAsia="Montserrat" w:cs="Arial"/>
                <w:sz w:val="20"/>
                <w:szCs w:val="20"/>
                <w:lang w:val="en-GB"/>
              </w:rPr>
              <w:t>0.0295</w:t>
            </w:r>
            <w:r w:rsidR="0036573A" w:rsidRPr="009F63DF">
              <w:rPr>
                <w:rFonts w:eastAsia="Montserrat" w:cs="Arial"/>
                <w:sz w:val="20"/>
                <w:szCs w:val="20"/>
                <w:lang w:val="en-GB"/>
              </w:rPr>
              <w:t>.</w:t>
            </w:r>
            <w:r w:rsidR="0036573A" w:rsidRPr="009F63DF">
              <w:rPr>
                <w:rFonts w:eastAsia="Montserrat" w:cs="Arial"/>
                <w:sz w:val="20"/>
                <w:szCs w:val="20"/>
                <w:lang w:val="en-GB"/>
              </w:rPr>
              <w:br/>
            </w:r>
            <w:r w:rsidRPr="009F63DF">
              <w:rPr>
                <w:rFonts w:cs="Arial"/>
                <w:color w:val="000000" w:themeColor="text1"/>
                <w:sz w:val="20"/>
                <w:szCs w:val="20"/>
                <w:lang w:val="en-GB" w:eastAsia="en-US"/>
              </w:rPr>
              <w:t xml:space="preserve">Any other fuels: Default values from the latest version of the IPCC Guidelines for National </w:t>
            </w:r>
            <w:r w:rsidRPr="009F63DF">
              <w:rPr>
                <w:rFonts w:cs="Arial"/>
                <w:sz w:val="20"/>
                <w:szCs w:val="20"/>
                <w:lang w:val="en-GB" w:eastAsia="en-US"/>
              </w:rPr>
              <w:t>GHG</w:t>
            </w:r>
            <w:r w:rsidRPr="009F63DF">
              <w:rPr>
                <w:rFonts w:cs="Arial"/>
                <w:color w:val="000000" w:themeColor="text1"/>
                <w:sz w:val="20"/>
                <w:szCs w:val="20"/>
                <w:lang w:val="en-GB" w:eastAsia="en-US"/>
              </w:rPr>
              <w:t xml:space="preserve"> Inventories</w:t>
            </w:r>
            <w:r w:rsidR="000B0973" w:rsidRPr="009F63DF">
              <w:rPr>
                <w:rFonts w:cs="Arial"/>
                <w:color w:val="000000" w:themeColor="text1"/>
                <w:sz w:val="20"/>
                <w:szCs w:val="20"/>
                <w:lang w:val="en-GB" w:eastAsia="en-US"/>
              </w:rPr>
              <w:t>, unless otherwise specified</w:t>
            </w:r>
          </w:p>
        </w:tc>
      </w:tr>
      <w:tr w:rsidR="00851DF5" w:rsidRPr="009F63DF" w14:paraId="1E926316" w14:textId="77777777" w:rsidTr="00D85807">
        <w:tc>
          <w:tcPr>
            <w:tcW w:w="1796" w:type="dxa"/>
            <w:tcBorders>
              <w:bottom w:val="single" w:sz="4" w:space="0" w:color="auto"/>
            </w:tcBorders>
            <w:shd w:val="clear" w:color="auto" w:fill="E6E6E6"/>
          </w:tcPr>
          <w:p w14:paraId="7B87D0FA" w14:textId="3B06CE3D"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Source of data</w:t>
            </w:r>
          </w:p>
        </w:tc>
        <w:tc>
          <w:tcPr>
            <w:tcW w:w="3638" w:type="dxa"/>
            <w:gridSpan w:val="2"/>
            <w:tcBorders>
              <w:bottom w:val="single" w:sz="4" w:space="0" w:color="auto"/>
              <w:right w:val="nil"/>
            </w:tcBorders>
            <w:vAlign w:val="center"/>
          </w:tcPr>
          <w:p w14:paraId="24690ED1" w14:textId="77777777" w:rsidR="00851DF5" w:rsidRPr="009F63DF" w:rsidRDefault="00851DF5" w:rsidP="001E4E35">
            <w:pPr>
              <w:tabs>
                <w:tab w:val="left" w:pos="510"/>
              </w:tabs>
              <w:suppressAutoHyphens/>
              <w:spacing w:before="60" w:after="60"/>
              <w:ind w:left="510" w:hanging="510"/>
              <w:jc w:val="left"/>
              <w:rPr>
                <w:rFonts w:cs="Arial"/>
                <w:sz w:val="20"/>
                <w:lang w:val="en-GB" w:eastAsia="en-US"/>
              </w:rPr>
            </w:pPr>
            <w:r w:rsidRPr="009F63DF">
              <w:rPr>
                <w:rFonts w:cs="Arial"/>
                <w:sz w:val="20"/>
                <w:shd w:val="clear" w:color="auto" w:fill="E6E6E6"/>
                <w:lang w:eastAsia="en-US"/>
              </w:rPr>
              <w:fldChar w:fldCharType="begin">
                <w:ffData>
                  <w:name w:val="Check2"/>
                  <w:enabled/>
                  <w:calcOnExit w:val="0"/>
                  <w:checkBox>
                    <w:size w:val="20"/>
                    <w:default w:val="0"/>
                  </w:checkBox>
                </w:ffData>
              </w:fldChar>
            </w:r>
            <w:r w:rsidRPr="009F63DF">
              <w:rPr>
                <w:rFonts w:cs="Arial"/>
                <w:sz w:val="20"/>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lang w:val="en-GB" w:eastAsia="en-US"/>
              </w:rPr>
              <w:t xml:space="preserve"> Measured</w:t>
            </w:r>
          </w:p>
        </w:tc>
        <w:tc>
          <w:tcPr>
            <w:tcW w:w="3112" w:type="dxa"/>
            <w:gridSpan w:val="2"/>
            <w:tcBorders>
              <w:left w:val="nil"/>
              <w:bottom w:val="single" w:sz="4" w:space="0" w:color="auto"/>
            </w:tcBorders>
            <w:vAlign w:val="center"/>
          </w:tcPr>
          <w:p w14:paraId="6D6A3579" w14:textId="77777777" w:rsidR="00851DF5" w:rsidRPr="009F63DF" w:rsidRDefault="00851DF5" w:rsidP="001E4E35">
            <w:pPr>
              <w:suppressAutoHyphens/>
              <w:spacing w:before="60" w:after="60"/>
              <w:ind w:right="57"/>
              <w:jc w:val="left"/>
              <w:rPr>
                <w:rFonts w:cs="Arial"/>
                <w:sz w:val="20"/>
                <w:lang w:val="en-GB" w:eastAsia="en-US"/>
              </w:rPr>
            </w:pPr>
            <w:r w:rsidRPr="009F63DF">
              <w:rPr>
                <w:rFonts w:cs="Arial"/>
                <w:sz w:val="20"/>
                <w:shd w:val="clear" w:color="auto" w:fill="E6E6E6"/>
                <w:lang w:eastAsia="en-US"/>
              </w:rPr>
              <w:fldChar w:fldCharType="begin">
                <w:ffData>
                  <w:name w:val=""/>
                  <w:enabled/>
                  <w:calcOnExit w:val="0"/>
                  <w:checkBox>
                    <w:size w:val="20"/>
                    <w:default w:val="1"/>
                  </w:checkBox>
                </w:ffData>
              </w:fldChar>
            </w:r>
            <w:r w:rsidRPr="009F63DF">
              <w:rPr>
                <w:rFonts w:cs="Arial"/>
                <w:sz w:val="20"/>
                <w:shd w:val="clear" w:color="auto" w:fill="E6E6E6"/>
                <w:lang w:val="en-GB" w:eastAsia="en-US"/>
              </w:rPr>
              <w:instrText xml:space="preserve"> FORMCHECKBOX </w:instrText>
            </w:r>
            <w:r w:rsidRPr="009F63DF">
              <w:rPr>
                <w:rFonts w:cs="Arial"/>
                <w:sz w:val="20"/>
                <w:shd w:val="clear" w:color="auto" w:fill="E6E6E6"/>
                <w:lang w:eastAsia="en-US"/>
              </w:rPr>
            </w:r>
            <w:r w:rsidRPr="009F63DF">
              <w:rPr>
                <w:rFonts w:cs="Arial"/>
                <w:sz w:val="20"/>
                <w:shd w:val="clear" w:color="auto" w:fill="E6E6E6"/>
                <w:lang w:eastAsia="en-US"/>
              </w:rPr>
              <w:fldChar w:fldCharType="separate"/>
            </w:r>
            <w:r w:rsidRPr="009F63DF">
              <w:rPr>
                <w:rFonts w:cs="Arial"/>
                <w:sz w:val="20"/>
                <w:shd w:val="clear" w:color="auto" w:fill="E6E6E6"/>
                <w:lang w:eastAsia="en-US"/>
              </w:rPr>
              <w:fldChar w:fldCharType="end"/>
            </w:r>
            <w:r w:rsidRPr="009F63DF">
              <w:rPr>
                <w:rFonts w:cs="Arial"/>
                <w:sz w:val="20"/>
                <w:shd w:val="clear" w:color="auto" w:fill="E6E6E6"/>
                <w:lang w:val="en-GB" w:eastAsia="en-US"/>
              </w:rPr>
              <w:t xml:space="preserve"> </w:t>
            </w:r>
            <w:r w:rsidRPr="009F63DF">
              <w:rPr>
                <w:rFonts w:cs="Arial"/>
                <w:sz w:val="20"/>
                <w:lang w:val="en-GB" w:eastAsia="en-US"/>
              </w:rPr>
              <w:t>Other sources</w:t>
            </w:r>
          </w:p>
        </w:tc>
      </w:tr>
      <w:tr w:rsidR="00851DF5" w:rsidRPr="009F63DF" w14:paraId="6FFFE332" w14:textId="77777777" w:rsidTr="00D85807">
        <w:tc>
          <w:tcPr>
            <w:tcW w:w="1796" w:type="dxa"/>
            <w:tcBorders>
              <w:top w:val="single" w:sz="4" w:space="0" w:color="auto"/>
            </w:tcBorders>
            <w:shd w:val="clear" w:color="auto" w:fill="E6E6E6"/>
          </w:tcPr>
          <w:p w14:paraId="70F00DB1" w14:textId="0F22C099"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Choice of data or measurement methods and procedures</w:t>
            </w:r>
          </w:p>
        </w:tc>
        <w:tc>
          <w:tcPr>
            <w:tcW w:w="6750" w:type="dxa"/>
            <w:gridSpan w:val="4"/>
            <w:tcBorders>
              <w:top w:val="single" w:sz="4" w:space="0" w:color="auto"/>
            </w:tcBorders>
          </w:tcPr>
          <w:p w14:paraId="444A432D" w14:textId="1AE925A9" w:rsidR="00851DF5" w:rsidRPr="009F63DF" w:rsidRDefault="00C96551" w:rsidP="001E4E35">
            <w:pPr>
              <w:suppressAutoHyphens/>
              <w:spacing w:before="60" w:after="60"/>
              <w:ind w:right="57"/>
              <w:rPr>
                <w:rFonts w:cs="Arial"/>
                <w:color w:val="000000" w:themeColor="text1"/>
                <w:sz w:val="20"/>
                <w:szCs w:val="20"/>
                <w:lang w:val="en-GB" w:eastAsia="en-US"/>
              </w:rPr>
            </w:pPr>
            <w:r w:rsidRPr="009F63DF">
              <w:rPr>
                <w:rFonts w:cs="Arial"/>
                <w:sz w:val="20"/>
                <w:lang w:val="en-GB" w:eastAsia="en-US"/>
              </w:rPr>
              <w:t xml:space="preserve">The wood and charcoal values are derived from the 2006 </w:t>
            </w:r>
            <w:r w:rsidRPr="009F63DF">
              <w:rPr>
                <w:rFonts w:cs="Arial"/>
                <w:color w:val="000000" w:themeColor="text1"/>
                <w:sz w:val="20"/>
                <w:szCs w:val="20"/>
                <w:lang w:val="en-GB" w:eastAsia="en-US"/>
              </w:rPr>
              <w:t xml:space="preserve">IPCC Guidelines for National </w:t>
            </w:r>
            <w:r w:rsidRPr="009F63DF">
              <w:rPr>
                <w:rFonts w:cs="Arial"/>
                <w:sz w:val="20"/>
                <w:szCs w:val="20"/>
                <w:lang w:val="en-GB" w:eastAsia="en-US"/>
              </w:rPr>
              <w:t>GHG</w:t>
            </w:r>
            <w:r w:rsidRPr="009F63DF">
              <w:rPr>
                <w:rFonts w:cs="Arial"/>
                <w:color w:val="000000" w:themeColor="text1"/>
                <w:sz w:val="20"/>
                <w:szCs w:val="20"/>
                <w:lang w:val="en-GB" w:eastAsia="en-US"/>
              </w:rPr>
              <w:t xml:space="preserve"> Inventories, Chapter 1, Table </w:t>
            </w:r>
            <w:r w:rsidR="007C1732" w:rsidRPr="009F63DF">
              <w:rPr>
                <w:rFonts w:cs="Arial"/>
                <w:color w:val="000000" w:themeColor="text1"/>
                <w:sz w:val="20"/>
                <w:szCs w:val="20"/>
                <w:lang w:val="en-GB" w:eastAsia="en-US"/>
              </w:rPr>
              <w:t>1.2</w:t>
            </w:r>
            <w:r w:rsidRPr="009F63DF">
              <w:rPr>
                <w:rFonts w:cs="Arial"/>
                <w:color w:val="000000" w:themeColor="text1"/>
                <w:sz w:val="20"/>
                <w:szCs w:val="20"/>
                <w:lang w:val="en-GB" w:eastAsia="en-US"/>
              </w:rPr>
              <w:t xml:space="preserve"> </w:t>
            </w:r>
            <w:r w:rsidR="003D6256" w:rsidRPr="009F63DF">
              <w:rPr>
                <w:rFonts w:cs="Arial"/>
                <w:color w:val="000000" w:themeColor="text1"/>
                <w:sz w:val="20"/>
                <w:szCs w:val="20"/>
                <w:lang w:val="en-GB" w:eastAsia="en-US"/>
              </w:rPr>
              <w:t>NCV</w:t>
            </w:r>
            <w:r w:rsidRPr="009F63DF">
              <w:rPr>
                <w:rFonts w:cs="Arial"/>
                <w:color w:val="000000" w:themeColor="text1"/>
                <w:sz w:val="20"/>
                <w:szCs w:val="20"/>
                <w:lang w:val="en-GB" w:eastAsia="en-US"/>
              </w:rPr>
              <w:t xml:space="preserve"> values</w:t>
            </w:r>
          </w:p>
        </w:tc>
      </w:tr>
      <w:tr w:rsidR="00851DF5" w:rsidRPr="009F63DF" w14:paraId="4DE84718" w14:textId="77777777" w:rsidTr="009167D3">
        <w:tc>
          <w:tcPr>
            <w:tcW w:w="1796" w:type="dxa"/>
            <w:shd w:val="clear" w:color="auto" w:fill="E6E6E6"/>
          </w:tcPr>
          <w:p w14:paraId="46BBEACD" w14:textId="20F44910" w:rsidR="00851DF5" w:rsidRPr="009F63DF" w:rsidRDefault="00851DF5" w:rsidP="00540956">
            <w:pPr>
              <w:keepNext/>
              <w:suppressAutoHyphens/>
              <w:spacing w:before="60" w:after="60"/>
              <w:ind w:right="57"/>
              <w:jc w:val="left"/>
              <w:rPr>
                <w:rFonts w:cs="Arial"/>
                <w:sz w:val="20"/>
                <w:lang w:val="en-GB" w:eastAsia="en-US"/>
              </w:rPr>
            </w:pPr>
            <w:r w:rsidRPr="009F63DF">
              <w:rPr>
                <w:rFonts w:cs="Arial"/>
                <w:sz w:val="20"/>
                <w:lang w:val="en-GB" w:eastAsia="en-US"/>
              </w:rPr>
              <w:t>Treatment of uncertainty</w:t>
            </w:r>
            <w:r w:rsidR="008C0E2F" w:rsidRPr="009F63DF">
              <w:rPr>
                <w:rFonts w:cs="Arial"/>
                <w:sz w:val="20"/>
                <w:lang w:val="en-GB" w:eastAsia="en-US"/>
              </w:rPr>
              <w:t>:</w:t>
            </w:r>
          </w:p>
        </w:tc>
        <w:tc>
          <w:tcPr>
            <w:tcW w:w="6750" w:type="dxa"/>
            <w:gridSpan w:val="4"/>
          </w:tcPr>
          <w:p w14:paraId="322B9B0E" w14:textId="68C12151" w:rsidR="00851DF5" w:rsidRPr="009F63DF" w:rsidRDefault="006319E6" w:rsidP="009A616B">
            <w:pPr>
              <w:keepNext/>
              <w:suppressAutoHyphens/>
              <w:spacing w:before="60" w:after="60"/>
              <w:ind w:right="57"/>
              <w:rPr>
                <w:rFonts w:cs="Arial"/>
                <w:sz w:val="20"/>
                <w:lang w:val="en-GB" w:eastAsia="en-US"/>
              </w:rPr>
            </w:pPr>
            <w:r w:rsidRPr="009F63DF">
              <w:rPr>
                <w:rFonts w:cs="Arial"/>
                <w:sz w:val="20"/>
                <w:lang w:val="en-GB" w:eastAsia="en-US"/>
              </w:rPr>
              <w:t xml:space="preserve">The </w:t>
            </w:r>
            <w:r w:rsidR="005A74DE" w:rsidRPr="009F63DF">
              <w:rPr>
                <w:rFonts w:cs="Arial"/>
                <w:sz w:val="20"/>
                <w:lang w:val="en-GB" w:eastAsia="en-US"/>
              </w:rPr>
              <w:t xml:space="preserve">central </w:t>
            </w:r>
            <w:r w:rsidRPr="009F63DF">
              <w:rPr>
                <w:rFonts w:cs="Arial"/>
                <w:sz w:val="20"/>
                <w:lang w:val="en-GB" w:eastAsia="en-US"/>
              </w:rPr>
              <w:t xml:space="preserve">value </w:t>
            </w:r>
            <w:r w:rsidR="00014661" w:rsidRPr="009F63DF">
              <w:rPr>
                <w:rFonts w:cs="Arial"/>
                <w:sz w:val="20"/>
                <w:lang w:val="en-GB" w:eastAsia="en-US"/>
              </w:rPr>
              <w:t xml:space="preserve">for wood </w:t>
            </w:r>
            <w:r w:rsidRPr="009F63DF">
              <w:rPr>
                <w:rFonts w:cs="Arial"/>
                <w:sz w:val="20"/>
                <w:lang w:val="en-GB" w:eastAsia="en-US"/>
              </w:rPr>
              <w:t>represent</w:t>
            </w:r>
            <w:r w:rsidR="00014661" w:rsidRPr="009F63DF">
              <w:rPr>
                <w:rFonts w:cs="Arial"/>
                <w:sz w:val="20"/>
                <w:lang w:val="en-GB" w:eastAsia="en-US"/>
              </w:rPr>
              <w:t>s</w:t>
            </w:r>
            <w:r w:rsidRPr="009F63DF">
              <w:rPr>
                <w:rFonts w:cs="Arial"/>
                <w:sz w:val="20"/>
                <w:lang w:val="en-GB" w:eastAsia="en-US"/>
              </w:rPr>
              <w:t xml:space="preserve"> average </w:t>
            </w:r>
            <w:r w:rsidR="00FC40F3" w:rsidRPr="009F63DF">
              <w:rPr>
                <w:rFonts w:cs="Arial"/>
                <w:sz w:val="20"/>
                <w:lang w:val="en-GB" w:eastAsia="en-US"/>
              </w:rPr>
              <w:t>to</w:t>
            </w:r>
            <w:r w:rsidRPr="009F63DF">
              <w:rPr>
                <w:rFonts w:cs="Arial"/>
                <w:sz w:val="20"/>
                <w:lang w:val="en-GB" w:eastAsia="en-US"/>
              </w:rPr>
              <w:t xml:space="preserve"> conservative estimates.</w:t>
            </w:r>
            <w:r w:rsidR="009A616B" w:rsidRPr="009F63DF">
              <w:rPr>
                <w:rFonts w:cs="Arial"/>
                <w:sz w:val="20"/>
                <w:lang w:val="en-GB" w:eastAsia="en-US"/>
              </w:rPr>
              <w:br/>
            </w:r>
            <w:r w:rsidR="00BA5741" w:rsidRPr="009F63DF">
              <w:rPr>
                <w:rFonts w:cs="Arial"/>
                <w:sz w:val="20"/>
                <w:lang w:val="en-GB" w:eastAsia="en-US"/>
              </w:rPr>
              <w:t>The</w:t>
            </w:r>
            <w:r w:rsidRPr="009F63DF" w:rsidDel="005A74DE">
              <w:rPr>
                <w:rFonts w:cs="Arial"/>
                <w:sz w:val="20"/>
                <w:lang w:val="en-GB" w:eastAsia="en-US"/>
              </w:rPr>
              <w:t xml:space="preserve"> central value </w:t>
            </w:r>
            <w:r w:rsidR="00BA5741" w:rsidRPr="009F63DF">
              <w:rPr>
                <w:rFonts w:cs="Arial"/>
                <w:sz w:val="20"/>
                <w:lang w:val="en-GB" w:eastAsia="en-US"/>
              </w:rPr>
              <w:t xml:space="preserve">for charcoal </w:t>
            </w:r>
            <w:r w:rsidR="00BA5741" w:rsidRPr="006D4B21">
              <w:rPr>
                <w:rFonts w:cs="Arial"/>
                <w:sz w:val="20"/>
                <w:szCs w:val="20"/>
                <w:lang w:val="en-GB" w:eastAsia="en-US"/>
              </w:rPr>
              <w:t xml:space="preserve">likely represents average estimates </w:t>
            </w:r>
            <w:r w:rsidRPr="006D4B21">
              <w:rPr>
                <w:rFonts w:cs="Arial"/>
                <w:sz w:val="20"/>
                <w:szCs w:val="20"/>
                <w:lang w:val="en-GB" w:eastAsia="en-US"/>
              </w:rPr>
              <w:t xml:space="preserve">and </w:t>
            </w:r>
            <w:r w:rsidR="00BA5741" w:rsidRPr="006D4B21">
              <w:rPr>
                <w:rFonts w:cs="Arial"/>
                <w:sz w:val="20"/>
                <w:szCs w:val="20"/>
                <w:lang w:val="en-GB" w:eastAsia="en-US"/>
              </w:rPr>
              <w:t>its</w:t>
            </w:r>
            <w:r w:rsidRPr="006D4B21">
              <w:rPr>
                <w:rFonts w:cs="Arial"/>
                <w:sz w:val="20"/>
                <w:szCs w:val="20"/>
                <w:lang w:val="en-GB" w:eastAsia="en-US"/>
              </w:rPr>
              <w:t xml:space="preserve"> use is justified in relation to the conservativeness provisions in the definition of the baseline efficiency. </w:t>
            </w:r>
            <w:r w:rsidR="00E015EC" w:rsidRPr="006D4B21">
              <w:rPr>
                <w:rFonts w:cs="Arial"/>
                <w:sz w:val="20"/>
                <w:szCs w:val="20"/>
                <w:lang w:val="en-GB"/>
              </w:rPr>
              <w:t xml:space="preserve">See </w:t>
            </w:r>
            <w:r w:rsidR="00E015EC" w:rsidRPr="006D4B21">
              <w:rPr>
                <w:sz w:val="20"/>
                <w:szCs w:val="20"/>
              </w:rPr>
              <w:t>Appendix 7</w:t>
            </w:r>
          </w:p>
        </w:tc>
      </w:tr>
      <w:tr w:rsidR="00851DF5" w:rsidRPr="009F63DF" w14:paraId="25204B39" w14:textId="77777777" w:rsidTr="009167D3">
        <w:tc>
          <w:tcPr>
            <w:tcW w:w="1796" w:type="dxa"/>
            <w:shd w:val="clear" w:color="auto" w:fill="E6E6E6"/>
          </w:tcPr>
          <w:p w14:paraId="62FC49D8" w14:textId="4979CCE1" w:rsidR="00851DF5" w:rsidRPr="009F63DF" w:rsidRDefault="00851DF5" w:rsidP="00540956">
            <w:pPr>
              <w:suppressAutoHyphens/>
              <w:spacing w:before="60" w:after="60"/>
              <w:ind w:right="57"/>
              <w:jc w:val="left"/>
              <w:rPr>
                <w:rFonts w:cs="Arial"/>
                <w:sz w:val="20"/>
                <w:lang w:val="en-GB" w:eastAsia="en-US"/>
              </w:rPr>
            </w:pPr>
            <w:r w:rsidRPr="009F63DF">
              <w:rPr>
                <w:rFonts w:cs="Arial"/>
                <w:sz w:val="20"/>
                <w:lang w:val="en-GB" w:eastAsia="en-US"/>
              </w:rPr>
              <w:t>Additional comments</w:t>
            </w:r>
            <w:r w:rsidR="008C0E2F" w:rsidRPr="009F63DF">
              <w:rPr>
                <w:rFonts w:cs="Arial"/>
                <w:sz w:val="20"/>
                <w:lang w:val="en-GB" w:eastAsia="en-US"/>
              </w:rPr>
              <w:t>:</w:t>
            </w:r>
          </w:p>
        </w:tc>
        <w:tc>
          <w:tcPr>
            <w:tcW w:w="6750" w:type="dxa"/>
            <w:gridSpan w:val="4"/>
          </w:tcPr>
          <w:p w14:paraId="03A9D36A" w14:textId="713B118F" w:rsidR="00851DF5" w:rsidRPr="009F63DF" w:rsidRDefault="00E90B4B" w:rsidP="001E4E35">
            <w:pPr>
              <w:suppressAutoHyphens/>
              <w:spacing w:before="60" w:after="60"/>
              <w:ind w:right="57"/>
              <w:rPr>
                <w:rFonts w:cs="Arial"/>
                <w:sz w:val="20"/>
                <w:lang w:val="en-GB" w:eastAsia="en-US"/>
              </w:rPr>
            </w:pPr>
            <w:r w:rsidRPr="009F63DF">
              <w:rPr>
                <w:rFonts w:cs="Arial"/>
                <w:sz w:val="20"/>
                <w:lang w:val="en-GB" w:eastAsia="en-US"/>
              </w:rPr>
              <w:t>N/A</w:t>
            </w:r>
          </w:p>
        </w:tc>
      </w:tr>
    </w:tbl>
    <w:p w14:paraId="41875FD3" w14:textId="3BD9077B"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12</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43"/>
        <w:gridCol w:w="2292"/>
        <w:gridCol w:w="1385"/>
        <w:gridCol w:w="785"/>
        <w:gridCol w:w="2224"/>
      </w:tblGrid>
      <w:tr w:rsidR="00EB4E11" w:rsidRPr="009F63DF" w14:paraId="75F3743A" w14:textId="77777777" w:rsidTr="009167D3">
        <w:tc>
          <w:tcPr>
            <w:tcW w:w="1843" w:type="dxa"/>
            <w:shd w:val="clear" w:color="auto" w:fill="E6E6E6"/>
          </w:tcPr>
          <w:p w14:paraId="3E929AAC" w14:textId="77777777" w:rsidR="00EB4E11" w:rsidRPr="009F63DF" w:rsidRDefault="00EB4E11" w:rsidP="00540956">
            <w:pPr>
              <w:pStyle w:val="ParaTickBox"/>
              <w:keepNext/>
              <w:tabs>
                <w:tab w:val="clear" w:pos="510"/>
              </w:tabs>
              <w:suppressAutoHyphens/>
              <w:ind w:left="0" w:right="57" w:firstLine="0"/>
              <w:rPr>
                <w:b/>
                <w:bCs/>
                <w:szCs w:val="20"/>
                <w:lang w:val="en-GB"/>
              </w:rPr>
            </w:pPr>
            <w:r w:rsidRPr="009F63DF">
              <w:rPr>
                <w:b/>
                <w:bCs/>
                <w:szCs w:val="20"/>
                <w:lang w:val="en-GB"/>
              </w:rPr>
              <w:t>Data/parameter</w:t>
            </w:r>
          </w:p>
        </w:tc>
        <w:tc>
          <w:tcPr>
            <w:tcW w:w="6686" w:type="dxa"/>
            <w:gridSpan w:val="4"/>
          </w:tcPr>
          <w:p w14:paraId="19448D75" w14:textId="5E0127CD" w:rsidR="001D3320" w:rsidRPr="009F63DF" w:rsidRDefault="00686123" w:rsidP="00B0416C">
            <w:pPr>
              <w:pStyle w:val="ParaTickBox"/>
              <w:keepNext/>
              <w:tabs>
                <w:tab w:val="clear" w:pos="510"/>
              </w:tabs>
              <w:suppressAutoHyphens/>
              <w:ind w:left="0" w:right="57" w:firstLine="0"/>
              <w:jc w:val="both"/>
              <w:rPr>
                <w:rFonts w:eastAsia="Cambria Math"/>
                <w:b/>
                <w:bCs/>
                <w:i/>
                <w:iCs/>
                <w:vertAlign w:val="subscript"/>
                <w:lang w:val="en-GB"/>
              </w:rPr>
            </w:pPr>
            <w:r w:rsidRPr="009F63DF">
              <w:rPr>
                <w:rFonts w:ascii="Cambria Math" w:eastAsia="Cambria Math" w:hAnsi="Cambria Math" w:cs="Cambria Math"/>
                <w:b/>
                <w:bCs/>
                <w:lang w:val="en-GB"/>
              </w:rPr>
              <w:t>BM</w:t>
            </w:r>
            <w:r w:rsidRPr="009F63DF">
              <w:rPr>
                <w:rFonts w:eastAsia="Cambria Math"/>
                <w:b/>
                <w:bCs/>
                <w:vertAlign w:val="subscript"/>
                <w:lang w:val="en-GB"/>
              </w:rPr>
              <w:t>BL</w:t>
            </w:r>
            <w:r w:rsidR="00A03D2E" w:rsidRPr="009F63DF">
              <w:rPr>
                <w:rFonts w:eastAsia="Cambria Math"/>
                <w:b/>
                <w:bCs/>
                <w:i/>
                <w:iCs/>
                <w:vertAlign w:val="subscript"/>
                <w:lang w:val="en-GB"/>
              </w:rPr>
              <w:t>,i,y</w:t>
            </w:r>
          </w:p>
        </w:tc>
      </w:tr>
      <w:tr w:rsidR="00A03D2E" w:rsidRPr="009F63DF" w14:paraId="65387A79" w14:textId="77777777" w:rsidTr="009167D3">
        <w:tc>
          <w:tcPr>
            <w:tcW w:w="1843" w:type="dxa"/>
            <w:shd w:val="clear" w:color="auto" w:fill="E6E6E6"/>
          </w:tcPr>
          <w:p w14:paraId="17BED427" w14:textId="77777777" w:rsidR="00A03D2E" w:rsidRPr="009F63DF" w:rsidRDefault="00A03D2E" w:rsidP="00540956">
            <w:pPr>
              <w:pStyle w:val="ParaTickBox"/>
              <w:tabs>
                <w:tab w:val="clear" w:pos="510"/>
              </w:tabs>
              <w:suppressAutoHyphens/>
              <w:ind w:left="0" w:right="57" w:firstLine="0"/>
              <w:rPr>
                <w:szCs w:val="20"/>
                <w:lang w:val="en-GB"/>
              </w:rPr>
            </w:pPr>
            <w:r w:rsidRPr="009F63DF">
              <w:rPr>
                <w:szCs w:val="20"/>
                <w:lang w:val="en-GB"/>
              </w:rPr>
              <w:t>Description</w:t>
            </w:r>
          </w:p>
        </w:tc>
        <w:tc>
          <w:tcPr>
            <w:tcW w:w="6686" w:type="dxa"/>
            <w:gridSpan w:val="4"/>
          </w:tcPr>
          <w:p w14:paraId="0EDD920B" w14:textId="384DA8DD" w:rsidR="00A03D2E" w:rsidRPr="009F63DF" w:rsidRDefault="00A03D2E" w:rsidP="001E4E35">
            <w:pPr>
              <w:pStyle w:val="ParaTickBox"/>
              <w:tabs>
                <w:tab w:val="clear" w:pos="510"/>
              </w:tabs>
              <w:suppressAutoHyphens/>
              <w:ind w:left="0" w:right="57" w:firstLine="0"/>
              <w:jc w:val="both"/>
              <w:rPr>
                <w:szCs w:val="20"/>
                <w:lang w:val="en-GB"/>
              </w:rPr>
            </w:pPr>
            <w:r w:rsidRPr="009F63DF">
              <w:rPr>
                <w:rFonts w:eastAsia="Montserrat"/>
                <w:lang w:val="en-GB"/>
              </w:rPr>
              <w:t xml:space="preserve">Energy consumption of baseline fuel </w:t>
            </w:r>
            <w:r w:rsidRPr="009F63DF">
              <w:rPr>
                <w:rFonts w:eastAsia="Montserrat"/>
                <w:i/>
                <w:lang w:val="en-GB"/>
              </w:rPr>
              <w:t xml:space="preserve">i </w:t>
            </w:r>
            <w:r w:rsidRPr="009F63DF">
              <w:rPr>
                <w:rFonts w:eastAsia="Montserrat"/>
                <w:lang w:val="en-GB"/>
              </w:rPr>
              <w:t xml:space="preserve">for Article 6.4 activities in year </w:t>
            </w:r>
            <w:r w:rsidRPr="009F63DF">
              <w:rPr>
                <w:rFonts w:eastAsia="Montserrat"/>
                <w:i/>
                <w:iCs/>
                <w:lang w:val="en-GB"/>
              </w:rPr>
              <w:t>y</w:t>
            </w:r>
          </w:p>
        </w:tc>
      </w:tr>
      <w:tr w:rsidR="00EB4E11" w:rsidRPr="009F63DF" w14:paraId="7B3CE336" w14:textId="77777777" w:rsidTr="009167D3">
        <w:tc>
          <w:tcPr>
            <w:tcW w:w="1843" w:type="dxa"/>
            <w:shd w:val="clear" w:color="auto" w:fill="E6E6E6"/>
          </w:tcPr>
          <w:p w14:paraId="42BF62ED" w14:textId="77777777" w:rsidR="00EB4E11" w:rsidRPr="009F63DF" w:rsidRDefault="00EB4E11" w:rsidP="00540956">
            <w:pPr>
              <w:pStyle w:val="ParaTickBox"/>
              <w:tabs>
                <w:tab w:val="clear" w:pos="510"/>
              </w:tabs>
              <w:suppressAutoHyphens/>
              <w:ind w:left="0" w:right="57" w:firstLine="0"/>
              <w:rPr>
                <w:szCs w:val="20"/>
                <w:lang w:val="en-GB"/>
              </w:rPr>
            </w:pPr>
            <w:r w:rsidRPr="009F63DF">
              <w:rPr>
                <w:szCs w:val="20"/>
                <w:lang w:val="en-GB"/>
              </w:rPr>
              <w:t>Data unit</w:t>
            </w:r>
          </w:p>
        </w:tc>
        <w:tc>
          <w:tcPr>
            <w:tcW w:w="6686" w:type="dxa"/>
            <w:gridSpan w:val="4"/>
          </w:tcPr>
          <w:p w14:paraId="4342F850" w14:textId="3FB44181" w:rsidR="00EB4E11" w:rsidRPr="009F63DF" w:rsidRDefault="00A03D2E" w:rsidP="001E4E35">
            <w:pPr>
              <w:pStyle w:val="ParaTickBox"/>
              <w:tabs>
                <w:tab w:val="clear" w:pos="510"/>
              </w:tabs>
              <w:suppressAutoHyphens/>
              <w:ind w:left="0" w:right="57" w:firstLine="0"/>
              <w:jc w:val="both"/>
              <w:rPr>
                <w:szCs w:val="20"/>
                <w:lang w:val="en-GB"/>
              </w:rPr>
            </w:pPr>
            <w:r w:rsidRPr="009F63DF">
              <w:rPr>
                <w:rFonts w:eastAsia="Montserrat"/>
                <w:lang w:val="en-GB"/>
              </w:rPr>
              <w:t>TJ</w:t>
            </w:r>
            <w:r w:rsidR="003232AF" w:rsidRPr="009F63DF">
              <w:rPr>
                <w:rFonts w:eastAsia="Montserrat"/>
                <w:lang w:val="en-GB"/>
              </w:rPr>
              <w:t xml:space="preserve"> </w:t>
            </w:r>
            <w:r w:rsidRPr="009F63DF">
              <w:rPr>
                <w:rFonts w:eastAsia="Montserrat"/>
                <w:lang w:val="en-GB"/>
              </w:rPr>
              <w:t>/</w:t>
            </w:r>
            <w:r w:rsidR="00615311" w:rsidRPr="009F63DF">
              <w:rPr>
                <w:rFonts w:eastAsia="Montserrat"/>
                <w:lang w:val="en-GB"/>
              </w:rPr>
              <w:t xml:space="preserve"> </w:t>
            </w:r>
            <w:r w:rsidRPr="009F63DF">
              <w:rPr>
                <w:rFonts w:eastAsia="Montserrat"/>
                <w:lang w:val="en-GB"/>
              </w:rPr>
              <w:t>(person</w:t>
            </w:r>
            <w:r w:rsidR="00DF2DCC" w:rsidRPr="009F63DF">
              <w:rPr>
                <w:rFonts w:eastAsia="Montserrat"/>
                <w:lang w:val="en-GB"/>
              </w:rPr>
              <w:t xml:space="preserve"> x </w:t>
            </w:r>
            <w:r w:rsidRPr="009F63DF">
              <w:rPr>
                <w:rFonts w:eastAsia="Montserrat"/>
                <w:lang w:val="en-GB"/>
              </w:rPr>
              <w:t>year)</w:t>
            </w:r>
          </w:p>
        </w:tc>
      </w:tr>
      <w:tr w:rsidR="00EB4E11" w:rsidRPr="009F63DF" w14:paraId="12EC3E3A" w14:textId="77777777" w:rsidTr="001603F1">
        <w:tc>
          <w:tcPr>
            <w:tcW w:w="1843" w:type="dxa"/>
            <w:tcBorders>
              <w:bottom w:val="single" w:sz="4" w:space="0" w:color="auto"/>
            </w:tcBorders>
            <w:shd w:val="clear" w:color="auto" w:fill="E6E6E6"/>
          </w:tcPr>
          <w:p w14:paraId="69E579C3" w14:textId="77777777" w:rsidR="00EB4E11" w:rsidRPr="009F63DF" w:rsidRDefault="00EB4E11" w:rsidP="00540956">
            <w:pPr>
              <w:pStyle w:val="ParaTickBox"/>
              <w:tabs>
                <w:tab w:val="clear" w:pos="510"/>
              </w:tabs>
              <w:suppressAutoHyphens/>
              <w:ind w:left="0" w:right="57" w:firstLine="0"/>
              <w:rPr>
                <w:szCs w:val="20"/>
                <w:lang w:val="en-GB"/>
              </w:rPr>
            </w:pPr>
            <w:r w:rsidRPr="009F63DF">
              <w:rPr>
                <w:szCs w:val="20"/>
                <w:lang w:val="en-GB"/>
              </w:rPr>
              <w:t>Equations referred</w:t>
            </w:r>
          </w:p>
        </w:tc>
        <w:tc>
          <w:tcPr>
            <w:tcW w:w="6686" w:type="dxa"/>
            <w:gridSpan w:val="4"/>
            <w:tcBorders>
              <w:bottom w:val="single" w:sz="4" w:space="0" w:color="auto"/>
            </w:tcBorders>
          </w:tcPr>
          <w:p w14:paraId="237D2474" w14:textId="61C1F772" w:rsidR="00EB4E11" w:rsidRPr="009F63DF" w:rsidRDefault="00C519A6" w:rsidP="001E4E35">
            <w:pPr>
              <w:pStyle w:val="ParaTickBox"/>
              <w:tabs>
                <w:tab w:val="clear" w:pos="510"/>
              </w:tabs>
              <w:suppressAutoHyphens/>
              <w:ind w:left="0" w:right="57" w:firstLine="0"/>
              <w:jc w:val="both"/>
              <w:rPr>
                <w:szCs w:val="20"/>
                <w:lang w:val="en-GB"/>
              </w:rPr>
            </w:pPr>
            <w:r w:rsidRPr="009F63DF">
              <w:rPr>
                <w:szCs w:val="20"/>
                <w:lang w:val="en-GB"/>
              </w:rPr>
              <w:t>Equation (</w:t>
            </w:r>
            <w:r w:rsidR="001D3320" w:rsidRPr="009F63DF">
              <w:rPr>
                <w:szCs w:val="20"/>
                <w:lang w:val="en-GB"/>
              </w:rPr>
              <w:t>6</w:t>
            </w:r>
            <w:r w:rsidRPr="009F63DF">
              <w:rPr>
                <w:szCs w:val="20"/>
                <w:lang w:val="en-GB"/>
              </w:rPr>
              <w:t>)</w:t>
            </w:r>
          </w:p>
        </w:tc>
      </w:tr>
      <w:tr w:rsidR="00EB4E11" w:rsidRPr="009F63DF" w14:paraId="7DCC63B2" w14:textId="77777777" w:rsidTr="001603F1">
        <w:tc>
          <w:tcPr>
            <w:tcW w:w="1843" w:type="dxa"/>
            <w:tcBorders>
              <w:bottom w:val="single" w:sz="4" w:space="0" w:color="auto"/>
            </w:tcBorders>
            <w:shd w:val="clear" w:color="auto" w:fill="E6E6E6"/>
          </w:tcPr>
          <w:p w14:paraId="0C1BE082" w14:textId="77777777" w:rsidR="00EB4E11" w:rsidRPr="009F63DF" w:rsidRDefault="00EB4E11" w:rsidP="00540956">
            <w:pPr>
              <w:pStyle w:val="ParaTickBox"/>
              <w:tabs>
                <w:tab w:val="clear" w:pos="510"/>
              </w:tabs>
              <w:suppressAutoHyphens/>
              <w:ind w:left="0" w:right="57" w:firstLine="0"/>
              <w:rPr>
                <w:szCs w:val="20"/>
                <w:lang w:val="en-GB"/>
              </w:rPr>
            </w:pPr>
            <w:r w:rsidRPr="009F63DF">
              <w:rPr>
                <w:szCs w:val="20"/>
                <w:lang w:val="en-GB"/>
              </w:rPr>
              <w:t>Purpose of data</w:t>
            </w:r>
          </w:p>
        </w:tc>
        <w:tc>
          <w:tcPr>
            <w:tcW w:w="2292" w:type="dxa"/>
            <w:tcBorders>
              <w:bottom w:val="single" w:sz="4" w:space="0" w:color="auto"/>
              <w:right w:val="nil"/>
            </w:tcBorders>
          </w:tcPr>
          <w:p w14:paraId="24809FDD" w14:textId="0973DF32" w:rsidR="00EB4E11" w:rsidRPr="009F63DF" w:rsidRDefault="00A03D2E" w:rsidP="001E4E35">
            <w:pPr>
              <w:pStyle w:val="ParaTickBox"/>
              <w:tabs>
                <w:tab w:val="clear" w:pos="510"/>
              </w:tabs>
              <w:suppressAutoHyphens/>
              <w:ind w:left="0" w:right="57" w:firstLine="0"/>
              <w:rPr>
                <w:szCs w:val="20"/>
                <w:lang w:val="en-GB"/>
              </w:rPr>
            </w:pPr>
            <w:r w:rsidRPr="009F63DF">
              <w:rPr>
                <w:szCs w:val="20"/>
                <w:shd w:val="clear" w:color="auto" w:fill="E6E6E6"/>
              </w:rPr>
              <w:fldChar w:fldCharType="begin">
                <w:ffData>
                  <w:name w:val=""/>
                  <w:enabled/>
                  <w:calcOnExit w:val="0"/>
                  <w:checkBox>
                    <w:size w:val="20"/>
                    <w:default w:val="1"/>
                  </w:checkBox>
                </w:ffData>
              </w:fldChar>
            </w:r>
            <w:r w:rsidRPr="009F63DF">
              <w:rPr>
                <w:szCs w:val="20"/>
                <w:shd w:val="clear" w:color="auto" w:fill="E6E6E6"/>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00EB4E11" w:rsidRPr="009F63DF">
              <w:rPr>
                <w:szCs w:val="20"/>
                <w:lang w:val="en-GB"/>
              </w:rPr>
              <w:t xml:space="preserve"> Baseline </w:t>
            </w:r>
            <w:r w:rsidR="00690D69" w:rsidRPr="009F63DF">
              <w:rPr>
                <w:szCs w:val="20"/>
                <w:lang w:val="en-GB"/>
              </w:rPr>
              <w:t>Scenario</w:t>
            </w:r>
          </w:p>
        </w:tc>
        <w:tc>
          <w:tcPr>
            <w:tcW w:w="2170" w:type="dxa"/>
            <w:gridSpan w:val="2"/>
            <w:tcBorders>
              <w:left w:val="nil"/>
              <w:bottom w:val="single" w:sz="4" w:space="0" w:color="auto"/>
              <w:right w:val="nil"/>
            </w:tcBorders>
          </w:tcPr>
          <w:p w14:paraId="7581A372" w14:textId="3D463B16" w:rsidR="00EB4E11" w:rsidRPr="009F63DF" w:rsidRDefault="00EB4E11" w:rsidP="001E4E35">
            <w:pPr>
              <w:pStyle w:val="ParaTickBox"/>
              <w:tabs>
                <w:tab w:val="clear" w:pos="510"/>
              </w:tabs>
              <w:suppressAutoHyphens/>
              <w:ind w:left="0" w:right="57" w:firstLine="0"/>
              <w:rPr>
                <w:szCs w:val="20"/>
                <w:lang w:val="en-GB"/>
              </w:rPr>
            </w:pPr>
            <w:r w:rsidRPr="009F63DF">
              <w:rPr>
                <w:szCs w:val="20"/>
                <w:shd w:val="clear" w:color="auto" w:fill="E6E6E6"/>
              </w:rPr>
              <w:fldChar w:fldCharType="begin">
                <w:ffData>
                  <w:name w:val="Check2"/>
                  <w:enabled/>
                  <w:calcOnExit w:val="0"/>
                  <w:checkBox>
                    <w:size w:val="20"/>
                    <w:default w:val="0"/>
                  </w:checkBox>
                </w:ffData>
              </w:fldChar>
            </w:r>
            <w:r w:rsidRPr="009F63DF">
              <w:rPr>
                <w:szCs w:val="20"/>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Pr="009F63DF">
              <w:rPr>
                <w:szCs w:val="20"/>
                <w:lang w:val="en-GB"/>
              </w:rPr>
              <w:t xml:space="preserve"> </w:t>
            </w:r>
            <w:r w:rsidR="002646DE" w:rsidRPr="009F63DF">
              <w:rPr>
                <w:szCs w:val="20"/>
                <w:lang w:val="en-GB"/>
              </w:rPr>
              <w:t>Activity</w:t>
            </w:r>
            <w:r w:rsidRPr="009F63DF">
              <w:rPr>
                <w:szCs w:val="20"/>
                <w:lang w:val="en-GB"/>
              </w:rPr>
              <w:t xml:space="preserve"> </w:t>
            </w:r>
            <w:r w:rsidR="00690D69" w:rsidRPr="009F63DF">
              <w:rPr>
                <w:szCs w:val="20"/>
                <w:lang w:val="en-GB"/>
              </w:rPr>
              <w:t>Scenario</w:t>
            </w:r>
          </w:p>
        </w:tc>
        <w:tc>
          <w:tcPr>
            <w:tcW w:w="2224" w:type="dxa"/>
            <w:tcBorders>
              <w:left w:val="nil"/>
              <w:bottom w:val="single" w:sz="4" w:space="0" w:color="auto"/>
            </w:tcBorders>
          </w:tcPr>
          <w:p w14:paraId="0968352B" w14:textId="7B5C1471" w:rsidR="00EB4E11" w:rsidRPr="009F63DF" w:rsidRDefault="00EB4E11" w:rsidP="001E4E35">
            <w:pPr>
              <w:pStyle w:val="ParaTickBox"/>
              <w:tabs>
                <w:tab w:val="clear" w:pos="510"/>
              </w:tabs>
              <w:suppressAutoHyphens/>
              <w:ind w:left="0" w:right="57" w:firstLine="0"/>
              <w:rPr>
                <w:szCs w:val="20"/>
                <w:lang w:val="en-GB"/>
              </w:rPr>
            </w:pPr>
            <w:r w:rsidRPr="009F63DF">
              <w:rPr>
                <w:szCs w:val="20"/>
                <w:shd w:val="clear" w:color="auto" w:fill="E6E6E6"/>
              </w:rPr>
              <w:fldChar w:fldCharType="begin">
                <w:ffData>
                  <w:name w:val="Check2"/>
                  <w:enabled/>
                  <w:calcOnExit w:val="0"/>
                  <w:checkBox>
                    <w:size w:val="20"/>
                    <w:default w:val="0"/>
                  </w:checkBox>
                </w:ffData>
              </w:fldChar>
            </w:r>
            <w:r w:rsidRPr="009F63DF">
              <w:rPr>
                <w:szCs w:val="20"/>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Pr="009F63DF">
              <w:rPr>
                <w:szCs w:val="20"/>
                <w:lang w:val="en-GB"/>
              </w:rPr>
              <w:t xml:space="preserve"> Leakage</w:t>
            </w:r>
          </w:p>
        </w:tc>
      </w:tr>
      <w:tr w:rsidR="00EB4E11" w:rsidRPr="009F63DF" w14:paraId="49899E20" w14:textId="77777777" w:rsidTr="001603F1">
        <w:tc>
          <w:tcPr>
            <w:tcW w:w="1843" w:type="dxa"/>
            <w:tcBorders>
              <w:top w:val="single" w:sz="4" w:space="0" w:color="auto"/>
            </w:tcBorders>
            <w:shd w:val="clear" w:color="auto" w:fill="E6E6E6"/>
          </w:tcPr>
          <w:p w14:paraId="2519A2E5" w14:textId="77777777" w:rsidR="00EB4E11" w:rsidRPr="009F63DF" w:rsidRDefault="00EB4E11" w:rsidP="00540956">
            <w:pPr>
              <w:pStyle w:val="ParaTickBox"/>
              <w:tabs>
                <w:tab w:val="clear" w:pos="510"/>
              </w:tabs>
              <w:suppressAutoHyphens/>
              <w:ind w:left="0" w:right="57" w:firstLine="0"/>
              <w:rPr>
                <w:szCs w:val="20"/>
                <w:lang w:val="en-GB"/>
              </w:rPr>
            </w:pPr>
            <w:r w:rsidRPr="009F63DF">
              <w:rPr>
                <w:szCs w:val="20"/>
                <w:lang w:val="en-GB"/>
              </w:rPr>
              <w:t>Value(s) applied</w:t>
            </w:r>
          </w:p>
        </w:tc>
        <w:tc>
          <w:tcPr>
            <w:tcW w:w="6686" w:type="dxa"/>
            <w:gridSpan w:val="4"/>
            <w:tcBorders>
              <w:top w:val="single" w:sz="4" w:space="0" w:color="auto"/>
              <w:bottom w:val="single" w:sz="4" w:space="0" w:color="auto"/>
            </w:tcBorders>
          </w:tcPr>
          <w:tbl>
            <w:tblPr>
              <w:tblStyle w:val="TableGrid"/>
              <w:tblW w:w="0" w:type="auto"/>
              <w:tblLook w:val="04A0" w:firstRow="1" w:lastRow="0" w:firstColumn="1" w:lastColumn="0" w:noHBand="0" w:noVBand="1"/>
            </w:tblPr>
            <w:tblGrid>
              <w:gridCol w:w="3130"/>
              <w:gridCol w:w="1527"/>
              <w:gridCol w:w="1803"/>
            </w:tblGrid>
            <w:tr w:rsidR="00EB4E11" w:rsidRPr="009F63DF" w14:paraId="265F198D" w14:textId="77777777" w:rsidTr="00097A8F">
              <w:tc>
                <w:tcPr>
                  <w:tcW w:w="3130" w:type="dxa"/>
                  <w:vMerge w:val="restart"/>
                  <w:shd w:val="clear" w:color="auto" w:fill="F2F2F2" w:themeFill="background1" w:themeFillShade="F2"/>
                </w:tcPr>
                <w:p w14:paraId="64057B57" w14:textId="78FC1FC7" w:rsidR="00EB4E11" w:rsidRPr="009F63DF" w:rsidRDefault="00A565A1" w:rsidP="001E4E35">
                  <w:pPr>
                    <w:pStyle w:val="ParaTickBox"/>
                    <w:tabs>
                      <w:tab w:val="clear" w:pos="510"/>
                    </w:tabs>
                    <w:suppressAutoHyphens/>
                    <w:ind w:left="0" w:right="57" w:firstLine="0"/>
                    <w:jc w:val="both"/>
                    <w:rPr>
                      <w:b/>
                      <w:bCs/>
                      <w:szCs w:val="20"/>
                      <w:lang w:val="en-GB"/>
                    </w:rPr>
                  </w:pPr>
                  <w:r w:rsidRPr="009F63DF">
                    <w:rPr>
                      <w:b/>
                      <w:bCs/>
                      <w:szCs w:val="20"/>
                      <w:lang w:val="en-GB"/>
                    </w:rPr>
                    <w:t>Benchmark</w:t>
                  </w:r>
                </w:p>
              </w:tc>
              <w:tc>
                <w:tcPr>
                  <w:tcW w:w="3330" w:type="dxa"/>
                  <w:gridSpan w:val="2"/>
                  <w:shd w:val="clear" w:color="auto" w:fill="F2F2F2" w:themeFill="background1" w:themeFillShade="F2"/>
                </w:tcPr>
                <w:p w14:paraId="4159A015" w14:textId="2534A4A0" w:rsidR="00EB4E11" w:rsidRPr="009F63DF" w:rsidRDefault="00F42D95" w:rsidP="001E4E35">
                  <w:pPr>
                    <w:pStyle w:val="ParaTickBox"/>
                    <w:tabs>
                      <w:tab w:val="clear" w:pos="510"/>
                    </w:tabs>
                    <w:suppressAutoHyphens/>
                    <w:ind w:left="0" w:right="57" w:firstLine="0"/>
                    <w:jc w:val="center"/>
                    <w:rPr>
                      <w:b/>
                      <w:bCs/>
                      <w:szCs w:val="20"/>
                      <w:lang w:val="en-GB"/>
                    </w:rPr>
                  </w:pPr>
                  <w:r w:rsidRPr="009F63DF">
                    <w:rPr>
                      <w:b/>
                      <w:bCs/>
                      <w:szCs w:val="20"/>
                      <w:lang w:val="en-GB"/>
                    </w:rPr>
                    <w:t>Fuel type</w:t>
                  </w:r>
                </w:p>
              </w:tc>
            </w:tr>
            <w:tr w:rsidR="00EB4E11" w:rsidRPr="009F63DF" w14:paraId="1903D198" w14:textId="77777777" w:rsidTr="001E4E35">
              <w:trPr>
                <w:trHeight w:val="274"/>
              </w:trPr>
              <w:tc>
                <w:tcPr>
                  <w:tcW w:w="3130" w:type="dxa"/>
                  <w:vMerge/>
                  <w:shd w:val="clear" w:color="auto" w:fill="F2F2F2" w:themeFill="background1" w:themeFillShade="F2"/>
                </w:tcPr>
                <w:p w14:paraId="2963FA7C" w14:textId="77777777" w:rsidR="00EB4E11" w:rsidRPr="009F63DF" w:rsidRDefault="00EB4E11" w:rsidP="001E4E35">
                  <w:pPr>
                    <w:pStyle w:val="ParaTickBox"/>
                    <w:tabs>
                      <w:tab w:val="clear" w:pos="510"/>
                    </w:tabs>
                    <w:suppressAutoHyphens/>
                    <w:ind w:left="0" w:right="57" w:firstLine="0"/>
                    <w:jc w:val="both"/>
                    <w:rPr>
                      <w:b/>
                      <w:bCs/>
                      <w:szCs w:val="20"/>
                      <w:lang w:val="en-GB"/>
                    </w:rPr>
                  </w:pPr>
                </w:p>
              </w:tc>
              <w:tc>
                <w:tcPr>
                  <w:tcW w:w="1527" w:type="dxa"/>
                  <w:shd w:val="clear" w:color="auto" w:fill="F2F2F2" w:themeFill="background1" w:themeFillShade="F2"/>
                </w:tcPr>
                <w:p w14:paraId="7B8D2CBA" w14:textId="32F3026A" w:rsidR="00EB4E11" w:rsidRPr="009F63DF" w:rsidRDefault="00F42D95" w:rsidP="001E4E35">
                  <w:pPr>
                    <w:pStyle w:val="ParaTickBox"/>
                    <w:tabs>
                      <w:tab w:val="clear" w:pos="510"/>
                    </w:tabs>
                    <w:suppressAutoHyphens/>
                    <w:ind w:left="0" w:right="57" w:firstLine="0"/>
                    <w:rPr>
                      <w:b/>
                      <w:bCs/>
                      <w:szCs w:val="20"/>
                      <w:lang w:val="en-GB"/>
                    </w:rPr>
                  </w:pPr>
                  <w:r w:rsidRPr="009F63DF">
                    <w:rPr>
                      <w:b/>
                      <w:bCs/>
                      <w:szCs w:val="20"/>
                      <w:lang w:val="en-GB"/>
                    </w:rPr>
                    <w:t>Fuelwood</w:t>
                  </w:r>
                </w:p>
              </w:tc>
              <w:tc>
                <w:tcPr>
                  <w:tcW w:w="1803" w:type="dxa"/>
                  <w:shd w:val="clear" w:color="auto" w:fill="F2F2F2" w:themeFill="background1" w:themeFillShade="F2"/>
                </w:tcPr>
                <w:p w14:paraId="71F9D8EC" w14:textId="2FB07347" w:rsidR="00EB4E11" w:rsidRPr="009F63DF" w:rsidRDefault="00F42D95" w:rsidP="001E4E35">
                  <w:pPr>
                    <w:pStyle w:val="ParaTickBox"/>
                    <w:tabs>
                      <w:tab w:val="clear" w:pos="510"/>
                    </w:tabs>
                    <w:suppressAutoHyphens/>
                    <w:ind w:left="0" w:right="57" w:firstLine="0"/>
                    <w:rPr>
                      <w:b/>
                      <w:bCs/>
                      <w:szCs w:val="20"/>
                      <w:lang w:val="en-GB"/>
                    </w:rPr>
                  </w:pPr>
                  <w:r w:rsidRPr="009F63DF">
                    <w:rPr>
                      <w:b/>
                      <w:bCs/>
                      <w:szCs w:val="20"/>
                      <w:lang w:val="en-GB"/>
                    </w:rPr>
                    <w:t>Charcoal</w:t>
                  </w:r>
                </w:p>
              </w:tc>
            </w:tr>
            <w:tr w:rsidR="00EB4E11" w:rsidRPr="009F63DF" w14:paraId="50650C70" w14:textId="77777777" w:rsidTr="001E4E35">
              <w:tc>
                <w:tcPr>
                  <w:tcW w:w="3130" w:type="dxa"/>
                </w:tcPr>
                <w:p w14:paraId="428C716F" w14:textId="1DC06555" w:rsidR="00EB4E11" w:rsidRPr="009F63DF" w:rsidRDefault="0052510F" w:rsidP="001E4E35">
                  <w:pPr>
                    <w:pStyle w:val="ParaTickBox"/>
                    <w:tabs>
                      <w:tab w:val="clear" w:pos="510"/>
                    </w:tabs>
                    <w:suppressAutoHyphens/>
                    <w:ind w:left="0" w:right="57" w:firstLine="0"/>
                    <w:jc w:val="both"/>
                    <w:rPr>
                      <w:szCs w:val="20"/>
                      <w:lang w:val="en-GB"/>
                    </w:rPr>
                  </w:pPr>
                  <w:r w:rsidRPr="009F63DF">
                    <w:rPr>
                      <w:szCs w:val="20"/>
                      <w:lang w:val="en-GB"/>
                    </w:rPr>
                    <w:t>Ambitious benchmark (</w:t>
                  </w:r>
                  <w:r w:rsidR="002E3CA3" w:rsidRPr="009F63DF">
                    <w:rPr>
                      <w:szCs w:val="20"/>
                      <w:lang w:val="en-GB"/>
                    </w:rPr>
                    <w:t>activity specific)</w:t>
                  </w:r>
                </w:p>
              </w:tc>
              <w:tc>
                <w:tcPr>
                  <w:tcW w:w="1527" w:type="dxa"/>
                </w:tcPr>
                <w:p w14:paraId="20E89887" w14:textId="1C0F55D3" w:rsidR="00EB4E11" w:rsidRPr="009F63DF" w:rsidRDefault="002E3CA3" w:rsidP="001E4E35">
                  <w:pPr>
                    <w:pStyle w:val="ParaTickBox"/>
                    <w:tabs>
                      <w:tab w:val="clear" w:pos="510"/>
                    </w:tabs>
                    <w:suppressAutoHyphens/>
                    <w:ind w:left="0" w:right="57" w:firstLine="0"/>
                    <w:rPr>
                      <w:szCs w:val="20"/>
                      <w:lang w:val="en-GB"/>
                    </w:rPr>
                  </w:pPr>
                  <w:r w:rsidRPr="009F63DF">
                    <w:rPr>
                      <w:szCs w:val="20"/>
                      <w:lang w:val="en-GB"/>
                    </w:rPr>
                    <w:t>(activity specific)</w:t>
                  </w:r>
                </w:p>
              </w:tc>
              <w:tc>
                <w:tcPr>
                  <w:tcW w:w="1803" w:type="dxa"/>
                </w:tcPr>
                <w:p w14:paraId="1630276C" w14:textId="4B8739C7" w:rsidR="00EB4E11" w:rsidRPr="009F63DF" w:rsidRDefault="002E3CA3" w:rsidP="001E4E35">
                  <w:pPr>
                    <w:pStyle w:val="ParaTickBox"/>
                    <w:tabs>
                      <w:tab w:val="clear" w:pos="510"/>
                    </w:tabs>
                    <w:suppressAutoHyphens/>
                    <w:ind w:left="0" w:right="57" w:firstLine="0"/>
                    <w:rPr>
                      <w:szCs w:val="20"/>
                      <w:lang w:val="en-GB"/>
                    </w:rPr>
                  </w:pPr>
                  <w:r w:rsidRPr="009F63DF">
                    <w:rPr>
                      <w:szCs w:val="20"/>
                      <w:lang w:val="en-GB"/>
                    </w:rPr>
                    <w:t>(activity specific)</w:t>
                  </w:r>
                </w:p>
              </w:tc>
            </w:tr>
          </w:tbl>
          <w:p w14:paraId="7B536654" w14:textId="77777777" w:rsidR="00EB4E11" w:rsidRPr="009F63DF" w:rsidRDefault="00EB4E11" w:rsidP="001E4E35">
            <w:pPr>
              <w:pStyle w:val="ParaTickBox"/>
              <w:tabs>
                <w:tab w:val="clear" w:pos="510"/>
                <w:tab w:val="left" w:pos="315"/>
              </w:tabs>
              <w:suppressAutoHyphens/>
              <w:ind w:left="4680" w:firstLine="0"/>
              <w:jc w:val="both"/>
              <w:rPr>
                <w:i/>
                <w:iCs/>
                <w:szCs w:val="20"/>
                <w:lang w:val="en-GB"/>
              </w:rPr>
            </w:pPr>
          </w:p>
        </w:tc>
      </w:tr>
      <w:tr w:rsidR="00EB4E11" w:rsidRPr="009F63DF" w14:paraId="79FC18A5" w14:textId="77777777" w:rsidTr="009167D3">
        <w:tc>
          <w:tcPr>
            <w:tcW w:w="1843" w:type="dxa"/>
            <w:shd w:val="clear" w:color="auto" w:fill="E6E6E6"/>
          </w:tcPr>
          <w:p w14:paraId="3F8403F9" w14:textId="77777777" w:rsidR="00EB4E11" w:rsidRPr="009F63DF" w:rsidRDefault="00EB4E11" w:rsidP="00540956">
            <w:pPr>
              <w:pStyle w:val="ParaTickBox"/>
              <w:tabs>
                <w:tab w:val="clear" w:pos="510"/>
              </w:tabs>
              <w:suppressAutoHyphens/>
              <w:ind w:left="0" w:right="57" w:firstLine="0"/>
              <w:rPr>
                <w:szCs w:val="20"/>
                <w:lang w:val="en-GB"/>
              </w:rPr>
            </w:pPr>
            <w:r w:rsidRPr="009F63DF">
              <w:rPr>
                <w:szCs w:val="20"/>
                <w:lang w:val="en-GB"/>
              </w:rPr>
              <w:t>Source of data</w:t>
            </w:r>
          </w:p>
        </w:tc>
        <w:tc>
          <w:tcPr>
            <w:tcW w:w="3677" w:type="dxa"/>
            <w:gridSpan w:val="2"/>
            <w:tcBorders>
              <w:bottom w:val="nil"/>
              <w:right w:val="nil"/>
            </w:tcBorders>
            <w:vAlign w:val="center"/>
          </w:tcPr>
          <w:p w14:paraId="469932D6" w14:textId="58B52344" w:rsidR="00EB4E11" w:rsidRPr="009F63DF" w:rsidRDefault="00EB4E11" w:rsidP="001E4E35">
            <w:pPr>
              <w:pStyle w:val="ParaTickBox"/>
              <w:suppressAutoHyphens/>
              <w:ind w:left="510" w:hanging="510"/>
              <w:rPr>
                <w:szCs w:val="20"/>
                <w:lang w:val="en-GB"/>
              </w:rPr>
            </w:pPr>
            <w:r w:rsidRPr="009F63DF">
              <w:rPr>
                <w:szCs w:val="20"/>
                <w:shd w:val="clear" w:color="auto" w:fill="E6E6E6"/>
              </w:rPr>
              <w:fldChar w:fldCharType="begin">
                <w:ffData>
                  <w:name w:val=""/>
                  <w:enabled/>
                  <w:calcOnExit w:val="0"/>
                  <w:checkBox>
                    <w:size w:val="20"/>
                    <w:default w:val="0"/>
                  </w:checkBox>
                </w:ffData>
              </w:fldChar>
            </w:r>
            <w:r w:rsidRPr="009F63DF">
              <w:rPr>
                <w:szCs w:val="20"/>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Pr="009F63DF">
              <w:rPr>
                <w:szCs w:val="20"/>
                <w:lang w:val="en-GB"/>
              </w:rPr>
              <w:t xml:space="preserve"> Measured</w:t>
            </w:r>
          </w:p>
        </w:tc>
        <w:tc>
          <w:tcPr>
            <w:tcW w:w="3009" w:type="dxa"/>
            <w:gridSpan w:val="2"/>
            <w:tcBorders>
              <w:left w:val="nil"/>
              <w:bottom w:val="nil"/>
            </w:tcBorders>
            <w:vAlign w:val="center"/>
          </w:tcPr>
          <w:p w14:paraId="7E400B3D" w14:textId="223346EC" w:rsidR="00EB4E11" w:rsidRPr="009F63DF" w:rsidRDefault="0040225C" w:rsidP="001E4E35">
            <w:pPr>
              <w:pStyle w:val="ParaTickBox"/>
              <w:tabs>
                <w:tab w:val="clear" w:pos="510"/>
              </w:tabs>
              <w:suppressAutoHyphens/>
              <w:ind w:left="0" w:right="57" w:firstLine="0"/>
              <w:rPr>
                <w:szCs w:val="20"/>
                <w:lang w:val="en-GB"/>
              </w:rPr>
            </w:pPr>
            <w:r w:rsidRPr="009F63DF">
              <w:rPr>
                <w:szCs w:val="20"/>
                <w:shd w:val="clear" w:color="auto" w:fill="E6E6E6"/>
              </w:rPr>
              <w:fldChar w:fldCharType="begin">
                <w:ffData>
                  <w:name w:val=""/>
                  <w:enabled/>
                  <w:calcOnExit w:val="0"/>
                  <w:checkBox>
                    <w:size w:val="20"/>
                    <w:default w:val="1"/>
                  </w:checkBox>
                </w:ffData>
              </w:fldChar>
            </w:r>
            <w:r w:rsidRPr="009F63DF">
              <w:rPr>
                <w:szCs w:val="20"/>
                <w:shd w:val="clear" w:color="auto" w:fill="E6E6E6"/>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00EB4E11" w:rsidRPr="009F63DF">
              <w:rPr>
                <w:szCs w:val="20"/>
                <w:shd w:val="clear" w:color="auto" w:fill="E6E6E6"/>
                <w:lang w:val="en-GB"/>
              </w:rPr>
              <w:t xml:space="preserve"> </w:t>
            </w:r>
            <w:r w:rsidR="00EB4E11" w:rsidRPr="009F63DF">
              <w:rPr>
                <w:szCs w:val="20"/>
                <w:lang w:val="en-GB"/>
              </w:rPr>
              <w:t>Other sources</w:t>
            </w:r>
          </w:p>
        </w:tc>
      </w:tr>
      <w:tr w:rsidR="00EB4E11" w:rsidRPr="009F63DF" w14:paraId="5DC3A74A" w14:textId="77777777" w:rsidTr="009167D3">
        <w:tc>
          <w:tcPr>
            <w:tcW w:w="1843" w:type="dxa"/>
            <w:shd w:val="clear" w:color="auto" w:fill="E6E6E6"/>
          </w:tcPr>
          <w:p w14:paraId="574A6AF3" w14:textId="77777777" w:rsidR="00EB4E11" w:rsidRPr="009F63DF" w:rsidRDefault="00EB4E11" w:rsidP="00540956">
            <w:pPr>
              <w:pStyle w:val="ParaTickBox"/>
              <w:tabs>
                <w:tab w:val="clear" w:pos="510"/>
              </w:tabs>
              <w:suppressAutoHyphens/>
              <w:ind w:left="0" w:right="57" w:firstLine="0"/>
              <w:rPr>
                <w:szCs w:val="20"/>
                <w:lang w:val="en-GB"/>
              </w:rPr>
            </w:pPr>
            <w:r w:rsidRPr="009F63DF">
              <w:rPr>
                <w:szCs w:val="20"/>
                <w:lang w:val="en-GB"/>
              </w:rPr>
              <w:t>Choice of data or measurement methods and procedures</w:t>
            </w:r>
          </w:p>
        </w:tc>
        <w:tc>
          <w:tcPr>
            <w:tcW w:w="6686" w:type="dxa"/>
            <w:gridSpan w:val="4"/>
            <w:tcBorders>
              <w:top w:val="single" w:sz="4" w:space="0" w:color="auto"/>
            </w:tcBorders>
          </w:tcPr>
          <w:p w14:paraId="5CF5D39A" w14:textId="4CD4883C" w:rsidR="00EB4E11" w:rsidRPr="009F63DF" w:rsidRDefault="00A565A1" w:rsidP="001E4E35">
            <w:pPr>
              <w:pStyle w:val="ParaTickBox"/>
              <w:tabs>
                <w:tab w:val="clear" w:pos="510"/>
              </w:tabs>
              <w:suppressAutoHyphens/>
              <w:ind w:left="0" w:right="57" w:firstLine="0"/>
              <w:jc w:val="both"/>
              <w:rPr>
                <w:szCs w:val="20"/>
                <w:lang w:val="en-GB"/>
              </w:rPr>
            </w:pPr>
            <w:r w:rsidRPr="009F63DF">
              <w:rPr>
                <w:rFonts w:eastAsia="Montserrat"/>
                <w:lang w:val="en-GB"/>
              </w:rPr>
              <w:t xml:space="preserve">This </w:t>
            </w:r>
            <w:r w:rsidR="000C6402" w:rsidRPr="009F63DF">
              <w:rPr>
                <w:rFonts w:eastAsia="Montserrat"/>
                <w:lang w:val="en-GB"/>
              </w:rPr>
              <w:t>parameter shall be updated at the beginning</w:t>
            </w:r>
            <w:r w:rsidR="0040225C" w:rsidRPr="009F63DF">
              <w:rPr>
                <w:rFonts w:eastAsia="Montserrat"/>
                <w:lang w:val="en-GB"/>
              </w:rPr>
              <w:t xml:space="preserve"> of each crediting period</w:t>
            </w:r>
            <w:r w:rsidR="000C6402" w:rsidRPr="009F63DF">
              <w:rPr>
                <w:rFonts w:eastAsia="Montserrat"/>
                <w:lang w:val="en-GB"/>
              </w:rPr>
              <w:t>,</w:t>
            </w:r>
            <w:r w:rsidR="0040225C" w:rsidRPr="009F63DF">
              <w:rPr>
                <w:rFonts w:eastAsia="Montserrat"/>
                <w:lang w:val="en-GB"/>
              </w:rPr>
              <w:t xml:space="preserve"> or after five years from the start date of the crediting period, whichever comes first</w:t>
            </w:r>
          </w:p>
        </w:tc>
      </w:tr>
      <w:tr w:rsidR="00EB4E11" w:rsidRPr="009F63DF" w14:paraId="33888D9C" w14:textId="77777777" w:rsidTr="009167D3">
        <w:tc>
          <w:tcPr>
            <w:tcW w:w="1843" w:type="dxa"/>
            <w:shd w:val="clear" w:color="auto" w:fill="E6E6E6"/>
          </w:tcPr>
          <w:p w14:paraId="35F5B4C0" w14:textId="77777777" w:rsidR="00EB4E11" w:rsidRPr="009F63DF" w:rsidRDefault="00EB4E11"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86" w:type="dxa"/>
            <w:gridSpan w:val="4"/>
          </w:tcPr>
          <w:p w14:paraId="7120A168" w14:textId="77777777" w:rsidR="00615311" w:rsidRPr="009F63DF" w:rsidRDefault="007121CF" w:rsidP="00655F47">
            <w:pPr>
              <w:keepNext/>
              <w:suppressAutoHyphens/>
              <w:spacing w:before="60" w:after="60"/>
              <w:ind w:right="57"/>
              <w:rPr>
                <w:rFonts w:cs="Arial"/>
                <w:sz w:val="20"/>
                <w:lang w:val="en-GB" w:eastAsia="en-US"/>
              </w:rPr>
            </w:pPr>
            <w:r w:rsidRPr="009F63DF">
              <w:rPr>
                <w:rFonts w:cs="Arial"/>
                <w:sz w:val="20"/>
                <w:lang w:val="en-GB" w:eastAsia="en-US"/>
              </w:rPr>
              <w:t xml:space="preserve">Uncertainty is managed by </w:t>
            </w:r>
            <w:r w:rsidR="00C02137" w:rsidRPr="009F63DF">
              <w:rPr>
                <w:rFonts w:cs="Arial"/>
                <w:sz w:val="20"/>
                <w:lang w:val="en-GB" w:eastAsia="en-US"/>
              </w:rPr>
              <w:t>providing backstop</w:t>
            </w:r>
            <w:r w:rsidRPr="009F63DF">
              <w:rPr>
                <w:rFonts w:cs="Arial"/>
                <w:sz w:val="20"/>
                <w:lang w:val="en-GB" w:eastAsia="en-US"/>
              </w:rPr>
              <w:t xml:space="preserve"> values </w:t>
            </w:r>
            <w:r w:rsidR="00C02137" w:rsidRPr="009F63DF">
              <w:rPr>
                <w:rFonts w:cs="Arial"/>
                <w:sz w:val="20"/>
                <w:lang w:val="en-GB" w:eastAsia="en-US"/>
              </w:rPr>
              <w:t>for</w:t>
            </w:r>
            <w:r w:rsidRPr="009F63DF">
              <w:rPr>
                <w:rFonts w:cs="Arial"/>
                <w:sz w:val="20"/>
                <w:lang w:val="en-GB" w:eastAsia="en-US"/>
              </w:rPr>
              <w:t xml:space="preserve"> </w:t>
            </w:r>
            <w:r w:rsidR="00386E95" w:rsidRPr="009F63DF">
              <w:rPr>
                <w:rFonts w:cs="Arial"/>
                <w:sz w:val="20"/>
                <w:lang w:val="en-GB" w:eastAsia="en-US"/>
              </w:rPr>
              <w:t>benchmark efficiency of</w:t>
            </w:r>
            <w:r w:rsidR="00615311" w:rsidRPr="009F63DF">
              <w:rPr>
                <w:rFonts w:cs="Arial"/>
                <w:sz w:val="20"/>
                <w:lang w:val="en-GB" w:eastAsia="en-US"/>
              </w:rPr>
              <w:t>:</w:t>
            </w:r>
          </w:p>
          <w:p w14:paraId="5838E6BA" w14:textId="77777777" w:rsidR="00615311" w:rsidRPr="009F63DF" w:rsidRDefault="00386E95" w:rsidP="00AF1AC1">
            <w:pPr>
              <w:pStyle w:val="ListParagraph"/>
              <w:keepNext/>
              <w:numPr>
                <w:ilvl w:val="0"/>
                <w:numId w:val="32"/>
              </w:numPr>
              <w:suppressAutoHyphens/>
              <w:spacing w:before="60" w:after="60"/>
              <w:ind w:right="57"/>
              <w:rPr>
                <w:rFonts w:cs="Arial"/>
                <w:sz w:val="20"/>
                <w:lang w:val="en-GB" w:eastAsia="en-US"/>
              </w:rPr>
            </w:pPr>
            <w:r w:rsidRPr="009F63DF">
              <w:rPr>
                <w:rFonts w:cs="Arial"/>
                <w:sz w:val="20"/>
                <w:lang w:val="en-GB" w:eastAsia="en-US"/>
              </w:rPr>
              <w:t>16.6 per cent, for a total energy consumption of fuelwood of 0.0076 TJ / (person</w:t>
            </w:r>
            <w:r w:rsidR="008F30EE" w:rsidRPr="009F63DF">
              <w:rPr>
                <w:rFonts w:cs="Arial"/>
                <w:sz w:val="20"/>
                <w:lang w:val="en-GB" w:eastAsia="en-US"/>
              </w:rPr>
              <w:t xml:space="preserve"> x </w:t>
            </w:r>
            <w:r w:rsidRPr="009F63DF">
              <w:rPr>
                <w:rFonts w:cs="Arial"/>
                <w:sz w:val="20"/>
                <w:lang w:val="en-GB" w:eastAsia="en-US"/>
              </w:rPr>
              <w:t>year), equivalent to 0.</w:t>
            </w:r>
            <w:r w:rsidR="00C02137" w:rsidRPr="009F63DF">
              <w:rPr>
                <w:rFonts w:cs="Arial"/>
                <w:sz w:val="20"/>
                <w:lang w:val="en-GB" w:eastAsia="en-US"/>
              </w:rPr>
              <w:t>49</w:t>
            </w:r>
            <w:r w:rsidRPr="009F63DF">
              <w:rPr>
                <w:rFonts w:cs="Arial"/>
                <w:sz w:val="20"/>
                <w:lang w:val="en-GB" w:eastAsia="en-US"/>
              </w:rPr>
              <w:t xml:space="preserve"> tonnes</w:t>
            </w:r>
            <w:r w:rsidR="008F30EE" w:rsidRPr="009F63DF">
              <w:rPr>
                <w:rFonts w:cs="Arial"/>
                <w:sz w:val="20"/>
                <w:lang w:val="en-GB" w:eastAsia="en-US"/>
              </w:rPr>
              <w:t xml:space="preserve"> </w:t>
            </w:r>
            <w:r w:rsidRPr="009F63DF">
              <w:rPr>
                <w:rFonts w:cs="Arial"/>
                <w:sz w:val="20"/>
                <w:lang w:val="en-GB" w:eastAsia="en-US"/>
              </w:rPr>
              <w:t>/ (person</w:t>
            </w:r>
            <w:r w:rsidR="00D654EB" w:rsidRPr="009F63DF">
              <w:rPr>
                <w:rFonts w:cs="Arial"/>
                <w:sz w:val="20"/>
                <w:lang w:val="en-GB" w:eastAsia="en-US"/>
              </w:rPr>
              <w:t xml:space="preserve"> x</w:t>
            </w:r>
            <w:r w:rsidR="00800013" w:rsidRPr="009F63DF">
              <w:rPr>
                <w:rFonts w:cs="Arial"/>
                <w:sz w:val="20"/>
                <w:lang w:val="en-GB" w:eastAsia="en-US"/>
              </w:rPr>
              <w:t xml:space="preserve"> </w:t>
            </w:r>
            <w:r w:rsidRPr="009F63DF">
              <w:rPr>
                <w:rFonts w:cs="Arial"/>
                <w:sz w:val="20"/>
                <w:lang w:val="en-GB" w:eastAsia="en-US"/>
              </w:rPr>
              <w:t>year) for fuelwood</w:t>
            </w:r>
            <w:r w:rsidR="00275C1A" w:rsidRPr="009F63DF">
              <w:rPr>
                <w:rFonts w:cs="Arial"/>
                <w:sz w:val="20"/>
                <w:lang w:val="en-GB" w:eastAsia="en-US"/>
              </w:rPr>
              <w:t>;</w:t>
            </w:r>
            <w:r w:rsidRPr="009F63DF">
              <w:rPr>
                <w:rFonts w:cs="Arial"/>
                <w:sz w:val="20"/>
                <w:lang w:val="en-GB" w:eastAsia="en-US"/>
              </w:rPr>
              <w:t xml:space="preserve"> and</w:t>
            </w:r>
          </w:p>
          <w:p w14:paraId="2E23EEAF" w14:textId="382577B5" w:rsidR="00EB4E11" w:rsidRPr="009F63DF" w:rsidRDefault="005120D2" w:rsidP="00AF1AC1">
            <w:pPr>
              <w:pStyle w:val="ListParagraph"/>
              <w:keepNext/>
              <w:numPr>
                <w:ilvl w:val="0"/>
                <w:numId w:val="32"/>
              </w:numPr>
              <w:suppressAutoHyphens/>
              <w:spacing w:before="60" w:after="60"/>
              <w:ind w:right="57"/>
              <w:rPr>
                <w:i/>
                <w:iCs/>
                <w:szCs w:val="20"/>
                <w:lang w:val="en-GB"/>
              </w:rPr>
            </w:pPr>
            <w:r w:rsidRPr="009F63DF">
              <w:rPr>
                <w:rFonts w:cs="Arial"/>
                <w:sz w:val="20"/>
                <w:lang w:val="en-GB" w:eastAsia="en-US"/>
              </w:rPr>
              <w:t xml:space="preserve">27.4 per cent, at a total energy consumption of charcoal of 0.0040 TJ / (person </w:t>
            </w:r>
            <w:r w:rsidR="00D654EB" w:rsidRPr="009F63DF">
              <w:rPr>
                <w:rFonts w:cs="Arial"/>
                <w:sz w:val="20"/>
                <w:lang w:val="en-GB" w:eastAsia="en-US"/>
              </w:rPr>
              <w:t xml:space="preserve">x </w:t>
            </w:r>
            <w:r w:rsidRPr="009F63DF">
              <w:rPr>
                <w:rFonts w:cs="Arial"/>
                <w:sz w:val="20"/>
                <w:lang w:val="en-GB" w:eastAsia="en-US"/>
              </w:rPr>
              <w:t>year), equivalent to 0.135 tonnes</w:t>
            </w:r>
            <w:r w:rsidR="008F30EE" w:rsidRPr="009F63DF">
              <w:rPr>
                <w:rFonts w:cs="Arial"/>
                <w:sz w:val="20"/>
                <w:lang w:val="en-GB" w:eastAsia="en-US"/>
              </w:rPr>
              <w:t xml:space="preserve"> </w:t>
            </w:r>
            <w:r w:rsidRPr="009F63DF">
              <w:rPr>
                <w:rFonts w:cs="Arial"/>
                <w:sz w:val="20"/>
                <w:lang w:val="en-GB" w:eastAsia="en-US"/>
              </w:rPr>
              <w:t>/ (person</w:t>
            </w:r>
            <w:r w:rsidR="00D654EB" w:rsidRPr="009F63DF">
              <w:rPr>
                <w:rFonts w:cs="Arial"/>
                <w:sz w:val="20"/>
                <w:lang w:val="en-GB" w:eastAsia="en-US"/>
              </w:rPr>
              <w:t xml:space="preserve"> x</w:t>
            </w:r>
            <w:r w:rsidR="006D405F" w:rsidRPr="009F63DF">
              <w:rPr>
                <w:rFonts w:cs="Arial"/>
                <w:sz w:val="20"/>
                <w:lang w:val="en-GB" w:eastAsia="en-US"/>
              </w:rPr>
              <w:t xml:space="preserve"> </w:t>
            </w:r>
            <w:r w:rsidRPr="009F63DF">
              <w:rPr>
                <w:rFonts w:cs="Arial"/>
                <w:sz w:val="20"/>
                <w:lang w:val="en-GB" w:eastAsia="en-US"/>
              </w:rPr>
              <w:t>year)</w:t>
            </w:r>
            <w:r w:rsidR="00275C1A" w:rsidRPr="009F63DF">
              <w:rPr>
                <w:rFonts w:cs="Arial"/>
                <w:sz w:val="20"/>
                <w:lang w:val="en-GB" w:eastAsia="en-US"/>
              </w:rPr>
              <w:t xml:space="preserve"> for charcoal</w:t>
            </w:r>
          </w:p>
        </w:tc>
      </w:tr>
      <w:tr w:rsidR="00EB4E11" w:rsidRPr="009F63DF" w14:paraId="76424606" w14:textId="77777777" w:rsidTr="009167D3">
        <w:tc>
          <w:tcPr>
            <w:tcW w:w="1843" w:type="dxa"/>
            <w:shd w:val="clear" w:color="auto" w:fill="E6E6E6"/>
          </w:tcPr>
          <w:p w14:paraId="18AD71F1" w14:textId="77777777" w:rsidR="00EB4E11" w:rsidRPr="009F63DF" w:rsidRDefault="00EB4E11" w:rsidP="00540956">
            <w:pPr>
              <w:pStyle w:val="ParaTickBox"/>
              <w:tabs>
                <w:tab w:val="clear" w:pos="510"/>
              </w:tabs>
              <w:suppressAutoHyphens/>
              <w:ind w:left="0" w:right="57" w:firstLine="0"/>
              <w:rPr>
                <w:szCs w:val="20"/>
                <w:lang w:val="en-GB"/>
              </w:rPr>
            </w:pPr>
            <w:r w:rsidRPr="009F63DF">
              <w:rPr>
                <w:szCs w:val="20"/>
                <w:lang w:val="en-GB"/>
              </w:rPr>
              <w:t>Additional comments</w:t>
            </w:r>
          </w:p>
        </w:tc>
        <w:tc>
          <w:tcPr>
            <w:tcW w:w="6686" w:type="dxa"/>
            <w:gridSpan w:val="4"/>
          </w:tcPr>
          <w:p w14:paraId="50F8DCFA" w14:textId="3F5CF3A1" w:rsidR="00EB4E11" w:rsidRPr="009F63DF" w:rsidRDefault="000A4D34" w:rsidP="001E4E35">
            <w:pPr>
              <w:pStyle w:val="ParaTickBox"/>
              <w:tabs>
                <w:tab w:val="clear" w:pos="510"/>
              </w:tabs>
              <w:suppressAutoHyphens/>
              <w:ind w:left="0" w:right="57" w:firstLine="0"/>
              <w:jc w:val="both"/>
              <w:rPr>
                <w:i/>
                <w:iCs/>
                <w:szCs w:val="20"/>
                <w:lang w:val="en-GB"/>
              </w:rPr>
            </w:pPr>
            <w:r w:rsidRPr="009F63DF">
              <w:rPr>
                <w:szCs w:val="20"/>
                <w:lang w:val="en-GB"/>
              </w:rPr>
              <w:t>N/A</w:t>
            </w:r>
          </w:p>
        </w:tc>
      </w:tr>
    </w:tbl>
    <w:p w14:paraId="10A5EA4E" w14:textId="396B5A2D" w:rsidR="00576710" w:rsidRPr="009F63DF" w:rsidRDefault="00576710" w:rsidP="00576710">
      <w:pPr>
        <w:keepNext/>
        <w:keepLines/>
        <w:tabs>
          <w:tab w:val="left" w:pos="1134"/>
          <w:tab w:val="left" w:pos="1956"/>
          <w:tab w:val="left" w:pos="2126"/>
          <w:tab w:val="left" w:pos="2693"/>
          <w:tab w:val="left" w:pos="3260"/>
        </w:tabs>
        <w:spacing w:before="320" w:after="120"/>
        <w:ind w:left="1956" w:hanging="1247"/>
        <w:rPr>
          <w:b/>
          <w:sz w:val="20"/>
        </w:rPr>
      </w:pPr>
      <w:bookmarkStart w:id="786" w:name="_Toc226502300"/>
      <w:bookmarkStart w:id="787" w:name="_Toc226576253"/>
      <w:bookmarkStart w:id="788" w:name="_Toc226983104"/>
      <w:bookmarkStart w:id="789" w:name="_Toc227677304"/>
      <w:bookmarkStart w:id="790" w:name="_Toc227694826"/>
      <w:bookmarkStart w:id="791" w:name="_Toc219711087"/>
      <w:bookmarkStart w:id="792" w:name="_Toc219711190"/>
      <w:bookmarkStart w:id="793" w:name="_Toc219711367"/>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13</w:t>
      </w:r>
      <w:r w:rsidRPr="009F63DF">
        <w:rPr>
          <w:b/>
          <w:sz w:val="20"/>
        </w:rPr>
        <w:fldChar w:fldCharType="end"/>
      </w:r>
      <w:r w:rsidRPr="009F63DF">
        <w:rPr>
          <w:b/>
          <w:sz w:val="20"/>
        </w:rPr>
        <w:t>.</w:t>
      </w:r>
    </w:p>
    <w:tbl>
      <w:tblPr>
        <w:tblStyle w:val="TableGrid"/>
        <w:tblW w:w="8529" w:type="dxa"/>
        <w:tblInd w:w="822" w:type="dxa"/>
        <w:tblLayout w:type="fixed"/>
        <w:tblLook w:val="04A0" w:firstRow="1" w:lastRow="0" w:firstColumn="1" w:lastColumn="0" w:noHBand="0" w:noVBand="1"/>
      </w:tblPr>
      <w:tblGrid>
        <w:gridCol w:w="1843"/>
        <w:gridCol w:w="2292"/>
        <w:gridCol w:w="1385"/>
        <w:gridCol w:w="785"/>
        <w:gridCol w:w="2224"/>
      </w:tblGrid>
      <w:tr w:rsidR="00590A3A" w:rsidRPr="009F63DF" w14:paraId="21A291CF" w14:textId="77777777" w:rsidTr="009167D3">
        <w:tc>
          <w:tcPr>
            <w:tcW w:w="1843" w:type="dxa"/>
            <w:shd w:val="clear" w:color="auto" w:fill="E6E6E6"/>
          </w:tcPr>
          <w:p w14:paraId="481A6F1A" w14:textId="77777777" w:rsidR="00576710" w:rsidRPr="009F63DF" w:rsidRDefault="00576710" w:rsidP="00540956">
            <w:pPr>
              <w:pStyle w:val="ParaTickBox"/>
              <w:keepNext/>
              <w:tabs>
                <w:tab w:val="clear" w:pos="510"/>
              </w:tabs>
              <w:suppressAutoHyphens/>
              <w:ind w:left="0" w:right="57" w:firstLine="0"/>
              <w:rPr>
                <w:b/>
                <w:bCs/>
                <w:szCs w:val="20"/>
                <w:lang w:val="en-GB"/>
              </w:rPr>
            </w:pPr>
            <w:r w:rsidRPr="009F63DF">
              <w:rPr>
                <w:b/>
                <w:bCs/>
                <w:szCs w:val="20"/>
                <w:lang w:val="en-GB"/>
              </w:rPr>
              <w:t>Data/parameter</w:t>
            </w:r>
          </w:p>
        </w:tc>
        <w:tc>
          <w:tcPr>
            <w:tcW w:w="6686" w:type="dxa"/>
            <w:gridSpan w:val="4"/>
          </w:tcPr>
          <w:p w14:paraId="600457A0" w14:textId="77777777" w:rsidR="00576710" w:rsidRPr="009F63DF" w:rsidRDefault="00576710" w:rsidP="00B0416C">
            <w:pPr>
              <w:pStyle w:val="ParaTickBox"/>
              <w:keepNext/>
              <w:tabs>
                <w:tab w:val="clear" w:pos="510"/>
              </w:tabs>
              <w:suppressAutoHyphens/>
              <w:ind w:left="0" w:right="57" w:firstLine="0"/>
              <w:jc w:val="both"/>
              <w:rPr>
                <w:b/>
                <w:i/>
                <w:szCs w:val="20"/>
                <w:lang w:val="en-GB"/>
              </w:rPr>
            </w:pPr>
            <w:r w:rsidRPr="009F63DF">
              <w:rPr>
                <w:rFonts w:ascii="Cambria Math" w:eastAsia="Cambria Math" w:hAnsi="Cambria Math" w:cs="Cambria Math"/>
                <w:b/>
                <w:bCs/>
                <w:lang w:val="en-GB"/>
              </w:rPr>
              <w:t>BM</w:t>
            </w:r>
            <w:r w:rsidRPr="009F63DF">
              <w:rPr>
                <w:rFonts w:eastAsia="Cambria Math"/>
                <w:b/>
                <w:bCs/>
                <w:vertAlign w:val="subscript"/>
                <w:lang w:val="en-GB"/>
              </w:rPr>
              <w:t>BL</w:t>
            </w:r>
            <w:r w:rsidRPr="009F63DF">
              <w:rPr>
                <w:rFonts w:eastAsia="Cambria Math"/>
                <w:b/>
                <w:bCs/>
                <w:i/>
                <w:iCs/>
                <w:vertAlign w:val="subscript"/>
                <w:lang w:val="en-GB"/>
              </w:rPr>
              <w:t>,I,UNC,y</w:t>
            </w:r>
          </w:p>
        </w:tc>
      </w:tr>
      <w:tr w:rsidR="00590A3A" w:rsidRPr="009F63DF" w14:paraId="6C3D0CB5" w14:textId="77777777" w:rsidTr="009167D3">
        <w:tc>
          <w:tcPr>
            <w:tcW w:w="1843" w:type="dxa"/>
            <w:shd w:val="clear" w:color="auto" w:fill="E6E6E6"/>
          </w:tcPr>
          <w:p w14:paraId="74C06F43" w14:textId="77777777" w:rsidR="00576710" w:rsidRPr="009F63DF" w:rsidRDefault="00576710" w:rsidP="00540956">
            <w:pPr>
              <w:pStyle w:val="ParaTickBox"/>
              <w:tabs>
                <w:tab w:val="clear" w:pos="510"/>
              </w:tabs>
              <w:suppressAutoHyphens/>
              <w:ind w:left="0" w:right="57" w:firstLine="0"/>
              <w:rPr>
                <w:szCs w:val="20"/>
                <w:lang w:val="en-GB"/>
              </w:rPr>
            </w:pPr>
            <w:r w:rsidRPr="009F63DF">
              <w:rPr>
                <w:szCs w:val="20"/>
                <w:lang w:val="en-GB"/>
              </w:rPr>
              <w:t>Description</w:t>
            </w:r>
          </w:p>
        </w:tc>
        <w:tc>
          <w:tcPr>
            <w:tcW w:w="6686" w:type="dxa"/>
            <w:gridSpan w:val="4"/>
          </w:tcPr>
          <w:p w14:paraId="15795EF8" w14:textId="7D98DCA9" w:rsidR="00576710" w:rsidRPr="009F63DF" w:rsidRDefault="00576710" w:rsidP="001E4E35">
            <w:pPr>
              <w:pStyle w:val="ParaTickBox"/>
              <w:tabs>
                <w:tab w:val="clear" w:pos="510"/>
              </w:tabs>
              <w:suppressAutoHyphens/>
              <w:ind w:left="0" w:right="57" w:firstLine="0"/>
              <w:jc w:val="both"/>
              <w:rPr>
                <w:szCs w:val="20"/>
                <w:lang w:val="en-GB"/>
              </w:rPr>
            </w:pPr>
            <w:r w:rsidRPr="009F63DF">
              <w:rPr>
                <w:rFonts w:eastAsia="Montserrat"/>
                <w:lang w:val="en-GB"/>
              </w:rPr>
              <w:t xml:space="preserve">Energy consumption of baseline fuel </w:t>
            </w:r>
            <w:r w:rsidR="00673C40" w:rsidRPr="009F63DF">
              <w:rPr>
                <w:rFonts w:eastAsia="Montserrat"/>
                <w:i/>
                <w:lang w:val="en-GB"/>
              </w:rPr>
              <w:t>j</w:t>
            </w:r>
            <w:r w:rsidRPr="009F63DF">
              <w:rPr>
                <w:rFonts w:eastAsia="Montserrat"/>
                <w:i/>
                <w:lang w:val="en-GB"/>
              </w:rPr>
              <w:t xml:space="preserve"> </w:t>
            </w:r>
            <w:r w:rsidRPr="009F63DF">
              <w:rPr>
                <w:rFonts w:eastAsia="Montserrat"/>
                <w:lang w:val="en-GB"/>
              </w:rPr>
              <w:t>for Article 6.4 activities</w:t>
            </w:r>
            <w:r w:rsidR="0026677D" w:rsidRPr="009F63DF">
              <w:rPr>
                <w:rFonts w:eastAsia="Montserrat"/>
                <w:lang w:val="en-GB"/>
              </w:rPr>
              <w:t xml:space="preserve"> taken from conservative BAU based on uncertainty</w:t>
            </w:r>
            <w:r w:rsidRPr="009F63DF">
              <w:rPr>
                <w:rFonts w:eastAsia="Montserrat"/>
                <w:lang w:val="en-GB"/>
              </w:rPr>
              <w:t xml:space="preserve"> in year </w:t>
            </w:r>
            <w:r w:rsidRPr="009F63DF">
              <w:rPr>
                <w:rFonts w:eastAsia="Montserrat"/>
                <w:i/>
                <w:iCs/>
                <w:lang w:val="en-GB"/>
              </w:rPr>
              <w:t>y</w:t>
            </w:r>
          </w:p>
        </w:tc>
      </w:tr>
      <w:tr w:rsidR="00590A3A" w:rsidRPr="009F63DF" w14:paraId="79DC9643" w14:textId="77777777" w:rsidTr="009167D3">
        <w:tc>
          <w:tcPr>
            <w:tcW w:w="1843" w:type="dxa"/>
            <w:shd w:val="clear" w:color="auto" w:fill="E6E6E6"/>
          </w:tcPr>
          <w:p w14:paraId="7D1D79EE" w14:textId="77777777" w:rsidR="00576710" w:rsidRPr="009F63DF" w:rsidRDefault="00576710" w:rsidP="00540956">
            <w:pPr>
              <w:pStyle w:val="ParaTickBox"/>
              <w:tabs>
                <w:tab w:val="clear" w:pos="510"/>
              </w:tabs>
              <w:suppressAutoHyphens/>
              <w:ind w:left="0" w:right="57" w:firstLine="0"/>
              <w:rPr>
                <w:szCs w:val="20"/>
                <w:lang w:val="en-GB"/>
              </w:rPr>
            </w:pPr>
            <w:r w:rsidRPr="009F63DF">
              <w:rPr>
                <w:szCs w:val="20"/>
                <w:lang w:val="en-GB"/>
              </w:rPr>
              <w:t>Data unit</w:t>
            </w:r>
          </w:p>
        </w:tc>
        <w:tc>
          <w:tcPr>
            <w:tcW w:w="6686" w:type="dxa"/>
            <w:gridSpan w:val="4"/>
          </w:tcPr>
          <w:p w14:paraId="6EDB9B2A" w14:textId="644335ED" w:rsidR="00576710" w:rsidRPr="009F63DF" w:rsidRDefault="00576710" w:rsidP="001E4E35">
            <w:pPr>
              <w:pStyle w:val="ParaTickBox"/>
              <w:tabs>
                <w:tab w:val="clear" w:pos="510"/>
              </w:tabs>
              <w:suppressAutoHyphens/>
              <w:ind w:left="0" w:right="57" w:firstLine="0"/>
              <w:jc w:val="both"/>
              <w:rPr>
                <w:szCs w:val="20"/>
                <w:lang w:val="en-GB"/>
              </w:rPr>
            </w:pPr>
            <w:r w:rsidRPr="009F63DF">
              <w:rPr>
                <w:rFonts w:eastAsia="Montserrat"/>
                <w:lang w:val="en-GB"/>
              </w:rPr>
              <w:t>TJ</w:t>
            </w:r>
            <w:r w:rsidR="003844BE" w:rsidRPr="009F63DF">
              <w:rPr>
                <w:rFonts w:eastAsia="Montserrat"/>
                <w:lang w:val="en-GB"/>
              </w:rPr>
              <w:t xml:space="preserve"> </w:t>
            </w:r>
            <w:r w:rsidRPr="009F63DF">
              <w:rPr>
                <w:rFonts w:eastAsia="Montserrat"/>
                <w:lang w:val="en-GB"/>
              </w:rPr>
              <w:t>/</w:t>
            </w:r>
            <w:r w:rsidR="003844BE" w:rsidRPr="009F63DF">
              <w:rPr>
                <w:rFonts w:eastAsia="Montserrat"/>
                <w:lang w:val="en-GB"/>
              </w:rPr>
              <w:t xml:space="preserve"> </w:t>
            </w:r>
            <w:r w:rsidRPr="009F63DF">
              <w:rPr>
                <w:rFonts w:eastAsia="Montserrat"/>
                <w:lang w:val="en-GB"/>
              </w:rPr>
              <w:t>(person</w:t>
            </w:r>
            <w:r w:rsidR="00C7041C" w:rsidRPr="009F63DF">
              <w:rPr>
                <w:rFonts w:eastAsia="Montserrat"/>
                <w:lang w:val="en-GB"/>
              </w:rPr>
              <w:t xml:space="preserve"> x </w:t>
            </w:r>
            <w:r w:rsidRPr="009F63DF">
              <w:rPr>
                <w:rFonts w:eastAsia="Montserrat"/>
                <w:lang w:val="en-GB"/>
              </w:rPr>
              <w:t>year)</w:t>
            </w:r>
          </w:p>
        </w:tc>
      </w:tr>
      <w:tr w:rsidR="00590A3A" w:rsidRPr="009F63DF" w14:paraId="1D022E50" w14:textId="77777777" w:rsidTr="009167D3">
        <w:tc>
          <w:tcPr>
            <w:tcW w:w="1843" w:type="dxa"/>
            <w:shd w:val="clear" w:color="auto" w:fill="E6E6E6"/>
          </w:tcPr>
          <w:p w14:paraId="1E7D79DC" w14:textId="77777777" w:rsidR="00576710" w:rsidRPr="009F63DF" w:rsidRDefault="00576710" w:rsidP="00540956">
            <w:pPr>
              <w:pStyle w:val="ParaTickBox"/>
              <w:tabs>
                <w:tab w:val="clear" w:pos="510"/>
              </w:tabs>
              <w:suppressAutoHyphens/>
              <w:ind w:left="0" w:right="57" w:firstLine="0"/>
              <w:rPr>
                <w:szCs w:val="20"/>
                <w:lang w:val="en-GB"/>
              </w:rPr>
            </w:pPr>
            <w:r w:rsidRPr="009F63DF">
              <w:rPr>
                <w:szCs w:val="20"/>
                <w:lang w:val="en-GB"/>
              </w:rPr>
              <w:t>Equations referred</w:t>
            </w:r>
          </w:p>
        </w:tc>
        <w:tc>
          <w:tcPr>
            <w:tcW w:w="6686" w:type="dxa"/>
            <w:gridSpan w:val="4"/>
            <w:tcBorders>
              <w:bottom w:val="single" w:sz="4" w:space="0" w:color="auto"/>
            </w:tcBorders>
          </w:tcPr>
          <w:p w14:paraId="4EB8A797" w14:textId="6C335746" w:rsidR="00576710" w:rsidRPr="009F63DF" w:rsidRDefault="00C519A6" w:rsidP="001E4E35">
            <w:pPr>
              <w:pStyle w:val="ParaTickBox"/>
              <w:tabs>
                <w:tab w:val="clear" w:pos="510"/>
              </w:tabs>
              <w:suppressAutoHyphens/>
              <w:ind w:left="0" w:right="57" w:firstLine="0"/>
              <w:jc w:val="both"/>
              <w:rPr>
                <w:szCs w:val="20"/>
                <w:lang w:val="en-GB"/>
              </w:rPr>
            </w:pPr>
            <w:r w:rsidRPr="009F63DF">
              <w:rPr>
                <w:szCs w:val="20"/>
                <w:lang w:val="en-GB"/>
              </w:rPr>
              <w:t>Equation (</w:t>
            </w:r>
            <w:r w:rsidR="00577859">
              <w:rPr>
                <w:szCs w:val="20"/>
                <w:lang w:val="en-GB"/>
              </w:rPr>
              <w:t>14</w:t>
            </w:r>
            <w:r w:rsidRPr="009F63DF">
              <w:rPr>
                <w:szCs w:val="20"/>
                <w:lang w:val="en-GB"/>
              </w:rPr>
              <w:t>)</w:t>
            </w:r>
          </w:p>
        </w:tc>
      </w:tr>
      <w:tr w:rsidR="00590A3A" w:rsidRPr="009F63DF" w14:paraId="22F3A109" w14:textId="77777777" w:rsidTr="009167D3">
        <w:tc>
          <w:tcPr>
            <w:tcW w:w="1843" w:type="dxa"/>
            <w:shd w:val="clear" w:color="auto" w:fill="E6E6E6"/>
          </w:tcPr>
          <w:p w14:paraId="77B78076" w14:textId="77777777" w:rsidR="00576710" w:rsidRPr="009F63DF" w:rsidRDefault="00576710" w:rsidP="00540956">
            <w:pPr>
              <w:pStyle w:val="ParaTickBox"/>
              <w:tabs>
                <w:tab w:val="clear" w:pos="510"/>
              </w:tabs>
              <w:suppressAutoHyphens/>
              <w:ind w:left="0" w:right="57" w:firstLine="0"/>
              <w:rPr>
                <w:szCs w:val="20"/>
                <w:lang w:val="en-GB"/>
              </w:rPr>
            </w:pPr>
            <w:r w:rsidRPr="009F63DF">
              <w:rPr>
                <w:szCs w:val="20"/>
                <w:lang w:val="en-GB"/>
              </w:rPr>
              <w:t>Purpose of data</w:t>
            </w:r>
          </w:p>
        </w:tc>
        <w:tc>
          <w:tcPr>
            <w:tcW w:w="2292" w:type="dxa"/>
            <w:tcBorders>
              <w:bottom w:val="nil"/>
              <w:right w:val="nil"/>
            </w:tcBorders>
          </w:tcPr>
          <w:p w14:paraId="55C8210F" w14:textId="2586A698" w:rsidR="00576710" w:rsidRPr="009F63DF" w:rsidRDefault="00576710" w:rsidP="001E4E35">
            <w:pPr>
              <w:pStyle w:val="ParaTickBox"/>
              <w:tabs>
                <w:tab w:val="clear" w:pos="510"/>
              </w:tabs>
              <w:suppressAutoHyphens/>
              <w:ind w:left="0" w:right="57" w:firstLine="0"/>
              <w:rPr>
                <w:szCs w:val="20"/>
                <w:lang w:val="en-GB"/>
              </w:rPr>
            </w:pPr>
            <w:r w:rsidRPr="009F63DF">
              <w:rPr>
                <w:szCs w:val="20"/>
                <w:shd w:val="clear" w:color="auto" w:fill="E6E6E6"/>
              </w:rPr>
              <w:fldChar w:fldCharType="begin">
                <w:ffData>
                  <w:name w:val=""/>
                  <w:enabled/>
                  <w:calcOnExit w:val="0"/>
                  <w:checkBox>
                    <w:size w:val="20"/>
                    <w:default w:val="1"/>
                  </w:checkBox>
                </w:ffData>
              </w:fldChar>
            </w:r>
            <w:r w:rsidRPr="009F63DF">
              <w:rPr>
                <w:szCs w:val="20"/>
                <w:shd w:val="clear" w:color="auto" w:fill="E6E6E6"/>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Pr="009F63DF">
              <w:rPr>
                <w:szCs w:val="20"/>
                <w:lang w:val="en-GB"/>
              </w:rPr>
              <w:t xml:space="preserve"> Baseline </w:t>
            </w:r>
            <w:r w:rsidR="006D405F" w:rsidRPr="009F63DF">
              <w:rPr>
                <w:szCs w:val="20"/>
                <w:lang w:val="en-GB"/>
              </w:rPr>
              <w:t>Scenario</w:t>
            </w:r>
          </w:p>
        </w:tc>
        <w:tc>
          <w:tcPr>
            <w:tcW w:w="2170" w:type="dxa"/>
            <w:gridSpan w:val="2"/>
            <w:tcBorders>
              <w:left w:val="nil"/>
              <w:bottom w:val="nil"/>
              <w:right w:val="nil"/>
            </w:tcBorders>
          </w:tcPr>
          <w:p w14:paraId="79A90F64" w14:textId="39B1EB76" w:rsidR="00576710" w:rsidRPr="009F63DF" w:rsidRDefault="00576710" w:rsidP="001E4E35">
            <w:pPr>
              <w:pStyle w:val="ParaTickBox"/>
              <w:tabs>
                <w:tab w:val="clear" w:pos="510"/>
              </w:tabs>
              <w:suppressAutoHyphens/>
              <w:ind w:left="0" w:right="57" w:firstLine="0"/>
              <w:rPr>
                <w:szCs w:val="20"/>
                <w:lang w:val="en-GB"/>
              </w:rPr>
            </w:pPr>
            <w:r w:rsidRPr="009F63DF">
              <w:rPr>
                <w:szCs w:val="20"/>
                <w:shd w:val="clear" w:color="auto" w:fill="E6E6E6"/>
              </w:rPr>
              <w:fldChar w:fldCharType="begin">
                <w:ffData>
                  <w:name w:val="Check2"/>
                  <w:enabled/>
                  <w:calcOnExit w:val="0"/>
                  <w:checkBox>
                    <w:size w:val="20"/>
                    <w:default w:val="0"/>
                  </w:checkBox>
                </w:ffData>
              </w:fldChar>
            </w:r>
            <w:r w:rsidRPr="009F63DF">
              <w:rPr>
                <w:szCs w:val="20"/>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Pr="009F63DF">
              <w:rPr>
                <w:szCs w:val="20"/>
                <w:lang w:val="en-GB"/>
              </w:rPr>
              <w:t xml:space="preserve"> </w:t>
            </w:r>
            <w:r w:rsidR="002646DE" w:rsidRPr="009F63DF">
              <w:rPr>
                <w:szCs w:val="20"/>
                <w:lang w:val="en-GB"/>
              </w:rPr>
              <w:t>Activity</w:t>
            </w:r>
            <w:r w:rsidRPr="009F63DF">
              <w:rPr>
                <w:szCs w:val="20"/>
                <w:lang w:val="en-GB"/>
              </w:rPr>
              <w:t xml:space="preserve"> </w:t>
            </w:r>
            <w:r w:rsidR="006D405F" w:rsidRPr="009F63DF">
              <w:rPr>
                <w:szCs w:val="20"/>
                <w:lang w:val="en-GB"/>
              </w:rPr>
              <w:t>Scenario</w:t>
            </w:r>
          </w:p>
        </w:tc>
        <w:tc>
          <w:tcPr>
            <w:tcW w:w="2224" w:type="dxa"/>
            <w:tcBorders>
              <w:left w:val="nil"/>
              <w:bottom w:val="nil"/>
            </w:tcBorders>
          </w:tcPr>
          <w:p w14:paraId="65C07273" w14:textId="4F141B62" w:rsidR="00576710" w:rsidRPr="009F63DF" w:rsidRDefault="00576710" w:rsidP="001E4E35">
            <w:pPr>
              <w:pStyle w:val="ParaTickBox"/>
              <w:tabs>
                <w:tab w:val="clear" w:pos="510"/>
              </w:tabs>
              <w:suppressAutoHyphens/>
              <w:ind w:left="0" w:right="57" w:firstLine="0"/>
              <w:rPr>
                <w:szCs w:val="20"/>
                <w:lang w:val="en-GB"/>
              </w:rPr>
            </w:pPr>
            <w:r w:rsidRPr="009F63DF">
              <w:rPr>
                <w:szCs w:val="20"/>
                <w:shd w:val="clear" w:color="auto" w:fill="E6E6E6"/>
              </w:rPr>
              <w:fldChar w:fldCharType="begin">
                <w:ffData>
                  <w:name w:val="Check2"/>
                  <w:enabled/>
                  <w:calcOnExit w:val="0"/>
                  <w:checkBox>
                    <w:size w:val="20"/>
                    <w:default w:val="0"/>
                  </w:checkBox>
                </w:ffData>
              </w:fldChar>
            </w:r>
            <w:r w:rsidRPr="009F63DF">
              <w:rPr>
                <w:szCs w:val="20"/>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Pr="009F63DF">
              <w:rPr>
                <w:szCs w:val="20"/>
                <w:lang w:val="en-GB"/>
              </w:rPr>
              <w:t xml:space="preserve"> Leakage</w:t>
            </w:r>
          </w:p>
        </w:tc>
      </w:tr>
      <w:tr w:rsidR="00590A3A" w:rsidRPr="009F63DF" w14:paraId="756E1210" w14:textId="77777777" w:rsidTr="009167D3">
        <w:tc>
          <w:tcPr>
            <w:tcW w:w="1843" w:type="dxa"/>
            <w:shd w:val="clear" w:color="auto" w:fill="E6E6E6"/>
          </w:tcPr>
          <w:p w14:paraId="7775A863" w14:textId="77777777" w:rsidR="00576710" w:rsidRPr="009F63DF" w:rsidRDefault="00576710" w:rsidP="00540956">
            <w:pPr>
              <w:pStyle w:val="ParaTickBox"/>
              <w:tabs>
                <w:tab w:val="clear" w:pos="510"/>
              </w:tabs>
              <w:suppressAutoHyphens/>
              <w:ind w:left="0" w:right="57" w:firstLine="0"/>
              <w:rPr>
                <w:szCs w:val="20"/>
                <w:lang w:val="en-GB"/>
              </w:rPr>
            </w:pPr>
            <w:r w:rsidRPr="009F63DF">
              <w:rPr>
                <w:szCs w:val="20"/>
                <w:lang w:val="en-GB"/>
              </w:rPr>
              <w:t>Value(s) applied</w:t>
            </w:r>
          </w:p>
        </w:tc>
        <w:tc>
          <w:tcPr>
            <w:tcW w:w="6686" w:type="dxa"/>
            <w:gridSpan w:val="4"/>
            <w:tcBorders>
              <w:bottom w:val="single" w:sz="4" w:space="0" w:color="auto"/>
            </w:tcBorders>
          </w:tcPr>
          <w:tbl>
            <w:tblPr>
              <w:tblStyle w:val="TableGrid"/>
              <w:tblW w:w="0" w:type="auto"/>
              <w:tblLayout w:type="fixed"/>
              <w:tblLook w:val="04A0" w:firstRow="1" w:lastRow="0" w:firstColumn="1" w:lastColumn="0" w:noHBand="0" w:noVBand="1"/>
            </w:tblPr>
            <w:tblGrid>
              <w:gridCol w:w="3197"/>
              <w:gridCol w:w="1534"/>
              <w:gridCol w:w="1818"/>
            </w:tblGrid>
            <w:tr w:rsidR="00590A3A" w:rsidRPr="009F63DF" w14:paraId="7656FC4F" w14:textId="77777777" w:rsidTr="009167D3">
              <w:tc>
                <w:tcPr>
                  <w:tcW w:w="3197" w:type="dxa"/>
                  <w:vMerge w:val="restart"/>
                  <w:shd w:val="clear" w:color="auto" w:fill="F2F2F2" w:themeFill="background1" w:themeFillShade="F2"/>
                </w:tcPr>
                <w:p w14:paraId="16CFE433" w14:textId="77777777" w:rsidR="00576710" w:rsidRPr="009F63DF" w:rsidRDefault="00576710" w:rsidP="001E4E35">
                  <w:pPr>
                    <w:pStyle w:val="ParaTickBox"/>
                    <w:tabs>
                      <w:tab w:val="clear" w:pos="510"/>
                    </w:tabs>
                    <w:suppressAutoHyphens/>
                    <w:ind w:left="0" w:right="57" w:firstLine="0"/>
                    <w:jc w:val="both"/>
                    <w:rPr>
                      <w:b/>
                      <w:bCs/>
                      <w:szCs w:val="20"/>
                      <w:lang w:val="en-GB"/>
                    </w:rPr>
                  </w:pPr>
                  <w:r w:rsidRPr="009F63DF">
                    <w:rPr>
                      <w:b/>
                      <w:bCs/>
                      <w:szCs w:val="20"/>
                      <w:lang w:val="en-GB"/>
                    </w:rPr>
                    <w:t xml:space="preserve">Benchmark </w:t>
                  </w:r>
                </w:p>
              </w:tc>
              <w:tc>
                <w:tcPr>
                  <w:tcW w:w="3352" w:type="dxa"/>
                  <w:gridSpan w:val="2"/>
                  <w:shd w:val="clear" w:color="auto" w:fill="F2F2F2" w:themeFill="background1" w:themeFillShade="F2"/>
                </w:tcPr>
                <w:p w14:paraId="40722735" w14:textId="7B24D534" w:rsidR="00576710" w:rsidRPr="009F63DF" w:rsidRDefault="00576710" w:rsidP="001E4E35">
                  <w:pPr>
                    <w:pStyle w:val="ParaTickBox"/>
                    <w:tabs>
                      <w:tab w:val="clear" w:pos="510"/>
                    </w:tabs>
                    <w:suppressAutoHyphens/>
                    <w:ind w:left="0" w:right="57" w:firstLine="0"/>
                    <w:jc w:val="center"/>
                    <w:rPr>
                      <w:b/>
                      <w:bCs/>
                      <w:szCs w:val="20"/>
                      <w:lang w:val="en-GB"/>
                    </w:rPr>
                  </w:pPr>
                  <w:r w:rsidRPr="009F63DF">
                    <w:rPr>
                      <w:b/>
                      <w:bCs/>
                      <w:szCs w:val="20"/>
                      <w:lang w:val="en-GB"/>
                    </w:rPr>
                    <w:t>Fuel type</w:t>
                  </w:r>
                </w:p>
              </w:tc>
            </w:tr>
            <w:tr w:rsidR="00590A3A" w:rsidRPr="009F63DF" w14:paraId="5DC334CF" w14:textId="77777777" w:rsidTr="001E4E35">
              <w:trPr>
                <w:trHeight w:val="274"/>
              </w:trPr>
              <w:tc>
                <w:tcPr>
                  <w:tcW w:w="3197" w:type="dxa"/>
                  <w:vMerge/>
                  <w:shd w:val="clear" w:color="auto" w:fill="F2F2F2" w:themeFill="background1" w:themeFillShade="F2"/>
                </w:tcPr>
                <w:p w14:paraId="021A5DA9" w14:textId="77777777" w:rsidR="00576710" w:rsidRPr="009F63DF" w:rsidRDefault="00576710" w:rsidP="001E4E35">
                  <w:pPr>
                    <w:pStyle w:val="ParaTickBox"/>
                    <w:tabs>
                      <w:tab w:val="clear" w:pos="510"/>
                    </w:tabs>
                    <w:suppressAutoHyphens/>
                    <w:ind w:left="0" w:right="57" w:firstLine="0"/>
                    <w:jc w:val="both"/>
                    <w:rPr>
                      <w:b/>
                      <w:bCs/>
                      <w:szCs w:val="20"/>
                      <w:lang w:val="en-GB"/>
                    </w:rPr>
                  </w:pPr>
                </w:p>
              </w:tc>
              <w:tc>
                <w:tcPr>
                  <w:tcW w:w="1534" w:type="dxa"/>
                  <w:shd w:val="clear" w:color="auto" w:fill="F2F2F2" w:themeFill="background1" w:themeFillShade="F2"/>
                </w:tcPr>
                <w:p w14:paraId="4887D2B8" w14:textId="77777777" w:rsidR="00576710" w:rsidRPr="009F63DF" w:rsidRDefault="00576710" w:rsidP="001E4E35">
                  <w:pPr>
                    <w:pStyle w:val="ParaTickBox"/>
                    <w:tabs>
                      <w:tab w:val="clear" w:pos="510"/>
                    </w:tabs>
                    <w:suppressAutoHyphens/>
                    <w:ind w:left="0" w:right="57" w:firstLine="0"/>
                    <w:rPr>
                      <w:b/>
                      <w:bCs/>
                      <w:szCs w:val="20"/>
                      <w:lang w:val="en-GB"/>
                    </w:rPr>
                  </w:pPr>
                  <w:r w:rsidRPr="009F63DF">
                    <w:rPr>
                      <w:b/>
                      <w:bCs/>
                      <w:szCs w:val="20"/>
                      <w:lang w:val="en-GB"/>
                    </w:rPr>
                    <w:t>Fuelwood</w:t>
                  </w:r>
                </w:p>
              </w:tc>
              <w:tc>
                <w:tcPr>
                  <w:tcW w:w="1818" w:type="dxa"/>
                  <w:shd w:val="clear" w:color="auto" w:fill="F2F2F2" w:themeFill="background1" w:themeFillShade="F2"/>
                </w:tcPr>
                <w:p w14:paraId="1DABAAC6" w14:textId="77777777" w:rsidR="00576710" w:rsidRPr="009F63DF" w:rsidRDefault="00576710" w:rsidP="001E4E35">
                  <w:pPr>
                    <w:pStyle w:val="ParaTickBox"/>
                    <w:tabs>
                      <w:tab w:val="clear" w:pos="510"/>
                    </w:tabs>
                    <w:suppressAutoHyphens/>
                    <w:ind w:left="0" w:right="57" w:firstLine="0"/>
                    <w:rPr>
                      <w:b/>
                      <w:bCs/>
                      <w:szCs w:val="20"/>
                      <w:lang w:val="en-GB"/>
                    </w:rPr>
                  </w:pPr>
                  <w:r w:rsidRPr="009F63DF">
                    <w:rPr>
                      <w:b/>
                      <w:bCs/>
                      <w:szCs w:val="20"/>
                      <w:lang w:val="en-GB"/>
                    </w:rPr>
                    <w:t>Charcoal</w:t>
                  </w:r>
                </w:p>
              </w:tc>
            </w:tr>
            <w:tr w:rsidR="00590A3A" w:rsidRPr="009F63DF" w14:paraId="5C28F2F3" w14:textId="77777777" w:rsidTr="001E4E35">
              <w:tc>
                <w:tcPr>
                  <w:tcW w:w="3197" w:type="dxa"/>
                </w:tcPr>
                <w:p w14:paraId="3F134397" w14:textId="77777777" w:rsidR="00576710" w:rsidRPr="009F63DF" w:rsidRDefault="00576710" w:rsidP="001E4E35">
                  <w:pPr>
                    <w:pStyle w:val="ParaTickBox"/>
                    <w:tabs>
                      <w:tab w:val="clear" w:pos="510"/>
                    </w:tabs>
                    <w:suppressAutoHyphens/>
                    <w:ind w:left="0" w:right="57" w:firstLine="0"/>
                    <w:jc w:val="both"/>
                    <w:rPr>
                      <w:szCs w:val="20"/>
                      <w:lang w:val="en-GB"/>
                    </w:rPr>
                  </w:pPr>
                  <w:r w:rsidRPr="009F63DF">
                    <w:rPr>
                      <w:szCs w:val="20"/>
                      <w:lang w:val="en-GB"/>
                    </w:rPr>
                    <w:t>Conservative BAU (methodology default)</w:t>
                  </w:r>
                </w:p>
              </w:tc>
              <w:tc>
                <w:tcPr>
                  <w:tcW w:w="1534" w:type="dxa"/>
                </w:tcPr>
                <w:p w14:paraId="6114C315" w14:textId="7E9445A1" w:rsidR="00576710" w:rsidRPr="009F63DF" w:rsidRDefault="00576710" w:rsidP="001E4E35">
                  <w:pPr>
                    <w:pStyle w:val="ParaTickBox"/>
                    <w:tabs>
                      <w:tab w:val="clear" w:pos="510"/>
                    </w:tabs>
                    <w:suppressAutoHyphens/>
                    <w:ind w:left="0" w:right="57" w:firstLine="0"/>
                    <w:rPr>
                      <w:szCs w:val="20"/>
                      <w:lang w:val="en-GB"/>
                    </w:rPr>
                  </w:pPr>
                  <w:r w:rsidRPr="009F63DF">
                    <w:rPr>
                      <w:szCs w:val="20"/>
                      <w:lang w:val="en-GB"/>
                    </w:rPr>
                    <w:t>0.</w:t>
                  </w:r>
                  <w:r w:rsidR="006D33C1" w:rsidRPr="009F63DF">
                    <w:rPr>
                      <w:szCs w:val="20"/>
                      <w:lang w:val="en-GB"/>
                    </w:rPr>
                    <w:t>00</w:t>
                  </w:r>
                  <w:r w:rsidR="00A44089" w:rsidRPr="009F63DF">
                    <w:rPr>
                      <w:szCs w:val="20"/>
                      <w:lang w:val="en-GB"/>
                    </w:rPr>
                    <w:t>98</w:t>
                  </w:r>
                </w:p>
              </w:tc>
              <w:tc>
                <w:tcPr>
                  <w:tcW w:w="1818" w:type="dxa"/>
                </w:tcPr>
                <w:p w14:paraId="748CE48D" w14:textId="0B9D6439" w:rsidR="00576710" w:rsidRPr="009F63DF" w:rsidRDefault="00576710" w:rsidP="001E4E35">
                  <w:pPr>
                    <w:pStyle w:val="ParaTickBox"/>
                    <w:tabs>
                      <w:tab w:val="clear" w:pos="510"/>
                    </w:tabs>
                    <w:suppressAutoHyphens/>
                    <w:ind w:left="0" w:right="57" w:firstLine="0"/>
                    <w:rPr>
                      <w:szCs w:val="20"/>
                      <w:lang w:val="en-GB"/>
                    </w:rPr>
                  </w:pPr>
                  <w:r w:rsidRPr="009F63DF">
                    <w:rPr>
                      <w:szCs w:val="20"/>
                      <w:lang w:val="en-GB"/>
                    </w:rPr>
                    <w:t>0.</w:t>
                  </w:r>
                  <w:r w:rsidR="00FE4D6F" w:rsidRPr="009F63DF">
                    <w:rPr>
                      <w:szCs w:val="20"/>
                      <w:lang w:val="en-GB"/>
                    </w:rPr>
                    <w:t>0044</w:t>
                  </w:r>
                </w:p>
              </w:tc>
            </w:tr>
          </w:tbl>
          <w:p w14:paraId="29FD4C8A" w14:textId="77777777" w:rsidR="00576710" w:rsidRPr="009F63DF" w:rsidRDefault="00576710" w:rsidP="001E4E35">
            <w:pPr>
              <w:pStyle w:val="ParaTickBox"/>
              <w:tabs>
                <w:tab w:val="clear" w:pos="510"/>
                <w:tab w:val="left" w:pos="315"/>
              </w:tabs>
              <w:suppressAutoHyphens/>
              <w:ind w:left="4680" w:firstLine="0"/>
              <w:jc w:val="both"/>
              <w:rPr>
                <w:i/>
                <w:iCs/>
                <w:szCs w:val="20"/>
                <w:lang w:val="en-GB"/>
              </w:rPr>
            </w:pPr>
          </w:p>
        </w:tc>
      </w:tr>
      <w:tr w:rsidR="00590A3A" w:rsidRPr="009F63DF" w14:paraId="617634AF" w14:textId="77777777" w:rsidTr="009167D3">
        <w:tc>
          <w:tcPr>
            <w:tcW w:w="1843" w:type="dxa"/>
            <w:shd w:val="clear" w:color="auto" w:fill="E6E6E6"/>
          </w:tcPr>
          <w:p w14:paraId="1AB7D80A" w14:textId="77777777" w:rsidR="00576710" w:rsidRPr="009F63DF" w:rsidRDefault="00576710" w:rsidP="00540956">
            <w:pPr>
              <w:pStyle w:val="ParaTickBox"/>
              <w:tabs>
                <w:tab w:val="clear" w:pos="510"/>
              </w:tabs>
              <w:suppressAutoHyphens/>
              <w:ind w:left="0" w:right="57" w:firstLine="0"/>
              <w:rPr>
                <w:szCs w:val="20"/>
                <w:lang w:val="en-GB"/>
              </w:rPr>
            </w:pPr>
            <w:r w:rsidRPr="009F63DF">
              <w:rPr>
                <w:szCs w:val="20"/>
                <w:lang w:val="en-GB"/>
              </w:rPr>
              <w:t>Source of data</w:t>
            </w:r>
          </w:p>
        </w:tc>
        <w:tc>
          <w:tcPr>
            <w:tcW w:w="3677" w:type="dxa"/>
            <w:gridSpan w:val="2"/>
            <w:tcBorders>
              <w:bottom w:val="nil"/>
              <w:right w:val="nil"/>
            </w:tcBorders>
            <w:vAlign w:val="center"/>
          </w:tcPr>
          <w:p w14:paraId="19E7C496" w14:textId="77777777" w:rsidR="00576710" w:rsidRPr="009F63DF" w:rsidRDefault="00576710" w:rsidP="001E4E35">
            <w:pPr>
              <w:pStyle w:val="ParaTickBox"/>
              <w:suppressAutoHyphens/>
              <w:ind w:left="510" w:hanging="510"/>
              <w:rPr>
                <w:szCs w:val="20"/>
                <w:lang w:val="en-GB"/>
              </w:rPr>
            </w:pPr>
            <w:r w:rsidRPr="009F63DF">
              <w:rPr>
                <w:szCs w:val="20"/>
                <w:shd w:val="clear" w:color="auto" w:fill="E6E6E6"/>
              </w:rPr>
              <w:fldChar w:fldCharType="begin">
                <w:ffData>
                  <w:name w:val=""/>
                  <w:enabled/>
                  <w:calcOnExit w:val="0"/>
                  <w:checkBox>
                    <w:size w:val="20"/>
                    <w:default w:val="0"/>
                  </w:checkBox>
                </w:ffData>
              </w:fldChar>
            </w:r>
            <w:r w:rsidRPr="009F63DF">
              <w:rPr>
                <w:szCs w:val="20"/>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Pr="009F63DF">
              <w:rPr>
                <w:szCs w:val="20"/>
                <w:lang w:val="en-GB"/>
              </w:rPr>
              <w:t xml:space="preserve"> Measured</w:t>
            </w:r>
          </w:p>
        </w:tc>
        <w:tc>
          <w:tcPr>
            <w:tcW w:w="3009" w:type="dxa"/>
            <w:gridSpan w:val="2"/>
            <w:tcBorders>
              <w:left w:val="nil"/>
              <w:bottom w:val="nil"/>
            </w:tcBorders>
            <w:vAlign w:val="center"/>
          </w:tcPr>
          <w:p w14:paraId="6B6D76DF" w14:textId="77777777" w:rsidR="00576710" w:rsidRPr="009F63DF" w:rsidRDefault="00576710" w:rsidP="001E4E35">
            <w:pPr>
              <w:pStyle w:val="ParaTickBox"/>
              <w:tabs>
                <w:tab w:val="clear" w:pos="510"/>
              </w:tabs>
              <w:suppressAutoHyphens/>
              <w:ind w:left="0" w:right="57" w:firstLine="0"/>
              <w:rPr>
                <w:szCs w:val="20"/>
                <w:lang w:val="en-GB"/>
              </w:rPr>
            </w:pPr>
            <w:r w:rsidRPr="009F63DF">
              <w:rPr>
                <w:szCs w:val="20"/>
                <w:shd w:val="clear" w:color="auto" w:fill="E6E6E6"/>
              </w:rPr>
              <w:fldChar w:fldCharType="begin">
                <w:ffData>
                  <w:name w:val=""/>
                  <w:enabled/>
                  <w:calcOnExit w:val="0"/>
                  <w:checkBox>
                    <w:size w:val="20"/>
                    <w:default w:val="1"/>
                  </w:checkBox>
                </w:ffData>
              </w:fldChar>
            </w:r>
            <w:r w:rsidRPr="009F63DF">
              <w:rPr>
                <w:szCs w:val="20"/>
                <w:shd w:val="clear" w:color="auto" w:fill="E6E6E6"/>
                <w:lang w:val="en-GB"/>
              </w:rPr>
              <w:instrText xml:space="preserve"> FORMCHECKBOX </w:instrText>
            </w:r>
            <w:r w:rsidRPr="009F63DF">
              <w:rPr>
                <w:szCs w:val="20"/>
                <w:shd w:val="clear" w:color="auto" w:fill="E6E6E6"/>
              </w:rPr>
            </w:r>
            <w:r w:rsidRPr="009F63DF">
              <w:rPr>
                <w:szCs w:val="20"/>
                <w:shd w:val="clear" w:color="auto" w:fill="E6E6E6"/>
              </w:rPr>
              <w:fldChar w:fldCharType="separate"/>
            </w:r>
            <w:r w:rsidRPr="009F63DF">
              <w:rPr>
                <w:szCs w:val="20"/>
                <w:shd w:val="clear" w:color="auto" w:fill="E6E6E6"/>
              </w:rPr>
              <w:fldChar w:fldCharType="end"/>
            </w:r>
            <w:r w:rsidRPr="009F63DF">
              <w:rPr>
                <w:szCs w:val="20"/>
                <w:shd w:val="clear" w:color="auto" w:fill="E6E6E6"/>
                <w:lang w:val="en-GB"/>
              </w:rPr>
              <w:t xml:space="preserve"> </w:t>
            </w:r>
            <w:r w:rsidRPr="009F63DF">
              <w:rPr>
                <w:szCs w:val="20"/>
                <w:lang w:val="en-GB"/>
              </w:rPr>
              <w:t>Other sources</w:t>
            </w:r>
          </w:p>
        </w:tc>
      </w:tr>
      <w:tr w:rsidR="00590A3A" w:rsidRPr="009F63DF" w14:paraId="1EE102B3" w14:textId="77777777" w:rsidTr="009167D3">
        <w:tc>
          <w:tcPr>
            <w:tcW w:w="1843" w:type="dxa"/>
            <w:shd w:val="clear" w:color="auto" w:fill="E6E6E6"/>
          </w:tcPr>
          <w:p w14:paraId="0ECFF82A" w14:textId="77777777" w:rsidR="00576710" w:rsidRPr="009F63DF" w:rsidRDefault="00576710" w:rsidP="00540956">
            <w:pPr>
              <w:pStyle w:val="ParaTickBox"/>
              <w:tabs>
                <w:tab w:val="clear" w:pos="510"/>
              </w:tabs>
              <w:suppressAutoHyphens/>
              <w:ind w:left="0" w:right="57" w:firstLine="0"/>
              <w:rPr>
                <w:szCs w:val="20"/>
                <w:lang w:val="en-GB"/>
              </w:rPr>
            </w:pPr>
            <w:r w:rsidRPr="009F63DF">
              <w:rPr>
                <w:szCs w:val="20"/>
                <w:lang w:val="en-GB"/>
              </w:rPr>
              <w:t>Choice of data or measurement methods and procedures</w:t>
            </w:r>
          </w:p>
        </w:tc>
        <w:tc>
          <w:tcPr>
            <w:tcW w:w="6686" w:type="dxa"/>
            <w:gridSpan w:val="4"/>
            <w:tcBorders>
              <w:top w:val="single" w:sz="4" w:space="0" w:color="auto"/>
            </w:tcBorders>
          </w:tcPr>
          <w:p w14:paraId="799D3401" w14:textId="5C71D228" w:rsidR="00576710" w:rsidRPr="009F63DF" w:rsidRDefault="0026677D" w:rsidP="001E4E35">
            <w:pPr>
              <w:pStyle w:val="ParaTickBox"/>
              <w:tabs>
                <w:tab w:val="clear" w:pos="510"/>
              </w:tabs>
              <w:suppressAutoHyphens/>
              <w:ind w:left="0" w:right="57" w:firstLine="0"/>
              <w:jc w:val="both"/>
              <w:rPr>
                <w:szCs w:val="20"/>
                <w:lang w:val="en-GB"/>
              </w:rPr>
            </w:pPr>
            <w:r w:rsidRPr="009F63DF">
              <w:rPr>
                <w:rFonts w:eastAsia="Montserrat"/>
                <w:lang w:val="en-GB"/>
              </w:rPr>
              <w:t>A</w:t>
            </w:r>
            <w:r w:rsidR="00576710" w:rsidRPr="009F63DF">
              <w:rPr>
                <w:rFonts w:eastAsia="Montserrat"/>
                <w:lang w:val="en-GB"/>
              </w:rPr>
              <w:t xml:space="preserve"> default value from this mechanism methodology.</w:t>
            </w:r>
            <w:r w:rsidR="0036573A" w:rsidRPr="009F63DF">
              <w:rPr>
                <w:rFonts w:eastAsia="Montserrat"/>
                <w:lang w:val="en-GB"/>
              </w:rPr>
              <w:br/>
            </w:r>
            <w:r w:rsidR="00576710" w:rsidRPr="009F63DF">
              <w:rPr>
                <w:rFonts w:eastAsia="Montserrat"/>
                <w:lang w:val="en-GB"/>
              </w:rPr>
              <w:t>This parameter shall be updated at the beginning of each crediting period, or after five years from the start date of the crediting period, whichever comes first</w:t>
            </w:r>
          </w:p>
        </w:tc>
      </w:tr>
      <w:tr w:rsidR="00590A3A" w:rsidRPr="009F63DF" w14:paraId="5BF5F055" w14:textId="77777777" w:rsidTr="009167D3">
        <w:tc>
          <w:tcPr>
            <w:tcW w:w="1843" w:type="dxa"/>
            <w:shd w:val="clear" w:color="auto" w:fill="E6E6E6"/>
          </w:tcPr>
          <w:p w14:paraId="39315BED" w14:textId="77777777" w:rsidR="00576710" w:rsidRPr="009F63DF" w:rsidRDefault="00576710"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86" w:type="dxa"/>
            <w:gridSpan w:val="4"/>
          </w:tcPr>
          <w:p w14:paraId="52D0DA6A" w14:textId="77777777" w:rsidR="00615311" w:rsidRPr="009F63DF" w:rsidRDefault="00576710" w:rsidP="00655F47">
            <w:pPr>
              <w:keepNext/>
              <w:suppressAutoHyphens/>
              <w:spacing w:before="60" w:after="60"/>
              <w:ind w:right="57"/>
              <w:rPr>
                <w:rFonts w:cs="Arial"/>
                <w:sz w:val="20"/>
                <w:lang w:val="en-GB" w:eastAsia="en-US"/>
              </w:rPr>
            </w:pPr>
            <w:r w:rsidRPr="009F63DF">
              <w:rPr>
                <w:rFonts w:cs="Arial"/>
                <w:sz w:val="20"/>
                <w:lang w:val="en-GB" w:eastAsia="en-US"/>
              </w:rPr>
              <w:t>The</w:t>
            </w:r>
            <w:r w:rsidRPr="009F63DF" w:rsidDel="007C1154">
              <w:rPr>
                <w:rFonts w:cs="Arial"/>
                <w:sz w:val="20"/>
                <w:lang w:val="en-GB" w:eastAsia="en-US"/>
              </w:rPr>
              <w:t xml:space="preserve"> </w:t>
            </w:r>
            <w:r w:rsidRPr="009F63DF">
              <w:rPr>
                <w:rFonts w:cs="Arial"/>
                <w:sz w:val="20"/>
                <w:lang w:val="en-GB" w:eastAsia="en-US"/>
              </w:rPr>
              <w:t>values represent conservative estimates</w:t>
            </w:r>
            <w:r w:rsidR="007C1154" w:rsidRPr="009F63DF">
              <w:rPr>
                <w:rFonts w:cs="Arial"/>
                <w:sz w:val="20"/>
                <w:lang w:val="en-GB" w:eastAsia="en-US"/>
              </w:rPr>
              <w:t xml:space="preserve"> of average performance</w:t>
            </w:r>
            <w:r w:rsidR="00FC19B3" w:rsidRPr="009F63DF">
              <w:rPr>
                <w:rFonts w:cs="Arial"/>
                <w:sz w:val="20"/>
                <w:lang w:val="en-GB" w:eastAsia="en-US"/>
              </w:rPr>
              <w:t xml:space="preserve"> in</w:t>
            </w:r>
            <w:r w:rsidRPr="009F63DF" w:rsidDel="007C1154">
              <w:rPr>
                <w:rFonts w:cs="Arial"/>
                <w:sz w:val="20"/>
                <w:lang w:val="en-GB" w:eastAsia="en-US"/>
              </w:rPr>
              <w:t xml:space="preserve"> the </w:t>
            </w:r>
            <w:r w:rsidR="00FC19B3" w:rsidRPr="009F63DF">
              <w:rPr>
                <w:rFonts w:cs="Arial"/>
                <w:sz w:val="20"/>
                <w:lang w:val="en-GB" w:eastAsia="en-US"/>
              </w:rPr>
              <w:t>context of</w:t>
            </w:r>
            <w:r w:rsidRPr="009F63DF" w:rsidDel="007C1154">
              <w:rPr>
                <w:rFonts w:cs="Arial"/>
                <w:sz w:val="20"/>
                <w:lang w:val="en-GB" w:eastAsia="en-US"/>
              </w:rPr>
              <w:t xml:space="preserve"> this </w:t>
            </w:r>
            <w:r w:rsidR="00FC19B3" w:rsidRPr="009F63DF">
              <w:rPr>
                <w:rFonts w:cs="Arial"/>
                <w:sz w:val="20"/>
                <w:lang w:val="en-GB" w:eastAsia="en-US"/>
              </w:rPr>
              <w:t>mechanism methodology’s eligibility</w:t>
            </w:r>
            <w:r w:rsidR="00C72AF5" w:rsidRPr="009F63DF">
              <w:rPr>
                <w:rFonts w:cs="Arial"/>
                <w:sz w:val="20"/>
                <w:lang w:val="en-GB" w:eastAsia="en-US"/>
              </w:rPr>
              <w:t>, based on conservative BAU efficiency of</w:t>
            </w:r>
            <w:r w:rsidR="00615311" w:rsidRPr="009F63DF">
              <w:rPr>
                <w:rFonts w:cs="Arial"/>
                <w:sz w:val="20"/>
                <w:lang w:val="en-GB" w:eastAsia="en-US"/>
              </w:rPr>
              <w:t>:</w:t>
            </w:r>
          </w:p>
          <w:p w14:paraId="409BC568" w14:textId="77777777" w:rsidR="00615311" w:rsidRPr="009F63DF" w:rsidRDefault="005A12F6" w:rsidP="00AF1AC1">
            <w:pPr>
              <w:pStyle w:val="ListParagraph"/>
              <w:keepNext/>
              <w:numPr>
                <w:ilvl w:val="0"/>
                <w:numId w:val="32"/>
              </w:numPr>
              <w:suppressAutoHyphens/>
              <w:spacing w:before="60" w:after="60"/>
              <w:ind w:right="57"/>
              <w:rPr>
                <w:rFonts w:cs="Arial"/>
                <w:sz w:val="20"/>
                <w:lang w:val="en-GB" w:eastAsia="en-US"/>
              </w:rPr>
            </w:pPr>
            <w:r w:rsidRPr="009F63DF">
              <w:rPr>
                <w:rFonts w:cs="Arial"/>
                <w:sz w:val="20"/>
                <w:lang w:val="en-GB" w:eastAsia="en-US"/>
              </w:rPr>
              <w:t>13.0</w:t>
            </w:r>
            <w:r w:rsidR="00C72AF5" w:rsidRPr="009F63DF">
              <w:rPr>
                <w:rFonts w:cs="Arial"/>
                <w:sz w:val="20"/>
                <w:lang w:val="en-GB" w:eastAsia="en-US"/>
              </w:rPr>
              <w:t xml:space="preserve"> per cent, for a total energy consumption of fuelwood of 0.00</w:t>
            </w:r>
            <w:r w:rsidRPr="009F63DF">
              <w:rPr>
                <w:rFonts w:cs="Arial"/>
                <w:sz w:val="20"/>
                <w:lang w:val="en-GB" w:eastAsia="en-US"/>
              </w:rPr>
              <w:t>98</w:t>
            </w:r>
            <w:r w:rsidR="00C72AF5" w:rsidRPr="009F63DF">
              <w:rPr>
                <w:rFonts w:cs="Arial"/>
                <w:sz w:val="20"/>
                <w:lang w:val="en-GB" w:eastAsia="en-US"/>
              </w:rPr>
              <w:t xml:space="preserve"> TJ / (person</w:t>
            </w:r>
            <w:r w:rsidR="00800013" w:rsidRPr="009F63DF">
              <w:rPr>
                <w:rFonts w:cs="Arial"/>
                <w:sz w:val="20"/>
                <w:lang w:val="en-GB" w:eastAsia="en-US"/>
              </w:rPr>
              <w:t xml:space="preserve"> x </w:t>
            </w:r>
            <w:r w:rsidR="00C72AF5" w:rsidRPr="009F63DF">
              <w:rPr>
                <w:rFonts w:cs="Arial"/>
                <w:sz w:val="20"/>
                <w:lang w:val="en-GB" w:eastAsia="en-US"/>
              </w:rPr>
              <w:t>year), equivalent to 0.</w:t>
            </w:r>
            <w:r w:rsidRPr="009F63DF">
              <w:rPr>
                <w:rFonts w:cs="Arial"/>
                <w:sz w:val="20"/>
                <w:lang w:val="en-GB" w:eastAsia="en-US"/>
              </w:rPr>
              <w:t>63</w:t>
            </w:r>
            <w:r w:rsidR="00C72AF5" w:rsidRPr="009F63DF">
              <w:rPr>
                <w:rFonts w:cs="Arial"/>
                <w:sz w:val="20"/>
                <w:lang w:val="en-GB" w:eastAsia="en-US"/>
              </w:rPr>
              <w:t xml:space="preserve"> tonnes</w:t>
            </w:r>
            <w:r w:rsidR="00800013" w:rsidRPr="009F63DF">
              <w:rPr>
                <w:rFonts w:cs="Arial"/>
                <w:sz w:val="20"/>
                <w:lang w:val="en-GB" w:eastAsia="en-US"/>
              </w:rPr>
              <w:t xml:space="preserve"> </w:t>
            </w:r>
            <w:r w:rsidR="00C72AF5" w:rsidRPr="009F63DF">
              <w:rPr>
                <w:rFonts w:cs="Arial"/>
                <w:sz w:val="20"/>
                <w:lang w:val="en-GB" w:eastAsia="en-US"/>
              </w:rPr>
              <w:t>/ (person</w:t>
            </w:r>
            <w:r w:rsidR="00800013" w:rsidRPr="009F63DF">
              <w:rPr>
                <w:rFonts w:cs="Arial"/>
                <w:sz w:val="20"/>
                <w:lang w:val="en-GB" w:eastAsia="en-US"/>
              </w:rPr>
              <w:t xml:space="preserve"> x </w:t>
            </w:r>
            <w:r w:rsidR="00C72AF5" w:rsidRPr="009F63DF">
              <w:rPr>
                <w:rFonts w:cs="Arial"/>
                <w:sz w:val="20"/>
                <w:lang w:val="en-GB" w:eastAsia="en-US"/>
              </w:rPr>
              <w:t>year) for fuelwood; and</w:t>
            </w:r>
          </w:p>
          <w:p w14:paraId="6809D324" w14:textId="516B633B" w:rsidR="00576710" w:rsidRPr="009F63DF" w:rsidRDefault="005A12F6" w:rsidP="00AF1AC1">
            <w:pPr>
              <w:pStyle w:val="ListParagraph"/>
              <w:keepNext/>
              <w:numPr>
                <w:ilvl w:val="0"/>
                <w:numId w:val="32"/>
              </w:numPr>
              <w:suppressAutoHyphens/>
              <w:spacing w:before="60" w:after="60"/>
              <w:ind w:right="57"/>
              <w:rPr>
                <w:i/>
                <w:iCs/>
                <w:szCs w:val="20"/>
                <w:lang w:val="en-GB"/>
              </w:rPr>
            </w:pPr>
            <w:r w:rsidRPr="009F63DF">
              <w:rPr>
                <w:rFonts w:cs="Arial"/>
                <w:sz w:val="20"/>
                <w:lang w:val="en-GB" w:eastAsia="en-US"/>
              </w:rPr>
              <w:t>25.0</w:t>
            </w:r>
            <w:r w:rsidR="00C72AF5" w:rsidRPr="009F63DF">
              <w:rPr>
                <w:rFonts w:cs="Arial"/>
                <w:sz w:val="20"/>
                <w:lang w:val="en-GB" w:eastAsia="en-US"/>
              </w:rPr>
              <w:t xml:space="preserve"> per cent, at a total energy consumption of charcoal of 0.004</w:t>
            </w:r>
            <w:r w:rsidR="00A412C3" w:rsidRPr="009F63DF">
              <w:rPr>
                <w:rFonts w:cs="Arial"/>
                <w:sz w:val="20"/>
                <w:lang w:val="en-GB" w:eastAsia="en-US"/>
              </w:rPr>
              <w:t>4</w:t>
            </w:r>
            <w:r w:rsidR="00C72AF5" w:rsidRPr="009F63DF">
              <w:rPr>
                <w:rFonts w:cs="Arial"/>
                <w:sz w:val="20"/>
                <w:lang w:val="en-GB" w:eastAsia="en-US"/>
              </w:rPr>
              <w:t xml:space="preserve"> TJ / (person </w:t>
            </w:r>
            <w:r w:rsidR="00800013" w:rsidRPr="009F63DF">
              <w:rPr>
                <w:rFonts w:cs="Arial"/>
                <w:sz w:val="20"/>
                <w:lang w:val="en-GB" w:eastAsia="en-US"/>
              </w:rPr>
              <w:t xml:space="preserve">x </w:t>
            </w:r>
            <w:r w:rsidR="00C72AF5" w:rsidRPr="009F63DF">
              <w:rPr>
                <w:rFonts w:cs="Arial"/>
                <w:sz w:val="20"/>
                <w:lang w:val="en-GB" w:eastAsia="en-US"/>
              </w:rPr>
              <w:t>year), equivalent to 0.15 tonnes/ (person</w:t>
            </w:r>
            <w:r w:rsidR="00800013" w:rsidRPr="009F63DF">
              <w:rPr>
                <w:rFonts w:cs="Arial"/>
                <w:sz w:val="20"/>
                <w:lang w:val="en-GB" w:eastAsia="en-US"/>
              </w:rPr>
              <w:t xml:space="preserve"> x </w:t>
            </w:r>
            <w:r w:rsidR="00C72AF5" w:rsidRPr="009F63DF">
              <w:rPr>
                <w:rFonts w:cs="Arial"/>
                <w:sz w:val="20"/>
                <w:lang w:val="en-GB" w:eastAsia="en-US"/>
              </w:rPr>
              <w:t>year) for charcoal</w:t>
            </w:r>
          </w:p>
        </w:tc>
      </w:tr>
      <w:tr w:rsidR="00590A3A" w:rsidRPr="009F63DF" w14:paraId="0CBADD61" w14:textId="77777777" w:rsidTr="009167D3">
        <w:tc>
          <w:tcPr>
            <w:tcW w:w="1843" w:type="dxa"/>
            <w:shd w:val="clear" w:color="auto" w:fill="E6E6E6"/>
          </w:tcPr>
          <w:p w14:paraId="0511C812" w14:textId="77777777" w:rsidR="00576710" w:rsidRPr="009F63DF" w:rsidRDefault="00576710" w:rsidP="00540956">
            <w:pPr>
              <w:pStyle w:val="ParaTickBox"/>
              <w:tabs>
                <w:tab w:val="clear" w:pos="510"/>
              </w:tabs>
              <w:suppressAutoHyphens/>
              <w:ind w:left="0" w:right="57" w:firstLine="0"/>
              <w:rPr>
                <w:szCs w:val="20"/>
                <w:lang w:val="en-GB"/>
              </w:rPr>
            </w:pPr>
            <w:r w:rsidRPr="009F63DF">
              <w:rPr>
                <w:szCs w:val="20"/>
                <w:lang w:val="en-GB"/>
              </w:rPr>
              <w:t>Additional comments</w:t>
            </w:r>
          </w:p>
        </w:tc>
        <w:tc>
          <w:tcPr>
            <w:tcW w:w="6686" w:type="dxa"/>
            <w:gridSpan w:val="4"/>
          </w:tcPr>
          <w:p w14:paraId="16351031" w14:textId="436FA12C" w:rsidR="00576710" w:rsidRPr="009F63DF" w:rsidRDefault="00576710" w:rsidP="001E4E35">
            <w:pPr>
              <w:pStyle w:val="ParaTickBox"/>
              <w:tabs>
                <w:tab w:val="clear" w:pos="510"/>
              </w:tabs>
              <w:suppressAutoHyphens/>
              <w:ind w:left="0" w:right="57" w:firstLine="0"/>
              <w:jc w:val="both"/>
              <w:rPr>
                <w:i/>
                <w:iCs/>
                <w:szCs w:val="20"/>
                <w:lang w:val="en-GB"/>
              </w:rPr>
            </w:pPr>
            <w:r w:rsidRPr="009F63DF">
              <w:rPr>
                <w:szCs w:val="20"/>
                <w:lang w:val="en-GB"/>
              </w:rPr>
              <w:t>N/A</w:t>
            </w:r>
          </w:p>
        </w:tc>
      </w:tr>
    </w:tbl>
    <w:p w14:paraId="60D4F0A4" w14:textId="1BA6D061" w:rsidR="001C2394" w:rsidRPr="009F63DF" w:rsidRDefault="001C2394" w:rsidP="00F91295">
      <w:pPr>
        <w:pStyle w:val="SDMHead1"/>
      </w:pPr>
      <w:bookmarkStart w:id="794" w:name="_Toc227920940"/>
      <w:bookmarkStart w:id="795" w:name="_Toc227938841"/>
      <w:bookmarkStart w:id="796" w:name="_Toc227948092"/>
      <w:bookmarkStart w:id="797" w:name="_Toc233388651"/>
      <w:bookmarkStart w:id="798" w:name="_Ref233726474"/>
      <w:bookmarkStart w:id="799" w:name="_Toc233961458"/>
      <w:bookmarkStart w:id="800" w:name="_Toc233970267"/>
      <w:bookmarkStart w:id="801" w:name="_Toc240546597"/>
      <w:bookmarkStart w:id="802" w:name="_Toc240631998"/>
      <w:bookmarkStart w:id="803" w:name="_Toc242471183"/>
      <w:r w:rsidRPr="009F63DF">
        <w:t>Data and parameters monitored</w:t>
      </w:r>
      <w:bookmarkEnd w:id="786"/>
      <w:bookmarkEnd w:id="787"/>
      <w:bookmarkEnd w:id="788"/>
      <w:bookmarkEnd w:id="789"/>
      <w:bookmarkEnd w:id="790"/>
      <w:bookmarkEnd w:id="794"/>
      <w:bookmarkEnd w:id="795"/>
      <w:bookmarkEnd w:id="796"/>
      <w:bookmarkEnd w:id="797"/>
      <w:bookmarkEnd w:id="798"/>
      <w:bookmarkEnd w:id="799"/>
      <w:bookmarkEnd w:id="800"/>
      <w:bookmarkEnd w:id="801"/>
      <w:bookmarkEnd w:id="802"/>
      <w:bookmarkEnd w:id="803"/>
    </w:p>
    <w:bookmarkEnd w:id="791"/>
    <w:bookmarkEnd w:id="792"/>
    <w:bookmarkEnd w:id="793"/>
    <w:p w14:paraId="7A9A572A" w14:textId="41A90FC1"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14</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44"/>
        <w:gridCol w:w="1898"/>
        <w:gridCol w:w="393"/>
        <w:gridCol w:w="2126"/>
        <w:gridCol w:w="2268"/>
      </w:tblGrid>
      <w:tr w:rsidR="00FE0F7C" w:rsidRPr="009F63DF" w14:paraId="0250C8F4" w14:textId="77777777" w:rsidTr="009167D3">
        <w:tc>
          <w:tcPr>
            <w:tcW w:w="1844" w:type="dxa"/>
            <w:shd w:val="clear" w:color="auto" w:fill="E6E6E6"/>
          </w:tcPr>
          <w:p w14:paraId="19159CCF" w14:textId="77777777" w:rsidR="00FE0F7C" w:rsidRPr="009F63DF" w:rsidRDefault="00FE0F7C" w:rsidP="00540956">
            <w:pPr>
              <w:keepNext/>
              <w:suppressAutoHyphens/>
              <w:spacing w:before="60" w:after="60"/>
              <w:ind w:right="57"/>
              <w:jc w:val="left"/>
              <w:rPr>
                <w:rFonts w:cs="Arial"/>
                <w:b/>
                <w:sz w:val="20"/>
                <w:szCs w:val="20"/>
                <w:lang w:val="en-GB"/>
              </w:rPr>
            </w:pPr>
            <w:r w:rsidRPr="009F63DF">
              <w:rPr>
                <w:rFonts w:cs="Arial"/>
                <w:b/>
                <w:sz w:val="20"/>
                <w:szCs w:val="20"/>
                <w:lang w:val="en-GB"/>
              </w:rPr>
              <w:t>Data/parameter</w:t>
            </w:r>
          </w:p>
        </w:tc>
        <w:tc>
          <w:tcPr>
            <w:tcW w:w="6685" w:type="dxa"/>
            <w:gridSpan w:val="4"/>
          </w:tcPr>
          <w:p w14:paraId="6D2D6A38" w14:textId="48C3F3F5" w:rsidR="00FE0F7C" w:rsidRPr="009F63DF" w:rsidRDefault="001549D8" w:rsidP="002319DD">
            <w:pPr>
              <w:keepNext/>
              <w:suppressAutoHyphens/>
              <w:spacing w:before="60" w:after="60"/>
              <w:ind w:right="57"/>
              <w:rPr>
                <w:rFonts w:cs="Arial"/>
                <w:b/>
                <w:i/>
                <w:sz w:val="20"/>
                <w:szCs w:val="20"/>
                <w:lang w:val="en-GB"/>
              </w:rPr>
            </w:pPr>
            <m:oMathPara>
              <m:oMathParaPr>
                <m:jc m:val="left"/>
              </m:oMathParaPr>
              <m:oMath>
                <m:sSub>
                  <m:sSubPr>
                    <m:ctrlPr>
                      <w:rPr>
                        <w:rFonts w:ascii="Cambria Math" w:eastAsia="Cambria Math" w:hAnsi="Cambria Math" w:cs="Arial"/>
                        <w:sz w:val="20"/>
                        <w:szCs w:val="20"/>
                        <w:lang w:val="en-GB"/>
                      </w:rPr>
                    </m:ctrlPr>
                  </m:sSubPr>
                  <m:e>
                    <m:r>
                      <m:rPr>
                        <m:sty m:val="bi"/>
                      </m:rPr>
                      <w:rPr>
                        <w:rFonts w:ascii="Cambria Math" w:eastAsia="Cambria Math" w:hAnsi="Cambria Math" w:cs="Arial"/>
                        <w:sz w:val="20"/>
                        <w:szCs w:val="20"/>
                        <w:lang w:val="en-GB"/>
                      </w:rPr>
                      <m:t>Days</m:t>
                    </m:r>
                  </m:e>
                  <m:sub>
                    <m:r>
                      <m:rPr>
                        <m:sty m:val="bi"/>
                      </m:rPr>
                      <w:rPr>
                        <w:rFonts w:ascii="Cambria Math" w:eastAsia="Cambria Math" w:hAnsi="Cambria Math" w:cs="Arial"/>
                        <w:sz w:val="20"/>
                        <w:szCs w:val="20"/>
                        <w:lang w:val="en-GB"/>
                      </w:rPr>
                      <m:t>y,h</m:t>
                    </m:r>
                  </m:sub>
                </m:sSub>
              </m:oMath>
            </m:oMathPara>
          </w:p>
        </w:tc>
      </w:tr>
      <w:tr w:rsidR="00FE0F7C" w:rsidRPr="009F63DF" w14:paraId="14837353" w14:textId="77777777" w:rsidTr="009167D3">
        <w:tc>
          <w:tcPr>
            <w:tcW w:w="1844" w:type="dxa"/>
            <w:shd w:val="clear" w:color="auto" w:fill="E6E6E6"/>
          </w:tcPr>
          <w:p w14:paraId="7039ED9D"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85" w:type="dxa"/>
            <w:gridSpan w:val="4"/>
          </w:tcPr>
          <w:p w14:paraId="795D89FC" w14:textId="7B693656" w:rsidR="00FE0F7C" w:rsidRPr="009F63DF" w:rsidRDefault="00145519" w:rsidP="002319DD">
            <w:pPr>
              <w:suppressAutoHyphens/>
              <w:spacing w:before="60" w:after="60"/>
              <w:ind w:right="57"/>
              <w:rPr>
                <w:rFonts w:cs="Arial"/>
                <w:sz w:val="20"/>
                <w:szCs w:val="20"/>
                <w:lang w:val="en-GB"/>
              </w:rPr>
            </w:pPr>
            <w:r w:rsidRPr="009F63DF">
              <w:rPr>
                <w:rFonts w:eastAsia="Montserrat" w:cs="Arial"/>
                <w:sz w:val="20"/>
                <w:szCs w:val="20"/>
                <w:lang w:val="en-GB"/>
              </w:rPr>
              <w:t xml:space="preserve">Number of </w:t>
            </w:r>
            <w:r w:rsidR="00933381" w:rsidRPr="009F63DF">
              <w:rPr>
                <w:rFonts w:eastAsia="Montserrat" w:cs="Arial"/>
                <w:sz w:val="20"/>
                <w:szCs w:val="20"/>
                <w:lang w:val="en-GB"/>
              </w:rPr>
              <w:t xml:space="preserve">total </w:t>
            </w:r>
            <w:r w:rsidRPr="009F63DF">
              <w:rPr>
                <w:rFonts w:eastAsia="Montserrat" w:cs="Arial"/>
                <w:sz w:val="20"/>
                <w:szCs w:val="20"/>
                <w:lang w:val="en-GB"/>
              </w:rPr>
              <w:t>possible project</w:t>
            </w:r>
            <w:r w:rsidR="00933381" w:rsidRPr="009F63DF">
              <w:rPr>
                <w:rFonts w:eastAsia="Montserrat" w:cs="Arial"/>
                <w:sz w:val="20"/>
                <w:szCs w:val="20"/>
                <w:lang w:val="en-GB"/>
              </w:rPr>
              <w:t xml:space="preserve"> cookstove</w:t>
            </w:r>
            <w:r w:rsidRPr="009F63DF">
              <w:rPr>
                <w:rFonts w:eastAsia="Montserrat" w:cs="Arial"/>
                <w:sz w:val="20"/>
                <w:szCs w:val="20"/>
                <w:lang w:val="en-GB"/>
              </w:rPr>
              <w:t xml:space="preserve"> days during the year </w:t>
            </w:r>
            <w:r w:rsidRPr="009F63DF">
              <w:rPr>
                <w:rFonts w:eastAsia="Montserrat" w:cs="Arial"/>
                <w:i/>
                <w:sz w:val="20"/>
                <w:szCs w:val="20"/>
                <w:lang w:val="en-GB"/>
              </w:rPr>
              <w:t>y</w:t>
            </w:r>
            <w:r w:rsidRPr="009F63DF">
              <w:rPr>
                <w:rFonts w:eastAsia="Montserrat" w:cs="Arial"/>
                <w:sz w:val="20"/>
                <w:szCs w:val="20"/>
                <w:lang w:val="en-GB"/>
              </w:rPr>
              <w:t xml:space="preserve"> in household </w:t>
            </w:r>
            <w:r w:rsidRPr="009F63DF">
              <w:rPr>
                <w:rFonts w:eastAsia="Montserrat" w:cs="Arial"/>
                <w:i/>
                <w:iCs/>
                <w:sz w:val="20"/>
                <w:szCs w:val="20"/>
                <w:lang w:val="en-GB"/>
              </w:rPr>
              <w:t>h</w:t>
            </w:r>
          </w:p>
        </w:tc>
      </w:tr>
      <w:tr w:rsidR="00FE0F7C" w:rsidRPr="009F63DF" w14:paraId="74D9B73F" w14:textId="77777777" w:rsidTr="009167D3">
        <w:tc>
          <w:tcPr>
            <w:tcW w:w="1844" w:type="dxa"/>
            <w:shd w:val="clear" w:color="auto" w:fill="E6E6E6"/>
          </w:tcPr>
          <w:p w14:paraId="11EBE47D"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85" w:type="dxa"/>
            <w:gridSpan w:val="4"/>
          </w:tcPr>
          <w:p w14:paraId="21A93EC4" w14:textId="099B3011" w:rsidR="00FE0F7C" w:rsidRPr="009F63DF" w:rsidRDefault="00BB4DE7" w:rsidP="002319DD">
            <w:pPr>
              <w:suppressAutoHyphens/>
              <w:spacing w:before="60" w:after="60"/>
              <w:ind w:right="57"/>
              <w:rPr>
                <w:rFonts w:cs="Arial"/>
                <w:sz w:val="20"/>
                <w:szCs w:val="20"/>
                <w:lang w:val="en-GB"/>
              </w:rPr>
            </w:pPr>
            <w:r w:rsidRPr="009F63DF">
              <w:rPr>
                <w:rFonts w:eastAsia="Montserrat" w:cs="Arial"/>
                <w:sz w:val="20"/>
                <w:szCs w:val="20"/>
                <w:lang w:val="en-GB"/>
              </w:rPr>
              <w:t>Number</w:t>
            </w:r>
          </w:p>
        </w:tc>
      </w:tr>
      <w:tr w:rsidR="00FE0F7C" w:rsidRPr="009F63DF" w14:paraId="5EC4B978" w14:textId="77777777" w:rsidTr="009167D3">
        <w:tc>
          <w:tcPr>
            <w:tcW w:w="1844" w:type="dxa"/>
            <w:shd w:val="clear" w:color="auto" w:fill="E6E6E6"/>
          </w:tcPr>
          <w:p w14:paraId="5F57E81E"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85" w:type="dxa"/>
            <w:gridSpan w:val="4"/>
            <w:tcBorders>
              <w:bottom w:val="single" w:sz="4" w:space="0" w:color="auto"/>
            </w:tcBorders>
          </w:tcPr>
          <w:p w14:paraId="4A70A708" w14:textId="4D7CEE83" w:rsidR="00FE0F7C" w:rsidRPr="009F63DF" w:rsidRDefault="00800013" w:rsidP="002319DD">
            <w:pPr>
              <w:suppressAutoHyphens/>
              <w:spacing w:before="60" w:after="60"/>
              <w:ind w:right="57"/>
              <w:rPr>
                <w:rFonts w:cs="Arial"/>
                <w:sz w:val="20"/>
                <w:szCs w:val="20"/>
                <w:lang w:val="en-GB"/>
              </w:rPr>
            </w:pPr>
            <w:r w:rsidRPr="009F63DF" w:rsidDel="00800013">
              <w:rPr>
                <w:rFonts w:cs="Arial"/>
                <w:sz w:val="20"/>
                <w:szCs w:val="20"/>
                <w:lang w:val="en-GB"/>
              </w:rPr>
              <w:t xml:space="preserve"> </w:t>
            </w:r>
            <w:r w:rsidR="00FE0F7C" w:rsidRPr="009F63DF">
              <w:rPr>
                <w:rFonts w:cs="Arial"/>
                <w:sz w:val="20"/>
                <w:szCs w:val="20"/>
                <w:lang w:val="en-GB"/>
              </w:rPr>
              <w:t>Equation (</w:t>
            </w:r>
            <w:r w:rsidR="006778F3">
              <w:rPr>
                <w:rFonts w:cs="Arial"/>
                <w:sz w:val="20"/>
                <w:szCs w:val="20"/>
                <w:lang w:val="en-GB"/>
              </w:rPr>
              <w:t>6</w:t>
            </w:r>
            <w:r w:rsidR="00FE0F7C" w:rsidRPr="009F63DF">
              <w:rPr>
                <w:rFonts w:cs="Arial"/>
                <w:sz w:val="20"/>
                <w:szCs w:val="20"/>
                <w:lang w:val="en-GB"/>
              </w:rPr>
              <w:t>)</w:t>
            </w:r>
            <w:r w:rsidR="00C519A6" w:rsidRPr="009F63DF">
              <w:rPr>
                <w:rFonts w:cs="Arial"/>
                <w:sz w:val="20"/>
                <w:szCs w:val="20"/>
                <w:lang w:val="en-GB"/>
              </w:rPr>
              <w:t>,</w:t>
            </w:r>
            <w:r w:rsidR="006778F3">
              <w:rPr>
                <w:rFonts w:cs="Arial"/>
                <w:sz w:val="20"/>
                <w:szCs w:val="20"/>
                <w:lang w:val="en-GB"/>
              </w:rPr>
              <w:t xml:space="preserve"> (7),</w:t>
            </w:r>
            <w:r w:rsidR="00681DAC" w:rsidRPr="009F63DF">
              <w:rPr>
                <w:rFonts w:cs="Arial"/>
                <w:sz w:val="20"/>
                <w:szCs w:val="20"/>
                <w:lang w:val="en-GB"/>
              </w:rPr>
              <w:t xml:space="preserve"> (</w:t>
            </w:r>
            <w:r w:rsidR="009854AB">
              <w:rPr>
                <w:rFonts w:cs="Arial"/>
                <w:sz w:val="20"/>
                <w:szCs w:val="20"/>
                <w:lang w:val="en-GB"/>
              </w:rPr>
              <w:t>13</w:t>
            </w:r>
            <w:r w:rsidR="00681DAC" w:rsidRPr="009F63DF">
              <w:rPr>
                <w:rFonts w:cs="Arial"/>
                <w:sz w:val="20"/>
                <w:szCs w:val="20"/>
                <w:lang w:val="en-GB"/>
              </w:rPr>
              <w:t>)</w:t>
            </w:r>
            <w:r w:rsidR="00C519A6" w:rsidRPr="009F63DF">
              <w:rPr>
                <w:rFonts w:cs="Arial"/>
                <w:sz w:val="20"/>
                <w:szCs w:val="20"/>
                <w:lang w:val="en-GB"/>
              </w:rPr>
              <w:t>,</w:t>
            </w:r>
            <w:r w:rsidR="00681DAC" w:rsidRPr="009F63DF">
              <w:rPr>
                <w:rFonts w:cs="Arial"/>
                <w:sz w:val="20"/>
                <w:szCs w:val="20"/>
                <w:lang w:val="en-GB"/>
              </w:rPr>
              <w:t xml:space="preserve"> (</w:t>
            </w:r>
            <w:r w:rsidR="009854AB">
              <w:rPr>
                <w:rFonts w:cs="Arial"/>
                <w:sz w:val="20"/>
                <w:szCs w:val="20"/>
                <w:lang w:val="en-GB"/>
              </w:rPr>
              <w:t>14</w:t>
            </w:r>
            <w:r w:rsidR="00681DAC" w:rsidRPr="009F63DF">
              <w:rPr>
                <w:rFonts w:cs="Arial"/>
                <w:sz w:val="20"/>
                <w:szCs w:val="20"/>
                <w:lang w:val="en-GB"/>
              </w:rPr>
              <w:t>)</w:t>
            </w:r>
          </w:p>
        </w:tc>
      </w:tr>
      <w:tr w:rsidR="00FE0F7C" w:rsidRPr="009F63DF" w14:paraId="746C57AD" w14:textId="77777777" w:rsidTr="009167D3">
        <w:tc>
          <w:tcPr>
            <w:tcW w:w="1844" w:type="dxa"/>
            <w:shd w:val="clear" w:color="auto" w:fill="E6E6E6"/>
          </w:tcPr>
          <w:p w14:paraId="3C0C0916"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291" w:type="dxa"/>
            <w:gridSpan w:val="2"/>
            <w:tcBorders>
              <w:bottom w:val="single" w:sz="4" w:space="0" w:color="auto"/>
              <w:right w:val="nil"/>
            </w:tcBorders>
          </w:tcPr>
          <w:p w14:paraId="34C55853" w14:textId="7A0477E5" w:rsidR="00FE0F7C" w:rsidRPr="009F63DF" w:rsidRDefault="00A578F8"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54FF7" w:rsidRPr="009F63DF">
              <w:rPr>
                <w:rFonts w:cs="Arial"/>
                <w:sz w:val="20"/>
                <w:shd w:val="clear" w:color="auto" w:fill="E6E6E6"/>
                <w:lang w:val="en-GB"/>
              </w:rPr>
              <w:t xml:space="preserve"> </w:t>
            </w:r>
            <w:r w:rsidR="00FE0F7C" w:rsidRPr="009F63DF">
              <w:rPr>
                <w:rFonts w:cs="Arial"/>
                <w:sz w:val="20"/>
                <w:szCs w:val="20"/>
                <w:lang w:val="en-GB"/>
              </w:rPr>
              <w:t xml:space="preserve">Baseline </w:t>
            </w:r>
            <w:r w:rsidR="0098412E" w:rsidRPr="009F63DF">
              <w:rPr>
                <w:rFonts w:cs="Arial"/>
                <w:sz w:val="20"/>
                <w:szCs w:val="20"/>
                <w:lang w:val="en-GB"/>
              </w:rPr>
              <w:t>Scenario</w:t>
            </w:r>
          </w:p>
        </w:tc>
        <w:tc>
          <w:tcPr>
            <w:tcW w:w="2126" w:type="dxa"/>
            <w:tcBorders>
              <w:left w:val="nil"/>
              <w:bottom w:val="single" w:sz="4" w:space="0" w:color="auto"/>
              <w:right w:val="nil"/>
            </w:tcBorders>
          </w:tcPr>
          <w:p w14:paraId="11DA3EFF" w14:textId="1878953D" w:rsidR="00FE0F7C" w:rsidRPr="009F63DF" w:rsidRDefault="00A578F8"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E0F7C" w:rsidRPr="009F63DF">
              <w:rPr>
                <w:rFonts w:cs="Arial"/>
                <w:sz w:val="20"/>
                <w:szCs w:val="20"/>
                <w:lang w:val="en-GB"/>
              </w:rPr>
              <w:t xml:space="preserve"> </w:t>
            </w:r>
            <w:r w:rsidR="002646DE" w:rsidRPr="009F63DF">
              <w:rPr>
                <w:rFonts w:cs="Arial"/>
                <w:sz w:val="20"/>
                <w:szCs w:val="20"/>
                <w:lang w:val="en-GB"/>
              </w:rPr>
              <w:t>Activity</w:t>
            </w:r>
            <w:r w:rsidR="00FE0F7C" w:rsidRPr="009F63DF">
              <w:rPr>
                <w:rFonts w:cs="Arial"/>
                <w:sz w:val="20"/>
                <w:szCs w:val="20"/>
                <w:lang w:val="en-GB"/>
              </w:rPr>
              <w:t xml:space="preserve"> </w:t>
            </w:r>
            <w:r w:rsidR="0098412E" w:rsidRPr="009F63DF">
              <w:rPr>
                <w:rFonts w:cs="Arial"/>
                <w:sz w:val="20"/>
                <w:szCs w:val="20"/>
                <w:lang w:val="en-GB"/>
              </w:rPr>
              <w:t>Scenario</w:t>
            </w:r>
          </w:p>
        </w:tc>
        <w:tc>
          <w:tcPr>
            <w:tcW w:w="2268" w:type="dxa"/>
            <w:tcBorders>
              <w:left w:val="nil"/>
              <w:bottom w:val="single" w:sz="4" w:space="0" w:color="auto"/>
            </w:tcBorders>
          </w:tcPr>
          <w:p w14:paraId="7CAF841D" w14:textId="5EEA6FC7" w:rsidR="00FE0F7C" w:rsidRPr="009F63DF" w:rsidRDefault="00FE0F7C"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Check2"/>
                  <w:enabled/>
                  <w:calcOnExit w:val="0"/>
                  <w:checkBox>
                    <w:size w:val="20"/>
                    <w:default w:val="0"/>
                  </w:checkBox>
                </w:ffData>
              </w:fldChar>
            </w:r>
            <w:r w:rsidRPr="009F63DF">
              <w:rPr>
                <w:rFonts w:cs="Arial"/>
                <w:sz w:val="20"/>
                <w:szCs w:val="20"/>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54FF7" w:rsidRPr="009F63DF">
              <w:rPr>
                <w:rFonts w:cs="Arial"/>
                <w:sz w:val="20"/>
                <w:shd w:val="clear" w:color="auto" w:fill="E6E6E6"/>
                <w:lang w:val="en-GB"/>
              </w:rPr>
              <w:t xml:space="preserve"> </w:t>
            </w:r>
            <w:r w:rsidRPr="009F63DF">
              <w:rPr>
                <w:rFonts w:cs="Arial"/>
                <w:sz w:val="20"/>
                <w:szCs w:val="20"/>
                <w:shd w:val="clear" w:color="auto" w:fill="E6E6E6"/>
                <w:lang w:val="en-GB"/>
              </w:rPr>
              <w:t>Le</w:t>
            </w:r>
            <w:r w:rsidRPr="009F63DF">
              <w:rPr>
                <w:rFonts w:cs="Arial"/>
                <w:sz w:val="20"/>
                <w:szCs w:val="20"/>
                <w:lang w:val="en-GB"/>
              </w:rPr>
              <w:t>akage</w:t>
            </w:r>
          </w:p>
        </w:tc>
      </w:tr>
      <w:tr w:rsidR="00152C49" w:rsidRPr="009F63DF" w14:paraId="5DAD05DB" w14:textId="77777777" w:rsidTr="009167D3">
        <w:tc>
          <w:tcPr>
            <w:tcW w:w="1844" w:type="dxa"/>
            <w:shd w:val="clear" w:color="auto" w:fill="E6E6E6"/>
          </w:tcPr>
          <w:p w14:paraId="01E1E853" w14:textId="6490929E" w:rsidR="00152C49" w:rsidRPr="009F63DF" w:rsidRDefault="00152C49" w:rsidP="00540956">
            <w:pPr>
              <w:suppressAutoHyphens/>
              <w:spacing w:before="60" w:after="60"/>
              <w:ind w:right="57"/>
              <w:jc w:val="left"/>
              <w:rPr>
                <w:rFonts w:cs="Arial"/>
                <w:sz w:val="20"/>
                <w:lang w:val="en-GB"/>
              </w:rPr>
            </w:pPr>
            <w:r w:rsidRPr="009F63DF">
              <w:rPr>
                <w:rFonts w:cs="Arial"/>
                <w:sz w:val="20"/>
                <w:lang w:val="en-GB"/>
              </w:rPr>
              <w:t>Value applied</w:t>
            </w:r>
          </w:p>
        </w:tc>
        <w:tc>
          <w:tcPr>
            <w:tcW w:w="2291" w:type="dxa"/>
            <w:gridSpan w:val="2"/>
            <w:tcBorders>
              <w:bottom w:val="single" w:sz="4" w:space="0" w:color="auto"/>
              <w:right w:val="nil"/>
            </w:tcBorders>
          </w:tcPr>
          <w:p w14:paraId="529A7179" w14:textId="77777777" w:rsidR="00152C49" w:rsidRPr="009F63DF" w:rsidRDefault="00152C49" w:rsidP="002319DD">
            <w:pPr>
              <w:suppressAutoHyphens/>
              <w:spacing w:before="60" w:after="60"/>
              <w:ind w:right="57"/>
              <w:jc w:val="left"/>
              <w:rPr>
                <w:rFonts w:cs="Arial"/>
                <w:sz w:val="20"/>
                <w:shd w:val="clear" w:color="auto" w:fill="E6E6E6"/>
                <w:lang w:val="en-GB"/>
              </w:rPr>
            </w:pPr>
          </w:p>
        </w:tc>
        <w:tc>
          <w:tcPr>
            <w:tcW w:w="2126" w:type="dxa"/>
            <w:tcBorders>
              <w:left w:val="nil"/>
              <w:bottom w:val="single" w:sz="4" w:space="0" w:color="auto"/>
              <w:right w:val="nil"/>
            </w:tcBorders>
          </w:tcPr>
          <w:p w14:paraId="0A000714" w14:textId="77777777" w:rsidR="00152C49" w:rsidRPr="009F63DF" w:rsidRDefault="00152C49" w:rsidP="002319DD">
            <w:pPr>
              <w:suppressAutoHyphens/>
              <w:spacing w:before="60" w:after="60"/>
              <w:ind w:right="57"/>
              <w:jc w:val="left"/>
              <w:rPr>
                <w:rFonts w:cs="Arial"/>
                <w:sz w:val="20"/>
                <w:shd w:val="clear" w:color="auto" w:fill="E6E6E6"/>
                <w:lang w:val="en-GB"/>
              </w:rPr>
            </w:pPr>
          </w:p>
        </w:tc>
        <w:tc>
          <w:tcPr>
            <w:tcW w:w="2268" w:type="dxa"/>
            <w:tcBorders>
              <w:left w:val="nil"/>
              <w:bottom w:val="single" w:sz="4" w:space="0" w:color="auto"/>
            </w:tcBorders>
          </w:tcPr>
          <w:p w14:paraId="3E1C45C2" w14:textId="77777777" w:rsidR="00152C49" w:rsidRPr="009F63DF" w:rsidRDefault="00152C49" w:rsidP="002319DD">
            <w:pPr>
              <w:suppressAutoHyphens/>
              <w:spacing w:before="60" w:after="60"/>
              <w:ind w:right="57"/>
              <w:jc w:val="left"/>
              <w:rPr>
                <w:rFonts w:cs="Arial"/>
                <w:sz w:val="20"/>
                <w:shd w:val="clear" w:color="auto" w:fill="E6E6E6"/>
                <w:lang w:val="en-GB"/>
              </w:rPr>
            </w:pPr>
          </w:p>
        </w:tc>
      </w:tr>
      <w:tr w:rsidR="00711F8F" w:rsidRPr="009F63DF" w14:paraId="05393ABD" w14:textId="77777777">
        <w:tc>
          <w:tcPr>
            <w:tcW w:w="1844" w:type="dxa"/>
            <w:shd w:val="clear" w:color="auto" w:fill="E6E6E6"/>
          </w:tcPr>
          <w:p w14:paraId="57FB1E3B" w14:textId="7E522B3C" w:rsidR="00711F8F" w:rsidRPr="009F63DF" w:rsidRDefault="00711F8F"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85" w:type="dxa"/>
            <w:gridSpan w:val="4"/>
            <w:tcBorders>
              <w:bottom w:val="single" w:sz="4" w:space="0" w:color="auto"/>
            </w:tcBorders>
          </w:tcPr>
          <w:p w14:paraId="3C9D9A67" w14:textId="62CF1C34" w:rsidR="00711F8F" w:rsidRPr="009F63DF" w:rsidRDefault="00711F8F" w:rsidP="002319DD">
            <w:pPr>
              <w:suppressAutoHyphens/>
              <w:spacing w:before="60" w:after="60"/>
              <w:ind w:right="57"/>
              <w:jc w:val="left"/>
              <w:rPr>
                <w:rFonts w:cs="Arial"/>
                <w:sz w:val="20"/>
                <w:shd w:val="clear" w:color="auto" w:fill="E6E6E6"/>
                <w:lang w:val="en-GB"/>
              </w:rPr>
            </w:pPr>
            <w:r w:rsidRPr="009F63DF">
              <w:rPr>
                <w:rFonts w:eastAsia="Montserrat" w:cs="Arial"/>
                <w:sz w:val="20"/>
                <w:szCs w:val="20"/>
                <w:lang w:val="en-GB"/>
              </w:rPr>
              <w:t xml:space="preserve">For each Article 6.4 activity household </w:t>
            </w:r>
            <w:r w:rsidRPr="009F63DF">
              <w:rPr>
                <w:rFonts w:eastAsia="Montserrat" w:cs="Arial"/>
                <w:i/>
                <w:sz w:val="20"/>
                <w:szCs w:val="20"/>
                <w:lang w:val="en-GB"/>
              </w:rPr>
              <w:t>h</w:t>
            </w:r>
            <w:r w:rsidRPr="009F63DF">
              <w:rPr>
                <w:rFonts w:eastAsia="Montserrat" w:cs="Arial"/>
                <w:sz w:val="20"/>
                <w:szCs w:val="20"/>
                <w:lang w:val="en-GB"/>
              </w:rPr>
              <w:t>, this shall be maintained in a database based on all days covered by the monitoring period since the date on which the project cookstove was obtained by the household. For example, if the monitoring period starts on 1 January 2026 and ends on 31 December 2026 and the household received the cookstove on 1 April, then this parameter corresponds to 275 days. If the household already received the project cookstove in the previous monitoring period, this parameter corresponds to 365 days for that monitoring period</w:t>
            </w:r>
          </w:p>
        </w:tc>
      </w:tr>
      <w:tr w:rsidR="00FE0F7C" w:rsidRPr="009F63DF" w14:paraId="23D46ABC" w14:textId="77777777" w:rsidTr="009167D3">
        <w:tc>
          <w:tcPr>
            <w:tcW w:w="1844" w:type="dxa"/>
            <w:shd w:val="clear" w:color="auto" w:fill="E6E6E6"/>
          </w:tcPr>
          <w:p w14:paraId="7B6C6D86"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85" w:type="dxa"/>
            <w:gridSpan w:val="4"/>
            <w:tcBorders>
              <w:top w:val="single" w:sz="4" w:space="0" w:color="auto"/>
              <w:bottom w:val="single" w:sz="4" w:space="0" w:color="auto"/>
            </w:tcBorders>
            <w:vAlign w:val="center"/>
          </w:tcPr>
          <w:p w14:paraId="09B29A41" w14:textId="2025BF0C" w:rsidR="00FE0F7C" w:rsidRPr="009F63DF" w:rsidRDefault="00F7552F" w:rsidP="002319DD">
            <w:pPr>
              <w:suppressAutoHyphens/>
              <w:spacing w:before="60" w:after="60"/>
              <w:ind w:right="57"/>
              <w:rPr>
                <w:rFonts w:cs="Arial"/>
                <w:sz w:val="20"/>
                <w:szCs w:val="20"/>
                <w:lang w:val="en-GB"/>
              </w:rPr>
            </w:pPr>
            <w:r w:rsidRPr="009F63DF">
              <w:rPr>
                <w:rFonts w:eastAsia="Montserrat" w:cs="Arial"/>
                <w:sz w:val="20"/>
                <w:szCs w:val="20"/>
                <w:lang w:val="en-GB"/>
              </w:rPr>
              <w:t>Annually</w:t>
            </w:r>
          </w:p>
        </w:tc>
      </w:tr>
      <w:tr w:rsidR="00FE0F7C" w:rsidRPr="009F63DF" w14:paraId="154AF540" w14:textId="77777777" w:rsidTr="009167D3">
        <w:trPr>
          <w:trHeight w:val="107"/>
        </w:trPr>
        <w:tc>
          <w:tcPr>
            <w:tcW w:w="1844" w:type="dxa"/>
            <w:shd w:val="clear" w:color="auto" w:fill="E6E6E6"/>
          </w:tcPr>
          <w:p w14:paraId="0F0D451E"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85" w:type="dxa"/>
            <w:gridSpan w:val="4"/>
            <w:tcBorders>
              <w:top w:val="single" w:sz="4" w:space="0" w:color="auto"/>
            </w:tcBorders>
          </w:tcPr>
          <w:p w14:paraId="0B213DC2" w14:textId="17E596A4" w:rsidR="00FE0F7C" w:rsidRPr="009F63DF" w:rsidRDefault="004F22DC" w:rsidP="002319DD">
            <w:pPr>
              <w:suppressAutoHyphens/>
              <w:spacing w:before="60" w:after="60"/>
              <w:ind w:right="57"/>
              <w:rPr>
                <w:rFonts w:cs="Arial"/>
                <w:sz w:val="20"/>
                <w:szCs w:val="20"/>
                <w:lang w:val="en-GB"/>
              </w:rPr>
            </w:pPr>
            <w:r w:rsidRPr="009F63DF">
              <w:rPr>
                <w:rFonts w:cs="Arial"/>
                <w:sz w:val="20"/>
                <w:szCs w:val="20"/>
                <w:lang w:val="en-GB"/>
              </w:rPr>
              <w:t>Activity participant</w:t>
            </w:r>
          </w:p>
        </w:tc>
      </w:tr>
      <w:tr w:rsidR="00FE0F7C" w:rsidRPr="009F63DF" w14:paraId="0DEF1AC5" w14:textId="77777777" w:rsidTr="009167D3">
        <w:trPr>
          <w:trHeight w:val="107"/>
        </w:trPr>
        <w:tc>
          <w:tcPr>
            <w:tcW w:w="1844" w:type="dxa"/>
            <w:vMerge w:val="restart"/>
            <w:shd w:val="clear" w:color="auto" w:fill="E6E6E6"/>
          </w:tcPr>
          <w:p w14:paraId="77AF4D72"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1898" w:type="dxa"/>
            <w:tcBorders>
              <w:top w:val="single" w:sz="4" w:space="0" w:color="auto"/>
            </w:tcBorders>
          </w:tcPr>
          <w:p w14:paraId="1B3B0D45" w14:textId="77777777" w:rsidR="00FE0F7C" w:rsidRPr="009F63DF" w:rsidRDefault="00FE0F7C" w:rsidP="002319DD">
            <w:pPr>
              <w:suppressAutoHyphens/>
              <w:spacing w:before="60" w:after="60"/>
              <w:ind w:right="57"/>
              <w:jc w:val="left"/>
              <w:rPr>
                <w:rFonts w:cs="Arial"/>
                <w:i/>
                <w:sz w:val="20"/>
                <w:szCs w:val="20"/>
                <w:lang w:val="en-GB"/>
              </w:rPr>
            </w:pPr>
            <w:r w:rsidRPr="009F63DF">
              <w:rPr>
                <w:rFonts w:cs="Arial"/>
                <w:i/>
                <w:sz w:val="20"/>
                <w:szCs w:val="20"/>
                <w:lang w:val="en-GB"/>
              </w:rPr>
              <w:t>Type of instrument</w:t>
            </w:r>
          </w:p>
        </w:tc>
        <w:tc>
          <w:tcPr>
            <w:tcW w:w="4787" w:type="dxa"/>
            <w:gridSpan w:val="3"/>
            <w:tcBorders>
              <w:top w:val="single" w:sz="4" w:space="0" w:color="auto"/>
            </w:tcBorders>
          </w:tcPr>
          <w:p w14:paraId="4378D779" w14:textId="4ADABDDD" w:rsidR="00FE0F7C" w:rsidRPr="009F63DF" w:rsidRDefault="004F22DC" w:rsidP="002319DD">
            <w:pPr>
              <w:pStyle w:val="ParaTickBox"/>
              <w:tabs>
                <w:tab w:val="clear" w:pos="510"/>
                <w:tab w:val="left" w:pos="120"/>
              </w:tabs>
              <w:suppressAutoHyphens/>
              <w:ind w:right="57"/>
              <w:rPr>
                <w:szCs w:val="20"/>
                <w:lang w:val="en-GB"/>
              </w:rPr>
            </w:pPr>
            <w:r w:rsidRPr="009F63DF">
              <w:rPr>
                <w:szCs w:val="20"/>
                <w:lang w:val="en-GB"/>
              </w:rPr>
              <w:t>N/A</w:t>
            </w:r>
          </w:p>
        </w:tc>
      </w:tr>
      <w:tr w:rsidR="00FE0F7C" w:rsidRPr="009F63DF" w14:paraId="717E95CC" w14:textId="77777777" w:rsidTr="009167D3">
        <w:trPr>
          <w:trHeight w:val="104"/>
        </w:trPr>
        <w:tc>
          <w:tcPr>
            <w:tcW w:w="1844" w:type="dxa"/>
            <w:vMerge/>
          </w:tcPr>
          <w:p w14:paraId="28E2BAEE" w14:textId="77777777" w:rsidR="00FE0F7C" w:rsidRPr="009F63DF" w:rsidRDefault="00FE0F7C" w:rsidP="00540956">
            <w:pPr>
              <w:suppressAutoHyphens/>
              <w:spacing w:before="60" w:after="60"/>
              <w:ind w:right="57"/>
              <w:jc w:val="left"/>
              <w:rPr>
                <w:rFonts w:cs="Arial"/>
                <w:sz w:val="20"/>
                <w:szCs w:val="20"/>
                <w:lang w:val="en-GB"/>
              </w:rPr>
            </w:pPr>
          </w:p>
        </w:tc>
        <w:tc>
          <w:tcPr>
            <w:tcW w:w="1898" w:type="dxa"/>
            <w:tcBorders>
              <w:top w:val="single" w:sz="4" w:space="0" w:color="auto"/>
            </w:tcBorders>
          </w:tcPr>
          <w:p w14:paraId="1D29FB41" w14:textId="77777777" w:rsidR="00FE0F7C" w:rsidRPr="009F63DF" w:rsidRDefault="00FE0F7C" w:rsidP="002319DD">
            <w:pPr>
              <w:suppressAutoHyphens/>
              <w:spacing w:before="60" w:after="60"/>
              <w:ind w:right="57"/>
              <w:jc w:val="left"/>
              <w:rPr>
                <w:rFonts w:cs="Arial"/>
                <w:i/>
                <w:sz w:val="20"/>
                <w:szCs w:val="20"/>
                <w:lang w:val="en-GB"/>
              </w:rPr>
            </w:pPr>
            <w:r w:rsidRPr="009F63DF">
              <w:rPr>
                <w:rFonts w:cs="Arial"/>
                <w:i/>
                <w:sz w:val="20"/>
                <w:szCs w:val="20"/>
                <w:lang w:val="en-GB"/>
              </w:rPr>
              <w:t>Accuracy class</w:t>
            </w:r>
          </w:p>
        </w:tc>
        <w:tc>
          <w:tcPr>
            <w:tcW w:w="4787" w:type="dxa"/>
            <w:gridSpan w:val="3"/>
            <w:tcBorders>
              <w:top w:val="single" w:sz="4" w:space="0" w:color="auto"/>
            </w:tcBorders>
          </w:tcPr>
          <w:p w14:paraId="6E98A854" w14:textId="401E450B" w:rsidR="00FE0F7C" w:rsidRPr="009F63DF" w:rsidRDefault="004F22DC" w:rsidP="002319DD">
            <w:pPr>
              <w:suppressAutoHyphens/>
              <w:spacing w:before="60" w:after="60"/>
              <w:ind w:right="57"/>
              <w:rPr>
                <w:rFonts w:cs="Arial"/>
                <w:sz w:val="20"/>
                <w:szCs w:val="20"/>
                <w:lang w:val="en-GB"/>
              </w:rPr>
            </w:pPr>
            <w:r w:rsidRPr="009F63DF">
              <w:rPr>
                <w:rFonts w:cs="Arial"/>
                <w:sz w:val="20"/>
                <w:szCs w:val="20"/>
                <w:lang w:val="en-GB"/>
              </w:rPr>
              <w:t>N/A</w:t>
            </w:r>
          </w:p>
        </w:tc>
      </w:tr>
      <w:tr w:rsidR="00FE0F7C" w:rsidRPr="009F63DF" w14:paraId="071237E7" w14:textId="77777777" w:rsidTr="009167D3">
        <w:trPr>
          <w:trHeight w:val="104"/>
        </w:trPr>
        <w:tc>
          <w:tcPr>
            <w:tcW w:w="1844" w:type="dxa"/>
            <w:vMerge/>
          </w:tcPr>
          <w:p w14:paraId="2045B9E8" w14:textId="77777777" w:rsidR="00FE0F7C" w:rsidRPr="009F63DF" w:rsidRDefault="00FE0F7C" w:rsidP="00540956">
            <w:pPr>
              <w:suppressAutoHyphens/>
              <w:spacing w:before="60" w:after="60"/>
              <w:ind w:right="57"/>
              <w:jc w:val="left"/>
              <w:rPr>
                <w:rFonts w:cs="Arial"/>
                <w:sz w:val="20"/>
                <w:szCs w:val="20"/>
                <w:lang w:val="en-GB"/>
              </w:rPr>
            </w:pPr>
          </w:p>
        </w:tc>
        <w:tc>
          <w:tcPr>
            <w:tcW w:w="1898" w:type="dxa"/>
            <w:tcBorders>
              <w:top w:val="single" w:sz="4" w:space="0" w:color="auto"/>
            </w:tcBorders>
          </w:tcPr>
          <w:p w14:paraId="2DF9CA6E" w14:textId="77777777" w:rsidR="00FE0F7C" w:rsidRPr="009F63DF" w:rsidRDefault="00FE0F7C" w:rsidP="002319DD">
            <w:pPr>
              <w:suppressAutoHyphens/>
              <w:spacing w:before="60" w:after="60"/>
              <w:ind w:right="57"/>
              <w:jc w:val="left"/>
              <w:rPr>
                <w:rFonts w:cs="Arial"/>
                <w:i/>
                <w:sz w:val="20"/>
                <w:szCs w:val="20"/>
                <w:lang w:val="en-GB"/>
              </w:rPr>
            </w:pPr>
            <w:r w:rsidRPr="009F63DF">
              <w:rPr>
                <w:rFonts w:cs="Arial"/>
                <w:i/>
                <w:sz w:val="20"/>
                <w:szCs w:val="20"/>
                <w:lang w:val="en-GB"/>
              </w:rPr>
              <w:t>Calibration requirements</w:t>
            </w:r>
          </w:p>
        </w:tc>
        <w:tc>
          <w:tcPr>
            <w:tcW w:w="4787" w:type="dxa"/>
            <w:gridSpan w:val="3"/>
            <w:tcBorders>
              <w:top w:val="single" w:sz="4" w:space="0" w:color="auto"/>
            </w:tcBorders>
          </w:tcPr>
          <w:p w14:paraId="62D7ACEF" w14:textId="63E4F18B" w:rsidR="00FE0F7C" w:rsidRPr="009F63DF" w:rsidRDefault="004F22DC" w:rsidP="002319DD">
            <w:pPr>
              <w:suppressAutoHyphens/>
              <w:spacing w:before="60" w:after="60"/>
              <w:ind w:right="57"/>
              <w:rPr>
                <w:rFonts w:cs="Arial"/>
                <w:i/>
                <w:sz w:val="20"/>
                <w:szCs w:val="20"/>
                <w:lang w:val="en-GB"/>
              </w:rPr>
            </w:pPr>
            <w:r w:rsidRPr="009F63DF">
              <w:rPr>
                <w:rFonts w:cs="Arial"/>
                <w:sz w:val="20"/>
                <w:szCs w:val="20"/>
                <w:lang w:val="en-GB"/>
              </w:rPr>
              <w:t>N/A</w:t>
            </w:r>
          </w:p>
        </w:tc>
      </w:tr>
      <w:tr w:rsidR="00FE0F7C" w:rsidRPr="009F63DF" w14:paraId="4275C45B" w14:textId="77777777" w:rsidTr="009167D3">
        <w:trPr>
          <w:trHeight w:val="104"/>
        </w:trPr>
        <w:tc>
          <w:tcPr>
            <w:tcW w:w="1844" w:type="dxa"/>
            <w:vMerge/>
          </w:tcPr>
          <w:p w14:paraId="60F73BAF" w14:textId="77777777" w:rsidR="00FE0F7C" w:rsidRPr="009F63DF" w:rsidRDefault="00FE0F7C" w:rsidP="00540956">
            <w:pPr>
              <w:suppressAutoHyphens/>
              <w:spacing w:before="60" w:after="60"/>
              <w:ind w:right="57"/>
              <w:jc w:val="left"/>
              <w:rPr>
                <w:rFonts w:cs="Arial"/>
                <w:sz w:val="20"/>
                <w:szCs w:val="20"/>
                <w:lang w:val="en-GB"/>
              </w:rPr>
            </w:pPr>
          </w:p>
        </w:tc>
        <w:tc>
          <w:tcPr>
            <w:tcW w:w="1898" w:type="dxa"/>
            <w:tcBorders>
              <w:top w:val="single" w:sz="4" w:space="0" w:color="auto"/>
            </w:tcBorders>
          </w:tcPr>
          <w:p w14:paraId="07B98D35" w14:textId="77777777" w:rsidR="00FE0F7C" w:rsidRPr="009F63DF" w:rsidRDefault="00FE0F7C" w:rsidP="002319DD">
            <w:pPr>
              <w:suppressAutoHyphens/>
              <w:spacing w:before="60" w:after="60"/>
              <w:ind w:right="57"/>
              <w:jc w:val="left"/>
              <w:rPr>
                <w:rFonts w:cs="Arial"/>
                <w:i/>
                <w:sz w:val="20"/>
                <w:szCs w:val="20"/>
                <w:lang w:val="en-GB"/>
              </w:rPr>
            </w:pPr>
            <w:r w:rsidRPr="009F63DF">
              <w:rPr>
                <w:rFonts w:cs="Arial"/>
                <w:i/>
                <w:sz w:val="20"/>
                <w:szCs w:val="20"/>
                <w:lang w:val="en-GB"/>
              </w:rPr>
              <w:t>Location</w:t>
            </w:r>
          </w:p>
        </w:tc>
        <w:tc>
          <w:tcPr>
            <w:tcW w:w="4787" w:type="dxa"/>
            <w:gridSpan w:val="3"/>
            <w:tcBorders>
              <w:top w:val="single" w:sz="4" w:space="0" w:color="auto"/>
            </w:tcBorders>
          </w:tcPr>
          <w:p w14:paraId="746ADB8E" w14:textId="79B0CE63" w:rsidR="00FE0F7C" w:rsidRPr="009F63DF" w:rsidRDefault="004F22DC" w:rsidP="002319DD">
            <w:pPr>
              <w:suppressAutoHyphens/>
              <w:spacing w:before="60" w:after="60"/>
              <w:ind w:right="57"/>
              <w:rPr>
                <w:rFonts w:cs="Arial"/>
                <w:sz w:val="20"/>
                <w:szCs w:val="20"/>
                <w:lang w:val="en-GB"/>
              </w:rPr>
            </w:pPr>
            <w:r w:rsidRPr="009F63DF">
              <w:rPr>
                <w:rFonts w:cs="Arial"/>
                <w:sz w:val="20"/>
                <w:szCs w:val="20"/>
                <w:lang w:val="en-GB"/>
              </w:rPr>
              <w:t>N/A</w:t>
            </w:r>
          </w:p>
        </w:tc>
      </w:tr>
      <w:tr w:rsidR="00FE0F7C" w:rsidRPr="009F63DF" w14:paraId="75B7958D" w14:textId="77777777" w:rsidTr="009167D3">
        <w:tc>
          <w:tcPr>
            <w:tcW w:w="1844" w:type="dxa"/>
            <w:shd w:val="clear" w:color="auto" w:fill="E6E6E6"/>
          </w:tcPr>
          <w:p w14:paraId="3AFAB4F2"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85" w:type="dxa"/>
            <w:gridSpan w:val="4"/>
          </w:tcPr>
          <w:p w14:paraId="3EFC723E" w14:textId="639DD2F6" w:rsidR="00FE0F7C" w:rsidRPr="009F63DF" w:rsidRDefault="004F22DC" w:rsidP="002319DD">
            <w:pPr>
              <w:tabs>
                <w:tab w:val="left" w:pos="567"/>
              </w:tabs>
              <w:suppressAutoHyphens/>
              <w:spacing w:before="20" w:after="20"/>
              <w:ind w:right="159"/>
              <w:rPr>
                <w:rFonts w:cs="Arial"/>
                <w:sz w:val="20"/>
                <w:szCs w:val="20"/>
                <w:lang w:val="en-GB"/>
              </w:rPr>
            </w:pPr>
            <w:r w:rsidRPr="009F63DF">
              <w:rPr>
                <w:rFonts w:cs="Arial"/>
                <w:sz w:val="20"/>
                <w:szCs w:val="20"/>
                <w:lang w:val="en-GB"/>
              </w:rPr>
              <w:t>Annual</w:t>
            </w:r>
          </w:p>
        </w:tc>
      </w:tr>
      <w:tr w:rsidR="00FE0F7C" w:rsidRPr="009F63DF" w14:paraId="79467E9F" w14:textId="77777777" w:rsidTr="009167D3">
        <w:tc>
          <w:tcPr>
            <w:tcW w:w="1844" w:type="dxa"/>
            <w:shd w:val="clear" w:color="auto" w:fill="E6E6E6"/>
          </w:tcPr>
          <w:p w14:paraId="1EF14B0B"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85" w:type="dxa"/>
            <w:gridSpan w:val="4"/>
          </w:tcPr>
          <w:p w14:paraId="29D8B28C" w14:textId="46F7DB05" w:rsidR="00FE0F7C" w:rsidRPr="009F63DF" w:rsidRDefault="00D14E3E" w:rsidP="002319DD">
            <w:pPr>
              <w:tabs>
                <w:tab w:val="left" w:pos="567"/>
              </w:tabs>
              <w:suppressAutoHyphens/>
              <w:spacing w:before="20" w:after="20"/>
              <w:ind w:right="159"/>
              <w:rPr>
                <w:rFonts w:cs="Arial"/>
                <w:sz w:val="20"/>
                <w:szCs w:val="20"/>
                <w:lang w:val="en-GB"/>
              </w:rPr>
            </w:pPr>
            <w:r w:rsidRPr="009F63DF">
              <w:rPr>
                <w:rFonts w:cs="Arial"/>
                <w:sz w:val="20"/>
                <w:szCs w:val="20"/>
                <w:lang w:val="en-GB"/>
              </w:rPr>
              <w:t xml:space="preserve">Ongoing maintenance of total sales and service records and </w:t>
            </w:r>
            <w:r w:rsidR="000F5692" w:rsidRPr="009F63DF">
              <w:rPr>
                <w:rFonts w:cs="Arial"/>
                <w:sz w:val="20"/>
                <w:szCs w:val="20"/>
                <w:lang w:val="en-GB"/>
              </w:rPr>
              <w:t>activity</w:t>
            </w:r>
            <w:r w:rsidRPr="009F63DF">
              <w:rPr>
                <w:rFonts w:cs="Arial"/>
                <w:sz w:val="20"/>
                <w:szCs w:val="20"/>
                <w:lang w:val="en-GB"/>
              </w:rPr>
              <w:t xml:space="preserve"> databases shall be undertaken</w:t>
            </w:r>
          </w:p>
        </w:tc>
      </w:tr>
      <w:tr w:rsidR="00FE0F7C" w:rsidRPr="009F63DF" w14:paraId="15C91CC4" w14:textId="77777777" w:rsidTr="009167D3">
        <w:tc>
          <w:tcPr>
            <w:tcW w:w="1844" w:type="dxa"/>
            <w:shd w:val="clear" w:color="auto" w:fill="E6E6E6"/>
          </w:tcPr>
          <w:p w14:paraId="20748AD5" w14:textId="77777777" w:rsidR="00FE0F7C" w:rsidRPr="009F63DF" w:rsidRDefault="00FE0F7C"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85" w:type="dxa"/>
            <w:gridSpan w:val="4"/>
          </w:tcPr>
          <w:p w14:paraId="31FEC49A" w14:textId="0CE2B25A" w:rsidR="00FE0F7C" w:rsidRPr="009F63DF" w:rsidRDefault="007C1154" w:rsidP="002319DD">
            <w:pPr>
              <w:pStyle w:val="ParaTickBox"/>
              <w:keepNext/>
              <w:tabs>
                <w:tab w:val="clear" w:pos="510"/>
                <w:tab w:val="left" w:pos="315"/>
              </w:tabs>
              <w:suppressAutoHyphens/>
              <w:ind w:left="0" w:firstLine="0"/>
              <w:jc w:val="both"/>
              <w:rPr>
                <w:szCs w:val="20"/>
                <w:lang w:val="en-GB"/>
              </w:rPr>
            </w:pPr>
            <w:r w:rsidRPr="009F63DF">
              <w:rPr>
                <w:szCs w:val="20"/>
                <w:lang w:val="en-GB"/>
              </w:rPr>
              <w:t>Not applicable</w:t>
            </w:r>
          </w:p>
        </w:tc>
      </w:tr>
      <w:tr w:rsidR="00FE0F7C" w:rsidRPr="009F63DF" w14:paraId="4D31EEF1" w14:textId="77777777" w:rsidTr="009167D3">
        <w:tc>
          <w:tcPr>
            <w:tcW w:w="1844" w:type="dxa"/>
            <w:shd w:val="clear" w:color="auto" w:fill="E6E6E6"/>
          </w:tcPr>
          <w:p w14:paraId="5F61565B" w14:textId="77777777" w:rsidR="00FE0F7C" w:rsidRPr="009F63DF" w:rsidRDefault="00FE0F7C"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85" w:type="dxa"/>
            <w:gridSpan w:val="4"/>
          </w:tcPr>
          <w:p w14:paraId="343AC204" w14:textId="3D989280" w:rsidR="00FE0F7C" w:rsidRPr="009F63DF" w:rsidRDefault="00860274" w:rsidP="002319DD">
            <w:pPr>
              <w:suppressAutoHyphens/>
              <w:spacing w:before="60" w:after="60"/>
              <w:ind w:right="57"/>
              <w:rPr>
                <w:rFonts w:cs="Arial"/>
                <w:sz w:val="20"/>
                <w:szCs w:val="20"/>
                <w:lang w:val="en-GB"/>
              </w:rPr>
            </w:pPr>
            <w:r w:rsidRPr="009F63DF">
              <w:rPr>
                <w:rFonts w:cs="Arial"/>
                <w:sz w:val="20"/>
                <w:szCs w:val="20"/>
                <w:lang w:val="en-GB"/>
              </w:rPr>
              <w:t>-</w:t>
            </w:r>
          </w:p>
        </w:tc>
      </w:tr>
    </w:tbl>
    <w:p w14:paraId="42158747" w14:textId="235420E2"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15</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39"/>
        <w:gridCol w:w="1970"/>
        <w:gridCol w:w="326"/>
        <w:gridCol w:w="2126"/>
        <w:gridCol w:w="2268"/>
      </w:tblGrid>
      <w:tr w:rsidR="007D01DB" w:rsidRPr="009F63DF" w14:paraId="4597513C" w14:textId="77777777" w:rsidTr="009167D3">
        <w:tc>
          <w:tcPr>
            <w:tcW w:w="1839" w:type="dxa"/>
            <w:shd w:val="clear" w:color="auto" w:fill="E6E6E6"/>
          </w:tcPr>
          <w:p w14:paraId="74329F08" w14:textId="77777777" w:rsidR="007D01DB" w:rsidRPr="009F63DF" w:rsidRDefault="007D01DB" w:rsidP="00540956">
            <w:pPr>
              <w:keepNext/>
              <w:suppressAutoHyphens/>
              <w:spacing w:before="60" w:after="60"/>
              <w:ind w:right="57"/>
              <w:jc w:val="left"/>
              <w:rPr>
                <w:rFonts w:cs="Arial"/>
                <w:b/>
                <w:sz w:val="20"/>
                <w:szCs w:val="20"/>
                <w:lang w:val="en-GB"/>
              </w:rPr>
            </w:pPr>
            <w:r w:rsidRPr="009F63DF">
              <w:rPr>
                <w:rFonts w:cs="Arial"/>
                <w:b/>
                <w:sz w:val="20"/>
                <w:szCs w:val="20"/>
                <w:lang w:val="en-GB"/>
              </w:rPr>
              <w:t>Data/parameter</w:t>
            </w:r>
          </w:p>
        </w:tc>
        <w:tc>
          <w:tcPr>
            <w:tcW w:w="6690" w:type="dxa"/>
            <w:gridSpan w:val="4"/>
          </w:tcPr>
          <w:p w14:paraId="550BED31" w14:textId="0B0456CE" w:rsidR="007D01DB" w:rsidRPr="009F63DF" w:rsidRDefault="001549D8" w:rsidP="002319DD">
            <w:pPr>
              <w:keepNext/>
              <w:suppressAutoHyphens/>
              <w:spacing w:before="60" w:after="60"/>
              <w:ind w:right="57"/>
              <w:rPr>
                <w:rFonts w:cs="Arial"/>
                <w:b/>
                <w:i/>
                <w:sz w:val="20"/>
                <w:szCs w:val="20"/>
                <w:lang w:val="en-GB"/>
              </w:rPr>
            </w:pPr>
            <m:oMathPara>
              <m:oMathParaPr>
                <m:jc m:val="left"/>
              </m:oMathParaPr>
              <m:oMath>
                <m:sSub>
                  <m:sSubPr>
                    <m:ctrlPr>
                      <w:rPr>
                        <w:rFonts w:ascii="Cambria Math" w:eastAsia="Cambria Math" w:hAnsi="Cambria Math" w:cs="Arial"/>
                        <w:sz w:val="20"/>
                        <w:szCs w:val="20"/>
                        <w:lang w:val="en-GB"/>
                      </w:rPr>
                    </m:ctrlPr>
                  </m:sSubPr>
                  <m:e>
                    <m:r>
                      <m:rPr>
                        <m:sty m:val="bi"/>
                      </m:rPr>
                      <w:rPr>
                        <w:rFonts w:ascii="Cambria Math" w:eastAsia="Cambria Math" w:hAnsi="Cambria Math" w:cs="Arial"/>
                        <w:sz w:val="20"/>
                        <w:szCs w:val="20"/>
                        <w:lang w:val="en-GB"/>
                      </w:rPr>
                      <m:t>H</m:t>
                    </m:r>
                  </m:e>
                  <m:sub>
                    <m:r>
                      <m:rPr>
                        <m:sty m:val="bi"/>
                      </m:rPr>
                      <w:rPr>
                        <w:rFonts w:ascii="Cambria Math" w:eastAsia="Cambria Math" w:hAnsi="Cambria Math" w:cs="Arial"/>
                        <w:sz w:val="20"/>
                        <w:szCs w:val="20"/>
                        <w:lang w:val="en-GB"/>
                      </w:rPr>
                      <m:t>y</m:t>
                    </m:r>
                  </m:sub>
                </m:sSub>
              </m:oMath>
            </m:oMathPara>
          </w:p>
        </w:tc>
      </w:tr>
      <w:tr w:rsidR="007D01DB" w:rsidRPr="009F63DF" w14:paraId="3BD962A6" w14:textId="77777777" w:rsidTr="009167D3">
        <w:tc>
          <w:tcPr>
            <w:tcW w:w="1839" w:type="dxa"/>
            <w:shd w:val="clear" w:color="auto" w:fill="E6E6E6"/>
          </w:tcPr>
          <w:p w14:paraId="59143BDE" w14:textId="77777777" w:rsidR="007D01DB" w:rsidRPr="009F63DF" w:rsidRDefault="007D01DB"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90" w:type="dxa"/>
            <w:gridSpan w:val="4"/>
          </w:tcPr>
          <w:p w14:paraId="7849A204" w14:textId="4CF73994" w:rsidR="007D01DB" w:rsidRPr="009F63DF" w:rsidRDefault="007D01DB" w:rsidP="002319DD">
            <w:pPr>
              <w:suppressAutoHyphens/>
              <w:spacing w:before="60" w:after="60"/>
              <w:ind w:right="57"/>
              <w:rPr>
                <w:rFonts w:cs="Arial"/>
                <w:sz w:val="20"/>
                <w:szCs w:val="20"/>
                <w:u w:val="single"/>
                <w:lang w:val="en-GB"/>
              </w:rPr>
            </w:pPr>
            <w:r w:rsidRPr="009F63DF">
              <w:rPr>
                <w:rFonts w:eastAsia="Montserrat" w:cs="Arial"/>
                <w:sz w:val="20"/>
                <w:szCs w:val="20"/>
                <w:lang w:val="en-GB"/>
              </w:rPr>
              <w:t>Average household size</w:t>
            </w:r>
            <w:r w:rsidR="005150E2" w:rsidRPr="009F63DF">
              <w:rPr>
                <w:rFonts w:eastAsia="Montserrat" w:cs="Arial"/>
                <w:sz w:val="20"/>
                <w:szCs w:val="20"/>
                <w:lang w:val="en-GB"/>
              </w:rPr>
              <w:t xml:space="preserve"> in year </w:t>
            </w:r>
            <w:r w:rsidR="005150E2" w:rsidRPr="009F63DF">
              <w:rPr>
                <w:rFonts w:eastAsia="Montserrat" w:cs="Arial"/>
                <w:i/>
                <w:iCs/>
                <w:sz w:val="20"/>
                <w:szCs w:val="20"/>
                <w:lang w:val="en-GB"/>
              </w:rPr>
              <w:t>y</w:t>
            </w:r>
          </w:p>
        </w:tc>
      </w:tr>
      <w:tr w:rsidR="00E45821" w:rsidRPr="009F63DF" w14:paraId="2A949FDB" w14:textId="77777777" w:rsidTr="009167D3">
        <w:tc>
          <w:tcPr>
            <w:tcW w:w="1839" w:type="dxa"/>
            <w:shd w:val="clear" w:color="auto" w:fill="E6E6E6"/>
          </w:tcPr>
          <w:p w14:paraId="1DAA4310"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90" w:type="dxa"/>
            <w:gridSpan w:val="4"/>
          </w:tcPr>
          <w:p w14:paraId="27DB7E9A" w14:textId="6575E0B0" w:rsidR="00E45821" w:rsidRPr="009F63DF" w:rsidRDefault="00D14E3E" w:rsidP="002319DD">
            <w:pPr>
              <w:suppressAutoHyphens/>
              <w:spacing w:before="60" w:after="60"/>
              <w:ind w:right="57"/>
              <w:rPr>
                <w:rFonts w:cs="Arial"/>
                <w:sz w:val="20"/>
                <w:szCs w:val="20"/>
                <w:lang w:val="en-GB"/>
              </w:rPr>
            </w:pPr>
            <w:r w:rsidRPr="009F63DF">
              <w:rPr>
                <w:rFonts w:eastAsia="Montserrat" w:cs="Arial"/>
                <w:sz w:val="20"/>
                <w:szCs w:val="20"/>
                <w:lang w:val="en-GB"/>
              </w:rPr>
              <w:t>Number of p</w:t>
            </w:r>
            <w:r w:rsidR="00E45821" w:rsidRPr="009F63DF">
              <w:rPr>
                <w:rFonts w:eastAsia="Montserrat" w:cs="Arial"/>
                <w:sz w:val="20"/>
                <w:szCs w:val="20"/>
                <w:lang w:val="en-GB"/>
              </w:rPr>
              <w:t>ersons per household, regardless of age or gender</w:t>
            </w:r>
          </w:p>
        </w:tc>
      </w:tr>
      <w:tr w:rsidR="00E45821" w:rsidRPr="009F63DF" w14:paraId="04E97098" w14:textId="77777777" w:rsidTr="009167D3">
        <w:tc>
          <w:tcPr>
            <w:tcW w:w="1839" w:type="dxa"/>
            <w:shd w:val="clear" w:color="auto" w:fill="E6E6E6"/>
          </w:tcPr>
          <w:p w14:paraId="22C55A18"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90" w:type="dxa"/>
            <w:gridSpan w:val="4"/>
            <w:tcBorders>
              <w:bottom w:val="single" w:sz="4" w:space="0" w:color="auto"/>
            </w:tcBorders>
          </w:tcPr>
          <w:p w14:paraId="081E13C7" w14:textId="71B77C34" w:rsidR="00E45821" w:rsidRPr="009F63DF" w:rsidRDefault="005D6ACE" w:rsidP="002319DD">
            <w:pPr>
              <w:suppressAutoHyphens/>
              <w:spacing w:before="60" w:after="60"/>
              <w:ind w:right="57"/>
              <w:rPr>
                <w:rFonts w:cs="Arial"/>
                <w:sz w:val="20"/>
                <w:szCs w:val="20"/>
                <w:lang w:val="en-GB"/>
              </w:rPr>
            </w:pPr>
            <w:r w:rsidRPr="009F63DF" w:rsidDel="005D6ACE">
              <w:rPr>
                <w:rFonts w:cs="Arial"/>
                <w:sz w:val="20"/>
                <w:szCs w:val="20"/>
                <w:lang w:val="en-GB"/>
              </w:rPr>
              <w:t xml:space="preserve"> </w:t>
            </w:r>
            <w:r w:rsidR="00773C6F" w:rsidRPr="009F63DF">
              <w:rPr>
                <w:rFonts w:cs="Arial"/>
                <w:sz w:val="20"/>
                <w:szCs w:val="20"/>
                <w:lang w:val="en-GB"/>
              </w:rPr>
              <w:t>Equation (</w:t>
            </w:r>
            <w:r w:rsidR="00F90100">
              <w:rPr>
                <w:rFonts w:cs="Arial"/>
                <w:sz w:val="20"/>
                <w:szCs w:val="20"/>
                <w:lang w:val="en-GB"/>
              </w:rPr>
              <w:t>13</w:t>
            </w:r>
            <w:r w:rsidR="00773C6F" w:rsidRPr="009F63DF">
              <w:rPr>
                <w:rFonts w:cs="Arial"/>
                <w:sz w:val="20"/>
                <w:szCs w:val="20"/>
                <w:lang w:val="en-GB"/>
              </w:rPr>
              <w:t>)</w:t>
            </w:r>
            <w:r w:rsidR="00C519A6" w:rsidRPr="009F63DF">
              <w:rPr>
                <w:rFonts w:cs="Arial"/>
                <w:sz w:val="20"/>
                <w:szCs w:val="20"/>
                <w:lang w:val="en-GB"/>
              </w:rPr>
              <w:t>,</w:t>
            </w:r>
            <w:r w:rsidR="00FB6750" w:rsidRPr="009F63DF">
              <w:rPr>
                <w:rFonts w:cs="Arial"/>
                <w:sz w:val="20"/>
                <w:szCs w:val="20"/>
                <w:lang w:val="en-GB"/>
              </w:rPr>
              <w:t xml:space="preserve"> (</w:t>
            </w:r>
            <w:r w:rsidR="00F90100">
              <w:rPr>
                <w:rFonts w:cs="Arial"/>
                <w:sz w:val="20"/>
                <w:szCs w:val="20"/>
                <w:lang w:val="en-GB"/>
              </w:rPr>
              <w:t>14</w:t>
            </w:r>
            <w:r w:rsidR="00773C6F" w:rsidRPr="009F63DF">
              <w:rPr>
                <w:rFonts w:cs="Arial"/>
                <w:sz w:val="20"/>
                <w:szCs w:val="20"/>
                <w:lang w:val="en-GB"/>
              </w:rPr>
              <w:t>)</w:t>
            </w:r>
            <w:r w:rsidR="00C519A6" w:rsidRPr="009F63DF">
              <w:rPr>
                <w:rFonts w:cs="Arial"/>
                <w:sz w:val="20"/>
                <w:szCs w:val="20"/>
                <w:lang w:val="en-GB"/>
              </w:rPr>
              <w:t>,</w:t>
            </w:r>
            <w:r w:rsidR="00FB6750" w:rsidRPr="009F63DF">
              <w:rPr>
                <w:rFonts w:cs="Arial"/>
                <w:sz w:val="20"/>
                <w:szCs w:val="20"/>
                <w:lang w:val="en-GB"/>
              </w:rPr>
              <w:t xml:space="preserve"> (</w:t>
            </w:r>
            <w:r w:rsidR="00210E18">
              <w:rPr>
                <w:rFonts w:cs="Arial"/>
                <w:sz w:val="20"/>
                <w:szCs w:val="20"/>
                <w:lang w:val="en-GB"/>
              </w:rPr>
              <w:t>22</w:t>
            </w:r>
            <w:r w:rsidR="00FB6750" w:rsidRPr="009F63DF">
              <w:rPr>
                <w:rFonts w:cs="Arial"/>
                <w:sz w:val="20"/>
                <w:szCs w:val="20"/>
                <w:lang w:val="en-GB"/>
              </w:rPr>
              <w:t>)</w:t>
            </w:r>
            <w:r w:rsidR="00BF0DAA" w:rsidRPr="009F63DF">
              <w:rPr>
                <w:rFonts w:cs="Arial"/>
                <w:sz w:val="20"/>
                <w:szCs w:val="20"/>
                <w:lang w:val="en-GB"/>
              </w:rPr>
              <w:t>, (</w:t>
            </w:r>
            <w:r w:rsidR="00210E18">
              <w:rPr>
                <w:rFonts w:cs="Arial"/>
                <w:sz w:val="20"/>
                <w:szCs w:val="20"/>
                <w:lang w:val="en-GB"/>
              </w:rPr>
              <w:t>23</w:t>
            </w:r>
            <w:r w:rsidR="00FB6750" w:rsidRPr="009F63DF">
              <w:rPr>
                <w:rFonts w:cs="Arial"/>
                <w:sz w:val="20"/>
                <w:szCs w:val="20"/>
                <w:lang w:val="en-GB"/>
              </w:rPr>
              <w:t>)</w:t>
            </w:r>
          </w:p>
        </w:tc>
      </w:tr>
      <w:tr w:rsidR="00E45821" w:rsidRPr="009F63DF" w14:paraId="349E877C" w14:textId="77777777" w:rsidTr="009167D3">
        <w:tc>
          <w:tcPr>
            <w:tcW w:w="1839" w:type="dxa"/>
            <w:shd w:val="clear" w:color="auto" w:fill="E6E6E6"/>
          </w:tcPr>
          <w:p w14:paraId="0A912CA5"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296" w:type="dxa"/>
            <w:gridSpan w:val="2"/>
            <w:tcBorders>
              <w:bottom w:val="nil"/>
              <w:right w:val="nil"/>
            </w:tcBorders>
          </w:tcPr>
          <w:p w14:paraId="7E6A7CF8" w14:textId="1DA5A58D" w:rsidR="00E45821" w:rsidRPr="009F63DF" w:rsidRDefault="00E45821"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54FF7" w:rsidRPr="009F63DF">
              <w:rPr>
                <w:rFonts w:cs="Arial"/>
                <w:sz w:val="20"/>
                <w:shd w:val="clear" w:color="auto" w:fill="E6E6E6"/>
                <w:lang w:val="en-GB"/>
              </w:rPr>
              <w:t xml:space="preserve"> </w:t>
            </w:r>
            <w:r w:rsidRPr="009F63DF">
              <w:rPr>
                <w:rFonts w:cs="Arial"/>
                <w:sz w:val="20"/>
                <w:szCs w:val="20"/>
                <w:lang w:val="en-GB"/>
              </w:rPr>
              <w:t xml:space="preserve">Baseline </w:t>
            </w:r>
            <w:r w:rsidR="00D3107B" w:rsidRPr="009F63DF">
              <w:rPr>
                <w:rFonts w:cs="Arial"/>
                <w:sz w:val="20"/>
                <w:szCs w:val="20"/>
                <w:lang w:val="en-GB"/>
              </w:rPr>
              <w:t>Scenario</w:t>
            </w:r>
          </w:p>
        </w:tc>
        <w:tc>
          <w:tcPr>
            <w:tcW w:w="2126" w:type="dxa"/>
            <w:tcBorders>
              <w:left w:val="nil"/>
              <w:bottom w:val="nil"/>
              <w:right w:val="nil"/>
            </w:tcBorders>
          </w:tcPr>
          <w:p w14:paraId="56493DCA" w14:textId="76CCDBA6" w:rsidR="00E45821" w:rsidRPr="009F63DF" w:rsidRDefault="00E45821"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Pr="009F63DF">
              <w:rPr>
                <w:rFonts w:cs="Arial"/>
                <w:sz w:val="20"/>
                <w:szCs w:val="20"/>
                <w:lang w:val="en-GB"/>
              </w:rPr>
              <w:t xml:space="preserve"> </w:t>
            </w:r>
            <w:r w:rsidR="002646DE" w:rsidRPr="009F63DF">
              <w:rPr>
                <w:rFonts w:cs="Arial"/>
                <w:sz w:val="20"/>
                <w:szCs w:val="20"/>
                <w:lang w:val="en-GB"/>
              </w:rPr>
              <w:t>Activity</w:t>
            </w:r>
            <w:r w:rsidRPr="009F63DF">
              <w:rPr>
                <w:rFonts w:cs="Arial"/>
                <w:sz w:val="20"/>
                <w:szCs w:val="20"/>
                <w:lang w:val="en-GB"/>
              </w:rPr>
              <w:t xml:space="preserve"> </w:t>
            </w:r>
            <w:r w:rsidR="00D3107B" w:rsidRPr="009F63DF">
              <w:rPr>
                <w:rFonts w:cs="Arial"/>
                <w:sz w:val="20"/>
                <w:szCs w:val="20"/>
                <w:lang w:val="en-GB"/>
              </w:rPr>
              <w:t>Scenario</w:t>
            </w:r>
          </w:p>
        </w:tc>
        <w:tc>
          <w:tcPr>
            <w:tcW w:w="2268" w:type="dxa"/>
            <w:tcBorders>
              <w:left w:val="nil"/>
              <w:bottom w:val="nil"/>
            </w:tcBorders>
          </w:tcPr>
          <w:p w14:paraId="52D4466C" w14:textId="6FE0E3E9" w:rsidR="00E45821" w:rsidRPr="009F63DF" w:rsidRDefault="00E45821" w:rsidP="002319DD">
            <w:pPr>
              <w:suppressAutoHyphens/>
              <w:spacing w:before="60" w:after="60"/>
              <w:ind w:right="57"/>
              <w:jc w:val="left"/>
              <w:rPr>
                <w:rFonts w:cs="Arial"/>
                <w:sz w:val="20"/>
                <w:szCs w:val="20"/>
                <w:lang w:val="en-GB"/>
              </w:rPr>
            </w:pPr>
            <w:r w:rsidRPr="009F63DF">
              <w:rPr>
                <w:sz w:val="20"/>
                <w:shd w:val="clear" w:color="auto" w:fill="E6E6E6"/>
              </w:rPr>
              <w:fldChar w:fldCharType="begin">
                <w:ffData>
                  <w:name w:val="Check2"/>
                  <w:enabled/>
                  <w:calcOnExit w:val="0"/>
                  <w:checkBox>
                    <w:size w:val="20"/>
                    <w:default w:val="0"/>
                  </w:checkBox>
                </w:ffData>
              </w:fldChar>
            </w:r>
            <w:r w:rsidRPr="009F63DF">
              <w:rPr>
                <w:sz w:val="20"/>
                <w:szCs w:val="20"/>
                <w:lang w:val="en-GB"/>
              </w:rPr>
              <w:instrText xml:space="preserve"> FORMCHECKBOX </w:instrText>
            </w:r>
            <w:r w:rsidRPr="009F63DF">
              <w:rPr>
                <w:sz w:val="20"/>
                <w:shd w:val="clear" w:color="auto" w:fill="E6E6E6"/>
              </w:rPr>
            </w:r>
            <w:r w:rsidRPr="009F63DF">
              <w:rPr>
                <w:sz w:val="20"/>
                <w:shd w:val="clear" w:color="auto" w:fill="E6E6E6"/>
              </w:rPr>
              <w:fldChar w:fldCharType="separate"/>
            </w:r>
            <w:r w:rsidRPr="009F63DF">
              <w:rPr>
                <w:sz w:val="20"/>
                <w:shd w:val="clear" w:color="auto" w:fill="E6E6E6"/>
              </w:rPr>
              <w:fldChar w:fldCharType="end"/>
            </w:r>
            <w:r w:rsidR="00F54FF7" w:rsidRPr="009F63DF">
              <w:rPr>
                <w:sz w:val="20"/>
                <w:shd w:val="clear" w:color="auto" w:fill="E6E6E6"/>
                <w:lang w:val="en-GB"/>
              </w:rPr>
              <w:t xml:space="preserve"> </w:t>
            </w:r>
            <w:r w:rsidRPr="009F63DF">
              <w:rPr>
                <w:sz w:val="20"/>
                <w:szCs w:val="20"/>
                <w:shd w:val="clear" w:color="auto" w:fill="E6E6E6"/>
                <w:lang w:val="en-GB"/>
              </w:rPr>
              <w:t>Le</w:t>
            </w:r>
            <w:r w:rsidRPr="009F63DF">
              <w:rPr>
                <w:sz w:val="20"/>
                <w:szCs w:val="20"/>
                <w:lang w:val="en-GB"/>
              </w:rPr>
              <w:t>akage</w:t>
            </w:r>
          </w:p>
        </w:tc>
      </w:tr>
      <w:tr w:rsidR="00D264AC" w:rsidRPr="009F63DF" w14:paraId="19465B9E" w14:textId="77777777" w:rsidTr="009167D3">
        <w:tc>
          <w:tcPr>
            <w:tcW w:w="1839" w:type="dxa"/>
            <w:shd w:val="clear" w:color="auto" w:fill="E6E6E6"/>
          </w:tcPr>
          <w:p w14:paraId="0F0738F2" w14:textId="6CFEA5CD" w:rsidR="00D264AC" w:rsidRPr="009F63DF" w:rsidRDefault="00D264AC" w:rsidP="00540956">
            <w:pPr>
              <w:suppressAutoHyphens/>
              <w:spacing w:before="60" w:after="60"/>
              <w:ind w:right="57"/>
              <w:jc w:val="left"/>
              <w:rPr>
                <w:rFonts w:cs="Arial"/>
                <w:sz w:val="20"/>
                <w:lang w:val="en-GB"/>
              </w:rPr>
            </w:pPr>
            <w:r w:rsidRPr="009F63DF">
              <w:rPr>
                <w:rFonts w:cs="Arial"/>
                <w:sz w:val="20"/>
                <w:lang w:val="en-GB"/>
              </w:rPr>
              <w:t>Value applied</w:t>
            </w:r>
          </w:p>
        </w:tc>
        <w:tc>
          <w:tcPr>
            <w:tcW w:w="2296" w:type="dxa"/>
            <w:gridSpan w:val="2"/>
            <w:tcBorders>
              <w:bottom w:val="nil"/>
              <w:right w:val="nil"/>
            </w:tcBorders>
          </w:tcPr>
          <w:p w14:paraId="2320566F" w14:textId="77777777" w:rsidR="00D264AC" w:rsidRPr="009F63DF" w:rsidRDefault="00D264AC" w:rsidP="002319DD">
            <w:pPr>
              <w:suppressAutoHyphens/>
              <w:spacing w:before="60" w:after="60"/>
              <w:ind w:right="57"/>
              <w:jc w:val="left"/>
              <w:rPr>
                <w:rFonts w:cs="Arial"/>
                <w:sz w:val="20"/>
                <w:shd w:val="clear" w:color="auto" w:fill="E6E6E6"/>
                <w:lang w:val="en-GB"/>
              </w:rPr>
            </w:pPr>
          </w:p>
        </w:tc>
        <w:tc>
          <w:tcPr>
            <w:tcW w:w="2126" w:type="dxa"/>
            <w:tcBorders>
              <w:left w:val="nil"/>
              <w:bottom w:val="nil"/>
              <w:right w:val="nil"/>
            </w:tcBorders>
          </w:tcPr>
          <w:p w14:paraId="2AA0B4D8" w14:textId="77777777" w:rsidR="00D264AC" w:rsidRPr="009F63DF" w:rsidRDefault="00D264AC" w:rsidP="002319DD">
            <w:pPr>
              <w:suppressAutoHyphens/>
              <w:spacing w:before="60" w:after="60"/>
              <w:ind w:right="57"/>
              <w:jc w:val="left"/>
              <w:rPr>
                <w:rFonts w:cs="Arial"/>
                <w:sz w:val="20"/>
                <w:shd w:val="clear" w:color="auto" w:fill="E6E6E6"/>
                <w:lang w:val="en-GB"/>
              </w:rPr>
            </w:pPr>
          </w:p>
        </w:tc>
        <w:tc>
          <w:tcPr>
            <w:tcW w:w="2268" w:type="dxa"/>
            <w:tcBorders>
              <w:left w:val="nil"/>
              <w:bottom w:val="nil"/>
            </w:tcBorders>
          </w:tcPr>
          <w:p w14:paraId="7246981C" w14:textId="77777777" w:rsidR="00D264AC" w:rsidRPr="009F63DF" w:rsidRDefault="00D264AC" w:rsidP="002319DD">
            <w:pPr>
              <w:suppressAutoHyphens/>
              <w:spacing w:before="60" w:after="60"/>
              <w:ind w:right="57"/>
              <w:jc w:val="left"/>
              <w:rPr>
                <w:sz w:val="20"/>
                <w:shd w:val="clear" w:color="auto" w:fill="E6E6E6"/>
                <w:lang w:val="en-GB"/>
              </w:rPr>
            </w:pPr>
          </w:p>
        </w:tc>
      </w:tr>
      <w:tr w:rsidR="007B02EA" w:rsidRPr="009F63DF" w14:paraId="7BAAA3C6" w14:textId="77777777">
        <w:tc>
          <w:tcPr>
            <w:tcW w:w="1839" w:type="dxa"/>
            <w:shd w:val="clear" w:color="auto" w:fill="E6E6E6"/>
          </w:tcPr>
          <w:p w14:paraId="4F69E233" w14:textId="2828946B" w:rsidR="007B02EA" w:rsidRPr="009F63DF" w:rsidRDefault="007B02EA"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90" w:type="dxa"/>
            <w:gridSpan w:val="4"/>
            <w:tcBorders>
              <w:bottom w:val="nil"/>
            </w:tcBorders>
          </w:tcPr>
          <w:p w14:paraId="6251EAD4" w14:textId="37D292EE" w:rsidR="007B02EA" w:rsidRPr="009F63DF" w:rsidRDefault="007B02EA" w:rsidP="002319DD">
            <w:pPr>
              <w:suppressAutoHyphens/>
              <w:spacing w:before="60" w:after="60"/>
              <w:ind w:right="57"/>
              <w:jc w:val="left"/>
              <w:rPr>
                <w:sz w:val="20"/>
                <w:shd w:val="clear" w:color="auto" w:fill="E6E6E6"/>
                <w:lang w:val="en-GB"/>
              </w:rPr>
            </w:pPr>
            <w:r w:rsidRPr="009F63DF">
              <w:rPr>
                <w:rFonts w:eastAsia="Montserrat" w:cs="Arial"/>
                <w:sz w:val="20"/>
                <w:szCs w:val="20"/>
                <w:lang w:val="en-GB"/>
              </w:rPr>
              <w:t>Pre-activity survey and annual usage surveys, with the lower value applied where a decrease in household size is observed</w:t>
            </w:r>
          </w:p>
        </w:tc>
      </w:tr>
      <w:tr w:rsidR="00E45821" w:rsidRPr="009F63DF" w14:paraId="053E0362" w14:textId="77777777" w:rsidTr="009167D3">
        <w:tc>
          <w:tcPr>
            <w:tcW w:w="1839" w:type="dxa"/>
            <w:shd w:val="clear" w:color="auto" w:fill="E6E6E6"/>
          </w:tcPr>
          <w:p w14:paraId="40C06941"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90" w:type="dxa"/>
            <w:gridSpan w:val="4"/>
            <w:tcBorders>
              <w:bottom w:val="single" w:sz="4" w:space="0" w:color="auto"/>
            </w:tcBorders>
            <w:vAlign w:val="center"/>
          </w:tcPr>
          <w:p w14:paraId="3092A7D9" w14:textId="4BA66192" w:rsidR="00E45821" w:rsidRPr="009F63DF" w:rsidRDefault="00E45821" w:rsidP="002319DD">
            <w:pPr>
              <w:suppressAutoHyphens/>
              <w:spacing w:before="60" w:after="60"/>
              <w:ind w:right="57"/>
              <w:rPr>
                <w:rFonts w:cs="Arial"/>
                <w:sz w:val="20"/>
                <w:szCs w:val="20"/>
                <w:lang w:val="en-GB"/>
              </w:rPr>
            </w:pPr>
            <w:r w:rsidRPr="009F63DF">
              <w:rPr>
                <w:rFonts w:eastAsia="Montserrat" w:cs="Arial"/>
                <w:sz w:val="20"/>
                <w:szCs w:val="20"/>
                <w:lang w:val="en-GB"/>
              </w:rPr>
              <w:t>Annually (</w:t>
            </w:r>
            <w:r w:rsidR="00D65BB7" w:rsidRPr="009F63DF">
              <w:rPr>
                <w:rFonts w:eastAsia="Montserrat" w:cs="Arial"/>
                <w:sz w:val="20"/>
                <w:szCs w:val="20"/>
                <w:lang w:val="en-GB"/>
              </w:rPr>
              <w:t xml:space="preserve">ex-ante via the pre-activity survey and annually </w:t>
            </w:r>
            <w:r w:rsidRPr="009F63DF">
              <w:rPr>
                <w:rFonts w:eastAsia="Montserrat" w:cs="Arial"/>
                <w:sz w:val="20"/>
                <w:szCs w:val="20"/>
                <w:lang w:val="en-GB"/>
              </w:rPr>
              <w:t>via usage surveys)</w:t>
            </w:r>
          </w:p>
        </w:tc>
      </w:tr>
      <w:tr w:rsidR="00E45821" w:rsidRPr="009F63DF" w14:paraId="44889294" w14:textId="77777777" w:rsidTr="009167D3">
        <w:trPr>
          <w:trHeight w:val="107"/>
        </w:trPr>
        <w:tc>
          <w:tcPr>
            <w:tcW w:w="1839" w:type="dxa"/>
            <w:shd w:val="clear" w:color="auto" w:fill="E6E6E6"/>
          </w:tcPr>
          <w:p w14:paraId="4A4AAD11"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90" w:type="dxa"/>
            <w:gridSpan w:val="4"/>
            <w:tcBorders>
              <w:top w:val="single" w:sz="4" w:space="0" w:color="auto"/>
            </w:tcBorders>
          </w:tcPr>
          <w:p w14:paraId="2DDE4EFA" w14:textId="14CB1C98" w:rsidR="00E45821" w:rsidRPr="009F63DF" w:rsidRDefault="00BF3943" w:rsidP="002319DD">
            <w:pPr>
              <w:suppressAutoHyphens/>
              <w:spacing w:before="60" w:after="60"/>
              <w:ind w:right="57"/>
              <w:rPr>
                <w:rFonts w:cs="Arial"/>
                <w:sz w:val="20"/>
                <w:szCs w:val="20"/>
                <w:lang w:val="en-GB"/>
              </w:rPr>
            </w:pPr>
            <w:r w:rsidRPr="009F63DF">
              <w:rPr>
                <w:rFonts w:cs="Arial"/>
                <w:sz w:val="20"/>
                <w:szCs w:val="20"/>
                <w:lang w:val="en-GB"/>
              </w:rPr>
              <w:t>Activity participant</w:t>
            </w:r>
          </w:p>
        </w:tc>
      </w:tr>
      <w:tr w:rsidR="00E45821" w:rsidRPr="009F63DF" w14:paraId="2030E6C8" w14:textId="77777777" w:rsidTr="009167D3">
        <w:trPr>
          <w:trHeight w:val="107"/>
        </w:trPr>
        <w:tc>
          <w:tcPr>
            <w:tcW w:w="1839" w:type="dxa"/>
            <w:vMerge w:val="restart"/>
            <w:shd w:val="clear" w:color="auto" w:fill="E6E6E6"/>
          </w:tcPr>
          <w:p w14:paraId="466C15BA"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1970" w:type="dxa"/>
            <w:tcBorders>
              <w:top w:val="single" w:sz="4" w:space="0" w:color="auto"/>
            </w:tcBorders>
          </w:tcPr>
          <w:p w14:paraId="3B8A51DE" w14:textId="77777777" w:rsidR="00E45821" w:rsidRPr="009F63DF" w:rsidRDefault="00E45821" w:rsidP="002319DD">
            <w:pPr>
              <w:suppressAutoHyphens/>
              <w:spacing w:before="60" w:after="60"/>
              <w:ind w:right="57"/>
              <w:jc w:val="left"/>
              <w:rPr>
                <w:rFonts w:cs="Arial"/>
                <w:i/>
                <w:sz w:val="20"/>
                <w:szCs w:val="20"/>
                <w:lang w:val="en-GB"/>
              </w:rPr>
            </w:pPr>
            <w:r w:rsidRPr="009F63DF">
              <w:rPr>
                <w:rFonts w:cs="Arial"/>
                <w:i/>
                <w:sz w:val="20"/>
                <w:szCs w:val="20"/>
                <w:lang w:val="en-GB"/>
              </w:rPr>
              <w:t>Type of instrument</w:t>
            </w:r>
          </w:p>
        </w:tc>
        <w:tc>
          <w:tcPr>
            <w:tcW w:w="4720" w:type="dxa"/>
            <w:gridSpan w:val="3"/>
            <w:tcBorders>
              <w:top w:val="single" w:sz="4" w:space="0" w:color="auto"/>
            </w:tcBorders>
          </w:tcPr>
          <w:p w14:paraId="44738E8F" w14:textId="0AABF63F" w:rsidR="00E45821" w:rsidRPr="009F63DF" w:rsidRDefault="00BF3943" w:rsidP="002319DD">
            <w:pPr>
              <w:pStyle w:val="ParaTickBox"/>
              <w:tabs>
                <w:tab w:val="clear" w:pos="510"/>
                <w:tab w:val="left" w:pos="120"/>
              </w:tabs>
              <w:suppressAutoHyphens/>
              <w:ind w:left="454" w:right="57"/>
              <w:rPr>
                <w:szCs w:val="20"/>
                <w:lang w:val="en-GB"/>
              </w:rPr>
            </w:pPr>
            <w:r w:rsidRPr="009F63DF">
              <w:rPr>
                <w:szCs w:val="20"/>
                <w:lang w:val="en-GB"/>
              </w:rPr>
              <w:t>N/A</w:t>
            </w:r>
          </w:p>
        </w:tc>
      </w:tr>
      <w:tr w:rsidR="00E45821" w:rsidRPr="009F63DF" w14:paraId="3B1A9AE4" w14:textId="77777777" w:rsidTr="009167D3">
        <w:trPr>
          <w:trHeight w:val="104"/>
        </w:trPr>
        <w:tc>
          <w:tcPr>
            <w:tcW w:w="1839" w:type="dxa"/>
            <w:vMerge/>
          </w:tcPr>
          <w:p w14:paraId="0F12508A" w14:textId="77777777" w:rsidR="00E45821" w:rsidRPr="009F63DF" w:rsidRDefault="00E45821"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4CA8755B" w14:textId="77777777" w:rsidR="00E45821" w:rsidRPr="009F63DF" w:rsidRDefault="00E45821" w:rsidP="002319DD">
            <w:pPr>
              <w:suppressAutoHyphens/>
              <w:spacing w:before="60" w:after="60"/>
              <w:ind w:right="57"/>
              <w:jc w:val="left"/>
              <w:rPr>
                <w:rFonts w:cs="Arial"/>
                <w:i/>
                <w:sz w:val="20"/>
                <w:szCs w:val="20"/>
                <w:lang w:val="en-GB"/>
              </w:rPr>
            </w:pPr>
            <w:r w:rsidRPr="009F63DF">
              <w:rPr>
                <w:rFonts w:cs="Arial"/>
                <w:i/>
                <w:sz w:val="20"/>
                <w:szCs w:val="20"/>
                <w:lang w:val="en-GB"/>
              </w:rPr>
              <w:t>Accuracy class</w:t>
            </w:r>
          </w:p>
        </w:tc>
        <w:tc>
          <w:tcPr>
            <w:tcW w:w="4720" w:type="dxa"/>
            <w:gridSpan w:val="3"/>
            <w:tcBorders>
              <w:top w:val="single" w:sz="4" w:space="0" w:color="auto"/>
            </w:tcBorders>
          </w:tcPr>
          <w:p w14:paraId="75AAF8E0" w14:textId="78ECE19E" w:rsidR="00E45821" w:rsidRPr="009F63DF" w:rsidRDefault="00BF3943" w:rsidP="002319DD">
            <w:pPr>
              <w:suppressAutoHyphens/>
              <w:spacing w:before="60" w:after="60"/>
              <w:ind w:right="57"/>
              <w:rPr>
                <w:rFonts w:cs="Arial"/>
                <w:sz w:val="20"/>
                <w:szCs w:val="20"/>
                <w:lang w:val="en-GB"/>
              </w:rPr>
            </w:pPr>
            <w:r w:rsidRPr="009F63DF">
              <w:rPr>
                <w:sz w:val="20"/>
                <w:szCs w:val="20"/>
                <w:lang w:val="en-GB"/>
              </w:rPr>
              <w:t>N/A</w:t>
            </w:r>
          </w:p>
        </w:tc>
      </w:tr>
      <w:tr w:rsidR="00E45821" w:rsidRPr="009F63DF" w14:paraId="67FAB867" w14:textId="77777777" w:rsidTr="009167D3">
        <w:trPr>
          <w:trHeight w:val="104"/>
        </w:trPr>
        <w:tc>
          <w:tcPr>
            <w:tcW w:w="1839" w:type="dxa"/>
            <w:vMerge/>
          </w:tcPr>
          <w:p w14:paraId="06B4FDDD" w14:textId="77777777" w:rsidR="00E45821" w:rsidRPr="009F63DF" w:rsidRDefault="00E45821"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687BC360" w14:textId="77777777" w:rsidR="00E45821" w:rsidRPr="009F63DF" w:rsidRDefault="00E45821" w:rsidP="002319DD">
            <w:pPr>
              <w:suppressAutoHyphens/>
              <w:spacing w:before="60" w:after="60"/>
              <w:ind w:right="57"/>
              <w:jc w:val="left"/>
              <w:rPr>
                <w:rFonts w:cs="Arial"/>
                <w:i/>
                <w:sz w:val="20"/>
                <w:szCs w:val="20"/>
                <w:lang w:val="en-GB"/>
              </w:rPr>
            </w:pPr>
            <w:r w:rsidRPr="009F63DF">
              <w:rPr>
                <w:rFonts w:cs="Arial"/>
                <w:i/>
                <w:sz w:val="20"/>
                <w:szCs w:val="20"/>
                <w:lang w:val="en-GB"/>
              </w:rPr>
              <w:t>Calibration requirements</w:t>
            </w:r>
          </w:p>
        </w:tc>
        <w:tc>
          <w:tcPr>
            <w:tcW w:w="4720" w:type="dxa"/>
            <w:gridSpan w:val="3"/>
            <w:tcBorders>
              <w:top w:val="single" w:sz="4" w:space="0" w:color="auto"/>
            </w:tcBorders>
          </w:tcPr>
          <w:p w14:paraId="6F032DA3" w14:textId="2691E89C" w:rsidR="00E45821" w:rsidRPr="009F63DF" w:rsidRDefault="00BF3943" w:rsidP="002319DD">
            <w:pPr>
              <w:suppressAutoHyphens/>
              <w:spacing w:before="60" w:after="60"/>
              <w:ind w:right="57"/>
              <w:rPr>
                <w:rFonts w:cs="Arial"/>
                <w:i/>
                <w:sz w:val="20"/>
                <w:szCs w:val="20"/>
                <w:lang w:val="en-GB"/>
              </w:rPr>
            </w:pPr>
            <w:r w:rsidRPr="009F63DF">
              <w:rPr>
                <w:sz w:val="20"/>
                <w:szCs w:val="20"/>
                <w:lang w:val="en-GB"/>
              </w:rPr>
              <w:t>N/A</w:t>
            </w:r>
          </w:p>
        </w:tc>
      </w:tr>
      <w:tr w:rsidR="00E45821" w:rsidRPr="009F63DF" w14:paraId="1D48070E" w14:textId="77777777" w:rsidTr="009167D3">
        <w:trPr>
          <w:trHeight w:val="104"/>
        </w:trPr>
        <w:tc>
          <w:tcPr>
            <w:tcW w:w="1839" w:type="dxa"/>
            <w:vMerge/>
          </w:tcPr>
          <w:p w14:paraId="188140BB" w14:textId="77777777" w:rsidR="00E45821" w:rsidRPr="009F63DF" w:rsidRDefault="00E45821"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319CFC55" w14:textId="77777777" w:rsidR="00E45821" w:rsidRPr="009F63DF" w:rsidRDefault="00E45821" w:rsidP="002319DD">
            <w:pPr>
              <w:suppressAutoHyphens/>
              <w:spacing w:before="60" w:after="60"/>
              <w:ind w:right="57"/>
              <w:jc w:val="left"/>
              <w:rPr>
                <w:rFonts w:cs="Arial"/>
                <w:i/>
                <w:sz w:val="20"/>
                <w:szCs w:val="20"/>
                <w:lang w:val="en-GB"/>
              </w:rPr>
            </w:pPr>
            <w:r w:rsidRPr="009F63DF">
              <w:rPr>
                <w:rFonts w:cs="Arial"/>
                <w:i/>
                <w:sz w:val="20"/>
                <w:szCs w:val="20"/>
                <w:lang w:val="en-GB"/>
              </w:rPr>
              <w:t>Location</w:t>
            </w:r>
          </w:p>
        </w:tc>
        <w:tc>
          <w:tcPr>
            <w:tcW w:w="4720" w:type="dxa"/>
            <w:gridSpan w:val="3"/>
            <w:tcBorders>
              <w:top w:val="single" w:sz="4" w:space="0" w:color="auto"/>
            </w:tcBorders>
          </w:tcPr>
          <w:p w14:paraId="6E891DC5" w14:textId="310F3D4C" w:rsidR="00E45821" w:rsidRPr="009F63DF" w:rsidRDefault="00BF3943" w:rsidP="002319DD">
            <w:pPr>
              <w:suppressAutoHyphens/>
              <w:spacing w:before="60" w:after="60"/>
              <w:ind w:right="57"/>
              <w:rPr>
                <w:rFonts w:cs="Arial"/>
                <w:sz w:val="20"/>
                <w:szCs w:val="20"/>
                <w:lang w:val="en-GB"/>
              </w:rPr>
            </w:pPr>
            <w:r w:rsidRPr="009F63DF">
              <w:rPr>
                <w:sz w:val="20"/>
                <w:szCs w:val="20"/>
                <w:lang w:val="en-GB"/>
              </w:rPr>
              <w:t>N/A</w:t>
            </w:r>
          </w:p>
        </w:tc>
      </w:tr>
      <w:tr w:rsidR="00E45821" w:rsidRPr="009F63DF" w14:paraId="48CA28B6" w14:textId="77777777" w:rsidTr="009167D3">
        <w:tc>
          <w:tcPr>
            <w:tcW w:w="1839" w:type="dxa"/>
            <w:shd w:val="clear" w:color="auto" w:fill="E6E6E6"/>
          </w:tcPr>
          <w:p w14:paraId="6F435A8E"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90" w:type="dxa"/>
            <w:gridSpan w:val="4"/>
          </w:tcPr>
          <w:p w14:paraId="05F5FBD1" w14:textId="51C6BA59" w:rsidR="00E45821" w:rsidRPr="009F63DF" w:rsidRDefault="00BF3943" w:rsidP="002319DD">
            <w:pPr>
              <w:tabs>
                <w:tab w:val="left" w:pos="567"/>
              </w:tabs>
              <w:suppressAutoHyphens/>
              <w:spacing w:before="20" w:after="20"/>
              <w:ind w:right="159"/>
              <w:rPr>
                <w:rFonts w:cs="Arial"/>
                <w:sz w:val="20"/>
                <w:szCs w:val="20"/>
                <w:lang w:val="en-GB"/>
              </w:rPr>
            </w:pPr>
            <w:r w:rsidRPr="009F63DF">
              <w:rPr>
                <w:rFonts w:cs="Arial"/>
                <w:sz w:val="20"/>
                <w:szCs w:val="20"/>
                <w:lang w:val="en-GB"/>
              </w:rPr>
              <w:t>Annually</w:t>
            </w:r>
          </w:p>
        </w:tc>
      </w:tr>
      <w:tr w:rsidR="00E45821" w:rsidRPr="009F63DF" w14:paraId="3D74D9FB" w14:textId="77777777" w:rsidTr="009167D3">
        <w:tc>
          <w:tcPr>
            <w:tcW w:w="1839" w:type="dxa"/>
            <w:shd w:val="clear" w:color="auto" w:fill="E6E6E6"/>
          </w:tcPr>
          <w:p w14:paraId="0E88B945"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90" w:type="dxa"/>
            <w:gridSpan w:val="4"/>
          </w:tcPr>
          <w:p w14:paraId="2E3835CE" w14:textId="51081B35" w:rsidR="00E45821" w:rsidRPr="009F63DF" w:rsidRDefault="001F0FD5" w:rsidP="002319DD">
            <w:pPr>
              <w:suppressAutoHyphens/>
              <w:jc w:val="left"/>
              <w:rPr>
                <w:rFonts w:cs="Arial"/>
                <w:sz w:val="20"/>
                <w:szCs w:val="20"/>
                <w:lang w:val="en-GB"/>
              </w:rPr>
            </w:pPr>
            <w:r w:rsidRPr="009F63DF">
              <w:rPr>
                <w:rFonts w:cs="Arial"/>
                <w:sz w:val="20"/>
                <w:szCs w:val="20"/>
                <w:bdr w:val="none" w:sz="0" w:space="0" w:color="auto" w:frame="1"/>
                <w:shd w:val="clear" w:color="auto" w:fill="FFFFFF"/>
                <w:lang w:val="en-GB"/>
              </w:rPr>
              <w:t xml:space="preserve">The parameter estimate from the survey shall meet the minimum </w:t>
            </w:r>
            <w:r w:rsidR="004752DF" w:rsidRPr="009F63DF">
              <w:rPr>
                <w:rFonts w:cs="Arial"/>
                <w:sz w:val="20"/>
                <w:szCs w:val="20"/>
                <w:bdr w:val="none" w:sz="0" w:space="0" w:color="auto" w:frame="1"/>
                <w:shd w:val="clear" w:color="auto" w:fill="FFFFFF"/>
                <w:lang w:val="en-GB"/>
              </w:rPr>
              <w:t>reliability</w:t>
            </w:r>
            <w:r w:rsidRPr="009F63DF">
              <w:rPr>
                <w:rFonts w:cs="Arial"/>
                <w:sz w:val="20"/>
                <w:szCs w:val="20"/>
                <w:bdr w:val="none" w:sz="0" w:space="0" w:color="auto" w:frame="1"/>
                <w:shd w:val="clear" w:color="auto" w:fill="FFFFFF"/>
                <w:lang w:val="en-GB"/>
              </w:rPr>
              <w:t xml:space="preserve"> of 95/10 to use the mean value</w:t>
            </w:r>
          </w:p>
        </w:tc>
      </w:tr>
      <w:tr w:rsidR="00E45821" w:rsidRPr="009F63DF" w14:paraId="5F03BE35" w14:textId="77777777" w:rsidTr="009167D3">
        <w:tc>
          <w:tcPr>
            <w:tcW w:w="1839" w:type="dxa"/>
            <w:shd w:val="clear" w:color="auto" w:fill="E6E6E6"/>
          </w:tcPr>
          <w:p w14:paraId="46DB4A39" w14:textId="77777777" w:rsidR="00E45821" w:rsidRPr="009F63DF" w:rsidRDefault="00E45821"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90" w:type="dxa"/>
            <w:gridSpan w:val="4"/>
          </w:tcPr>
          <w:p w14:paraId="65BB56F4" w14:textId="3F0898D2" w:rsidR="00E45821" w:rsidRPr="009F63DF" w:rsidRDefault="007C1154" w:rsidP="002319DD">
            <w:pPr>
              <w:pStyle w:val="ParaTickBox"/>
              <w:keepNext/>
              <w:tabs>
                <w:tab w:val="clear" w:pos="510"/>
                <w:tab w:val="left" w:pos="315"/>
              </w:tabs>
              <w:suppressAutoHyphens/>
              <w:ind w:left="0" w:firstLine="0"/>
              <w:jc w:val="both"/>
              <w:rPr>
                <w:szCs w:val="20"/>
                <w:lang w:val="en-GB"/>
              </w:rPr>
            </w:pPr>
            <w:r w:rsidRPr="009F63DF">
              <w:rPr>
                <w:szCs w:val="20"/>
                <w:bdr w:val="none" w:sz="0" w:space="0" w:color="auto" w:frame="1"/>
                <w:shd w:val="clear" w:color="auto" w:fill="FFFFFF"/>
                <w:lang w:val="en-GB"/>
              </w:rPr>
              <w:t>If the target reliability is not met, the activity participant shall apply the lower bound of the confidence interval as the parameter value</w:t>
            </w:r>
          </w:p>
        </w:tc>
      </w:tr>
      <w:tr w:rsidR="00E45821" w:rsidRPr="009F63DF" w14:paraId="6AB378CD" w14:textId="77777777" w:rsidTr="009167D3">
        <w:tc>
          <w:tcPr>
            <w:tcW w:w="1839" w:type="dxa"/>
            <w:shd w:val="clear" w:color="auto" w:fill="E6E6E6"/>
          </w:tcPr>
          <w:p w14:paraId="2DA4E2DA" w14:textId="77777777" w:rsidR="00E45821" w:rsidRPr="009F63DF" w:rsidRDefault="00E45821"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90" w:type="dxa"/>
            <w:gridSpan w:val="4"/>
          </w:tcPr>
          <w:p w14:paraId="299F98BE" w14:textId="77BFFDD3" w:rsidR="00E45821" w:rsidRPr="009F63DF" w:rsidRDefault="005150E2" w:rsidP="002319DD">
            <w:pPr>
              <w:suppressAutoHyphens/>
              <w:spacing w:before="60" w:after="60"/>
              <w:ind w:right="57"/>
              <w:rPr>
                <w:rFonts w:cs="Arial"/>
                <w:sz w:val="20"/>
                <w:szCs w:val="20"/>
                <w:lang w:val="en-GB"/>
              </w:rPr>
            </w:pPr>
            <w:r w:rsidRPr="009F63DF">
              <w:rPr>
                <w:rFonts w:cs="Arial"/>
                <w:sz w:val="20"/>
                <w:szCs w:val="20"/>
                <w:lang w:val="en-GB"/>
              </w:rPr>
              <w:t>-</w:t>
            </w:r>
          </w:p>
        </w:tc>
      </w:tr>
    </w:tbl>
    <w:p w14:paraId="4C375861" w14:textId="7E008430"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16</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39"/>
        <w:gridCol w:w="1970"/>
        <w:gridCol w:w="326"/>
        <w:gridCol w:w="2126"/>
        <w:gridCol w:w="2268"/>
      </w:tblGrid>
      <w:tr w:rsidR="001F0FD5" w:rsidRPr="009F63DF" w14:paraId="0BF35AFD" w14:textId="77777777" w:rsidTr="009167D3">
        <w:tc>
          <w:tcPr>
            <w:tcW w:w="1839" w:type="dxa"/>
            <w:shd w:val="clear" w:color="auto" w:fill="E6E6E6"/>
          </w:tcPr>
          <w:p w14:paraId="403E5C1A" w14:textId="77777777" w:rsidR="001F0FD5" w:rsidRPr="009F63DF" w:rsidRDefault="001F0FD5" w:rsidP="00540956">
            <w:pPr>
              <w:keepNext/>
              <w:suppressAutoHyphens/>
              <w:spacing w:before="60" w:after="60"/>
              <w:ind w:right="57"/>
              <w:jc w:val="left"/>
              <w:rPr>
                <w:rFonts w:cs="Arial"/>
                <w:b/>
                <w:sz w:val="20"/>
                <w:szCs w:val="20"/>
                <w:lang w:val="en-GB"/>
              </w:rPr>
            </w:pPr>
            <w:r w:rsidRPr="009F63DF">
              <w:rPr>
                <w:rFonts w:cs="Arial"/>
                <w:b/>
                <w:sz w:val="20"/>
                <w:szCs w:val="20"/>
                <w:lang w:val="en-GB"/>
              </w:rPr>
              <w:t>Data/parameter</w:t>
            </w:r>
          </w:p>
        </w:tc>
        <w:tc>
          <w:tcPr>
            <w:tcW w:w="6690" w:type="dxa"/>
            <w:gridSpan w:val="4"/>
          </w:tcPr>
          <w:p w14:paraId="33602EE2" w14:textId="2F671D03" w:rsidR="001F0FD5" w:rsidRPr="009F63DF" w:rsidRDefault="001549D8" w:rsidP="002319DD">
            <w:pPr>
              <w:keepNext/>
              <w:suppressAutoHyphens/>
              <w:spacing w:before="60" w:after="60"/>
              <w:ind w:right="57"/>
              <w:rPr>
                <w:rFonts w:cs="Arial"/>
                <w:b/>
                <w:i/>
                <w:sz w:val="20"/>
                <w:szCs w:val="20"/>
                <w:lang w:val="en-GB"/>
              </w:rPr>
            </w:pPr>
            <m:oMathPara>
              <m:oMathParaPr>
                <m:jc m:val="left"/>
              </m:oMathParaPr>
              <m:oMath>
                <m:sSub>
                  <m:sSubPr>
                    <m:ctrlPr>
                      <w:rPr>
                        <w:rFonts w:ascii="Cambria Math" w:eastAsia="Cambria Math" w:hAnsi="Cambria Math" w:cs="Arial"/>
                        <w:sz w:val="20"/>
                        <w:szCs w:val="20"/>
                        <w:lang w:val="en-GB"/>
                      </w:rPr>
                    </m:ctrlPr>
                  </m:sSubPr>
                  <m:e>
                    <m:r>
                      <m:rPr>
                        <m:sty m:val="bi"/>
                      </m:rPr>
                      <w:rPr>
                        <w:rFonts w:ascii="Cambria Math" w:eastAsia="Cambria Math" w:hAnsi="Cambria Math" w:cs="Arial"/>
                        <w:sz w:val="20"/>
                        <w:szCs w:val="20"/>
                        <w:lang w:val="en-GB"/>
                      </w:rPr>
                      <m:t>FEC</m:t>
                    </m:r>
                  </m:e>
                  <m:sub>
                    <m:r>
                      <m:rPr>
                        <m:sty m:val="bi"/>
                      </m:rPr>
                      <w:rPr>
                        <w:rFonts w:ascii="Cambria Math" w:eastAsia="Cambria Math" w:hAnsi="Cambria Math" w:cs="Arial"/>
                        <w:sz w:val="20"/>
                        <w:szCs w:val="20"/>
                        <w:lang w:val="en-GB"/>
                      </w:rPr>
                      <m:t>proj,i,y</m:t>
                    </m:r>
                  </m:sub>
                </m:sSub>
              </m:oMath>
            </m:oMathPara>
          </w:p>
        </w:tc>
      </w:tr>
      <w:tr w:rsidR="001F0FD5" w:rsidRPr="009F63DF" w14:paraId="670A6601" w14:textId="77777777" w:rsidTr="009167D3">
        <w:tc>
          <w:tcPr>
            <w:tcW w:w="1839" w:type="dxa"/>
            <w:shd w:val="clear" w:color="auto" w:fill="E6E6E6"/>
          </w:tcPr>
          <w:p w14:paraId="11F648F2"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90" w:type="dxa"/>
            <w:gridSpan w:val="4"/>
          </w:tcPr>
          <w:p w14:paraId="305925C3" w14:textId="6206EEBB" w:rsidR="001F0FD5" w:rsidRPr="009F63DF" w:rsidRDefault="00863877" w:rsidP="00B0416C">
            <w:pPr>
              <w:suppressAutoHyphens/>
              <w:spacing w:before="60" w:after="60"/>
              <w:ind w:right="57"/>
              <w:rPr>
                <w:rFonts w:cs="Arial"/>
                <w:sz w:val="20"/>
                <w:szCs w:val="20"/>
                <w:lang w:val="en-GB"/>
              </w:rPr>
            </w:pPr>
            <w:r w:rsidRPr="009F63DF">
              <w:rPr>
                <w:rFonts w:eastAsia="Montserrat" w:cs="Arial"/>
                <w:sz w:val="20"/>
                <w:szCs w:val="20"/>
                <w:lang w:val="en-GB"/>
              </w:rPr>
              <w:t xml:space="preserve">Energy consumption of fuel </w:t>
            </w:r>
            <w:r w:rsidRPr="009F63DF">
              <w:rPr>
                <w:rFonts w:eastAsia="Montserrat" w:cs="Arial"/>
                <w:i/>
                <w:iCs/>
                <w:sz w:val="20"/>
                <w:szCs w:val="20"/>
                <w:lang w:val="en-GB"/>
              </w:rPr>
              <w:t>i</w:t>
            </w:r>
            <w:r w:rsidRPr="009F63DF">
              <w:rPr>
                <w:rFonts w:eastAsia="Montserrat" w:cs="Arial"/>
                <w:sz w:val="20"/>
                <w:szCs w:val="20"/>
                <w:lang w:val="en-GB"/>
              </w:rPr>
              <w:t xml:space="preserve"> as measured by the </w:t>
            </w:r>
            <w:r w:rsidR="000F5692" w:rsidRPr="009F63DF">
              <w:rPr>
                <w:rFonts w:eastAsia="Montserrat" w:cs="Arial"/>
                <w:sz w:val="20"/>
                <w:szCs w:val="20"/>
                <w:lang w:val="en-GB"/>
              </w:rPr>
              <w:t>activity</w:t>
            </w:r>
            <w:r w:rsidRPr="009F63DF">
              <w:rPr>
                <w:rFonts w:eastAsia="Montserrat" w:cs="Arial"/>
                <w:sz w:val="20"/>
                <w:szCs w:val="20"/>
                <w:lang w:val="en-GB"/>
              </w:rPr>
              <w:t xml:space="preserve"> KPT</w:t>
            </w:r>
            <w:r w:rsidR="00090650" w:rsidRPr="009F63DF">
              <w:rPr>
                <w:rFonts w:eastAsia="Montserrat" w:cs="Arial"/>
                <w:sz w:val="20"/>
                <w:szCs w:val="20"/>
                <w:lang w:val="en-GB"/>
              </w:rPr>
              <w:t>s</w:t>
            </w:r>
            <w:r w:rsidRPr="009F63DF" w:rsidDel="00462FFF">
              <w:rPr>
                <w:rFonts w:eastAsia="Montserrat" w:cs="Arial"/>
                <w:sz w:val="20"/>
                <w:szCs w:val="20"/>
                <w:lang w:val="en-GB"/>
              </w:rPr>
              <w:t xml:space="preserve"> </w:t>
            </w:r>
            <w:r w:rsidRPr="009F63DF">
              <w:rPr>
                <w:rFonts w:eastAsia="Montserrat" w:cs="Arial"/>
                <w:sz w:val="20"/>
                <w:szCs w:val="20"/>
                <w:lang w:val="en-GB"/>
              </w:rPr>
              <w:t xml:space="preserve">in year </w:t>
            </w:r>
            <w:r w:rsidRPr="009F63DF">
              <w:rPr>
                <w:rFonts w:eastAsia="Montserrat" w:cs="Arial"/>
                <w:i/>
                <w:iCs/>
                <w:sz w:val="20"/>
                <w:szCs w:val="20"/>
                <w:lang w:val="en-GB"/>
              </w:rPr>
              <w:t>y</w:t>
            </w:r>
          </w:p>
        </w:tc>
      </w:tr>
      <w:tr w:rsidR="001F0FD5" w:rsidRPr="009F63DF" w14:paraId="269FADB4" w14:textId="77777777" w:rsidTr="009167D3">
        <w:tc>
          <w:tcPr>
            <w:tcW w:w="1839" w:type="dxa"/>
            <w:shd w:val="clear" w:color="auto" w:fill="E6E6E6"/>
          </w:tcPr>
          <w:p w14:paraId="14F82F19"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90" w:type="dxa"/>
            <w:gridSpan w:val="4"/>
          </w:tcPr>
          <w:p w14:paraId="103399CB" w14:textId="0BD5722F" w:rsidR="001F0FD5" w:rsidRPr="009F63DF" w:rsidRDefault="00863877" w:rsidP="002319DD">
            <w:pPr>
              <w:suppressAutoHyphens/>
              <w:spacing w:before="60" w:after="60"/>
              <w:ind w:right="57"/>
              <w:rPr>
                <w:rFonts w:cs="Arial"/>
                <w:sz w:val="20"/>
                <w:szCs w:val="20"/>
                <w:lang w:val="en-GB"/>
              </w:rPr>
            </w:pPr>
            <w:r w:rsidRPr="009F63DF">
              <w:rPr>
                <w:rFonts w:eastAsia="Montserrat" w:cs="Arial"/>
                <w:sz w:val="20"/>
                <w:szCs w:val="20"/>
                <w:lang w:val="en-GB"/>
              </w:rPr>
              <w:t>TJ</w:t>
            </w:r>
            <w:r w:rsidR="00C7041C" w:rsidRPr="009F63DF">
              <w:rPr>
                <w:rFonts w:eastAsia="Montserrat" w:cs="Arial"/>
                <w:sz w:val="20"/>
                <w:szCs w:val="20"/>
                <w:lang w:val="en-GB"/>
              </w:rPr>
              <w:t xml:space="preserve"> </w:t>
            </w:r>
            <w:r w:rsidRPr="009F63DF">
              <w:rPr>
                <w:rFonts w:eastAsia="Montserrat" w:cs="Arial"/>
                <w:sz w:val="20"/>
                <w:szCs w:val="20"/>
                <w:lang w:val="en-GB"/>
              </w:rPr>
              <w:t>/</w:t>
            </w:r>
            <w:r w:rsidR="00C7041C" w:rsidRPr="009F63DF">
              <w:rPr>
                <w:rFonts w:eastAsia="Montserrat" w:cs="Arial"/>
                <w:sz w:val="20"/>
                <w:szCs w:val="20"/>
                <w:lang w:val="en-GB"/>
              </w:rPr>
              <w:t xml:space="preserve"> </w:t>
            </w:r>
            <w:r w:rsidRPr="009F63DF">
              <w:rPr>
                <w:rFonts w:eastAsia="Montserrat" w:cs="Arial"/>
                <w:sz w:val="20"/>
                <w:szCs w:val="20"/>
                <w:lang w:val="en-GB"/>
              </w:rPr>
              <w:t>(person</w:t>
            </w:r>
            <w:r w:rsidR="00C519A6" w:rsidRPr="009F63DF">
              <w:rPr>
                <w:rFonts w:eastAsia="Montserrat" w:cs="Arial"/>
                <w:sz w:val="20"/>
                <w:szCs w:val="20"/>
                <w:lang w:val="en-GB"/>
              </w:rPr>
              <w:t xml:space="preserve"> x </w:t>
            </w:r>
            <w:r w:rsidRPr="009F63DF">
              <w:rPr>
                <w:rFonts w:eastAsia="Montserrat" w:cs="Arial"/>
                <w:sz w:val="20"/>
                <w:szCs w:val="20"/>
                <w:lang w:val="en-GB"/>
              </w:rPr>
              <w:t>year)</w:t>
            </w:r>
          </w:p>
        </w:tc>
      </w:tr>
      <w:tr w:rsidR="001F0FD5" w:rsidRPr="009F63DF" w14:paraId="74240712" w14:textId="77777777" w:rsidTr="009167D3">
        <w:tc>
          <w:tcPr>
            <w:tcW w:w="1839" w:type="dxa"/>
            <w:tcBorders>
              <w:bottom w:val="single" w:sz="4" w:space="0" w:color="auto"/>
            </w:tcBorders>
            <w:shd w:val="clear" w:color="auto" w:fill="E6E6E6"/>
          </w:tcPr>
          <w:p w14:paraId="56D7ABA1"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90" w:type="dxa"/>
            <w:gridSpan w:val="4"/>
            <w:tcBorders>
              <w:bottom w:val="single" w:sz="4" w:space="0" w:color="auto"/>
            </w:tcBorders>
          </w:tcPr>
          <w:p w14:paraId="2AE02624" w14:textId="65395A06" w:rsidR="001F0FD5" w:rsidRPr="009F63DF" w:rsidRDefault="00984CF9" w:rsidP="002319DD">
            <w:pPr>
              <w:suppressAutoHyphens/>
              <w:spacing w:before="60" w:after="60"/>
              <w:ind w:right="57"/>
              <w:rPr>
                <w:rFonts w:cs="Arial"/>
                <w:sz w:val="20"/>
                <w:szCs w:val="20"/>
                <w:lang w:val="en-GB"/>
              </w:rPr>
            </w:pPr>
            <w:r w:rsidRPr="009F63DF">
              <w:rPr>
                <w:rFonts w:cs="Arial"/>
                <w:sz w:val="20"/>
                <w:szCs w:val="20"/>
                <w:lang w:val="en-GB"/>
              </w:rPr>
              <w:t>Equation (</w:t>
            </w:r>
            <w:r w:rsidR="00415C6E">
              <w:rPr>
                <w:rFonts w:cs="Arial"/>
                <w:sz w:val="20"/>
                <w:szCs w:val="20"/>
                <w:lang w:val="en-GB"/>
              </w:rPr>
              <w:t>22</w:t>
            </w:r>
            <w:r w:rsidRPr="009F63DF">
              <w:rPr>
                <w:rFonts w:cs="Arial"/>
                <w:sz w:val="20"/>
                <w:szCs w:val="20"/>
                <w:lang w:val="en-GB"/>
              </w:rPr>
              <w:t>)</w:t>
            </w:r>
          </w:p>
        </w:tc>
      </w:tr>
      <w:tr w:rsidR="001F0FD5" w:rsidRPr="009F63DF" w14:paraId="3FCA1BF0" w14:textId="77777777" w:rsidTr="009167D3">
        <w:tc>
          <w:tcPr>
            <w:tcW w:w="1839" w:type="dxa"/>
            <w:tcBorders>
              <w:bottom w:val="single" w:sz="4" w:space="0" w:color="auto"/>
            </w:tcBorders>
            <w:shd w:val="clear" w:color="auto" w:fill="E6E6E6"/>
          </w:tcPr>
          <w:p w14:paraId="25302F22"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296" w:type="dxa"/>
            <w:gridSpan w:val="2"/>
            <w:tcBorders>
              <w:bottom w:val="single" w:sz="4" w:space="0" w:color="auto"/>
              <w:right w:val="nil"/>
            </w:tcBorders>
          </w:tcPr>
          <w:p w14:paraId="448CECEA" w14:textId="29E0D3F1" w:rsidR="001F0FD5" w:rsidRPr="009F63DF" w:rsidRDefault="00836B96"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0"/>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54FF7" w:rsidRPr="009F63DF">
              <w:rPr>
                <w:rFonts w:cs="Arial"/>
                <w:sz w:val="20"/>
                <w:shd w:val="clear" w:color="auto" w:fill="E6E6E6"/>
                <w:lang w:val="en-GB"/>
              </w:rPr>
              <w:t xml:space="preserve"> </w:t>
            </w:r>
            <w:r w:rsidR="001F0FD5" w:rsidRPr="009F63DF">
              <w:rPr>
                <w:rFonts w:cs="Arial"/>
                <w:sz w:val="20"/>
                <w:szCs w:val="20"/>
                <w:lang w:val="en-GB"/>
              </w:rPr>
              <w:t xml:space="preserve">Baseline </w:t>
            </w:r>
            <w:r w:rsidR="008B6A8B" w:rsidRPr="009F63DF">
              <w:rPr>
                <w:rFonts w:cs="Arial"/>
                <w:sz w:val="20"/>
                <w:szCs w:val="20"/>
                <w:lang w:val="en-GB"/>
              </w:rPr>
              <w:t>Scenario</w:t>
            </w:r>
          </w:p>
        </w:tc>
        <w:tc>
          <w:tcPr>
            <w:tcW w:w="2126" w:type="dxa"/>
            <w:tcBorders>
              <w:left w:val="nil"/>
              <w:bottom w:val="single" w:sz="4" w:space="0" w:color="auto"/>
              <w:right w:val="nil"/>
            </w:tcBorders>
          </w:tcPr>
          <w:p w14:paraId="6D69A45F" w14:textId="312F90C1" w:rsidR="001F0FD5" w:rsidRPr="009F63DF" w:rsidRDefault="001F0FD5"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Pr="009F63DF">
              <w:rPr>
                <w:rFonts w:cs="Arial"/>
                <w:sz w:val="20"/>
                <w:szCs w:val="20"/>
                <w:lang w:val="en-GB"/>
              </w:rPr>
              <w:t xml:space="preserve"> </w:t>
            </w:r>
            <w:r w:rsidR="002646DE" w:rsidRPr="009F63DF">
              <w:rPr>
                <w:rFonts w:cs="Arial"/>
                <w:sz w:val="20"/>
                <w:szCs w:val="20"/>
                <w:lang w:val="en-GB"/>
              </w:rPr>
              <w:t>Activity</w:t>
            </w:r>
            <w:r w:rsidRPr="009F63DF">
              <w:rPr>
                <w:rFonts w:cs="Arial"/>
                <w:sz w:val="20"/>
                <w:szCs w:val="20"/>
                <w:lang w:val="en-GB"/>
              </w:rPr>
              <w:t xml:space="preserve"> </w:t>
            </w:r>
            <w:r w:rsidR="008B6A8B" w:rsidRPr="009F63DF">
              <w:rPr>
                <w:rFonts w:cs="Arial"/>
                <w:sz w:val="20"/>
                <w:szCs w:val="20"/>
                <w:lang w:val="en-GB"/>
              </w:rPr>
              <w:t>Scenario</w:t>
            </w:r>
          </w:p>
        </w:tc>
        <w:tc>
          <w:tcPr>
            <w:tcW w:w="2268" w:type="dxa"/>
            <w:tcBorders>
              <w:left w:val="nil"/>
              <w:bottom w:val="single" w:sz="4" w:space="0" w:color="auto"/>
            </w:tcBorders>
          </w:tcPr>
          <w:p w14:paraId="08D3C8C6" w14:textId="22EE30CF" w:rsidR="001F0FD5" w:rsidRPr="009F63DF" w:rsidRDefault="001F0FD5"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Check2"/>
                  <w:enabled/>
                  <w:calcOnExit w:val="0"/>
                  <w:checkBox>
                    <w:size w:val="20"/>
                    <w:default w:val="0"/>
                  </w:checkBox>
                </w:ffData>
              </w:fldChar>
            </w:r>
            <w:r w:rsidRPr="009F63DF">
              <w:rPr>
                <w:rFonts w:cs="Arial"/>
                <w:sz w:val="20"/>
                <w:szCs w:val="20"/>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54FF7" w:rsidRPr="009F63DF">
              <w:rPr>
                <w:rFonts w:cs="Arial"/>
                <w:sz w:val="20"/>
                <w:shd w:val="clear" w:color="auto" w:fill="E6E6E6"/>
                <w:lang w:val="en-GB"/>
              </w:rPr>
              <w:t xml:space="preserve"> </w:t>
            </w:r>
            <w:r w:rsidRPr="009F63DF">
              <w:rPr>
                <w:rFonts w:cs="Arial"/>
                <w:sz w:val="20"/>
                <w:szCs w:val="20"/>
                <w:shd w:val="clear" w:color="auto" w:fill="E6E6E6"/>
                <w:lang w:val="en-GB"/>
              </w:rPr>
              <w:t>Le</w:t>
            </w:r>
            <w:r w:rsidRPr="009F63DF">
              <w:rPr>
                <w:rFonts w:cs="Arial"/>
                <w:sz w:val="20"/>
                <w:szCs w:val="20"/>
                <w:lang w:val="en-GB"/>
              </w:rPr>
              <w:t>akage</w:t>
            </w:r>
          </w:p>
        </w:tc>
      </w:tr>
      <w:tr w:rsidR="007B02EA" w:rsidRPr="009F63DF" w14:paraId="0C0775A6" w14:textId="77777777" w:rsidTr="009167D3">
        <w:tc>
          <w:tcPr>
            <w:tcW w:w="1839" w:type="dxa"/>
            <w:tcBorders>
              <w:bottom w:val="single" w:sz="4" w:space="0" w:color="auto"/>
            </w:tcBorders>
            <w:shd w:val="clear" w:color="auto" w:fill="E6E6E6"/>
          </w:tcPr>
          <w:p w14:paraId="7650C6FD" w14:textId="637FF2B0" w:rsidR="007B02EA" w:rsidRPr="009F63DF" w:rsidRDefault="007B02EA" w:rsidP="00540956">
            <w:pPr>
              <w:suppressAutoHyphens/>
              <w:spacing w:before="60" w:after="60"/>
              <w:ind w:right="57"/>
              <w:jc w:val="left"/>
              <w:rPr>
                <w:rFonts w:cs="Arial"/>
                <w:sz w:val="20"/>
                <w:lang w:val="en-GB"/>
              </w:rPr>
            </w:pPr>
            <w:r w:rsidRPr="009F63DF">
              <w:rPr>
                <w:rFonts w:cs="Arial"/>
                <w:sz w:val="20"/>
                <w:lang w:val="en-GB"/>
              </w:rPr>
              <w:t>Value applied</w:t>
            </w:r>
          </w:p>
        </w:tc>
        <w:tc>
          <w:tcPr>
            <w:tcW w:w="2296" w:type="dxa"/>
            <w:gridSpan w:val="2"/>
            <w:tcBorders>
              <w:bottom w:val="single" w:sz="4" w:space="0" w:color="auto"/>
              <w:right w:val="nil"/>
            </w:tcBorders>
          </w:tcPr>
          <w:p w14:paraId="13EEE022" w14:textId="77777777" w:rsidR="007B02EA" w:rsidRPr="009F63DF" w:rsidRDefault="007B02EA" w:rsidP="002319DD">
            <w:pPr>
              <w:suppressAutoHyphens/>
              <w:spacing w:before="60" w:after="60"/>
              <w:ind w:right="57"/>
              <w:jc w:val="left"/>
              <w:rPr>
                <w:rFonts w:cs="Arial"/>
                <w:sz w:val="20"/>
                <w:shd w:val="clear" w:color="auto" w:fill="E6E6E6"/>
                <w:lang w:val="en-GB"/>
              </w:rPr>
            </w:pPr>
          </w:p>
        </w:tc>
        <w:tc>
          <w:tcPr>
            <w:tcW w:w="2126" w:type="dxa"/>
            <w:tcBorders>
              <w:left w:val="nil"/>
              <w:bottom w:val="single" w:sz="4" w:space="0" w:color="auto"/>
              <w:right w:val="nil"/>
            </w:tcBorders>
          </w:tcPr>
          <w:p w14:paraId="4E193485" w14:textId="77777777" w:rsidR="007B02EA" w:rsidRPr="009F63DF" w:rsidRDefault="007B02EA" w:rsidP="002319DD">
            <w:pPr>
              <w:suppressAutoHyphens/>
              <w:spacing w:before="60" w:after="60"/>
              <w:ind w:right="57"/>
              <w:jc w:val="left"/>
              <w:rPr>
                <w:rFonts w:cs="Arial"/>
                <w:sz w:val="20"/>
                <w:shd w:val="clear" w:color="auto" w:fill="E6E6E6"/>
                <w:lang w:val="en-GB"/>
              </w:rPr>
            </w:pPr>
          </w:p>
        </w:tc>
        <w:tc>
          <w:tcPr>
            <w:tcW w:w="2268" w:type="dxa"/>
            <w:tcBorders>
              <w:left w:val="nil"/>
              <w:bottom w:val="single" w:sz="4" w:space="0" w:color="auto"/>
            </w:tcBorders>
          </w:tcPr>
          <w:p w14:paraId="3800A6B0" w14:textId="77777777" w:rsidR="007B02EA" w:rsidRPr="009F63DF" w:rsidRDefault="007B02EA" w:rsidP="002319DD">
            <w:pPr>
              <w:suppressAutoHyphens/>
              <w:spacing w:before="60" w:after="60"/>
              <w:ind w:right="57"/>
              <w:jc w:val="left"/>
              <w:rPr>
                <w:rFonts w:cs="Arial"/>
                <w:sz w:val="20"/>
                <w:shd w:val="clear" w:color="auto" w:fill="E6E6E6"/>
                <w:lang w:val="en-GB"/>
              </w:rPr>
            </w:pPr>
          </w:p>
        </w:tc>
      </w:tr>
      <w:tr w:rsidR="007B02EA" w:rsidRPr="009F63DF" w14:paraId="5FF5F181" w14:textId="77777777">
        <w:tc>
          <w:tcPr>
            <w:tcW w:w="1839" w:type="dxa"/>
            <w:tcBorders>
              <w:bottom w:val="single" w:sz="4" w:space="0" w:color="auto"/>
            </w:tcBorders>
            <w:shd w:val="clear" w:color="auto" w:fill="E6E6E6"/>
          </w:tcPr>
          <w:p w14:paraId="5461AD62" w14:textId="3D23F601" w:rsidR="007B02EA" w:rsidRPr="009F63DF" w:rsidRDefault="007B02EA"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90" w:type="dxa"/>
            <w:gridSpan w:val="4"/>
            <w:tcBorders>
              <w:bottom w:val="single" w:sz="4" w:space="0" w:color="auto"/>
            </w:tcBorders>
          </w:tcPr>
          <w:p w14:paraId="317E93B9" w14:textId="3D2C8FDC" w:rsidR="007B02EA" w:rsidRPr="009F63DF" w:rsidRDefault="007B02EA" w:rsidP="002319DD">
            <w:pPr>
              <w:suppressAutoHyphens/>
              <w:spacing w:before="60" w:after="60"/>
              <w:ind w:right="57"/>
              <w:jc w:val="left"/>
              <w:rPr>
                <w:rFonts w:cs="Arial"/>
                <w:sz w:val="20"/>
                <w:shd w:val="clear" w:color="auto" w:fill="E6E6E6"/>
                <w:lang w:val="en-GB"/>
              </w:rPr>
            </w:pPr>
            <w:r w:rsidRPr="009F63DF">
              <w:rPr>
                <w:rFonts w:eastAsia="Montserrat" w:cs="Arial"/>
                <w:sz w:val="20"/>
                <w:szCs w:val="20"/>
                <w:lang w:val="en-GB"/>
              </w:rPr>
              <w:t>Representative sample using the KPT in compliance with the sampling and surveys tool</w:t>
            </w:r>
            <w:r w:rsidRPr="009F63DF" w:rsidDel="00724171">
              <w:rPr>
                <w:rFonts w:eastAsia="Montserrat" w:cs="Arial"/>
                <w:sz w:val="20"/>
                <w:szCs w:val="20"/>
                <w:lang w:val="en-GB"/>
              </w:rPr>
              <w:t xml:space="preserve"> </w:t>
            </w:r>
            <w:r w:rsidRPr="009F63DF">
              <w:rPr>
                <w:rFonts w:eastAsia="Montserrat" w:cs="Arial"/>
                <w:sz w:val="20"/>
                <w:szCs w:val="20"/>
                <w:lang w:val="en-GB"/>
              </w:rPr>
              <w:t xml:space="preserve">and the requirements in </w:t>
            </w:r>
            <w:r w:rsidRPr="009F63DF">
              <w:rPr>
                <w:rFonts w:eastAsia="Montserrat" w:cs="Arial"/>
                <w:sz w:val="20"/>
              </w:rPr>
              <w:fldChar w:fldCharType="begin"/>
            </w:r>
            <w:r w:rsidRPr="009F63DF">
              <w:rPr>
                <w:rFonts w:eastAsia="Montserrat" w:cs="Arial"/>
                <w:sz w:val="20"/>
                <w:szCs w:val="20"/>
                <w:lang w:val="en-GB"/>
              </w:rPr>
              <w:instrText xml:space="preserve"> REF _Ref227250289 \r \h  \* MERGEFORMAT </w:instrText>
            </w:r>
            <w:r w:rsidRPr="009F63DF">
              <w:rPr>
                <w:rFonts w:eastAsia="Montserrat" w:cs="Arial"/>
                <w:sz w:val="20"/>
              </w:rPr>
            </w:r>
            <w:r w:rsidRPr="009F63DF">
              <w:rPr>
                <w:rFonts w:eastAsia="Montserrat" w:cs="Arial"/>
                <w:sz w:val="20"/>
              </w:rPr>
              <w:fldChar w:fldCharType="separate"/>
            </w:r>
            <w:r w:rsidR="00831DAE">
              <w:rPr>
                <w:rFonts w:eastAsia="Montserrat" w:cs="Arial"/>
                <w:sz w:val="20"/>
                <w:szCs w:val="20"/>
                <w:cs/>
                <w:lang w:val="en-GB"/>
              </w:rPr>
              <w:t>‎</w:t>
            </w:r>
            <w:r w:rsidR="00831DAE">
              <w:rPr>
                <w:rFonts w:eastAsia="Montserrat" w:cs="Arial"/>
                <w:sz w:val="20"/>
                <w:szCs w:val="20"/>
                <w:lang w:val="en-GB"/>
              </w:rPr>
              <w:t>Appendix 4</w:t>
            </w:r>
            <w:r w:rsidRPr="009F63DF">
              <w:rPr>
                <w:rFonts w:eastAsia="Montserrat" w:cs="Arial"/>
                <w:sz w:val="20"/>
              </w:rPr>
              <w:fldChar w:fldCharType="end"/>
            </w:r>
          </w:p>
        </w:tc>
      </w:tr>
      <w:tr w:rsidR="001F0FD5" w:rsidRPr="009F63DF" w14:paraId="6D4E7830" w14:textId="77777777" w:rsidTr="009167D3">
        <w:tc>
          <w:tcPr>
            <w:tcW w:w="1839" w:type="dxa"/>
            <w:tcBorders>
              <w:top w:val="single" w:sz="4" w:space="0" w:color="auto"/>
            </w:tcBorders>
            <w:shd w:val="clear" w:color="auto" w:fill="E6E6E6"/>
          </w:tcPr>
          <w:p w14:paraId="479E8F05"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90" w:type="dxa"/>
            <w:gridSpan w:val="4"/>
            <w:tcBorders>
              <w:top w:val="single" w:sz="4" w:space="0" w:color="auto"/>
              <w:bottom w:val="single" w:sz="4" w:space="0" w:color="auto"/>
            </w:tcBorders>
            <w:vAlign w:val="center"/>
          </w:tcPr>
          <w:p w14:paraId="28E17B93" w14:textId="19362C24" w:rsidR="001F0FD5" w:rsidRPr="009F63DF" w:rsidRDefault="00090650" w:rsidP="002319DD">
            <w:pPr>
              <w:suppressAutoHyphens/>
              <w:spacing w:before="60" w:after="60"/>
              <w:ind w:right="57"/>
              <w:rPr>
                <w:rFonts w:cs="Arial"/>
                <w:sz w:val="20"/>
                <w:szCs w:val="20"/>
                <w:lang w:val="en-GB"/>
              </w:rPr>
            </w:pPr>
            <w:r w:rsidRPr="009F63DF">
              <w:rPr>
                <w:rFonts w:eastAsia="Montserrat" w:cs="Arial"/>
                <w:sz w:val="20"/>
                <w:szCs w:val="20"/>
                <w:lang w:val="en-GB"/>
              </w:rPr>
              <w:t>At least e</w:t>
            </w:r>
            <w:r w:rsidR="00863877" w:rsidRPr="009F63DF">
              <w:rPr>
                <w:rFonts w:eastAsia="Montserrat" w:cs="Arial"/>
                <w:sz w:val="20"/>
                <w:szCs w:val="20"/>
                <w:lang w:val="en-GB"/>
              </w:rPr>
              <w:t>very two years</w:t>
            </w:r>
          </w:p>
        </w:tc>
      </w:tr>
      <w:tr w:rsidR="001F0FD5" w:rsidRPr="009F63DF" w14:paraId="3ACFCB4B" w14:textId="77777777" w:rsidTr="009167D3">
        <w:trPr>
          <w:trHeight w:val="107"/>
        </w:trPr>
        <w:tc>
          <w:tcPr>
            <w:tcW w:w="1839" w:type="dxa"/>
            <w:shd w:val="clear" w:color="auto" w:fill="E6E6E6"/>
          </w:tcPr>
          <w:p w14:paraId="0EDC3FA2"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90" w:type="dxa"/>
            <w:gridSpan w:val="4"/>
            <w:tcBorders>
              <w:top w:val="single" w:sz="4" w:space="0" w:color="auto"/>
            </w:tcBorders>
          </w:tcPr>
          <w:p w14:paraId="3281DB88" w14:textId="60B75704" w:rsidR="001F0FD5" w:rsidRPr="009F63DF" w:rsidRDefault="00090650" w:rsidP="002319DD">
            <w:pPr>
              <w:suppressAutoHyphens/>
              <w:spacing w:before="60" w:after="60"/>
              <w:ind w:right="57"/>
              <w:rPr>
                <w:rFonts w:cs="Arial"/>
                <w:sz w:val="20"/>
                <w:szCs w:val="20"/>
                <w:lang w:val="en-GB"/>
              </w:rPr>
            </w:pPr>
            <w:r w:rsidRPr="009F63DF">
              <w:rPr>
                <w:rFonts w:cs="Arial"/>
                <w:sz w:val="20"/>
                <w:szCs w:val="20"/>
                <w:lang w:val="en-GB"/>
              </w:rPr>
              <w:t>Activity participant</w:t>
            </w:r>
          </w:p>
        </w:tc>
      </w:tr>
      <w:tr w:rsidR="001F0FD5" w:rsidRPr="009F63DF" w14:paraId="6A838C4C" w14:textId="77777777" w:rsidTr="009167D3">
        <w:trPr>
          <w:trHeight w:val="107"/>
        </w:trPr>
        <w:tc>
          <w:tcPr>
            <w:tcW w:w="1839" w:type="dxa"/>
            <w:vMerge w:val="restart"/>
            <w:shd w:val="clear" w:color="auto" w:fill="E6E6E6"/>
          </w:tcPr>
          <w:p w14:paraId="50B6E2BF"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1970" w:type="dxa"/>
            <w:tcBorders>
              <w:top w:val="single" w:sz="4" w:space="0" w:color="auto"/>
            </w:tcBorders>
          </w:tcPr>
          <w:p w14:paraId="1325A5D0" w14:textId="77777777" w:rsidR="001F0FD5" w:rsidRPr="009F63DF" w:rsidRDefault="001F0FD5" w:rsidP="002319DD">
            <w:pPr>
              <w:suppressAutoHyphens/>
              <w:spacing w:before="60" w:after="60"/>
              <w:ind w:right="57"/>
              <w:jc w:val="left"/>
              <w:rPr>
                <w:rFonts w:cs="Arial"/>
                <w:i/>
                <w:sz w:val="20"/>
                <w:szCs w:val="20"/>
                <w:lang w:val="en-GB"/>
              </w:rPr>
            </w:pPr>
            <w:r w:rsidRPr="009F63DF">
              <w:rPr>
                <w:rFonts w:cs="Arial"/>
                <w:i/>
                <w:sz w:val="20"/>
                <w:szCs w:val="20"/>
                <w:lang w:val="en-GB"/>
              </w:rPr>
              <w:t>Type of instrument</w:t>
            </w:r>
          </w:p>
        </w:tc>
        <w:tc>
          <w:tcPr>
            <w:tcW w:w="4720" w:type="dxa"/>
            <w:gridSpan w:val="3"/>
            <w:tcBorders>
              <w:top w:val="single" w:sz="4" w:space="0" w:color="auto"/>
            </w:tcBorders>
          </w:tcPr>
          <w:p w14:paraId="2656C9AC" w14:textId="73B966A6" w:rsidR="001F0FD5" w:rsidRPr="009F63DF" w:rsidRDefault="00CF666E" w:rsidP="002319DD">
            <w:pPr>
              <w:pStyle w:val="ParaTickBox"/>
              <w:tabs>
                <w:tab w:val="clear" w:pos="510"/>
                <w:tab w:val="left" w:pos="120"/>
              </w:tabs>
              <w:suppressAutoHyphens/>
              <w:ind w:left="0" w:right="57" w:firstLine="0"/>
              <w:rPr>
                <w:szCs w:val="20"/>
                <w:lang w:val="en-GB"/>
              </w:rPr>
            </w:pPr>
            <w:r w:rsidRPr="009F63DF">
              <w:rPr>
                <w:szCs w:val="20"/>
                <w:lang w:val="en-GB"/>
              </w:rPr>
              <w:t>In compliance with the valid KPT protocol</w:t>
            </w:r>
          </w:p>
        </w:tc>
      </w:tr>
      <w:tr w:rsidR="001F0FD5" w:rsidRPr="009F63DF" w14:paraId="0359AF38" w14:textId="77777777" w:rsidTr="009167D3">
        <w:trPr>
          <w:trHeight w:val="104"/>
        </w:trPr>
        <w:tc>
          <w:tcPr>
            <w:tcW w:w="1839" w:type="dxa"/>
            <w:vMerge/>
          </w:tcPr>
          <w:p w14:paraId="53AA1E05" w14:textId="77777777" w:rsidR="001F0FD5" w:rsidRPr="009F63DF" w:rsidRDefault="001F0FD5"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404E7A90" w14:textId="77777777" w:rsidR="001F0FD5" w:rsidRPr="009F63DF" w:rsidRDefault="001F0FD5" w:rsidP="002319DD">
            <w:pPr>
              <w:suppressAutoHyphens/>
              <w:spacing w:before="60" w:after="60"/>
              <w:ind w:right="57"/>
              <w:jc w:val="left"/>
              <w:rPr>
                <w:rFonts w:cs="Arial"/>
                <w:i/>
                <w:sz w:val="20"/>
                <w:szCs w:val="20"/>
                <w:lang w:val="en-GB"/>
              </w:rPr>
            </w:pPr>
            <w:r w:rsidRPr="009F63DF">
              <w:rPr>
                <w:rFonts w:cs="Arial"/>
                <w:i/>
                <w:sz w:val="20"/>
                <w:szCs w:val="20"/>
                <w:lang w:val="en-GB"/>
              </w:rPr>
              <w:t>Accuracy class</w:t>
            </w:r>
          </w:p>
        </w:tc>
        <w:tc>
          <w:tcPr>
            <w:tcW w:w="4720" w:type="dxa"/>
            <w:gridSpan w:val="3"/>
            <w:tcBorders>
              <w:top w:val="single" w:sz="4" w:space="0" w:color="auto"/>
            </w:tcBorders>
          </w:tcPr>
          <w:p w14:paraId="1DC0AA80" w14:textId="56854213" w:rsidR="001F0FD5" w:rsidRPr="009F63DF" w:rsidRDefault="00CF666E" w:rsidP="002319DD">
            <w:pPr>
              <w:suppressAutoHyphens/>
              <w:spacing w:before="60" w:after="60"/>
              <w:ind w:right="57"/>
              <w:rPr>
                <w:rFonts w:cs="Arial"/>
                <w:sz w:val="20"/>
                <w:szCs w:val="20"/>
                <w:lang w:val="en-GB"/>
              </w:rPr>
            </w:pPr>
            <w:r w:rsidRPr="009F63DF">
              <w:rPr>
                <w:rFonts w:cs="Arial"/>
                <w:sz w:val="20"/>
                <w:szCs w:val="20"/>
                <w:lang w:val="en-GB"/>
              </w:rPr>
              <w:t>In compliance with the valid KPT protocol</w:t>
            </w:r>
          </w:p>
        </w:tc>
      </w:tr>
      <w:tr w:rsidR="001F0FD5" w:rsidRPr="009F63DF" w14:paraId="3BFAF54D" w14:textId="77777777" w:rsidTr="009167D3">
        <w:trPr>
          <w:trHeight w:val="104"/>
        </w:trPr>
        <w:tc>
          <w:tcPr>
            <w:tcW w:w="1839" w:type="dxa"/>
            <w:vMerge/>
          </w:tcPr>
          <w:p w14:paraId="22A3AC18" w14:textId="77777777" w:rsidR="001F0FD5" w:rsidRPr="009F63DF" w:rsidRDefault="001F0FD5"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7C0DE9C2" w14:textId="77777777" w:rsidR="001F0FD5" w:rsidRPr="009F63DF" w:rsidRDefault="001F0FD5" w:rsidP="002319DD">
            <w:pPr>
              <w:suppressAutoHyphens/>
              <w:spacing w:before="60" w:after="60"/>
              <w:ind w:right="57"/>
              <w:jc w:val="left"/>
              <w:rPr>
                <w:rFonts w:cs="Arial"/>
                <w:i/>
                <w:sz w:val="20"/>
                <w:szCs w:val="20"/>
                <w:lang w:val="en-GB"/>
              </w:rPr>
            </w:pPr>
            <w:r w:rsidRPr="009F63DF">
              <w:rPr>
                <w:rFonts w:cs="Arial"/>
                <w:i/>
                <w:sz w:val="20"/>
                <w:szCs w:val="20"/>
                <w:lang w:val="en-GB"/>
              </w:rPr>
              <w:t>Calibration requirements</w:t>
            </w:r>
          </w:p>
        </w:tc>
        <w:tc>
          <w:tcPr>
            <w:tcW w:w="4720" w:type="dxa"/>
            <w:gridSpan w:val="3"/>
            <w:tcBorders>
              <w:top w:val="single" w:sz="4" w:space="0" w:color="auto"/>
            </w:tcBorders>
          </w:tcPr>
          <w:p w14:paraId="3CCDBDE6" w14:textId="5D607B49" w:rsidR="001F0FD5" w:rsidRPr="009F63DF" w:rsidRDefault="00CF666E" w:rsidP="002319DD">
            <w:pPr>
              <w:suppressAutoHyphens/>
              <w:spacing w:before="60" w:after="60"/>
              <w:ind w:right="57"/>
              <w:rPr>
                <w:rFonts w:cs="Arial"/>
                <w:i/>
                <w:sz w:val="20"/>
                <w:szCs w:val="20"/>
                <w:lang w:val="en-GB"/>
              </w:rPr>
            </w:pPr>
            <w:r w:rsidRPr="009F63DF">
              <w:rPr>
                <w:rFonts w:cs="Arial"/>
                <w:sz w:val="20"/>
                <w:szCs w:val="20"/>
                <w:lang w:val="en-GB"/>
              </w:rPr>
              <w:t>In compliance with the valid KPT protocol</w:t>
            </w:r>
          </w:p>
        </w:tc>
      </w:tr>
      <w:tr w:rsidR="001F0FD5" w:rsidRPr="009F63DF" w14:paraId="47602910" w14:textId="77777777" w:rsidTr="009167D3">
        <w:trPr>
          <w:trHeight w:val="104"/>
        </w:trPr>
        <w:tc>
          <w:tcPr>
            <w:tcW w:w="1839" w:type="dxa"/>
            <w:vMerge/>
          </w:tcPr>
          <w:p w14:paraId="25A14F29" w14:textId="77777777" w:rsidR="001F0FD5" w:rsidRPr="009F63DF" w:rsidRDefault="001F0FD5"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3866969C" w14:textId="77777777" w:rsidR="001F0FD5" w:rsidRPr="009F63DF" w:rsidRDefault="001F0FD5" w:rsidP="002319DD">
            <w:pPr>
              <w:suppressAutoHyphens/>
              <w:spacing w:before="60" w:after="60"/>
              <w:ind w:right="57"/>
              <w:jc w:val="left"/>
              <w:rPr>
                <w:rFonts w:cs="Arial"/>
                <w:i/>
                <w:sz w:val="20"/>
                <w:szCs w:val="20"/>
                <w:lang w:val="en-GB"/>
              </w:rPr>
            </w:pPr>
            <w:r w:rsidRPr="009F63DF">
              <w:rPr>
                <w:rFonts w:cs="Arial"/>
                <w:i/>
                <w:sz w:val="20"/>
                <w:szCs w:val="20"/>
                <w:lang w:val="en-GB"/>
              </w:rPr>
              <w:t>Location</w:t>
            </w:r>
          </w:p>
        </w:tc>
        <w:tc>
          <w:tcPr>
            <w:tcW w:w="4720" w:type="dxa"/>
            <w:gridSpan w:val="3"/>
            <w:tcBorders>
              <w:top w:val="single" w:sz="4" w:space="0" w:color="auto"/>
            </w:tcBorders>
          </w:tcPr>
          <w:p w14:paraId="52ACB9C9" w14:textId="7345CF67" w:rsidR="001F0FD5" w:rsidRPr="009F63DF" w:rsidRDefault="00B71395" w:rsidP="002319DD">
            <w:pPr>
              <w:suppressAutoHyphens/>
              <w:spacing w:before="60" w:after="60"/>
              <w:ind w:right="57"/>
              <w:rPr>
                <w:rFonts w:cs="Arial"/>
                <w:sz w:val="20"/>
                <w:szCs w:val="20"/>
                <w:lang w:val="en-GB"/>
              </w:rPr>
            </w:pPr>
            <w:r w:rsidRPr="009F63DF">
              <w:rPr>
                <w:rFonts w:cs="Arial"/>
                <w:sz w:val="20"/>
                <w:szCs w:val="20"/>
                <w:lang w:val="en-GB"/>
              </w:rPr>
              <w:t>Article 6.4 activity households</w:t>
            </w:r>
          </w:p>
        </w:tc>
      </w:tr>
      <w:tr w:rsidR="001F0FD5" w:rsidRPr="009F63DF" w14:paraId="2821F3EC" w14:textId="77777777" w:rsidTr="009167D3">
        <w:tc>
          <w:tcPr>
            <w:tcW w:w="1839" w:type="dxa"/>
            <w:shd w:val="clear" w:color="auto" w:fill="E6E6E6"/>
          </w:tcPr>
          <w:p w14:paraId="4F142ADF"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90" w:type="dxa"/>
            <w:gridSpan w:val="4"/>
          </w:tcPr>
          <w:p w14:paraId="53BD819B" w14:textId="1A6E850A" w:rsidR="001F0FD5" w:rsidRPr="009F63DF" w:rsidRDefault="00364DED" w:rsidP="002319DD">
            <w:pPr>
              <w:tabs>
                <w:tab w:val="left" w:pos="567"/>
              </w:tabs>
              <w:suppressAutoHyphens/>
              <w:spacing w:before="20" w:after="20"/>
              <w:ind w:right="159"/>
              <w:rPr>
                <w:rFonts w:cs="Arial"/>
                <w:sz w:val="20"/>
                <w:szCs w:val="20"/>
                <w:lang w:val="en-GB"/>
              </w:rPr>
            </w:pPr>
            <w:r w:rsidRPr="009F63DF">
              <w:rPr>
                <w:rFonts w:cs="Arial"/>
                <w:sz w:val="20"/>
                <w:szCs w:val="20"/>
                <w:lang w:val="en-GB"/>
              </w:rPr>
              <w:t>N/A</w:t>
            </w:r>
          </w:p>
        </w:tc>
      </w:tr>
      <w:tr w:rsidR="001F0FD5" w:rsidRPr="009F63DF" w14:paraId="490F9960" w14:textId="77777777" w:rsidTr="009167D3">
        <w:tc>
          <w:tcPr>
            <w:tcW w:w="1839" w:type="dxa"/>
            <w:shd w:val="clear" w:color="auto" w:fill="E6E6E6"/>
          </w:tcPr>
          <w:p w14:paraId="39976BB1"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90" w:type="dxa"/>
            <w:gridSpan w:val="4"/>
          </w:tcPr>
          <w:p w14:paraId="279638D9" w14:textId="653F0BB3" w:rsidR="00464F40" w:rsidRPr="009F63DF" w:rsidRDefault="008841E2" w:rsidP="002319DD">
            <w:pPr>
              <w:tabs>
                <w:tab w:val="left" w:pos="567"/>
              </w:tabs>
              <w:suppressAutoHyphens/>
              <w:spacing w:before="20" w:after="20"/>
              <w:ind w:right="159"/>
              <w:rPr>
                <w:rFonts w:cs="Arial"/>
                <w:sz w:val="20"/>
                <w:szCs w:val="20"/>
                <w:lang w:val="en-GB"/>
              </w:rPr>
            </w:pPr>
            <w:r w:rsidRPr="009F63DF">
              <w:rPr>
                <w:rFonts w:cs="Arial"/>
                <w:color w:val="000000"/>
                <w:sz w:val="20"/>
                <w:szCs w:val="20"/>
                <w:shd w:val="clear" w:color="auto" w:fill="FFFFFF"/>
                <w:lang w:val="en-GB"/>
              </w:rPr>
              <w:t xml:space="preserve">The study shall meet the minimum </w:t>
            </w:r>
            <w:r w:rsidR="007D526D" w:rsidRPr="009F63DF">
              <w:rPr>
                <w:rFonts w:cs="Arial"/>
                <w:color w:val="000000"/>
                <w:sz w:val="20"/>
                <w:szCs w:val="20"/>
                <w:shd w:val="clear" w:color="auto" w:fill="FFFFFF"/>
                <w:lang w:val="en-GB"/>
              </w:rPr>
              <w:t>reliability</w:t>
            </w:r>
            <w:r w:rsidRPr="009F63DF">
              <w:rPr>
                <w:rFonts w:cs="Arial"/>
                <w:color w:val="000000"/>
                <w:sz w:val="20"/>
                <w:szCs w:val="20"/>
                <w:shd w:val="clear" w:color="auto" w:fill="FFFFFF"/>
                <w:lang w:val="en-GB"/>
              </w:rPr>
              <w:t xml:space="preserve"> of 95/10 for the target parameter of average annual energy consumption per person. The 95/10 rule is applied to the sum of energy consumption across each fuel</w:t>
            </w:r>
            <w:r w:rsidRPr="009F63DF">
              <w:rPr>
                <w:rFonts w:eastAsia="Montserrat" w:cs="Arial"/>
                <w:sz w:val="20"/>
                <w:szCs w:val="20"/>
                <w:lang w:val="en-GB"/>
              </w:rPr>
              <w:t>.</w:t>
            </w:r>
            <w:r w:rsidRPr="009F63DF">
              <w:rPr>
                <w:rFonts w:cs="Arial"/>
                <w:color w:val="000000"/>
                <w:sz w:val="20"/>
                <w:szCs w:val="20"/>
                <w:shd w:val="clear" w:color="auto" w:fill="FFFFFF"/>
                <w:lang w:val="en-GB"/>
              </w:rPr>
              <w:t xml:space="preserve"> </w:t>
            </w:r>
            <w:r w:rsidR="00171523" w:rsidRPr="009F63DF">
              <w:rPr>
                <w:rFonts w:cs="Arial"/>
                <w:color w:val="000000"/>
                <w:sz w:val="20"/>
                <w:szCs w:val="20"/>
                <w:shd w:val="clear" w:color="auto" w:fill="FFFFFF"/>
                <w:lang w:val="en-GB"/>
              </w:rPr>
              <w:br/>
            </w:r>
            <w:r w:rsidR="00634F96" w:rsidRPr="009F63DF">
              <w:rPr>
                <w:rFonts w:cs="Arial"/>
                <w:sz w:val="20"/>
                <w:szCs w:val="20"/>
                <w:lang w:val="en-GB"/>
              </w:rPr>
              <w:t xml:space="preserve">Activity participants should apply the guidance in </w:t>
            </w:r>
            <w:r w:rsidR="00317F62" w:rsidRPr="009F63DF">
              <w:rPr>
                <w:rFonts w:cs="Arial"/>
                <w:sz w:val="20"/>
              </w:rPr>
              <w:fldChar w:fldCharType="begin"/>
            </w:r>
            <w:r w:rsidR="00317F62"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00317F62" w:rsidRPr="009F63DF">
              <w:rPr>
                <w:rFonts w:cs="Arial"/>
                <w:sz w:val="20"/>
              </w:rPr>
            </w:r>
            <w:r w:rsidR="00317F62"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00317F62" w:rsidRPr="009F63DF">
              <w:rPr>
                <w:rFonts w:cs="Arial"/>
                <w:sz w:val="20"/>
              </w:rPr>
              <w:fldChar w:fldCharType="end"/>
            </w:r>
          </w:p>
        </w:tc>
      </w:tr>
      <w:tr w:rsidR="001F0FD5" w:rsidRPr="009F63DF" w14:paraId="3FA19BFB" w14:textId="77777777" w:rsidTr="009167D3">
        <w:tc>
          <w:tcPr>
            <w:tcW w:w="1839" w:type="dxa"/>
            <w:shd w:val="clear" w:color="auto" w:fill="E6E6E6"/>
          </w:tcPr>
          <w:p w14:paraId="767BD439" w14:textId="77777777" w:rsidR="001F0FD5" w:rsidRPr="009F63DF" w:rsidRDefault="001F0FD5"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90" w:type="dxa"/>
            <w:gridSpan w:val="4"/>
          </w:tcPr>
          <w:p w14:paraId="078976DC" w14:textId="2136F4BC" w:rsidR="001F0FD5" w:rsidRPr="009F63DF" w:rsidRDefault="00BC60A2" w:rsidP="002319DD">
            <w:pPr>
              <w:pStyle w:val="ParaTickBox"/>
              <w:keepNext/>
              <w:tabs>
                <w:tab w:val="clear" w:pos="510"/>
                <w:tab w:val="left" w:pos="315"/>
              </w:tabs>
              <w:suppressAutoHyphens/>
              <w:ind w:left="0" w:firstLine="0"/>
              <w:jc w:val="both"/>
              <w:rPr>
                <w:szCs w:val="20"/>
                <w:lang w:val="en-GB"/>
              </w:rPr>
            </w:pPr>
            <w:r w:rsidRPr="009F63DF">
              <w:rPr>
                <w:color w:val="000000"/>
                <w:szCs w:val="20"/>
                <w:shd w:val="clear" w:color="auto" w:fill="FFFFFF"/>
                <w:lang w:val="en-GB"/>
              </w:rPr>
              <w:t>If the target reliability is not met, the activity participant shall take the upper bound of the confidence interval as the parameter value, proportionately applied across all of the fuels used</w:t>
            </w:r>
          </w:p>
        </w:tc>
      </w:tr>
      <w:tr w:rsidR="001F0FD5" w:rsidRPr="009F63DF" w14:paraId="00AC4CE2" w14:textId="77777777" w:rsidTr="009167D3">
        <w:tc>
          <w:tcPr>
            <w:tcW w:w="1839" w:type="dxa"/>
            <w:shd w:val="clear" w:color="auto" w:fill="E6E6E6"/>
          </w:tcPr>
          <w:p w14:paraId="35E9BFA8" w14:textId="77777777" w:rsidR="001F0FD5" w:rsidRPr="009F63DF" w:rsidRDefault="001F0FD5"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90" w:type="dxa"/>
            <w:gridSpan w:val="4"/>
          </w:tcPr>
          <w:p w14:paraId="636A50D8" w14:textId="5C187FAA" w:rsidR="001F0FD5" w:rsidRPr="009F63DF" w:rsidRDefault="00634F96" w:rsidP="002319DD">
            <w:pPr>
              <w:suppressAutoHyphens/>
              <w:spacing w:before="60" w:after="60"/>
              <w:ind w:right="57"/>
              <w:rPr>
                <w:rFonts w:cs="Arial"/>
                <w:sz w:val="20"/>
                <w:szCs w:val="20"/>
                <w:lang w:val="en-GB"/>
              </w:rPr>
            </w:pPr>
            <w:r w:rsidRPr="009F63DF">
              <w:rPr>
                <w:rFonts w:cs="Arial"/>
                <w:sz w:val="20"/>
                <w:szCs w:val="20"/>
                <w:lang w:val="en-GB"/>
              </w:rPr>
              <w:t>-</w:t>
            </w:r>
          </w:p>
        </w:tc>
      </w:tr>
    </w:tbl>
    <w:p w14:paraId="363BDA25" w14:textId="6227A913" w:rsidR="00166486" w:rsidRPr="009F63DF" w:rsidRDefault="00166486" w:rsidP="00166486">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17</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39"/>
        <w:gridCol w:w="1970"/>
        <w:gridCol w:w="326"/>
        <w:gridCol w:w="2126"/>
        <w:gridCol w:w="2268"/>
      </w:tblGrid>
      <w:tr w:rsidR="00166486" w:rsidRPr="009F63DF" w14:paraId="5FBC7C75" w14:textId="77777777" w:rsidTr="009167D3">
        <w:tc>
          <w:tcPr>
            <w:tcW w:w="1839" w:type="dxa"/>
            <w:shd w:val="clear" w:color="auto" w:fill="E6E6E6"/>
          </w:tcPr>
          <w:p w14:paraId="312C86CC" w14:textId="77777777" w:rsidR="00166486" w:rsidRPr="009F63DF" w:rsidRDefault="00166486" w:rsidP="00540956">
            <w:pPr>
              <w:keepNext/>
              <w:suppressAutoHyphens/>
              <w:spacing w:before="60" w:after="60"/>
              <w:ind w:right="57"/>
              <w:jc w:val="left"/>
              <w:rPr>
                <w:rFonts w:cs="Arial"/>
                <w:b/>
                <w:sz w:val="20"/>
                <w:szCs w:val="20"/>
                <w:lang w:val="en-GB"/>
              </w:rPr>
            </w:pPr>
            <w:r w:rsidRPr="009F63DF">
              <w:rPr>
                <w:rFonts w:cs="Arial"/>
                <w:b/>
                <w:sz w:val="20"/>
                <w:szCs w:val="20"/>
                <w:lang w:val="en-GB"/>
              </w:rPr>
              <w:t>Data/parameter</w:t>
            </w:r>
          </w:p>
        </w:tc>
        <w:tc>
          <w:tcPr>
            <w:tcW w:w="6690" w:type="dxa"/>
            <w:gridSpan w:val="4"/>
          </w:tcPr>
          <w:p w14:paraId="143C1348" w14:textId="2C04B02E" w:rsidR="00166486" w:rsidRPr="009F63DF" w:rsidRDefault="001549D8" w:rsidP="002319DD">
            <w:pPr>
              <w:keepNext/>
              <w:suppressAutoHyphens/>
              <w:spacing w:before="60" w:after="60"/>
              <w:ind w:right="57"/>
              <w:rPr>
                <w:rFonts w:cs="Arial"/>
                <w:b/>
                <w:i/>
                <w:sz w:val="20"/>
                <w:szCs w:val="20"/>
                <w:lang w:val="en-GB"/>
              </w:rPr>
            </w:pPr>
            <m:oMathPara>
              <m:oMathParaPr>
                <m:jc m:val="left"/>
              </m:oMathParaPr>
              <m:oMath>
                <m:sSub>
                  <m:sSubPr>
                    <m:ctrlPr>
                      <w:rPr>
                        <w:rFonts w:ascii="Cambria Math" w:eastAsia="Cambria Math" w:hAnsi="Cambria Math" w:cs="Arial"/>
                        <w:sz w:val="20"/>
                        <w:szCs w:val="20"/>
                        <w:lang w:val="en-GB"/>
                      </w:rPr>
                    </m:ctrlPr>
                  </m:sSubPr>
                  <m:e>
                    <m:r>
                      <m:rPr>
                        <m:sty m:val="bi"/>
                      </m:rPr>
                      <w:rPr>
                        <w:rFonts w:ascii="Cambria Math" w:eastAsia="Cambria Math" w:hAnsi="Cambria Math" w:cs="Arial"/>
                        <w:sz w:val="20"/>
                        <w:szCs w:val="20"/>
                        <w:lang w:val="en-GB"/>
                      </w:rPr>
                      <m:t>FEC</m:t>
                    </m:r>
                  </m:e>
                  <m:sub>
                    <m:r>
                      <m:rPr>
                        <m:sty m:val="bi"/>
                      </m:rPr>
                      <w:rPr>
                        <w:rFonts w:ascii="Cambria Math" w:eastAsia="Cambria Math" w:hAnsi="Cambria Math" w:cs="Arial"/>
                        <w:sz w:val="20"/>
                        <w:szCs w:val="20"/>
                        <w:lang w:val="en-GB"/>
                      </w:rPr>
                      <m:t>proj,j,y</m:t>
                    </m:r>
                  </m:sub>
                </m:sSub>
              </m:oMath>
            </m:oMathPara>
          </w:p>
        </w:tc>
      </w:tr>
      <w:tr w:rsidR="00166486" w:rsidRPr="009F63DF" w14:paraId="05CB633F" w14:textId="77777777" w:rsidTr="009167D3">
        <w:tc>
          <w:tcPr>
            <w:tcW w:w="1839" w:type="dxa"/>
            <w:shd w:val="clear" w:color="auto" w:fill="E6E6E6"/>
          </w:tcPr>
          <w:p w14:paraId="5CFF8365"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90" w:type="dxa"/>
            <w:gridSpan w:val="4"/>
          </w:tcPr>
          <w:p w14:paraId="5160B34D" w14:textId="0EB8C5D0" w:rsidR="00166486" w:rsidRPr="009F63DF" w:rsidRDefault="00166486" w:rsidP="002319DD">
            <w:pPr>
              <w:suppressAutoHyphens/>
              <w:spacing w:before="60" w:after="60"/>
              <w:ind w:right="57"/>
              <w:rPr>
                <w:rFonts w:cs="Arial"/>
                <w:sz w:val="20"/>
                <w:szCs w:val="20"/>
                <w:lang w:val="en-GB"/>
              </w:rPr>
            </w:pPr>
            <w:r w:rsidRPr="009F63DF">
              <w:rPr>
                <w:rFonts w:eastAsia="Montserrat" w:cs="Arial"/>
                <w:sz w:val="20"/>
                <w:szCs w:val="20"/>
                <w:lang w:val="en-GB"/>
              </w:rPr>
              <w:t xml:space="preserve">Energy consumption of </w:t>
            </w:r>
            <w:r w:rsidR="0002085E" w:rsidRPr="009F63DF">
              <w:rPr>
                <w:rFonts w:eastAsia="Montserrat" w:cs="Arial"/>
                <w:sz w:val="20"/>
                <w:szCs w:val="20"/>
                <w:lang w:val="en-GB"/>
              </w:rPr>
              <w:t xml:space="preserve">secondary </w:t>
            </w:r>
            <w:r w:rsidRPr="009F63DF">
              <w:rPr>
                <w:rFonts w:eastAsia="Montserrat" w:cs="Arial"/>
                <w:sz w:val="20"/>
                <w:szCs w:val="20"/>
                <w:lang w:val="en-GB"/>
              </w:rPr>
              <w:t xml:space="preserve">fuel </w:t>
            </w:r>
            <w:r w:rsidR="0002085E" w:rsidRPr="009F63DF">
              <w:rPr>
                <w:rFonts w:eastAsia="Montserrat" w:cs="Arial"/>
                <w:i/>
                <w:iCs/>
                <w:sz w:val="20"/>
                <w:szCs w:val="20"/>
                <w:lang w:val="en-GB"/>
              </w:rPr>
              <w:t>j</w:t>
            </w:r>
            <w:r w:rsidRPr="009F63DF">
              <w:rPr>
                <w:rFonts w:eastAsia="Montserrat" w:cs="Arial"/>
                <w:sz w:val="20"/>
                <w:szCs w:val="20"/>
                <w:lang w:val="en-GB"/>
              </w:rPr>
              <w:t xml:space="preserve"> as measured by the activity KPTs</w:t>
            </w:r>
            <w:r w:rsidRPr="009F63DF" w:rsidDel="00462FFF">
              <w:rPr>
                <w:rFonts w:eastAsia="Montserrat" w:cs="Arial"/>
                <w:sz w:val="20"/>
                <w:szCs w:val="20"/>
                <w:lang w:val="en-GB"/>
              </w:rPr>
              <w:t xml:space="preserve"> </w:t>
            </w:r>
            <w:r w:rsidRPr="009F63DF">
              <w:rPr>
                <w:rFonts w:eastAsia="Montserrat" w:cs="Arial"/>
                <w:sz w:val="20"/>
                <w:szCs w:val="20"/>
                <w:lang w:val="en-GB"/>
              </w:rPr>
              <w:t xml:space="preserve">in year </w:t>
            </w:r>
            <w:r w:rsidRPr="009F63DF">
              <w:rPr>
                <w:rFonts w:eastAsia="Montserrat" w:cs="Arial"/>
                <w:i/>
                <w:iCs/>
                <w:sz w:val="20"/>
                <w:szCs w:val="20"/>
                <w:lang w:val="en-GB"/>
              </w:rPr>
              <w:t>y</w:t>
            </w:r>
          </w:p>
        </w:tc>
      </w:tr>
      <w:tr w:rsidR="00166486" w:rsidRPr="009F63DF" w14:paraId="5AED2D2F" w14:textId="77777777" w:rsidTr="009167D3">
        <w:tc>
          <w:tcPr>
            <w:tcW w:w="1839" w:type="dxa"/>
            <w:shd w:val="clear" w:color="auto" w:fill="E6E6E6"/>
          </w:tcPr>
          <w:p w14:paraId="66AB2C4B"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90" w:type="dxa"/>
            <w:gridSpan w:val="4"/>
          </w:tcPr>
          <w:p w14:paraId="4FCF333B" w14:textId="168A19A4" w:rsidR="00166486" w:rsidRPr="009F63DF" w:rsidRDefault="00166486" w:rsidP="002319DD">
            <w:pPr>
              <w:suppressAutoHyphens/>
              <w:spacing w:before="60" w:after="60"/>
              <w:ind w:right="57"/>
              <w:rPr>
                <w:rFonts w:cs="Arial"/>
                <w:sz w:val="20"/>
                <w:szCs w:val="20"/>
                <w:lang w:val="en-GB"/>
              </w:rPr>
            </w:pPr>
            <w:r w:rsidRPr="009F63DF">
              <w:rPr>
                <w:rFonts w:eastAsia="Montserrat" w:cs="Arial"/>
                <w:sz w:val="20"/>
                <w:szCs w:val="20"/>
                <w:lang w:val="en-GB"/>
              </w:rPr>
              <w:t>TJ</w:t>
            </w:r>
            <w:r w:rsidR="00C7041C" w:rsidRPr="009F63DF">
              <w:rPr>
                <w:rFonts w:eastAsia="Montserrat" w:cs="Arial"/>
                <w:sz w:val="20"/>
                <w:szCs w:val="20"/>
                <w:lang w:val="en-GB"/>
              </w:rPr>
              <w:t xml:space="preserve"> </w:t>
            </w:r>
            <w:r w:rsidRPr="009F63DF">
              <w:rPr>
                <w:rFonts w:eastAsia="Montserrat" w:cs="Arial"/>
                <w:sz w:val="20"/>
                <w:szCs w:val="20"/>
                <w:lang w:val="en-GB"/>
              </w:rPr>
              <w:t>/</w:t>
            </w:r>
            <w:r w:rsidR="00C7041C" w:rsidRPr="009F63DF">
              <w:rPr>
                <w:rFonts w:eastAsia="Montserrat" w:cs="Arial"/>
                <w:sz w:val="20"/>
                <w:szCs w:val="20"/>
                <w:lang w:val="en-GB"/>
              </w:rPr>
              <w:t xml:space="preserve"> </w:t>
            </w:r>
            <w:r w:rsidRPr="009F63DF">
              <w:rPr>
                <w:rFonts w:eastAsia="Montserrat" w:cs="Arial"/>
                <w:sz w:val="20"/>
                <w:szCs w:val="20"/>
                <w:lang w:val="en-GB"/>
              </w:rPr>
              <w:t>(person</w:t>
            </w:r>
            <w:r w:rsidR="0086250B" w:rsidRPr="009F63DF">
              <w:rPr>
                <w:rFonts w:eastAsia="Montserrat" w:cs="Arial"/>
                <w:sz w:val="20"/>
                <w:szCs w:val="20"/>
                <w:lang w:val="en-GB"/>
              </w:rPr>
              <w:t xml:space="preserve"> x </w:t>
            </w:r>
            <w:r w:rsidRPr="009F63DF">
              <w:rPr>
                <w:rFonts w:eastAsia="Montserrat" w:cs="Arial"/>
                <w:sz w:val="20"/>
                <w:szCs w:val="20"/>
                <w:lang w:val="en-GB"/>
              </w:rPr>
              <w:t>year)</w:t>
            </w:r>
          </w:p>
        </w:tc>
      </w:tr>
      <w:tr w:rsidR="00166486" w:rsidRPr="009F63DF" w14:paraId="3259A6F6" w14:textId="77777777" w:rsidTr="009167D3">
        <w:tc>
          <w:tcPr>
            <w:tcW w:w="1839" w:type="dxa"/>
            <w:shd w:val="clear" w:color="auto" w:fill="E6E6E6"/>
          </w:tcPr>
          <w:p w14:paraId="57EB3A3E"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90" w:type="dxa"/>
            <w:gridSpan w:val="4"/>
            <w:tcBorders>
              <w:bottom w:val="single" w:sz="4" w:space="0" w:color="auto"/>
            </w:tcBorders>
          </w:tcPr>
          <w:p w14:paraId="76263203" w14:textId="330C187B" w:rsidR="00166486" w:rsidRPr="009F63DF" w:rsidRDefault="00166486" w:rsidP="002319DD">
            <w:pPr>
              <w:suppressAutoHyphens/>
              <w:spacing w:before="60" w:after="60"/>
              <w:ind w:right="57"/>
              <w:rPr>
                <w:rFonts w:cs="Arial"/>
                <w:sz w:val="20"/>
                <w:szCs w:val="20"/>
                <w:lang w:val="en-GB"/>
              </w:rPr>
            </w:pPr>
            <w:r w:rsidRPr="009F63DF">
              <w:rPr>
                <w:rFonts w:cs="Arial"/>
                <w:sz w:val="20"/>
                <w:szCs w:val="20"/>
                <w:lang w:val="en-GB"/>
              </w:rPr>
              <w:t>Equation (</w:t>
            </w:r>
            <w:r w:rsidR="00415C6E">
              <w:rPr>
                <w:rFonts w:cs="Arial"/>
                <w:sz w:val="20"/>
                <w:szCs w:val="20"/>
                <w:lang w:val="en-GB"/>
              </w:rPr>
              <w:t>23</w:t>
            </w:r>
            <w:r w:rsidRPr="009F63DF">
              <w:rPr>
                <w:rFonts w:cs="Arial"/>
                <w:sz w:val="20"/>
                <w:szCs w:val="20"/>
                <w:lang w:val="en-GB"/>
              </w:rPr>
              <w:t>)</w:t>
            </w:r>
          </w:p>
        </w:tc>
      </w:tr>
      <w:tr w:rsidR="00166486" w:rsidRPr="009F63DF" w14:paraId="39575E5F" w14:textId="77777777" w:rsidTr="009167D3">
        <w:tc>
          <w:tcPr>
            <w:tcW w:w="1839" w:type="dxa"/>
            <w:shd w:val="clear" w:color="auto" w:fill="E6E6E6"/>
          </w:tcPr>
          <w:p w14:paraId="3466E73C"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296" w:type="dxa"/>
            <w:gridSpan w:val="2"/>
            <w:tcBorders>
              <w:bottom w:val="nil"/>
              <w:right w:val="nil"/>
            </w:tcBorders>
          </w:tcPr>
          <w:p w14:paraId="6AC1C7A7" w14:textId="45B91705" w:rsidR="00166486" w:rsidRPr="009F63DF" w:rsidRDefault="00166486"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0"/>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54FF7" w:rsidRPr="009F63DF">
              <w:rPr>
                <w:rFonts w:cs="Arial"/>
                <w:sz w:val="20"/>
                <w:shd w:val="clear" w:color="auto" w:fill="E6E6E6"/>
                <w:lang w:val="en-GB"/>
              </w:rPr>
              <w:t xml:space="preserve"> </w:t>
            </w:r>
            <w:r w:rsidRPr="009F63DF">
              <w:rPr>
                <w:rFonts w:cs="Arial"/>
                <w:sz w:val="20"/>
                <w:szCs w:val="20"/>
                <w:lang w:val="en-GB"/>
              </w:rPr>
              <w:t xml:space="preserve">Baseline </w:t>
            </w:r>
            <w:r w:rsidR="007B02EA" w:rsidRPr="009F63DF">
              <w:rPr>
                <w:rFonts w:cs="Arial"/>
                <w:sz w:val="20"/>
                <w:szCs w:val="20"/>
                <w:lang w:val="en-GB"/>
              </w:rPr>
              <w:t>Scenario</w:t>
            </w:r>
          </w:p>
        </w:tc>
        <w:tc>
          <w:tcPr>
            <w:tcW w:w="2126" w:type="dxa"/>
            <w:tcBorders>
              <w:left w:val="nil"/>
              <w:bottom w:val="nil"/>
              <w:right w:val="nil"/>
            </w:tcBorders>
          </w:tcPr>
          <w:p w14:paraId="27155039" w14:textId="68B4F6AD" w:rsidR="00166486" w:rsidRPr="009F63DF" w:rsidRDefault="00166486" w:rsidP="002319DD">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Pr="009F63DF">
              <w:rPr>
                <w:rFonts w:cs="Arial"/>
                <w:sz w:val="20"/>
                <w:szCs w:val="20"/>
                <w:lang w:val="en-GB"/>
              </w:rPr>
              <w:t xml:space="preserve"> </w:t>
            </w:r>
            <w:r w:rsidR="002646DE" w:rsidRPr="009F63DF">
              <w:rPr>
                <w:rFonts w:cs="Arial"/>
                <w:sz w:val="20"/>
                <w:szCs w:val="20"/>
                <w:lang w:val="en-GB"/>
              </w:rPr>
              <w:t>Activity</w:t>
            </w:r>
            <w:r w:rsidRPr="009F63DF">
              <w:rPr>
                <w:rFonts w:cs="Arial"/>
                <w:sz w:val="20"/>
                <w:szCs w:val="20"/>
                <w:lang w:val="en-GB"/>
              </w:rPr>
              <w:t xml:space="preserve"> </w:t>
            </w:r>
            <w:r w:rsidR="007B02EA" w:rsidRPr="009F63DF">
              <w:rPr>
                <w:rFonts w:cs="Arial"/>
                <w:sz w:val="20"/>
                <w:szCs w:val="20"/>
                <w:lang w:val="en-GB"/>
              </w:rPr>
              <w:t>Scenario</w:t>
            </w:r>
          </w:p>
        </w:tc>
        <w:tc>
          <w:tcPr>
            <w:tcW w:w="2268" w:type="dxa"/>
            <w:tcBorders>
              <w:left w:val="nil"/>
              <w:bottom w:val="nil"/>
            </w:tcBorders>
          </w:tcPr>
          <w:p w14:paraId="77B36C87" w14:textId="545785DF" w:rsidR="00166486" w:rsidRPr="009F63DF" w:rsidRDefault="00166486" w:rsidP="002319DD">
            <w:pPr>
              <w:suppressAutoHyphens/>
              <w:spacing w:before="60" w:after="60"/>
              <w:ind w:right="57"/>
              <w:jc w:val="left"/>
              <w:rPr>
                <w:rFonts w:cs="Arial"/>
                <w:sz w:val="20"/>
                <w:szCs w:val="20"/>
                <w:lang w:val="en-GB"/>
              </w:rPr>
            </w:pPr>
            <w:r w:rsidRPr="009F63DF">
              <w:rPr>
                <w:sz w:val="20"/>
                <w:shd w:val="clear" w:color="auto" w:fill="E6E6E6"/>
              </w:rPr>
              <w:fldChar w:fldCharType="begin">
                <w:ffData>
                  <w:name w:val="Check2"/>
                  <w:enabled/>
                  <w:calcOnExit w:val="0"/>
                  <w:checkBox>
                    <w:size w:val="20"/>
                    <w:default w:val="0"/>
                  </w:checkBox>
                </w:ffData>
              </w:fldChar>
            </w:r>
            <w:r w:rsidRPr="009F63DF">
              <w:rPr>
                <w:sz w:val="20"/>
                <w:szCs w:val="20"/>
                <w:lang w:val="en-GB"/>
              </w:rPr>
              <w:instrText xml:space="preserve"> FORMCHECKBOX </w:instrText>
            </w:r>
            <w:r w:rsidRPr="009F63DF">
              <w:rPr>
                <w:sz w:val="20"/>
                <w:shd w:val="clear" w:color="auto" w:fill="E6E6E6"/>
              </w:rPr>
            </w:r>
            <w:r w:rsidRPr="009F63DF">
              <w:rPr>
                <w:sz w:val="20"/>
                <w:shd w:val="clear" w:color="auto" w:fill="E6E6E6"/>
              </w:rPr>
              <w:fldChar w:fldCharType="separate"/>
            </w:r>
            <w:r w:rsidRPr="009F63DF">
              <w:rPr>
                <w:sz w:val="20"/>
                <w:shd w:val="clear" w:color="auto" w:fill="E6E6E6"/>
              </w:rPr>
              <w:fldChar w:fldCharType="end"/>
            </w:r>
            <w:r w:rsidR="00F54FF7" w:rsidRPr="009F63DF">
              <w:rPr>
                <w:sz w:val="20"/>
                <w:shd w:val="clear" w:color="auto" w:fill="E6E6E6"/>
                <w:lang w:val="en-GB"/>
              </w:rPr>
              <w:t xml:space="preserve"> </w:t>
            </w:r>
            <w:r w:rsidRPr="009F63DF">
              <w:rPr>
                <w:sz w:val="20"/>
                <w:szCs w:val="20"/>
                <w:shd w:val="clear" w:color="auto" w:fill="E6E6E6"/>
                <w:lang w:val="en-GB"/>
              </w:rPr>
              <w:t>Le</w:t>
            </w:r>
            <w:r w:rsidRPr="009F63DF">
              <w:rPr>
                <w:sz w:val="20"/>
                <w:szCs w:val="20"/>
                <w:lang w:val="en-GB"/>
              </w:rPr>
              <w:t>akage</w:t>
            </w:r>
          </w:p>
        </w:tc>
      </w:tr>
      <w:tr w:rsidR="00A35AE0" w:rsidRPr="009F63DF" w14:paraId="79F21B5A" w14:textId="77777777" w:rsidTr="009167D3">
        <w:tc>
          <w:tcPr>
            <w:tcW w:w="1839" w:type="dxa"/>
            <w:shd w:val="clear" w:color="auto" w:fill="E6E6E6"/>
          </w:tcPr>
          <w:p w14:paraId="5268C53A" w14:textId="60692ED1" w:rsidR="00A35AE0" w:rsidRPr="009F63DF" w:rsidRDefault="000F67F3" w:rsidP="00540956">
            <w:pPr>
              <w:suppressAutoHyphens/>
              <w:spacing w:before="60" w:after="60"/>
              <w:ind w:right="57"/>
              <w:jc w:val="left"/>
              <w:rPr>
                <w:rFonts w:cs="Arial"/>
                <w:sz w:val="20"/>
                <w:lang w:val="en-GB"/>
              </w:rPr>
            </w:pPr>
            <w:r w:rsidRPr="009F63DF">
              <w:rPr>
                <w:rFonts w:cs="Arial"/>
                <w:sz w:val="20"/>
                <w:lang w:val="en-GB"/>
              </w:rPr>
              <w:t>Value applied</w:t>
            </w:r>
          </w:p>
        </w:tc>
        <w:tc>
          <w:tcPr>
            <w:tcW w:w="2296" w:type="dxa"/>
            <w:gridSpan w:val="2"/>
            <w:tcBorders>
              <w:bottom w:val="nil"/>
              <w:right w:val="nil"/>
            </w:tcBorders>
          </w:tcPr>
          <w:p w14:paraId="18632C3F" w14:textId="77777777" w:rsidR="00A35AE0" w:rsidRPr="009F63DF" w:rsidRDefault="00A35AE0" w:rsidP="002319DD">
            <w:pPr>
              <w:suppressAutoHyphens/>
              <w:spacing w:before="60" w:after="60"/>
              <w:ind w:right="57"/>
              <w:jc w:val="left"/>
              <w:rPr>
                <w:rFonts w:cs="Arial"/>
                <w:sz w:val="20"/>
                <w:shd w:val="clear" w:color="auto" w:fill="E6E6E6"/>
                <w:lang w:val="en-GB"/>
              </w:rPr>
            </w:pPr>
          </w:p>
        </w:tc>
        <w:tc>
          <w:tcPr>
            <w:tcW w:w="2126" w:type="dxa"/>
            <w:tcBorders>
              <w:left w:val="nil"/>
              <w:bottom w:val="nil"/>
              <w:right w:val="nil"/>
            </w:tcBorders>
          </w:tcPr>
          <w:p w14:paraId="2FA52F20" w14:textId="77777777" w:rsidR="00A35AE0" w:rsidRPr="009F63DF" w:rsidRDefault="00A35AE0" w:rsidP="002319DD">
            <w:pPr>
              <w:suppressAutoHyphens/>
              <w:spacing w:before="60" w:after="60"/>
              <w:ind w:right="57"/>
              <w:jc w:val="left"/>
              <w:rPr>
                <w:rFonts w:cs="Arial"/>
                <w:sz w:val="20"/>
                <w:shd w:val="clear" w:color="auto" w:fill="E6E6E6"/>
                <w:lang w:val="en-GB"/>
              </w:rPr>
            </w:pPr>
          </w:p>
        </w:tc>
        <w:tc>
          <w:tcPr>
            <w:tcW w:w="2268" w:type="dxa"/>
            <w:tcBorders>
              <w:left w:val="nil"/>
              <w:bottom w:val="nil"/>
            </w:tcBorders>
          </w:tcPr>
          <w:p w14:paraId="6F0DA7FA" w14:textId="77777777" w:rsidR="00A35AE0" w:rsidRPr="009F63DF" w:rsidRDefault="00A35AE0" w:rsidP="002319DD">
            <w:pPr>
              <w:suppressAutoHyphens/>
              <w:spacing w:before="60" w:after="60"/>
              <w:ind w:right="57"/>
              <w:jc w:val="left"/>
              <w:rPr>
                <w:sz w:val="20"/>
                <w:shd w:val="clear" w:color="auto" w:fill="E6E6E6"/>
                <w:lang w:val="en-GB"/>
              </w:rPr>
            </w:pPr>
          </w:p>
        </w:tc>
      </w:tr>
      <w:tr w:rsidR="000F67F3" w:rsidRPr="009F63DF" w14:paraId="7A24F65D" w14:textId="77777777">
        <w:tc>
          <w:tcPr>
            <w:tcW w:w="1839" w:type="dxa"/>
            <w:shd w:val="clear" w:color="auto" w:fill="E6E6E6"/>
          </w:tcPr>
          <w:p w14:paraId="17E67A70" w14:textId="1C361763" w:rsidR="000F67F3" w:rsidRPr="009F63DF" w:rsidRDefault="000F67F3"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90" w:type="dxa"/>
            <w:gridSpan w:val="4"/>
            <w:tcBorders>
              <w:bottom w:val="nil"/>
            </w:tcBorders>
          </w:tcPr>
          <w:p w14:paraId="1407611B" w14:textId="355C983F" w:rsidR="000F67F3" w:rsidRPr="009F63DF" w:rsidRDefault="000F67F3" w:rsidP="002319DD">
            <w:pPr>
              <w:suppressAutoHyphens/>
              <w:spacing w:before="60" w:after="60"/>
              <w:ind w:right="57"/>
              <w:jc w:val="left"/>
              <w:rPr>
                <w:sz w:val="20"/>
                <w:shd w:val="clear" w:color="auto" w:fill="E6E6E6"/>
                <w:lang w:val="en-GB"/>
              </w:rPr>
            </w:pPr>
            <w:r w:rsidRPr="009F63DF">
              <w:rPr>
                <w:rFonts w:eastAsia="Montserrat" w:cs="Arial"/>
                <w:sz w:val="20"/>
                <w:szCs w:val="20"/>
                <w:lang w:val="en-GB"/>
              </w:rPr>
              <w:t>Representative sample using the KPT in compliance with the sampling and surveys tool</w:t>
            </w:r>
            <w:r w:rsidRPr="009F63DF" w:rsidDel="00724171">
              <w:rPr>
                <w:rFonts w:eastAsia="Montserrat" w:cs="Arial"/>
                <w:sz w:val="20"/>
                <w:szCs w:val="20"/>
                <w:lang w:val="en-GB"/>
              </w:rPr>
              <w:t xml:space="preserve"> </w:t>
            </w:r>
            <w:r w:rsidRPr="009F63DF">
              <w:rPr>
                <w:rFonts w:eastAsia="Montserrat" w:cs="Arial"/>
                <w:sz w:val="20"/>
                <w:szCs w:val="20"/>
                <w:lang w:val="en-GB"/>
              </w:rPr>
              <w:t xml:space="preserve">and the requirements in </w:t>
            </w:r>
            <w:r w:rsidRPr="009F63DF">
              <w:rPr>
                <w:rFonts w:eastAsia="Montserrat" w:cs="Arial"/>
                <w:sz w:val="20"/>
              </w:rPr>
              <w:fldChar w:fldCharType="begin"/>
            </w:r>
            <w:r w:rsidRPr="009F63DF">
              <w:rPr>
                <w:rFonts w:eastAsia="Montserrat" w:cs="Arial"/>
                <w:sz w:val="20"/>
                <w:szCs w:val="20"/>
                <w:lang w:val="en-GB"/>
              </w:rPr>
              <w:instrText xml:space="preserve"> REF _Ref227250289 \r \h  \* MERGEFORMAT </w:instrText>
            </w:r>
            <w:r w:rsidRPr="009F63DF">
              <w:rPr>
                <w:rFonts w:eastAsia="Montserrat" w:cs="Arial"/>
                <w:sz w:val="20"/>
              </w:rPr>
            </w:r>
            <w:r w:rsidRPr="009F63DF">
              <w:rPr>
                <w:rFonts w:eastAsia="Montserrat" w:cs="Arial"/>
                <w:sz w:val="20"/>
              </w:rPr>
              <w:fldChar w:fldCharType="separate"/>
            </w:r>
            <w:r w:rsidR="00831DAE">
              <w:rPr>
                <w:rFonts w:eastAsia="Montserrat" w:cs="Arial"/>
                <w:sz w:val="20"/>
                <w:szCs w:val="20"/>
                <w:cs/>
                <w:lang w:val="en-GB"/>
              </w:rPr>
              <w:t>‎</w:t>
            </w:r>
            <w:r w:rsidR="00831DAE">
              <w:rPr>
                <w:rFonts w:eastAsia="Montserrat" w:cs="Arial"/>
                <w:sz w:val="20"/>
                <w:szCs w:val="20"/>
                <w:lang w:val="en-GB"/>
              </w:rPr>
              <w:t>Appendix 4</w:t>
            </w:r>
            <w:r w:rsidRPr="009F63DF">
              <w:rPr>
                <w:rFonts w:eastAsia="Montserrat" w:cs="Arial"/>
                <w:sz w:val="20"/>
              </w:rPr>
              <w:fldChar w:fldCharType="end"/>
            </w:r>
          </w:p>
        </w:tc>
      </w:tr>
      <w:tr w:rsidR="00166486" w:rsidRPr="009F63DF" w14:paraId="2E472E67" w14:textId="77777777" w:rsidTr="009167D3">
        <w:tc>
          <w:tcPr>
            <w:tcW w:w="1839" w:type="dxa"/>
            <w:shd w:val="clear" w:color="auto" w:fill="E6E6E6"/>
          </w:tcPr>
          <w:p w14:paraId="67CC2891"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90" w:type="dxa"/>
            <w:gridSpan w:val="4"/>
            <w:tcBorders>
              <w:bottom w:val="single" w:sz="4" w:space="0" w:color="auto"/>
            </w:tcBorders>
            <w:vAlign w:val="center"/>
          </w:tcPr>
          <w:p w14:paraId="1E3D3C83" w14:textId="77777777" w:rsidR="00166486" w:rsidRPr="009F63DF" w:rsidRDefault="00166486" w:rsidP="002319DD">
            <w:pPr>
              <w:suppressAutoHyphens/>
              <w:spacing w:before="60" w:after="60"/>
              <w:ind w:right="57"/>
              <w:rPr>
                <w:rFonts w:cs="Arial"/>
                <w:sz w:val="20"/>
                <w:szCs w:val="20"/>
                <w:lang w:val="en-GB"/>
              </w:rPr>
            </w:pPr>
            <w:r w:rsidRPr="009F63DF">
              <w:rPr>
                <w:rFonts w:eastAsia="Montserrat" w:cs="Arial"/>
                <w:sz w:val="20"/>
                <w:szCs w:val="20"/>
                <w:lang w:val="en-GB"/>
              </w:rPr>
              <w:t>At least every two years</w:t>
            </w:r>
          </w:p>
        </w:tc>
      </w:tr>
      <w:tr w:rsidR="00166486" w:rsidRPr="009F63DF" w14:paraId="4D31FE9A" w14:textId="77777777" w:rsidTr="009167D3">
        <w:trPr>
          <w:trHeight w:val="107"/>
        </w:trPr>
        <w:tc>
          <w:tcPr>
            <w:tcW w:w="1839" w:type="dxa"/>
            <w:shd w:val="clear" w:color="auto" w:fill="E6E6E6"/>
          </w:tcPr>
          <w:p w14:paraId="652CC420"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90" w:type="dxa"/>
            <w:gridSpan w:val="4"/>
            <w:tcBorders>
              <w:top w:val="single" w:sz="4" w:space="0" w:color="auto"/>
            </w:tcBorders>
          </w:tcPr>
          <w:p w14:paraId="016CFCFC" w14:textId="77777777" w:rsidR="00166486" w:rsidRPr="009F63DF" w:rsidRDefault="00166486" w:rsidP="002319DD">
            <w:pPr>
              <w:suppressAutoHyphens/>
              <w:spacing w:before="60" w:after="60"/>
              <w:ind w:right="57"/>
              <w:rPr>
                <w:rFonts w:cs="Arial"/>
                <w:sz w:val="20"/>
                <w:szCs w:val="20"/>
                <w:lang w:val="en-GB"/>
              </w:rPr>
            </w:pPr>
            <w:r w:rsidRPr="009F63DF">
              <w:rPr>
                <w:rFonts w:cs="Arial"/>
                <w:sz w:val="20"/>
                <w:szCs w:val="20"/>
                <w:lang w:val="en-GB"/>
              </w:rPr>
              <w:t>Activity participant</w:t>
            </w:r>
          </w:p>
        </w:tc>
      </w:tr>
      <w:tr w:rsidR="00166486" w:rsidRPr="009F63DF" w14:paraId="1A23D71A" w14:textId="77777777" w:rsidTr="009167D3">
        <w:trPr>
          <w:trHeight w:val="107"/>
        </w:trPr>
        <w:tc>
          <w:tcPr>
            <w:tcW w:w="1839" w:type="dxa"/>
            <w:vMerge w:val="restart"/>
            <w:shd w:val="clear" w:color="auto" w:fill="E6E6E6"/>
          </w:tcPr>
          <w:p w14:paraId="1201367C"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1970" w:type="dxa"/>
            <w:tcBorders>
              <w:top w:val="single" w:sz="4" w:space="0" w:color="auto"/>
            </w:tcBorders>
          </w:tcPr>
          <w:p w14:paraId="5393FE80" w14:textId="77777777" w:rsidR="00166486" w:rsidRPr="009F63DF" w:rsidRDefault="00166486" w:rsidP="002319DD">
            <w:pPr>
              <w:suppressAutoHyphens/>
              <w:spacing w:before="60" w:after="60"/>
              <w:ind w:right="57"/>
              <w:jc w:val="left"/>
              <w:rPr>
                <w:rFonts w:cs="Arial"/>
                <w:i/>
                <w:sz w:val="20"/>
                <w:szCs w:val="20"/>
                <w:lang w:val="en-GB"/>
              </w:rPr>
            </w:pPr>
            <w:r w:rsidRPr="009F63DF">
              <w:rPr>
                <w:rFonts w:cs="Arial"/>
                <w:i/>
                <w:sz w:val="20"/>
                <w:szCs w:val="20"/>
                <w:lang w:val="en-GB"/>
              </w:rPr>
              <w:t>Type of instrument</w:t>
            </w:r>
          </w:p>
        </w:tc>
        <w:tc>
          <w:tcPr>
            <w:tcW w:w="4720" w:type="dxa"/>
            <w:gridSpan w:val="3"/>
            <w:tcBorders>
              <w:top w:val="single" w:sz="4" w:space="0" w:color="auto"/>
            </w:tcBorders>
          </w:tcPr>
          <w:p w14:paraId="6F974AF7" w14:textId="77777777" w:rsidR="00166486" w:rsidRPr="009F63DF" w:rsidRDefault="00166486" w:rsidP="002319DD">
            <w:pPr>
              <w:pStyle w:val="ParaTickBox"/>
              <w:tabs>
                <w:tab w:val="clear" w:pos="510"/>
                <w:tab w:val="left" w:pos="120"/>
              </w:tabs>
              <w:suppressAutoHyphens/>
              <w:ind w:right="57"/>
              <w:rPr>
                <w:szCs w:val="20"/>
                <w:lang w:val="en-GB"/>
              </w:rPr>
            </w:pPr>
            <w:r w:rsidRPr="009F63DF">
              <w:rPr>
                <w:szCs w:val="20"/>
                <w:lang w:val="en-GB"/>
              </w:rPr>
              <w:t>In compliance with the valid KPT protocol</w:t>
            </w:r>
          </w:p>
        </w:tc>
      </w:tr>
      <w:tr w:rsidR="00166486" w:rsidRPr="009F63DF" w14:paraId="696BECF5" w14:textId="77777777" w:rsidTr="009167D3">
        <w:trPr>
          <w:trHeight w:val="104"/>
        </w:trPr>
        <w:tc>
          <w:tcPr>
            <w:tcW w:w="1839" w:type="dxa"/>
            <w:vMerge/>
          </w:tcPr>
          <w:p w14:paraId="6BFFAD2D" w14:textId="77777777" w:rsidR="00166486" w:rsidRPr="009F63DF" w:rsidRDefault="00166486"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4AA3820C" w14:textId="77777777" w:rsidR="00166486" w:rsidRPr="009F63DF" w:rsidRDefault="00166486" w:rsidP="002319DD">
            <w:pPr>
              <w:suppressAutoHyphens/>
              <w:spacing w:before="60" w:after="60"/>
              <w:ind w:right="57"/>
              <w:jc w:val="left"/>
              <w:rPr>
                <w:rFonts w:cs="Arial"/>
                <w:i/>
                <w:sz w:val="20"/>
                <w:szCs w:val="20"/>
                <w:lang w:val="en-GB"/>
              </w:rPr>
            </w:pPr>
            <w:r w:rsidRPr="009F63DF">
              <w:rPr>
                <w:rFonts w:cs="Arial"/>
                <w:i/>
                <w:sz w:val="20"/>
                <w:szCs w:val="20"/>
                <w:lang w:val="en-GB"/>
              </w:rPr>
              <w:t>Accuracy class</w:t>
            </w:r>
          </w:p>
        </w:tc>
        <w:tc>
          <w:tcPr>
            <w:tcW w:w="4720" w:type="dxa"/>
            <w:gridSpan w:val="3"/>
            <w:tcBorders>
              <w:top w:val="single" w:sz="4" w:space="0" w:color="auto"/>
            </w:tcBorders>
          </w:tcPr>
          <w:p w14:paraId="7DC0D302" w14:textId="77777777" w:rsidR="00166486" w:rsidRPr="009F63DF" w:rsidRDefault="00166486" w:rsidP="002319DD">
            <w:pPr>
              <w:suppressAutoHyphens/>
              <w:spacing w:before="60" w:after="60"/>
              <w:ind w:right="57"/>
              <w:rPr>
                <w:rFonts w:cs="Arial"/>
                <w:sz w:val="20"/>
                <w:szCs w:val="20"/>
                <w:lang w:val="en-GB"/>
              </w:rPr>
            </w:pPr>
            <w:r w:rsidRPr="009F63DF">
              <w:rPr>
                <w:sz w:val="20"/>
                <w:szCs w:val="20"/>
                <w:lang w:val="en-GB"/>
              </w:rPr>
              <w:t>In compliance with the valid KPT protocol</w:t>
            </w:r>
          </w:p>
        </w:tc>
      </w:tr>
      <w:tr w:rsidR="00166486" w:rsidRPr="009F63DF" w14:paraId="7CECF8AF" w14:textId="77777777" w:rsidTr="009167D3">
        <w:trPr>
          <w:trHeight w:val="104"/>
        </w:trPr>
        <w:tc>
          <w:tcPr>
            <w:tcW w:w="1839" w:type="dxa"/>
            <w:vMerge/>
          </w:tcPr>
          <w:p w14:paraId="6C6E6F28" w14:textId="77777777" w:rsidR="00166486" w:rsidRPr="009F63DF" w:rsidRDefault="00166486"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63AB50E8" w14:textId="77777777" w:rsidR="00166486" w:rsidRPr="009F63DF" w:rsidRDefault="00166486" w:rsidP="002319DD">
            <w:pPr>
              <w:suppressAutoHyphens/>
              <w:spacing w:before="60" w:after="60"/>
              <w:ind w:right="57"/>
              <w:jc w:val="left"/>
              <w:rPr>
                <w:rFonts w:cs="Arial"/>
                <w:i/>
                <w:sz w:val="20"/>
                <w:szCs w:val="20"/>
                <w:lang w:val="en-GB"/>
              </w:rPr>
            </w:pPr>
            <w:r w:rsidRPr="009F63DF">
              <w:rPr>
                <w:rFonts w:cs="Arial"/>
                <w:i/>
                <w:sz w:val="20"/>
                <w:szCs w:val="20"/>
                <w:lang w:val="en-GB"/>
              </w:rPr>
              <w:t>Calibration requirements</w:t>
            </w:r>
          </w:p>
        </w:tc>
        <w:tc>
          <w:tcPr>
            <w:tcW w:w="4720" w:type="dxa"/>
            <w:gridSpan w:val="3"/>
            <w:tcBorders>
              <w:top w:val="single" w:sz="4" w:space="0" w:color="auto"/>
            </w:tcBorders>
          </w:tcPr>
          <w:p w14:paraId="3E4BCC64" w14:textId="77777777" w:rsidR="00166486" w:rsidRPr="009F63DF" w:rsidRDefault="00166486" w:rsidP="002319DD">
            <w:pPr>
              <w:suppressAutoHyphens/>
              <w:spacing w:before="60" w:after="60"/>
              <w:ind w:right="57"/>
              <w:rPr>
                <w:rFonts w:cs="Arial"/>
                <w:i/>
                <w:sz w:val="20"/>
                <w:szCs w:val="20"/>
                <w:lang w:val="en-GB"/>
              </w:rPr>
            </w:pPr>
            <w:r w:rsidRPr="009F63DF">
              <w:rPr>
                <w:sz w:val="20"/>
                <w:szCs w:val="20"/>
                <w:lang w:val="en-GB"/>
              </w:rPr>
              <w:t>In compliance with the valid KPT protocol</w:t>
            </w:r>
          </w:p>
        </w:tc>
      </w:tr>
      <w:tr w:rsidR="00166486" w:rsidRPr="009F63DF" w14:paraId="0504EBCD" w14:textId="77777777" w:rsidTr="009167D3">
        <w:trPr>
          <w:trHeight w:val="104"/>
        </w:trPr>
        <w:tc>
          <w:tcPr>
            <w:tcW w:w="1839" w:type="dxa"/>
            <w:vMerge/>
          </w:tcPr>
          <w:p w14:paraId="2A0D420B" w14:textId="77777777" w:rsidR="00166486" w:rsidRPr="009F63DF" w:rsidRDefault="00166486" w:rsidP="00540956">
            <w:pPr>
              <w:suppressAutoHyphens/>
              <w:spacing w:before="60" w:after="60"/>
              <w:ind w:right="57"/>
              <w:jc w:val="left"/>
              <w:rPr>
                <w:rFonts w:cs="Arial"/>
                <w:sz w:val="20"/>
                <w:szCs w:val="20"/>
                <w:lang w:val="en-GB"/>
              </w:rPr>
            </w:pPr>
          </w:p>
        </w:tc>
        <w:tc>
          <w:tcPr>
            <w:tcW w:w="1970" w:type="dxa"/>
            <w:tcBorders>
              <w:top w:val="single" w:sz="4" w:space="0" w:color="auto"/>
            </w:tcBorders>
          </w:tcPr>
          <w:p w14:paraId="59AB6C32" w14:textId="77777777" w:rsidR="00166486" w:rsidRPr="009F63DF" w:rsidRDefault="00166486" w:rsidP="002319DD">
            <w:pPr>
              <w:suppressAutoHyphens/>
              <w:spacing w:before="60" w:after="60"/>
              <w:ind w:right="57"/>
              <w:jc w:val="left"/>
              <w:rPr>
                <w:rFonts w:cs="Arial"/>
                <w:i/>
                <w:sz w:val="20"/>
                <w:szCs w:val="20"/>
                <w:lang w:val="en-GB"/>
              </w:rPr>
            </w:pPr>
            <w:r w:rsidRPr="009F63DF">
              <w:rPr>
                <w:rFonts w:cs="Arial"/>
                <w:i/>
                <w:sz w:val="20"/>
                <w:szCs w:val="20"/>
                <w:lang w:val="en-GB"/>
              </w:rPr>
              <w:t>Location</w:t>
            </w:r>
          </w:p>
        </w:tc>
        <w:tc>
          <w:tcPr>
            <w:tcW w:w="4720" w:type="dxa"/>
            <w:gridSpan w:val="3"/>
            <w:tcBorders>
              <w:top w:val="single" w:sz="4" w:space="0" w:color="auto"/>
            </w:tcBorders>
          </w:tcPr>
          <w:p w14:paraId="2062AFF4" w14:textId="77777777" w:rsidR="00166486" w:rsidRPr="009F63DF" w:rsidRDefault="00166486" w:rsidP="002319DD">
            <w:pPr>
              <w:suppressAutoHyphens/>
              <w:spacing w:before="60" w:after="60"/>
              <w:ind w:right="57"/>
              <w:rPr>
                <w:rFonts w:cs="Arial"/>
                <w:sz w:val="20"/>
                <w:szCs w:val="20"/>
                <w:lang w:val="en-GB"/>
              </w:rPr>
            </w:pPr>
            <w:r w:rsidRPr="009F63DF">
              <w:rPr>
                <w:rFonts w:cs="Arial"/>
                <w:sz w:val="20"/>
                <w:szCs w:val="20"/>
                <w:lang w:val="en-GB"/>
              </w:rPr>
              <w:t>Article 6.4 activity households</w:t>
            </w:r>
          </w:p>
        </w:tc>
      </w:tr>
      <w:tr w:rsidR="00166486" w:rsidRPr="009F63DF" w14:paraId="7B555725" w14:textId="77777777" w:rsidTr="009167D3">
        <w:tc>
          <w:tcPr>
            <w:tcW w:w="1839" w:type="dxa"/>
            <w:shd w:val="clear" w:color="auto" w:fill="E6E6E6"/>
          </w:tcPr>
          <w:p w14:paraId="28D6C7E1"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90" w:type="dxa"/>
            <w:gridSpan w:val="4"/>
          </w:tcPr>
          <w:p w14:paraId="52BEC340" w14:textId="77777777" w:rsidR="00166486" w:rsidRPr="009F63DF" w:rsidRDefault="00166486" w:rsidP="002319DD">
            <w:pPr>
              <w:tabs>
                <w:tab w:val="left" w:pos="567"/>
              </w:tabs>
              <w:suppressAutoHyphens/>
              <w:spacing w:before="20" w:after="20"/>
              <w:ind w:right="159"/>
              <w:rPr>
                <w:rFonts w:cs="Arial"/>
                <w:sz w:val="20"/>
                <w:szCs w:val="20"/>
                <w:lang w:val="en-GB"/>
              </w:rPr>
            </w:pPr>
            <w:r w:rsidRPr="009F63DF">
              <w:rPr>
                <w:rFonts w:cs="Arial"/>
                <w:sz w:val="20"/>
                <w:szCs w:val="20"/>
                <w:lang w:val="en-GB"/>
              </w:rPr>
              <w:t>N/A</w:t>
            </w:r>
          </w:p>
        </w:tc>
      </w:tr>
      <w:tr w:rsidR="00166486" w:rsidRPr="009F63DF" w14:paraId="79E4ED88" w14:textId="77777777" w:rsidTr="009167D3">
        <w:tc>
          <w:tcPr>
            <w:tcW w:w="1839" w:type="dxa"/>
            <w:shd w:val="clear" w:color="auto" w:fill="E6E6E6"/>
          </w:tcPr>
          <w:p w14:paraId="13FD3209"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90" w:type="dxa"/>
            <w:gridSpan w:val="4"/>
          </w:tcPr>
          <w:p w14:paraId="750C74AC" w14:textId="6A1AB766" w:rsidR="00166486" w:rsidRPr="009F63DF" w:rsidRDefault="00166486" w:rsidP="002319DD">
            <w:pPr>
              <w:tabs>
                <w:tab w:val="left" w:pos="567"/>
              </w:tabs>
              <w:suppressAutoHyphens/>
              <w:spacing w:before="20" w:after="20"/>
              <w:ind w:right="159"/>
              <w:rPr>
                <w:rFonts w:cs="Arial"/>
                <w:sz w:val="20"/>
                <w:szCs w:val="20"/>
                <w:lang w:val="en-GB"/>
              </w:rPr>
            </w:pPr>
            <w:r w:rsidRPr="009F63DF">
              <w:rPr>
                <w:rFonts w:cs="Arial"/>
                <w:color w:val="000000"/>
                <w:sz w:val="20"/>
                <w:szCs w:val="20"/>
                <w:shd w:val="clear" w:color="auto" w:fill="FFFFFF"/>
                <w:lang w:val="en-GB"/>
              </w:rPr>
              <w:t>The study shall meet the minimum reliability of 95/10 for the target parameter of average annual energy consumption per person. The 95/10 rule is applied to the sum of energy consumption across each fuel</w:t>
            </w:r>
            <w:r w:rsidRPr="009F63DF">
              <w:rPr>
                <w:rFonts w:eastAsia="Montserrat" w:cs="Arial"/>
                <w:sz w:val="20"/>
                <w:szCs w:val="20"/>
                <w:lang w:val="en-GB"/>
              </w:rPr>
              <w:t>.</w:t>
            </w:r>
            <w:r w:rsidRPr="009F63DF">
              <w:rPr>
                <w:rFonts w:cs="Arial"/>
                <w:color w:val="000000"/>
                <w:sz w:val="20"/>
                <w:szCs w:val="20"/>
                <w:shd w:val="clear" w:color="auto" w:fill="FFFFFF"/>
                <w:lang w:val="en-GB"/>
              </w:rPr>
              <w:t xml:space="preserve"> </w:t>
            </w:r>
            <w:r w:rsidR="00171523" w:rsidRPr="009F63DF">
              <w:rPr>
                <w:rFonts w:cs="Arial"/>
                <w:color w:val="000000"/>
                <w:sz w:val="20"/>
                <w:szCs w:val="20"/>
                <w:shd w:val="clear" w:color="auto" w:fill="FFFFFF"/>
                <w:lang w:val="en-GB"/>
              </w:rPr>
              <w:br/>
            </w:r>
            <w:r w:rsidRPr="009F63DF">
              <w:rPr>
                <w:rFonts w:cs="Arial"/>
                <w:sz w:val="20"/>
                <w:szCs w:val="20"/>
                <w:lang w:val="en-GB"/>
              </w:rPr>
              <w:t xml:space="preserve">Activity participants should apply the guidance in </w:t>
            </w:r>
            <w:r w:rsidRPr="009F63DF">
              <w:rPr>
                <w:rFonts w:cs="Arial"/>
                <w:sz w:val="20"/>
              </w:rPr>
              <w:fldChar w:fldCharType="begin"/>
            </w:r>
            <w:r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Pr="009F63DF">
              <w:rPr>
                <w:rFonts w:cs="Arial"/>
                <w:sz w:val="20"/>
              </w:rPr>
            </w:r>
            <w:r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Pr="009F63DF">
              <w:rPr>
                <w:rFonts w:cs="Arial"/>
                <w:sz w:val="20"/>
              </w:rPr>
              <w:fldChar w:fldCharType="end"/>
            </w:r>
          </w:p>
        </w:tc>
      </w:tr>
      <w:tr w:rsidR="00166486" w:rsidRPr="009F63DF" w14:paraId="29AC8281" w14:textId="77777777" w:rsidTr="009167D3">
        <w:tc>
          <w:tcPr>
            <w:tcW w:w="1839" w:type="dxa"/>
            <w:shd w:val="clear" w:color="auto" w:fill="E6E6E6"/>
          </w:tcPr>
          <w:p w14:paraId="5E796EC5" w14:textId="77777777" w:rsidR="00166486" w:rsidRPr="009F63DF" w:rsidRDefault="00166486"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90" w:type="dxa"/>
            <w:gridSpan w:val="4"/>
          </w:tcPr>
          <w:p w14:paraId="739B58D9" w14:textId="0135219F" w:rsidR="00166486" w:rsidRPr="009F63DF" w:rsidRDefault="00BC60A2" w:rsidP="002319DD">
            <w:pPr>
              <w:pStyle w:val="ParaTickBox"/>
              <w:keepNext/>
              <w:tabs>
                <w:tab w:val="clear" w:pos="510"/>
                <w:tab w:val="left" w:pos="315"/>
              </w:tabs>
              <w:suppressAutoHyphens/>
              <w:ind w:left="0" w:firstLine="0"/>
              <w:jc w:val="both"/>
              <w:rPr>
                <w:szCs w:val="20"/>
                <w:lang w:val="en-GB"/>
              </w:rPr>
            </w:pPr>
            <w:r w:rsidRPr="009F63DF">
              <w:rPr>
                <w:color w:val="000000"/>
                <w:szCs w:val="20"/>
                <w:shd w:val="clear" w:color="auto" w:fill="FFFFFF"/>
                <w:lang w:val="en-GB"/>
              </w:rPr>
              <w:t>If the target reliability is not met, the activity participant shall take the upper bound of the confidence interval as the parameter value, proportionately applied across all of the fuels used</w:t>
            </w:r>
          </w:p>
        </w:tc>
      </w:tr>
      <w:tr w:rsidR="00166486" w:rsidRPr="009F63DF" w14:paraId="53689394" w14:textId="77777777" w:rsidTr="009167D3">
        <w:tc>
          <w:tcPr>
            <w:tcW w:w="1839" w:type="dxa"/>
            <w:shd w:val="clear" w:color="auto" w:fill="E6E6E6"/>
          </w:tcPr>
          <w:p w14:paraId="5A176A80" w14:textId="77777777" w:rsidR="00166486" w:rsidRPr="009F63DF" w:rsidRDefault="00166486"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90" w:type="dxa"/>
            <w:gridSpan w:val="4"/>
          </w:tcPr>
          <w:p w14:paraId="4F5D8FF5" w14:textId="77777777" w:rsidR="00166486" w:rsidRPr="009F63DF" w:rsidRDefault="00166486" w:rsidP="002319DD">
            <w:pPr>
              <w:suppressAutoHyphens/>
              <w:spacing w:before="60" w:after="60"/>
              <w:ind w:right="57"/>
              <w:rPr>
                <w:rFonts w:cs="Arial"/>
                <w:sz w:val="20"/>
                <w:szCs w:val="20"/>
                <w:lang w:val="en-GB"/>
              </w:rPr>
            </w:pPr>
            <w:r w:rsidRPr="009F63DF">
              <w:rPr>
                <w:rFonts w:cs="Arial"/>
                <w:sz w:val="20"/>
                <w:szCs w:val="20"/>
                <w:lang w:val="en-GB"/>
              </w:rPr>
              <w:t>-</w:t>
            </w:r>
          </w:p>
        </w:tc>
      </w:tr>
    </w:tbl>
    <w:p w14:paraId="5F4FD98F" w14:textId="284A01FF"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18</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43"/>
        <w:gridCol w:w="1899"/>
        <w:gridCol w:w="335"/>
        <w:gridCol w:w="2184"/>
        <w:gridCol w:w="2268"/>
      </w:tblGrid>
      <w:tr w:rsidR="00004D10" w:rsidRPr="009F63DF" w14:paraId="4F955778" w14:textId="77777777" w:rsidTr="009167D3">
        <w:tc>
          <w:tcPr>
            <w:tcW w:w="1843" w:type="dxa"/>
            <w:shd w:val="clear" w:color="auto" w:fill="E6E6E6"/>
          </w:tcPr>
          <w:p w14:paraId="4BD3BFA0" w14:textId="77777777" w:rsidR="00004D10" w:rsidRPr="009F63DF" w:rsidRDefault="00004D10" w:rsidP="00540956">
            <w:pPr>
              <w:keepNext/>
              <w:suppressAutoHyphens/>
              <w:spacing w:before="60" w:after="60"/>
              <w:ind w:right="57"/>
              <w:jc w:val="left"/>
              <w:rPr>
                <w:rFonts w:cs="Arial"/>
                <w:b/>
                <w:bCs/>
                <w:sz w:val="20"/>
                <w:szCs w:val="20"/>
                <w:lang w:val="en-GB"/>
              </w:rPr>
            </w:pPr>
            <w:r w:rsidRPr="009F63DF">
              <w:rPr>
                <w:rFonts w:cs="Arial"/>
                <w:b/>
                <w:bCs/>
                <w:sz w:val="20"/>
                <w:szCs w:val="20"/>
                <w:lang w:val="en-GB"/>
              </w:rPr>
              <w:t>Data/parameter</w:t>
            </w:r>
          </w:p>
        </w:tc>
        <w:tc>
          <w:tcPr>
            <w:tcW w:w="6686" w:type="dxa"/>
            <w:gridSpan w:val="4"/>
          </w:tcPr>
          <w:p w14:paraId="156B4727" w14:textId="13812834" w:rsidR="00004D10" w:rsidRPr="009F63DF" w:rsidRDefault="000265F1" w:rsidP="00495C31">
            <w:pPr>
              <w:keepNext/>
              <w:suppressAutoHyphens/>
              <w:spacing w:before="60" w:after="60"/>
              <w:ind w:right="57"/>
              <w:rPr>
                <w:rFonts w:cs="Arial"/>
                <w:b/>
                <w:i/>
                <w:sz w:val="20"/>
                <w:szCs w:val="20"/>
                <w:lang w:val="en-GB"/>
              </w:rPr>
            </w:pPr>
            <m:oMath>
              <m:r>
                <m:rPr>
                  <m:sty m:val="bi"/>
                </m:rPr>
                <w:rPr>
                  <w:rFonts w:ascii="Cambria Math" w:eastAsia="Cambria Math" w:hAnsi="Cambria Math" w:cs="Arial"/>
                  <w:sz w:val="20"/>
                  <w:szCs w:val="20"/>
                  <w:lang w:val="en-GB"/>
                </w:rPr>
                <m:t>PC</m:t>
              </m:r>
            </m:oMath>
            <w:r w:rsidRPr="009F63DF">
              <w:rPr>
                <w:rFonts w:eastAsia="Cambria Math" w:cs="Arial"/>
                <w:i/>
                <w:iCs/>
                <w:sz w:val="20"/>
                <w:szCs w:val="20"/>
                <w:vertAlign w:val="subscript"/>
                <w:lang w:val="en-GB"/>
              </w:rPr>
              <w:t>b,i</w:t>
            </w:r>
          </w:p>
        </w:tc>
      </w:tr>
      <w:tr w:rsidR="00004D10" w:rsidRPr="009F63DF" w14:paraId="5A0F470D" w14:textId="77777777" w:rsidTr="009167D3">
        <w:tc>
          <w:tcPr>
            <w:tcW w:w="1843" w:type="dxa"/>
            <w:shd w:val="clear" w:color="auto" w:fill="E6E6E6"/>
          </w:tcPr>
          <w:p w14:paraId="2F496831"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86" w:type="dxa"/>
            <w:gridSpan w:val="4"/>
          </w:tcPr>
          <w:p w14:paraId="2E2EF239" w14:textId="121C3518" w:rsidR="00004D10" w:rsidRPr="009F63DF" w:rsidRDefault="00064156" w:rsidP="00495C31">
            <w:pPr>
              <w:suppressAutoHyphens/>
              <w:spacing w:before="60" w:after="60"/>
              <w:ind w:right="57"/>
              <w:rPr>
                <w:rFonts w:cs="Arial"/>
                <w:sz w:val="20"/>
                <w:szCs w:val="20"/>
                <w:lang w:val="en-GB"/>
              </w:rPr>
            </w:pPr>
            <w:r w:rsidRPr="009F63DF">
              <w:rPr>
                <w:rFonts w:eastAsia="Montserrat" w:cs="Arial"/>
                <w:sz w:val="20"/>
                <w:szCs w:val="20"/>
                <w:lang w:val="en-GB"/>
              </w:rPr>
              <w:t xml:space="preserve">Proportion of </w:t>
            </w:r>
            <w:r w:rsidR="00763173" w:rsidRPr="009F63DF">
              <w:rPr>
                <w:rFonts w:eastAsia="Montserrat" w:cs="Arial"/>
                <w:sz w:val="20"/>
                <w:szCs w:val="20"/>
                <w:lang w:val="en-GB"/>
              </w:rPr>
              <w:t>pre-activity</w:t>
            </w:r>
            <w:r w:rsidRPr="009F63DF">
              <w:rPr>
                <w:rFonts w:eastAsia="Montserrat" w:cs="Arial"/>
                <w:sz w:val="20"/>
                <w:szCs w:val="20"/>
                <w:lang w:val="en-GB"/>
              </w:rPr>
              <w:t xml:space="preserve"> cooking events conducted using fuel </w:t>
            </w:r>
            <w:r w:rsidRPr="009F63DF">
              <w:rPr>
                <w:rFonts w:eastAsia="Montserrat" w:cs="Arial"/>
                <w:i/>
                <w:sz w:val="20"/>
                <w:szCs w:val="20"/>
                <w:lang w:val="en-GB"/>
              </w:rPr>
              <w:t>i</w:t>
            </w:r>
          </w:p>
        </w:tc>
      </w:tr>
      <w:tr w:rsidR="00004D10" w:rsidRPr="009F63DF" w14:paraId="116BD010" w14:textId="77777777" w:rsidTr="009167D3">
        <w:tc>
          <w:tcPr>
            <w:tcW w:w="1843" w:type="dxa"/>
            <w:shd w:val="clear" w:color="auto" w:fill="E6E6E6"/>
          </w:tcPr>
          <w:p w14:paraId="1725AF77"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86" w:type="dxa"/>
            <w:gridSpan w:val="4"/>
          </w:tcPr>
          <w:p w14:paraId="1BC937BB" w14:textId="55C981D0" w:rsidR="00004D10" w:rsidRPr="009F63DF" w:rsidRDefault="00064156" w:rsidP="00495C31">
            <w:pPr>
              <w:suppressAutoHyphens/>
              <w:spacing w:before="60" w:after="60"/>
              <w:ind w:right="57"/>
              <w:rPr>
                <w:rFonts w:cs="Arial"/>
                <w:sz w:val="20"/>
                <w:szCs w:val="20"/>
                <w:lang w:val="en-GB"/>
              </w:rPr>
            </w:pPr>
            <w:r w:rsidRPr="009F63DF">
              <w:rPr>
                <w:rFonts w:eastAsia="Montserrat" w:cs="Arial"/>
                <w:sz w:val="20"/>
                <w:szCs w:val="20"/>
                <w:lang w:val="en-GB"/>
              </w:rPr>
              <w:t>Percentage</w:t>
            </w:r>
          </w:p>
        </w:tc>
      </w:tr>
      <w:tr w:rsidR="00004D10" w:rsidRPr="009F63DF" w14:paraId="31C4649F" w14:textId="77777777" w:rsidTr="009167D3">
        <w:tc>
          <w:tcPr>
            <w:tcW w:w="1843" w:type="dxa"/>
            <w:shd w:val="clear" w:color="auto" w:fill="E6E6E6"/>
          </w:tcPr>
          <w:p w14:paraId="7019A218"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86" w:type="dxa"/>
            <w:gridSpan w:val="4"/>
            <w:tcBorders>
              <w:bottom w:val="single" w:sz="4" w:space="0" w:color="auto"/>
            </w:tcBorders>
          </w:tcPr>
          <w:p w14:paraId="226C59F9" w14:textId="1A433E36" w:rsidR="00004D10" w:rsidRPr="009F63DF" w:rsidRDefault="00395030" w:rsidP="00495C31">
            <w:pPr>
              <w:suppressAutoHyphens/>
              <w:spacing w:before="60" w:after="60"/>
              <w:ind w:right="57"/>
              <w:rPr>
                <w:rFonts w:cs="Arial"/>
                <w:sz w:val="20"/>
                <w:szCs w:val="20"/>
                <w:lang w:val="en-GB"/>
              </w:rPr>
            </w:pPr>
            <w:r w:rsidRPr="009F63DF">
              <w:rPr>
                <w:rFonts w:cs="Arial"/>
                <w:sz w:val="20"/>
                <w:szCs w:val="20"/>
                <w:lang w:val="en-GB"/>
              </w:rPr>
              <w:t>N/A</w:t>
            </w:r>
          </w:p>
        </w:tc>
      </w:tr>
      <w:tr w:rsidR="00004D10" w:rsidRPr="009F63DF" w14:paraId="613493AB" w14:textId="77777777" w:rsidTr="005A4B4B">
        <w:tc>
          <w:tcPr>
            <w:tcW w:w="1843" w:type="dxa"/>
            <w:shd w:val="clear" w:color="auto" w:fill="E6E6E6"/>
          </w:tcPr>
          <w:p w14:paraId="56550652"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234" w:type="dxa"/>
            <w:gridSpan w:val="2"/>
            <w:tcBorders>
              <w:bottom w:val="single" w:sz="4" w:space="0" w:color="auto"/>
              <w:right w:val="nil"/>
            </w:tcBorders>
          </w:tcPr>
          <w:p w14:paraId="16E05A79" w14:textId="44197685" w:rsidR="00004D10" w:rsidRPr="009F63DF" w:rsidRDefault="00004D10"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0"/>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54FF7" w:rsidRPr="009F63DF">
              <w:rPr>
                <w:rFonts w:cs="Arial"/>
                <w:sz w:val="20"/>
                <w:shd w:val="clear" w:color="auto" w:fill="E6E6E6"/>
                <w:lang w:val="en-GB"/>
              </w:rPr>
              <w:t xml:space="preserve"> </w:t>
            </w:r>
            <w:r w:rsidRPr="009F63DF">
              <w:rPr>
                <w:rFonts w:cs="Arial"/>
                <w:sz w:val="20"/>
                <w:szCs w:val="20"/>
                <w:lang w:val="en-GB"/>
              </w:rPr>
              <w:t xml:space="preserve">Baseline </w:t>
            </w:r>
            <w:r w:rsidR="000F67F3" w:rsidRPr="009F63DF">
              <w:rPr>
                <w:rFonts w:cs="Arial"/>
                <w:sz w:val="20"/>
                <w:szCs w:val="20"/>
                <w:lang w:val="en-GB"/>
              </w:rPr>
              <w:t>Scenario</w:t>
            </w:r>
          </w:p>
        </w:tc>
        <w:tc>
          <w:tcPr>
            <w:tcW w:w="2184" w:type="dxa"/>
            <w:tcBorders>
              <w:left w:val="nil"/>
              <w:bottom w:val="single" w:sz="4" w:space="0" w:color="auto"/>
              <w:right w:val="nil"/>
            </w:tcBorders>
          </w:tcPr>
          <w:p w14:paraId="37FB8FE7" w14:textId="1FE4AA5B" w:rsidR="00004D10" w:rsidRPr="009F63DF" w:rsidRDefault="00004D10"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Check2"/>
                  <w:enabled/>
                  <w:calcOnExit w:val="0"/>
                  <w:checkBox>
                    <w:size w:val="20"/>
                    <w:default w:val="0"/>
                  </w:checkBox>
                </w:ffData>
              </w:fldChar>
            </w:r>
            <w:r w:rsidRPr="009F63DF">
              <w:rPr>
                <w:rFonts w:cs="Arial"/>
                <w:sz w:val="20"/>
                <w:szCs w:val="20"/>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Pr="009F63DF">
              <w:rPr>
                <w:rFonts w:cs="Arial"/>
                <w:sz w:val="20"/>
                <w:szCs w:val="20"/>
                <w:lang w:val="en-GB"/>
              </w:rPr>
              <w:t xml:space="preserve"> </w:t>
            </w:r>
            <w:r w:rsidR="002646DE" w:rsidRPr="009F63DF">
              <w:rPr>
                <w:rFonts w:cs="Arial"/>
                <w:sz w:val="20"/>
                <w:szCs w:val="20"/>
                <w:lang w:val="en-GB"/>
              </w:rPr>
              <w:t>Activity</w:t>
            </w:r>
            <w:r w:rsidRPr="009F63DF">
              <w:rPr>
                <w:rFonts w:cs="Arial"/>
                <w:sz w:val="20"/>
                <w:szCs w:val="20"/>
                <w:lang w:val="en-GB"/>
              </w:rPr>
              <w:t xml:space="preserve"> </w:t>
            </w:r>
            <w:r w:rsidR="000F67F3" w:rsidRPr="009F63DF">
              <w:rPr>
                <w:rFonts w:cs="Arial"/>
                <w:sz w:val="20"/>
                <w:szCs w:val="20"/>
                <w:lang w:val="en-GB"/>
              </w:rPr>
              <w:t>Scenario</w:t>
            </w:r>
          </w:p>
        </w:tc>
        <w:tc>
          <w:tcPr>
            <w:tcW w:w="2268" w:type="dxa"/>
            <w:tcBorders>
              <w:left w:val="nil"/>
              <w:bottom w:val="single" w:sz="4" w:space="0" w:color="auto"/>
            </w:tcBorders>
          </w:tcPr>
          <w:p w14:paraId="48CC5062" w14:textId="6E5781EA" w:rsidR="00004D10" w:rsidRPr="009F63DF" w:rsidRDefault="00004D10" w:rsidP="00495C31">
            <w:pPr>
              <w:suppressAutoHyphens/>
              <w:spacing w:before="60" w:after="60"/>
              <w:ind w:right="57"/>
              <w:jc w:val="left"/>
              <w:rPr>
                <w:rFonts w:cs="Arial"/>
                <w:sz w:val="20"/>
                <w:szCs w:val="20"/>
                <w:lang w:val="en-GB"/>
              </w:rPr>
            </w:pPr>
            <w:r w:rsidRPr="009F63DF">
              <w:rPr>
                <w:sz w:val="20"/>
                <w:shd w:val="clear" w:color="auto" w:fill="E6E6E6"/>
              </w:rPr>
              <w:fldChar w:fldCharType="begin">
                <w:ffData>
                  <w:name w:val="Check2"/>
                  <w:enabled/>
                  <w:calcOnExit w:val="0"/>
                  <w:checkBox>
                    <w:size w:val="20"/>
                    <w:default w:val="0"/>
                  </w:checkBox>
                </w:ffData>
              </w:fldChar>
            </w:r>
            <w:r w:rsidRPr="009F63DF">
              <w:rPr>
                <w:sz w:val="20"/>
                <w:szCs w:val="20"/>
                <w:lang w:val="en-GB"/>
              </w:rPr>
              <w:instrText xml:space="preserve"> FORMCHECKBOX </w:instrText>
            </w:r>
            <w:r w:rsidRPr="009F63DF">
              <w:rPr>
                <w:sz w:val="20"/>
                <w:shd w:val="clear" w:color="auto" w:fill="E6E6E6"/>
              </w:rPr>
            </w:r>
            <w:r w:rsidRPr="009F63DF">
              <w:rPr>
                <w:sz w:val="20"/>
                <w:shd w:val="clear" w:color="auto" w:fill="E6E6E6"/>
              </w:rPr>
              <w:fldChar w:fldCharType="separate"/>
            </w:r>
            <w:r w:rsidRPr="009F63DF">
              <w:rPr>
                <w:sz w:val="20"/>
                <w:shd w:val="clear" w:color="auto" w:fill="E6E6E6"/>
              </w:rPr>
              <w:fldChar w:fldCharType="end"/>
            </w:r>
            <w:r w:rsidR="00F54FF7" w:rsidRPr="009F63DF">
              <w:rPr>
                <w:sz w:val="20"/>
                <w:shd w:val="clear" w:color="auto" w:fill="E6E6E6"/>
                <w:lang w:val="en-GB"/>
              </w:rPr>
              <w:t xml:space="preserve"> </w:t>
            </w:r>
            <w:r w:rsidRPr="009F63DF">
              <w:rPr>
                <w:sz w:val="20"/>
                <w:szCs w:val="20"/>
                <w:shd w:val="clear" w:color="auto" w:fill="E6E6E6"/>
                <w:lang w:val="en-GB"/>
              </w:rPr>
              <w:t>Le</w:t>
            </w:r>
            <w:r w:rsidRPr="009F63DF">
              <w:rPr>
                <w:sz w:val="20"/>
                <w:szCs w:val="20"/>
                <w:lang w:val="en-GB"/>
              </w:rPr>
              <w:t>akage</w:t>
            </w:r>
          </w:p>
        </w:tc>
      </w:tr>
      <w:tr w:rsidR="000F67F3" w:rsidRPr="009F63DF" w14:paraId="2C9C684B" w14:textId="77777777" w:rsidTr="005A4B4B">
        <w:tc>
          <w:tcPr>
            <w:tcW w:w="1843" w:type="dxa"/>
            <w:shd w:val="clear" w:color="auto" w:fill="E6E6E6"/>
          </w:tcPr>
          <w:p w14:paraId="083676AC" w14:textId="4590657A" w:rsidR="000F67F3" w:rsidRPr="009F63DF" w:rsidRDefault="000F67F3" w:rsidP="00540956">
            <w:pPr>
              <w:suppressAutoHyphens/>
              <w:spacing w:before="60" w:after="60"/>
              <w:ind w:right="57"/>
              <w:jc w:val="left"/>
              <w:rPr>
                <w:rFonts w:cs="Arial"/>
                <w:sz w:val="20"/>
                <w:lang w:val="en-GB"/>
              </w:rPr>
            </w:pPr>
            <w:r w:rsidRPr="009F63DF">
              <w:rPr>
                <w:rFonts w:cs="Arial"/>
                <w:sz w:val="20"/>
                <w:lang w:val="en-GB"/>
              </w:rPr>
              <w:t>Value applied</w:t>
            </w:r>
          </w:p>
        </w:tc>
        <w:tc>
          <w:tcPr>
            <w:tcW w:w="2234" w:type="dxa"/>
            <w:gridSpan w:val="2"/>
            <w:tcBorders>
              <w:bottom w:val="single" w:sz="4" w:space="0" w:color="auto"/>
              <w:right w:val="nil"/>
            </w:tcBorders>
          </w:tcPr>
          <w:p w14:paraId="2C735FAE" w14:textId="77777777" w:rsidR="000F67F3" w:rsidRPr="009F63DF" w:rsidRDefault="000F67F3" w:rsidP="00495C31">
            <w:pPr>
              <w:suppressAutoHyphens/>
              <w:spacing w:before="60" w:after="60"/>
              <w:ind w:right="57"/>
              <w:jc w:val="left"/>
              <w:rPr>
                <w:rFonts w:cs="Arial"/>
                <w:sz w:val="20"/>
                <w:shd w:val="clear" w:color="auto" w:fill="E6E6E6"/>
                <w:lang w:val="en-GB"/>
              </w:rPr>
            </w:pPr>
          </w:p>
        </w:tc>
        <w:tc>
          <w:tcPr>
            <w:tcW w:w="2184" w:type="dxa"/>
            <w:tcBorders>
              <w:left w:val="nil"/>
              <w:bottom w:val="single" w:sz="4" w:space="0" w:color="auto"/>
              <w:right w:val="nil"/>
            </w:tcBorders>
          </w:tcPr>
          <w:p w14:paraId="612A5CB7" w14:textId="77777777" w:rsidR="000F67F3" w:rsidRPr="009F63DF" w:rsidRDefault="000F67F3" w:rsidP="00495C31">
            <w:pPr>
              <w:suppressAutoHyphens/>
              <w:spacing w:before="60" w:after="60"/>
              <w:ind w:right="57"/>
              <w:jc w:val="left"/>
              <w:rPr>
                <w:rFonts w:cs="Arial"/>
                <w:sz w:val="20"/>
                <w:shd w:val="clear" w:color="auto" w:fill="E6E6E6"/>
                <w:lang w:val="en-GB"/>
              </w:rPr>
            </w:pPr>
          </w:p>
        </w:tc>
        <w:tc>
          <w:tcPr>
            <w:tcW w:w="2268" w:type="dxa"/>
            <w:tcBorders>
              <w:left w:val="nil"/>
              <w:bottom w:val="single" w:sz="4" w:space="0" w:color="auto"/>
            </w:tcBorders>
          </w:tcPr>
          <w:p w14:paraId="3133D5C3" w14:textId="77777777" w:rsidR="000F67F3" w:rsidRPr="009F63DF" w:rsidRDefault="000F67F3" w:rsidP="00495C31">
            <w:pPr>
              <w:suppressAutoHyphens/>
              <w:spacing w:before="60" w:after="60"/>
              <w:ind w:right="57"/>
              <w:jc w:val="left"/>
              <w:rPr>
                <w:sz w:val="20"/>
                <w:shd w:val="clear" w:color="auto" w:fill="E6E6E6"/>
                <w:lang w:val="en-GB"/>
              </w:rPr>
            </w:pPr>
          </w:p>
        </w:tc>
      </w:tr>
      <w:tr w:rsidR="000F67F3" w:rsidRPr="009F63DF" w14:paraId="5199441D" w14:textId="77777777" w:rsidTr="005A4B4B">
        <w:tc>
          <w:tcPr>
            <w:tcW w:w="1843" w:type="dxa"/>
            <w:shd w:val="clear" w:color="auto" w:fill="E6E6E6"/>
          </w:tcPr>
          <w:p w14:paraId="6F68BE1D" w14:textId="4FEBF927" w:rsidR="000F67F3" w:rsidRPr="009F63DF" w:rsidRDefault="000F67F3"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86" w:type="dxa"/>
            <w:gridSpan w:val="4"/>
            <w:tcBorders>
              <w:top w:val="single" w:sz="4" w:space="0" w:color="auto"/>
              <w:bottom w:val="nil"/>
            </w:tcBorders>
          </w:tcPr>
          <w:p w14:paraId="5C9B6C5E" w14:textId="42CDBCBD" w:rsidR="000F67F3" w:rsidRPr="009F63DF" w:rsidRDefault="000F67F3" w:rsidP="00495C31">
            <w:pPr>
              <w:suppressAutoHyphens/>
              <w:spacing w:before="60" w:after="60"/>
              <w:ind w:right="57"/>
              <w:jc w:val="left"/>
              <w:rPr>
                <w:sz w:val="20"/>
                <w:shd w:val="clear" w:color="auto" w:fill="E6E6E6"/>
                <w:lang w:val="en-GB"/>
              </w:rPr>
            </w:pPr>
            <w:r w:rsidRPr="009F63DF">
              <w:rPr>
                <w:rFonts w:eastAsia="Montserrat" w:cs="Arial"/>
                <w:sz w:val="20"/>
                <w:szCs w:val="20"/>
                <w:lang w:val="en-GB"/>
              </w:rPr>
              <w:t>Pre-activity surveys.</w:t>
            </w:r>
            <w:r w:rsidRPr="009F63DF">
              <w:rPr>
                <w:rFonts w:eastAsia="Montserrat" w:cs="Arial"/>
                <w:sz w:val="20"/>
                <w:szCs w:val="20"/>
                <w:lang w:val="en-GB"/>
              </w:rPr>
              <w:br/>
              <w:t>The survey shall identify all the cooking devices present in the household. For each cooking device present in the household, respondents shall be asked “How many times did you cook using (</w:t>
            </w:r>
            <w:r w:rsidRPr="009F63DF">
              <w:rPr>
                <w:rFonts w:eastAsia="Montserrat" w:cs="Arial"/>
                <w:i/>
                <w:iCs/>
                <w:sz w:val="20"/>
                <w:szCs w:val="20"/>
                <w:lang w:val="en-GB"/>
              </w:rPr>
              <w:t>specify cooking device</w:t>
            </w:r>
            <w:r w:rsidRPr="009F63DF">
              <w:rPr>
                <w:rFonts w:eastAsia="Montserrat" w:cs="Arial"/>
                <w:sz w:val="20"/>
                <w:szCs w:val="20"/>
                <w:lang w:val="en-GB"/>
              </w:rPr>
              <w:t>) yesterday?” to determine the number of usage events per day per device.</w:t>
            </w:r>
            <w:r w:rsidRPr="009F63DF">
              <w:rPr>
                <w:rFonts w:eastAsia="Montserrat" w:cs="Arial"/>
                <w:sz w:val="20"/>
                <w:szCs w:val="20"/>
                <w:lang w:val="en-GB"/>
              </w:rPr>
              <w:br/>
              <w:t xml:space="preserve">Estimate the proportion of cooking events conducted using fuel </w:t>
            </w:r>
            <w:r w:rsidRPr="009F63DF">
              <w:rPr>
                <w:rFonts w:eastAsia="Montserrat" w:cs="Arial"/>
                <w:i/>
                <w:iCs/>
                <w:sz w:val="20"/>
                <w:szCs w:val="20"/>
                <w:lang w:val="en-GB"/>
              </w:rPr>
              <w:t>i</w:t>
            </w:r>
            <w:r w:rsidRPr="009F63DF">
              <w:rPr>
                <w:rFonts w:eastAsia="Montserrat" w:cs="Arial"/>
                <w:sz w:val="20"/>
                <w:szCs w:val="20"/>
                <w:lang w:val="en-GB"/>
              </w:rPr>
              <w:t xml:space="preserve">, and use the result in conjunction with parameter </w:t>
            </w:r>
            <m:oMath>
              <m:r>
                <w:rPr>
                  <w:rFonts w:ascii="Cambria Math" w:eastAsia="Cambria Math" w:hAnsi="Cambria Math" w:cs="Arial"/>
                  <w:sz w:val="20"/>
                  <w:szCs w:val="20"/>
                  <w:lang w:val="en-GB"/>
                </w:rPr>
                <m:t>PC</m:t>
              </m:r>
            </m:oMath>
            <w:r w:rsidRPr="009F63DF">
              <w:rPr>
                <w:rFonts w:eastAsia="Cambria Math" w:cs="Arial"/>
                <w:i/>
                <w:iCs/>
                <w:sz w:val="20"/>
                <w:szCs w:val="20"/>
                <w:vertAlign w:val="subscript"/>
                <w:lang w:val="en-GB"/>
              </w:rPr>
              <w:t xml:space="preserve">p,j </w:t>
            </w:r>
            <w:r w:rsidRPr="009F63DF">
              <w:rPr>
                <w:rFonts w:eastAsia="Montserrat" w:cs="Arial"/>
                <w:sz w:val="20"/>
                <w:szCs w:val="20"/>
                <w:lang w:val="en-GB"/>
              </w:rPr>
              <w:t>to identify any material difference between the baseline scenario and actual Article 6.4 activity households. This parameter does not appear in emissions reduction quantification equations</w:t>
            </w:r>
          </w:p>
        </w:tc>
      </w:tr>
      <w:tr w:rsidR="00004D10" w:rsidRPr="009F63DF" w14:paraId="1A436332" w14:textId="77777777" w:rsidTr="009167D3">
        <w:tc>
          <w:tcPr>
            <w:tcW w:w="1843" w:type="dxa"/>
            <w:shd w:val="clear" w:color="auto" w:fill="E6E6E6"/>
          </w:tcPr>
          <w:p w14:paraId="3911FFAE"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86" w:type="dxa"/>
            <w:gridSpan w:val="4"/>
            <w:tcBorders>
              <w:bottom w:val="single" w:sz="4" w:space="0" w:color="auto"/>
            </w:tcBorders>
            <w:vAlign w:val="center"/>
          </w:tcPr>
          <w:p w14:paraId="028A9A05" w14:textId="7B66C742" w:rsidR="00004D10" w:rsidRPr="009F63DF" w:rsidRDefault="00001F3E" w:rsidP="00495C31">
            <w:pPr>
              <w:suppressAutoHyphens/>
              <w:spacing w:before="60" w:after="60"/>
              <w:ind w:right="57"/>
              <w:rPr>
                <w:rFonts w:cs="Arial"/>
                <w:sz w:val="20"/>
                <w:szCs w:val="20"/>
                <w:lang w:val="en-GB"/>
              </w:rPr>
            </w:pPr>
            <w:r w:rsidRPr="009F63DF">
              <w:rPr>
                <w:rFonts w:eastAsia="Montserrat" w:cs="Arial"/>
                <w:sz w:val="20"/>
                <w:szCs w:val="20"/>
                <w:lang w:val="en-GB"/>
              </w:rPr>
              <w:t>Once per crediting period</w:t>
            </w:r>
          </w:p>
        </w:tc>
      </w:tr>
      <w:tr w:rsidR="00004D10" w:rsidRPr="009F63DF" w14:paraId="5F491E86" w14:textId="77777777" w:rsidTr="009167D3">
        <w:trPr>
          <w:trHeight w:val="107"/>
        </w:trPr>
        <w:tc>
          <w:tcPr>
            <w:tcW w:w="1843" w:type="dxa"/>
            <w:shd w:val="clear" w:color="auto" w:fill="E6E6E6"/>
          </w:tcPr>
          <w:p w14:paraId="0AD49C09"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86" w:type="dxa"/>
            <w:gridSpan w:val="4"/>
            <w:tcBorders>
              <w:top w:val="single" w:sz="4" w:space="0" w:color="auto"/>
            </w:tcBorders>
          </w:tcPr>
          <w:p w14:paraId="1972AC4F" w14:textId="5E2CDC46" w:rsidR="00004D10" w:rsidRPr="009F63DF" w:rsidRDefault="005B0F90" w:rsidP="00495C31">
            <w:pPr>
              <w:suppressAutoHyphens/>
              <w:spacing w:before="60" w:after="60"/>
              <w:ind w:right="57"/>
              <w:rPr>
                <w:rFonts w:cs="Arial"/>
                <w:sz w:val="20"/>
                <w:szCs w:val="20"/>
                <w:lang w:val="en-GB"/>
              </w:rPr>
            </w:pPr>
            <w:r w:rsidRPr="009F63DF">
              <w:rPr>
                <w:rFonts w:cs="Arial"/>
                <w:sz w:val="20"/>
                <w:szCs w:val="20"/>
                <w:lang w:val="en-GB"/>
              </w:rPr>
              <w:t>Activity participant</w:t>
            </w:r>
          </w:p>
        </w:tc>
      </w:tr>
      <w:tr w:rsidR="00004D10" w:rsidRPr="009F63DF" w14:paraId="4ABFDF5C" w14:textId="77777777" w:rsidTr="009167D3">
        <w:trPr>
          <w:trHeight w:val="107"/>
        </w:trPr>
        <w:tc>
          <w:tcPr>
            <w:tcW w:w="1843" w:type="dxa"/>
            <w:vMerge w:val="restart"/>
            <w:shd w:val="clear" w:color="auto" w:fill="E6E6E6"/>
          </w:tcPr>
          <w:p w14:paraId="1324F3FE"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1899" w:type="dxa"/>
            <w:tcBorders>
              <w:top w:val="single" w:sz="4" w:space="0" w:color="auto"/>
            </w:tcBorders>
          </w:tcPr>
          <w:p w14:paraId="0BB10DAD" w14:textId="77777777" w:rsidR="00004D10" w:rsidRPr="009F63DF" w:rsidRDefault="00004D10" w:rsidP="00495C31">
            <w:pPr>
              <w:suppressAutoHyphens/>
              <w:spacing w:before="60" w:after="60"/>
              <w:ind w:right="57"/>
              <w:jc w:val="left"/>
              <w:rPr>
                <w:rFonts w:cs="Arial"/>
                <w:i/>
                <w:iCs/>
                <w:sz w:val="20"/>
                <w:szCs w:val="20"/>
                <w:lang w:val="en-GB"/>
              </w:rPr>
            </w:pPr>
            <w:r w:rsidRPr="009F63DF">
              <w:rPr>
                <w:rFonts w:cs="Arial"/>
                <w:i/>
                <w:iCs/>
                <w:sz w:val="20"/>
                <w:szCs w:val="20"/>
                <w:lang w:val="en-GB"/>
              </w:rPr>
              <w:t>Type of instrument</w:t>
            </w:r>
          </w:p>
        </w:tc>
        <w:tc>
          <w:tcPr>
            <w:tcW w:w="4787" w:type="dxa"/>
            <w:gridSpan w:val="3"/>
            <w:tcBorders>
              <w:top w:val="single" w:sz="4" w:space="0" w:color="auto"/>
            </w:tcBorders>
          </w:tcPr>
          <w:p w14:paraId="22665461" w14:textId="023DD8EE" w:rsidR="00004D10" w:rsidRPr="009F63DF" w:rsidRDefault="005B0F90" w:rsidP="00495C31">
            <w:pPr>
              <w:pStyle w:val="ParaTickBox"/>
              <w:tabs>
                <w:tab w:val="clear" w:pos="510"/>
                <w:tab w:val="left" w:pos="120"/>
              </w:tabs>
              <w:suppressAutoHyphens/>
              <w:ind w:right="57"/>
              <w:rPr>
                <w:szCs w:val="20"/>
                <w:lang w:val="en-GB"/>
              </w:rPr>
            </w:pPr>
            <w:r w:rsidRPr="009F63DF">
              <w:rPr>
                <w:szCs w:val="20"/>
                <w:lang w:val="en-GB"/>
              </w:rPr>
              <w:t>N/A</w:t>
            </w:r>
          </w:p>
        </w:tc>
      </w:tr>
      <w:tr w:rsidR="00004D10" w:rsidRPr="009F63DF" w14:paraId="7EC25B04" w14:textId="77777777" w:rsidTr="009167D3">
        <w:trPr>
          <w:trHeight w:val="104"/>
        </w:trPr>
        <w:tc>
          <w:tcPr>
            <w:tcW w:w="1843" w:type="dxa"/>
            <w:vMerge/>
          </w:tcPr>
          <w:p w14:paraId="3DE8A942" w14:textId="77777777" w:rsidR="00004D10" w:rsidRPr="009F63DF" w:rsidRDefault="00004D10" w:rsidP="00540956">
            <w:pPr>
              <w:suppressAutoHyphens/>
              <w:spacing w:before="60" w:after="60"/>
              <w:ind w:right="57"/>
              <w:jc w:val="left"/>
              <w:rPr>
                <w:rFonts w:cs="Arial"/>
                <w:sz w:val="20"/>
                <w:szCs w:val="20"/>
                <w:lang w:val="en-GB"/>
              </w:rPr>
            </w:pPr>
          </w:p>
        </w:tc>
        <w:tc>
          <w:tcPr>
            <w:tcW w:w="1899" w:type="dxa"/>
            <w:tcBorders>
              <w:top w:val="single" w:sz="4" w:space="0" w:color="auto"/>
            </w:tcBorders>
          </w:tcPr>
          <w:p w14:paraId="21B224D7" w14:textId="77777777" w:rsidR="00004D10" w:rsidRPr="009F63DF" w:rsidRDefault="00004D10" w:rsidP="00495C31">
            <w:pPr>
              <w:suppressAutoHyphens/>
              <w:spacing w:before="60" w:after="60"/>
              <w:ind w:right="57"/>
              <w:jc w:val="left"/>
              <w:rPr>
                <w:rFonts w:cs="Arial"/>
                <w:i/>
                <w:iCs/>
                <w:sz w:val="20"/>
                <w:szCs w:val="20"/>
                <w:lang w:val="en-GB"/>
              </w:rPr>
            </w:pPr>
            <w:r w:rsidRPr="009F63DF">
              <w:rPr>
                <w:rFonts w:cs="Arial"/>
                <w:i/>
                <w:iCs/>
                <w:sz w:val="20"/>
                <w:szCs w:val="20"/>
                <w:lang w:val="en-GB"/>
              </w:rPr>
              <w:t>Accuracy class</w:t>
            </w:r>
          </w:p>
        </w:tc>
        <w:tc>
          <w:tcPr>
            <w:tcW w:w="4787" w:type="dxa"/>
            <w:gridSpan w:val="3"/>
            <w:tcBorders>
              <w:top w:val="single" w:sz="4" w:space="0" w:color="auto"/>
            </w:tcBorders>
          </w:tcPr>
          <w:p w14:paraId="4A3C1A1B" w14:textId="15A6A55E" w:rsidR="00004D10" w:rsidRPr="009F63DF" w:rsidRDefault="005B0F90" w:rsidP="00495C31">
            <w:pPr>
              <w:suppressAutoHyphens/>
              <w:spacing w:before="60" w:after="60"/>
              <w:ind w:right="57"/>
              <w:rPr>
                <w:rFonts w:cs="Arial"/>
                <w:sz w:val="20"/>
                <w:szCs w:val="20"/>
                <w:lang w:val="en-GB"/>
              </w:rPr>
            </w:pPr>
            <w:r w:rsidRPr="009F63DF">
              <w:rPr>
                <w:sz w:val="20"/>
                <w:szCs w:val="20"/>
                <w:lang w:val="en-GB"/>
              </w:rPr>
              <w:t>N/A</w:t>
            </w:r>
          </w:p>
        </w:tc>
      </w:tr>
      <w:tr w:rsidR="00004D10" w:rsidRPr="009F63DF" w14:paraId="3E8DF82E" w14:textId="77777777" w:rsidTr="009167D3">
        <w:trPr>
          <w:trHeight w:val="104"/>
        </w:trPr>
        <w:tc>
          <w:tcPr>
            <w:tcW w:w="1843" w:type="dxa"/>
            <w:vMerge/>
          </w:tcPr>
          <w:p w14:paraId="012AA729" w14:textId="77777777" w:rsidR="00004D10" w:rsidRPr="009F63DF" w:rsidRDefault="00004D10" w:rsidP="00540956">
            <w:pPr>
              <w:suppressAutoHyphens/>
              <w:spacing w:before="60" w:after="60"/>
              <w:ind w:right="57"/>
              <w:jc w:val="left"/>
              <w:rPr>
                <w:rFonts w:cs="Arial"/>
                <w:sz w:val="20"/>
                <w:szCs w:val="20"/>
                <w:lang w:val="en-GB"/>
              </w:rPr>
            </w:pPr>
          </w:p>
        </w:tc>
        <w:tc>
          <w:tcPr>
            <w:tcW w:w="1899" w:type="dxa"/>
            <w:tcBorders>
              <w:top w:val="single" w:sz="4" w:space="0" w:color="auto"/>
            </w:tcBorders>
          </w:tcPr>
          <w:p w14:paraId="5C5B895D" w14:textId="77777777" w:rsidR="00004D10" w:rsidRPr="009F63DF" w:rsidRDefault="00004D10" w:rsidP="00495C31">
            <w:pPr>
              <w:suppressAutoHyphens/>
              <w:spacing w:before="60" w:after="60"/>
              <w:ind w:right="57"/>
              <w:jc w:val="left"/>
              <w:rPr>
                <w:rFonts w:cs="Arial"/>
                <w:i/>
                <w:iCs/>
                <w:sz w:val="20"/>
                <w:szCs w:val="20"/>
                <w:lang w:val="en-GB"/>
              </w:rPr>
            </w:pPr>
            <w:r w:rsidRPr="009F63DF">
              <w:rPr>
                <w:rFonts w:cs="Arial"/>
                <w:i/>
                <w:iCs/>
                <w:sz w:val="20"/>
                <w:szCs w:val="20"/>
                <w:lang w:val="en-GB"/>
              </w:rPr>
              <w:t>Calibration requirements</w:t>
            </w:r>
          </w:p>
        </w:tc>
        <w:tc>
          <w:tcPr>
            <w:tcW w:w="4787" w:type="dxa"/>
            <w:gridSpan w:val="3"/>
            <w:tcBorders>
              <w:top w:val="single" w:sz="4" w:space="0" w:color="auto"/>
            </w:tcBorders>
          </w:tcPr>
          <w:p w14:paraId="3EB19AD7" w14:textId="0F2EB1AF" w:rsidR="00004D10" w:rsidRPr="009F63DF" w:rsidRDefault="005B0F90" w:rsidP="00495C31">
            <w:pPr>
              <w:suppressAutoHyphens/>
              <w:spacing w:before="60" w:after="60"/>
              <w:ind w:right="57"/>
              <w:rPr>
                <w:rFonts w:cs="Arial"/>
                <w:i/>
                <w:iCs/>
                <w:sz w:val="20"/>
                <w:szCs w:val="20"/>
                <w:lang w:val="en-GB"/>
              </w:rPr>
            </w:pPr>
            <w:r w:rsidRPr="009F63DF">
              <w:rPr>
                <w:sz w:val="20"/>
                <w:szCs w:val="20"/>
                <w:lang w:val="en-GB"/>
              </w:rPr>
              <w:t>N/A</w:t>
            </w:r>
          </w:p>
        </w:tc>
      </w:tr>
      <w:tr w:rsidR="00004D10" w:rsidRPr="009F63DF" w14:paraId="6C77D055" w14:textId="77777777" w:rsidTr="009167D3">
        <w:trPr>
          <w:trHeight w:val="104"/>
        </w:trPr>
        <w:tc>
          <w:tcPr>
            <w:tcW w:w="1843" w:type="dxa"/>
            <w:vMerge/>
          </w:tcPr>
          <w:p w14:paraId="6776E0E3" w14:textId="77777777" w:rsidR="00004D10" w:rsidRPr="009F63DF" w:rsidRDefault="00004D10" w:rsidP="00540956">
            <w:pPr>
              <w:suppressAutoHyphens/>
              <w:spacing w:before="60" w:after="60"/>
              <w:ind w:right="57"/>
              <w:jc w:val="left"/>
              <w:rPr>
                <w:rFonts w:cs="Arial"/>
                <w:sz w:val="20"/>
                <w:szCs w:val="20"/>
                <w:lang w:val="en-GB"/>
              </w:rPr>
            </w:pPr>
          </w:p>
        </w:tc>
        <w:tc>
          <w:tcPr>
            <w:tcW w:w="1899" w:type="dxa"/>
            <w:tcBorders>
              <w:top w:val="single" w:sz="4" w:space="0" w:color="auto"/>
            </w:tcBorders>
          </w:tcPr>
          <w:p w14:paraId="569E5F0C" w14:textId="77777777" w:rsidR="00004D10" w:rsidRPr="009F63DF" w:rsidRDefault="00004D10" w:rsidP="00495C31">
            <w:pPr>
              <w:suppressAutoHyphens/>
              <w:spacing w:before="60" w:after="60"/>
              <w:ind w:right="57"/>
              <w:jc w:val="left"/>
              <w:rPr>
                <w:rFonts w:cs="Arial"/>
                <w:i/>
                <w:iCs/>
                <w:sz w:val="20"/>
                <w:szCs w:val="20"/>
                <w:lang w:val="en-GB"/>
              </w:rPr>
            </w:pPr>
            <w:r w:rsidRPr="009F63DF">
              <w:rPr>
                <w:rFonts w:cs="Arial"/>
                <w:i/>
                <w:iCs/>
                <w:sz w:val="20"/>
                <w:szCs w:val="20"/>
                <w:lang w:val="en-GB"/>
              </w:rPr>
              <w:t>Location</w:t>
            </w:r>
          </w:p>
        </w:tc>
        <w:tc>
          <w:tcPr>
            <w:tcW w:w="4787" w:type="dxa"/>
            <w:gridSpan w:val="3"/>
            <w:tcBorders>
              <w:top w:val="single" w:sz="4" w:space="0" w:color="auto"/>
            </w:tcBorders>
          </w:tcPr>
          <w:p w14:paraId="14B12F7F" w14:textId="43D1728B" w:rsidR="00004D10" w:rsidRPr="009F63DF" w:rsidRDefault="00AB2619" w:rsidP="00495C31">
            <w:pPr>
              <w:suppressAutoHyphens/>
              <w:spacing w:before="60" w:after="60"/>
              <w:ind w:right="57"/>
              <w:rPr>
                <w:rFonts w:cs="Arial"/>
                <w:sz w:val="20"/>
                <w:szCs w:val="20"/>
                <w:lang w:val="en-GB"/>
              </w:rPr>
            </w:pPr>
            <w:r w:rsidRPr="009F63DF">
              <w:rPr>
                <w:rFonts w:cs="Arial"/>
                <w:sz w:val="20"/>
                <w:szCs w:val="20"/>
                <w:lang w:val="en-GB"/>
              </w:rPr>
              <w:t>Article 6.4 activity households</w:t>
            </w:r>
          </w:p>
        </w:tc>
      </w:tr>
      <w:tr w:rsidR="00004D10" w:rsidRPr="009F63DF" w14:paraId="01340134" w14:textId="77777777" w:rsidTr="009167D3">
        <w:tc>
          <w:tcPr>
            <w:tcW w:w="1843" w:type="dxa"/>
            <w:shd w:val="clear" w:color="auto" w:fill="E6E6E6"/>
          </w:tcPr>
          <w:p w14:paraId="4B804BBB"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86" w:type="dxa"/>
            <w:gridSpan w:val="4"/>
          </w:tcPr>
          <w:p w14:paraId="13E632B5" w14:textId="176FCACC" w:rsidR="00004D10" w:rsidRPr="009F63DF" w:rsidRDefault="00A24BD0" w:rsidP="00495C31">
            <w:pPr>
              <w:tabs>
                <w:tab w:val="left" w:pos="567"/>
              </w:tabs>
              <w:suppressAutoHyphens/>
              <w:spacing w:before="20" w:after="20"/>
              <w:ind w:right="159"/>
              <w:rPr>
                <w:rFonts w:cs="Arial"/>
                <w:sz w:val="20"/>
                <w:szCs w:val="20"/>
                <w:lang w:val="en-GB"/>
              </w:rPr>
            </w:pPr>
            <w:r w:rsidRPr="009F63DF">
              <w:rPr>
                <w:rFonts w:cs="Arial"/>
                <w:sz w:val="20"/>
                <w:szCs w:val="20"/>
                <w:lang w:val="en-GB"/>
              </w:rPr>
              <w:t>Once</w:t>
            </w:r>
          </w:p>
        </w:tc>
      </w:tr>
      <w:tr w:rsidR="00004D10" w:rsidRPr="009F63DF" w14:paraId="2474EBF7" w14:textId="77777777" w:rsidTr="009167D3">
        <w:tc>
          <w:tcPr>
            <w:tcW w:w="1843" w:type="dxa"/>
            <w:shd w:val="clear" w:color="auto" w:fill="E6E6E6"/>
          </w:tcPr>
          <w:p w14:paraId="431EEB40"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86" w:type="dxa"/>
            <w:gridSpan w:val="4"/>
          </w:tcPr>
          <w:p w14:paraId="1433DB68" w14:textId="3DE0FAC7" w:rsidR="00004D10" w:rsidRPr="009F63DF" w:rsidRDefault="00001F3E" w:rsidP="00495C31">
            <w:pPr>
              <w:tabs>
                <w:tab w:val="left" w:pos="567"/>
              </w:tabs>
              <w:suppressAutoHyphens/>
              <w:spacing w:before="20" w:after="20"/>
              <w:ind w:right="159"/>
              <w:rPr>
                <w:rFonts w:cs="Arial"/>
                <w:sz w:val="20"/>
                <w:szCs w:val="20"/>
                <w:lang w:val="en-GB"/>
              </w:rPr>
            </w:pPr>
            <w:r w:rsidRPr="009F63DF">
              <w:rPr>
                <w:rFonts w:cs="Arial"/>
                <w:sz w:val="20"/>
                <w:szCs w:val="20"/>
                <w:bdr w:val="none" w:sz="0" w:space="0" w:color="auto" w:frame="1"/>
                <w:shd w:val="clear" w:color="auto" w:fill="FFFFFF"/>
                <w:lang w:val="en-GB"/>
              </w:rPr>
              <w:t xml:space="preserve">The parameter estimate from the survey shall meet the minimum </w:t>
            </w:r>
            <w:r w:rsidR="004752DF" w:rsidRPr="009F63DF">
              <w:rPr>
                <w:rFonts w:cs="Arial"/>
                <w:sz w:val="20"/>
                <w:szCs w:val="20"/>
                <w:bdr w:val="none" w:sz="0" w:space="0" w:color="auto" w:frame="1"/>
                <w:shd w:val="clear" w:color="auto" w:fill="FFFFFF"/>
                <w:lang w:val="en-GB"/>
              </w:rPr>
              <w:t>reliability</w:t>
            </w:r>
            <w:r w:rsidRPr="009F63DF">
              <w:rPr>
                <w:rFonts w:cs="Arial"/>
                <w:sz w:val="20"/>
                <w:szCs w:val="20"/>
                <w:bdr w:val="none" w:sz="0" w:space="0" w:color="auto" w:frame="1"/>
                <w:shd w:val="clear" w:color="auto" w:fill="FFFFFF"/>
                <w:lang w:val="en-GB"/>
              </w:rPr>
              <w:t xml:space="preserve"> of 95/10 for the percentage of baseline cooking conducted using </w:t>
            </w:r>
            <w:r w:rsidRPr="009F63DF">
              <w:rPr>
                <w:rFonts w:eastAsia="Montserrat" w:cs="Arial"/>
                <w:sz w:val="20"/>
                <w:szCs w:val="20"/>
                <w:lang w:val="en-GB"/>
              </w:rPr>
              <w:t xml:space="preserve">fuel </w:t>
            </w:r>
            <w:r w:rsidRPr="009F63DF">
              <w:rPr>
                <w:rFonts w:eastAsia="Montserrat" w:cs="Arial"/>
                <w:i/>
                <w:sz w:val="20"/>
                <w:szCs w:val="20"/>
                <w:lang w:val="en-GB"/>
              </w:rPr>
              <w:t>i,</w:t>
            </w:r>
          </w:p>
        </w:tc>
      </w:tr>
      <w:tr w:rsidR="00004D10" w:rsidRPr="009F63DF" w14:paraId="0F356A38" w14:textId="77777777" w:rsidTr="009167D3">
        <w:tc>
          <w:tcPr>
            <w:tcW w:w="1843" w:type="dxa"/>
            <w:shd w:val="clear" w:color="auto" w:fill="E6E6E6"/>
          </w:tcPr>
          <w:p w14:paraId="348D2BA3" w14:textId="77777777" w:rsidR="00004D10" w:rsidRPr="009F63DF" w:rsidRDefault="00004D10"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86" w:type="dxa"/>
            <w:gridSpan w:val="4"/>
          </w:tcPr>
          <w:p w14:paraId="26CFDBF1" w14:textId="7CA4528A" w:rsidR="00004D10" w:rsidRPr="009F63DF" w:rsidRDefault="003C2DC4" w:rsidP="00495C31">
            <w:pPr>
              <w:pStyle w:val="ParaTickBox"/>
              <w:keepNext/>
              <w:tabs>
                <w:tab w:val="clear" w:pos="510"/>
                <w:tab w:val="left" w:pos="315"/>
              </w:tabs>
              <w:suppressAutoHyphens/>
              <w:ind w:left="0" w:firstLine="0"/>
              <w:jc w:val="both"/>
              <w:rPr>
                <w:szCs w:val="20"/>
                <w:lang w:val="en-GB"/>
              </w:rPr>
            </w:pPr>
            <w:r w:rsidRPr="009F63DF">
              <w:rPr>
                <w:szCs w:val="20"/>
                <w:lang w:val="en-GB"/>
              </w:rPr>
              <w:t>N/A</w:t>
            </w:r>
          </w:p>
        </w:tc>
      </w:tr>
      <w:tr w:rsidR="00004D10" w:rsidRPr="009F63DF" w14:paraId="0F8D2F51" w14:textId="77777777" w:rsidTr="009167D3">
        <w:tc>
          <w:tcPr>
            <w:tcW w:w="1843" w:type="dxa"/>
            <w:shd w:val="clear" w:color="auto" w:fill="E6E6E6"/>
          </w:tcPr>
          <w:p w14:paraId="0F38ACA1" w14:textId="77777777" w:rsidR="00004D10" w:rsidRPr="009F63DF" w:rsidRDefault="00004D10"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86" w:type="dxa"/>
            <w:gridSpan w:val="4"/>
          </w:tcPr>
          <w:p w14:paraId="0C435E81" w14:textId="71807CBB" w:rsidR="00004D10" w:rsidRPr="009F63DF" w:rsidRDefault="00F0251E" w:rsidP="00495C31">
            <w:pPr>
              <w:suppressAutoHyphens/>
              <w:spacing w:before="60" w:after="60"/>
              <w:ind w:right="57"/>
              <w:rPr>
                <w:rFonts w:eastAsia="Montserrat" w:cs="Arial"/>
                <w:sz w:val="20"/>
                <w:szCs w:val="20"/>
                <w:lang w:val="en-GB"/>
              </w:rPr>
            </w:pPr>
            <w:r w:rsidRPr="009F63DF">
              <w:rPr>
                <w:rFonts w:eastAsia="Montserrat" w:cs="Arial"/>
                <w:sz w:val="20"/>
                <w:szCs w:val="20"/>
                <w:lang w:val="en-GB"/>
              </w:rPr>
              <w:t>This parameter is used to verify that fuel switch does not occur during the Article 6.4 activity</w:t>
            </w:r>
          </w:p>
        </w:tc>
      </w:tr>
    </w:tbl>
    <w:p w14:paraId="12FB7F92" w14:textId="2C6A84CF"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19</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33"/>
        <w:gridCol w:w="2302"/>
        <w:gridCol w:w="2126"/>
        <w:gridCol w:w="2268"/>
      </w:tblGrid>
      <w:tr w:rsidR="00220652" w:rsidRPr="009F63DF" w14:paraId="08C5DDE9" w14:textId="77777777" w:rsidTr="009167D3">
        <w:tc>
          <w:tcPr>
            <w:tcW w:w="1833" w:type="dxa"/>
            <w:shd w:val="clear" w:color="auto" w:fill="E6E6E6"/>
          </w:tcPr>
          <w:p w14:paraId="3003D2B2" w14:textId="77777777" w:rsidR="00220652" w:rsidRPr="009F63DF" w:rsidRDefault="00220652" w:rsidP="00540956">
            <w:pPr>
              <w:keepNext/>
              <w:suppressAutoHyphens/>
              <w:spacing w:before="60" w:after="60"/>
              <w:ind w:right="57"/>
              <w:jc w:val="left"/>
              <w:rPr>
                <w:rFonts w:cs="Arial"/>
                <w:b/>
                <w:bCs/>
                <w:sz w:val="20"/>
                <w:szCs w:val="20"/>
                <w:lang w:val="en-GB"/>
              </w:rPr>
            </w:pPr>
            <w:r w:rsidRPr="009F63DF">
              <w:rPr>
                <w:rFonts w:cs="Arial"/>
                <w:b/>
                <w:bCs/>
                <w:sz w:val="20"/>
                <w:szCs w:val="20"/>
                <w:lang w:val="en-GB"/>
              </w:rPr>
              <w:t>Data/parameter</w:t>
            </w:r>
          </w:p>
        </w:tc>
        <w:tc>
          <w:tcPr>
            <w:tcW w:w="6696" w:type="dxa"/>
            <w:gridSpan w:val="3"/>
          </w:tcPr>
          <w:p w14:paraId="1DB6CC3C" w14:textId="15FA5A21" w:rsidR="00220652" w:rsidRPr="009F63DF" w:rsidRDefault="000C274B" w:rsidP="00495C31">
            <w:pPr>
              <w:keepNext/>
              <w:suppressAutoHyphens/>
              <w:spacing w:before="60" w:after="60"/>
              <w:ind w:right="57"/>
              <w:rPr>
                <w:rFonts w:cs="Arial"/>
                <w:b/>
                <w:i/>
                <w:sz w:val="20"/>
                <w:szCs w:val="20"/>
                <w:lang w:val="en-GB"/>
              </w:rPr>
            </w:pPr>
            <m:oMath>
              <m:r>
                <m:rPr>
                  <m:sty m:val="bi"/>
                </m:rPr>
                <w:rPr>
                  <w:rFonts w:ascii="Cambria Math" w:eastAsia="Cambria Math" w:hAnsi="Cambria Math" w:cs="Arial"/>
                  <w:sz w:val="20"/>
                  <w:szCs w:val="20"/>
                  <w:lang w:val="en-GB"/>
                </w:rPr>
                <m:t>PC</m:t>
              </m:r>
            </m:oMath>
            <w:r w:rsidR="00220652" w:rsidRPr="009F63DF">
              <w:rPr>
                <w:rFonts w:eastAsia="Cambria Math" w:cs="Arial"/>
                <w:i/>
                <w:iCs/>
                <w:sz w:val="20"/>
                <w:szCs w:val="20"/>
                <w:vertAlign w:val="subscript"/>
                <w:lang w:val="en-GB"/>
              </w:rPr>
              <w:t>p,</w:t>
            </w:r>
            <w:r w:rsidR="00CD6EE9">
              <w:rPr>
                <w:rFonts w:eastAsia="Cambria Math" w:cs="Arial"/>
                <w:i/>
                <w:iCs/>
                <w:sz w:val="20"/>
                <w:szCs w:val="20"/>
                <w:vertAlign w:val="subscript"/>
                <w:lang w:val="en-GB"/>
              </w:rPr>
              <w:t>i</w:t>
            </w:r>
          </w:p>
        </w:tc>
      </w:tr>
      <w:tr w:rsidR="00220652" w:rsidRPr="009F63DF" w14:paraId="5F487AFB" w14:textId="77777777" w:rsidTr="009167D3">
        <w:tc>
          <w:tcPr>
            <w:tcW w:w="1833" w:type="dxa"/>
            <w:shd w:val="clear" w:color="auto" w:fill="E6E6E6"/>
          </w:tcPr>
          <w:p w14:paraId="29DEEB65"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96" w:type="dxa"/>
            <w:gridSpan w:val="3"/>
          </w:tcPr>
          <w:p w14:paraId="67F93A8F" w14:textId="1A11D8A0" w:rsidR="00220652" w:rsidRPr="009F63DF" w:rsidRDefault="00220652" w:rsidP="00495C31">
            <w:pPr>
              <w:suppressAutoHyphens/>
              <w:spacing w:before="60" w:after="60"/>
              <w:ind w:right="57"/>
              <w:rPr>
                <w:rFonts w:cs="Arial"/>
                <w:sz w:val="20"/>
                <w:szCs w:val="20"/>
                <w:lang w:val="en-GB"/>
              </w:rPr>
            </w:pPr>
            <w:r w:rsidRPr="009F63DF">
              <w:rPr>
                <w:rFonts w:eastAsia="Montserrat" w:cs="Arial"/>
                <w:sz w:val="20"/>
                <w:szCs w:val="20"/>
                <w:lang w:val="en-GB"/>
              </w:rPr>
              <w:t xml:space="preserve">Proportion of cooking events conducted using fuel </w:t>
            </w:r>
            <w:r w:rsidR="00D524DC" w:rsidRPr="00D524DC">
              <w:rPr>
                <w:rFonts w:eastAsia="Montserrat" w:cs="Arial"/>
                <w:i/>
                <w:iCs/>
                <w:sz w:val="20"/>
                <w:szCs w:val="20"/>
                <w:lang w:val="en-GB"/>
              </w:rPr>
              <w:t>i</w:t>
            </w:r>
            <w:r w:rsidR="0003157B" w:rsidRPr="009F63DF">
              <w:rPr>
                <w:rFonts w:eastAsia="Montserrat" w:cs="Arial"/>
                <w:iCs/>
                <w:sz w:val="20"/>
                <w:szCs w:val="20"/>
                <w:lang w:val="en-GB"/>
              </w:rPr>
              <w:t xml:space="preserve"> during the Article 6.4 activity</w:t>
            </w:r>
          </w:p>
        </w:tc>
      </w:tr>
      <w:tr w:rsidR="00220652" w:rsidRPr="009F63DF" w14:paraId="6749965E" w14:textId="77777777" w:rsidTr="009167D3">
        <w:tc>
          <w:tcPr>
            <w:tcW w:w="1833" w:type="dxa"/>
            <w:shd w:val="clear" w:color="auto" w:fill="E6E6E6"/>
          </w:tcPr>
          <w:p w14:paraId="7AA2D2C3"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96" w:type="dxa"/>
            <w:gridSpan w:val="3"/>
          </w:tcPr>
          <w:p w14:paraId="537C6C0A" w14:textId="0D793530" w:rsidR="00220652" w:rsidRPr="009F63DF" w:rsidRDefault="00220652" w:rsidP="00495C31">
            <w:pPr>
              <w:suppressAutoHyphens/>
              <w:spacing w:before="60" w:after="60"/>
              <w:ind w:right="57"/>
              <w:rPr>
                <w:rFonts w:cs="Arial"/>
                <w:sz w:val="20"/>
                <w:szCs w:val="20"/>
                <w:lang w:val="en-GB"/>
              </w:rPr>
            </w:pPr>
            <w:r w:rsidRPr="009F63DF">
              <w:rPr>
                <w:rFonts w:eastAsia="Montserrat" w:cs="Arial"/>
                <w:sz w:val="20"/>
                <w:szCs w:val="20"/>
                <w:lang w:val="en-GB"/>
              </w:rPr>
              <w:t>Percentage</w:t>
            </w:r>
          </w:p>
        </w:tc>
      </w:tr>
      <w:tr w:rsidR="00220652" w:rsidRPr="009F63DF" w14:paraId="5DB27165" w14:textId="77777777" w:rsidTr="009167D3">
        <w:tc>
          <w:tcPr>
            <w:tcW w:w="1833" w:type="dxa"/>
            <w:shd w:val="clear" w:color="auto" w:fill="E6E6E6"/>
          </w:tcPr>
          <w:p w14:paraId="0D1A9315"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96" w:type="dxa"/>
            <w:gridSpan w:val="3"/>
            <w:tcBorders>
              <w:bottom w:val="single" w:sz="4" w:space="0" w:color="auto"/>
            </w:tcBorders>
          </w:tcPr>
          <w:p w14:paraId="4F893491" w14:textId="5CDFA8EE" w:rsidR="00220652" w:rsidRPr="009F63DF" w:rsidRDefault="0003157B" w:rsidP="00495C31">
            <w:pPr>
              <w:suppressAutoHyphens/>
              <w:spacing w:before="60" w:after="60"/>
              <w:ind w:right="57"/>
              <w:rPr>
                <w:rFonts w:cs="Arial"/>
                <w:sz w:val="20"/>
                <w:szCs w:val="20"/>
                <w:lang w:val="en-GB"/>
              </w:rPr>
            </w:pPr>
            <w:r w:rsidRPr="009F63DF">
              <w:rPr>
                <w:rFonts w:cs="Arial"/>
                <w:sz w:val="20"/>
                <w:szCs w:val="20"/>
                <w:lang w:val="en-GB"/>
              </w:rPr>
              <w:t>N/A</w:t>
            </w:r>
          </w:p>
        </w:tc>
      </w:tr>
      <w:tr w:rsidR="00845EB5" w:rsidRPr="009F63DF" w14:paraId="6DF457DC" w14:textId="77777777" w:rsidTr="009167D3">
        <w:tc>
          <w:tcPr>
            <w:tcW w:w="1833" w:type="dxa"/>
            <w:shd w:val="clear" w:color="auto" w:fill="E6E6E6"/>
          </w:tcPr>
          <w:p w14:paraId="21B51DEA"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302" w:type="dxa"/>
            <w:tcBorders>
              <w:bottom w:val="nil"/>
              <w:right w:val="nil"/>
            </w:tcBorders>
          </w:tcPr>
          <w:p w14:paraId="3C4954E7" w14:textId="59434842" w:rsidR="00220652" w:rsidRPr="009F63DF" w:rsidRDefault="00BE5BA7"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0"/>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F54FF7" w:rsidRPr="009F63DF">
              <w:rPr>
                <w:rFonts w:cs="Arial"/>
                <w:sz w:val="20"/>
                <w:shd w:val="clear" w:color="auto" w:fill="E6E6E6"/>
                <w:lang w:val="en-GB"/>
              </w:rPr>
              <w:t xml:space="preserve"> </w:t>
            </w:r>
            <w:r w:rsidR="00220652" w:rsidRPr="009F63DF">
              <w:rPr>
                <w:rFonts w:cs="Arial"/>
                <w:sz w:val="20"/>
                <w:szCs w:val="20"/>
                <w:lang w:val="en-GB"/>
              </w:rPr>
              <w:t xml:space="preserve">Baseline </w:t>
            </w:r>
            <w:r w:rsidR="000F67F3" w:rsidRPr="009F63DF">
              <w:rPr>
                <w:rFonts w:cs="Arial"/>
                <w:sz w:val="20"/>
                <w:szCs w:val="20"/>
                <w:lang w:val="en-GB"/>
              </w:rPr>
              <w:t>Scenario</w:t>
            </w:r>
          </w:p>
        </w:tc>
        <w:tc>
          <w:tcPr>
            <w:tcW w:w="2126" w:type="dxa"/>
            <w:tcBorders>
              <w:left w:val="nil"/>
              <w:bottom w:val="nil"/>
              <w:right w:val="nil"/>
            </w:tcBorders>
          </w:tcPr>
          <w:p w14:paraId="644AF2EA" w14:textId="0537F0E9" w:rsidR="00220652" w:rsidRPr="009F63DF" w:rsidRDefault="00220652"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Check2"/>
                  <w:enabled/>
                  <w:calcOnExit w:val="0"/>
                  <w:checkBox>
                    <w:size w:val="20"/>
                    <w:default w:val="0"/>
                  </w:checkBox>
                </w:ffData>
              </w:fldChar>
            </w:r>
            <w:r w:rsidRPr="009F63DF">
              <w:rPr>
                <w:rFonts w:cs="Arial"/>
                <w:sz w:val="20"/>
                <w:szCs w:val="20"/>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Pr="009F63DF">
              <w:rPr>
                <w:rFonts w:cs="Arial"/>
                <w:sz w:val="20"/>
                <w:szCs w:val="20"/>
                <w:lang w:val="en-GB"/>
              </w:rPr>
              <w:t xml:space="preserve"> </w:t>
            </w:r>
            <w:r w:rsidR="002646DE" w:rsidRPr="009F63DF">
              <w:rPr>
                <w:rFonts w:cs="Arial"/>
                <w:sz w:val="20"/>
                <w:szCs w:val="20"/>
                <w:lang w:val="en-GB"/>
              </w:rPr>
              <w:t>Activity</w:t>
            </w:r>
            <w:r w:rsidRPr="009F63DF">
              <w:rPr>
                <w:rFonts w:cs="Arial"/>
                <w:sz w:val="20"/>
                <w:szCs w:val="20"/>
                <w:lang w:val="en-GB"/>
              </w:rPr>
              <w:t xml:space="preserve"> </w:t>
            </w:r>
            <w:r w:rsidR="000F67F3" w:rsidRPr="009F63DF">
              <w:rPr>
                <w:rFonts w:cs="Arial"/>
                <w:sz w:val="20"/>
                <w:szCs w:val="20"/>
                <w:lang w:val="en-GB"/>
              </w:rPr>
              <w:t>Scenario</w:t>
            </w:r>
          </w:p>
        </w:tc>
        <w:tc>
          <w:tcPr>
            <w:tcW w:w="2268" w:type="dxa"/>
            <w:tcBorders>
              <w:left w:val="nil"/>
              <w:bottom w:val="nil"/>
            </w:tcBorders>
          </w:tcPr>
          <w:p w14:paraId="2A55E269" w14:textId="4DB25B99" w:rsidR="00220652" w:rsidRPr="009F63DF" w:rsidRDefault="00220652" w:rsidP="00495C31">
            <w:pPr>
              <w:suppressAutoHyphens/>
              <w:spacing w:before="60" w:after="60"/>
              <w:ind w:right="57"/>
              <w:jc w:val="left"/>
              <w:rPr>
                <w:rFonts w:cs="Arial"/>
                <w:sz w:val="20"/>
                <w:szCs w:val="20"/>
                <w:lang w:val="en-GB"/>
              </w:rPr>
            </w:pPr>
            <w:r w:rsidRPr="009F63DF">
              <w:rPr>
                <w:sz w:val="20"/>
                <w:shd w:val="clear" w:color="auto" w:fill="E6E6E6"/>
              </w:rPr>
              <w:fldChar w:fldCharType="begin">
                <w:ffData>
                  <w:name w:val="Check2"/>
                  <w:enabled/>
                  <w:calcOnExit w:val="0"/>
                  <w:checkBox>
                    <w:size w:val="20"/>
                    <w:default w:val="0"/>
                  </w:checkBox>
                </w:ffData>
              </w:fldChar>
            </w:r>
            <w:r w:rsidRPr="009F63DF">
              <w:rPr>
                <w:sz w:val="20"/>
                <w:szCs w:val="20"/>
                <w:lang w:val="en-GB"/>
              </w:rPr>
              <w:instrText xml:space="preserve"> FORMCHECKBOX </w:instrText>
            </w:r>
            <w:r w:rsidRPr="009F63DF">
              <w:rPr>
                <w:sz w:val="20"/>
                <w:shd w:val="clear" w:color="auto" w:fill="E6E6E6"/>
              </w:rPr>
            </w:r>
            <w:r w:rsidRPr="009F63DF">
              <w:rPr>
                <w:sz w:val="20"/>
                <w:shd w:val="clear" w:color="auto" w:fill="E6E6E6"/>
              </w:rPr>
              <w:fldChar w:fldCharType="separate"/>
            </w:r>
            <w:r w:rsidRPr="009F63DF">
              <w:rPr>
                <w:sz w:val="20"/>
                <w:shd w:val="clear" w:color="auto" w:fill="E6E6E6"/>
              </w:rPr>
              <w:fldChar w:fldCharType="end"/>
            </w:r>
            <w:r w:rsidR="00F54FF7" w:rsidRPr="009F63DF">
              <w:rPr>
                <w:sz w:val="20"/>
                <w:shd w:val="clear" w:color="auto" w:fill="E6E6E6"/>
                <w:lang w:val="en-GB"/>
              </w:rPr>
              <w:t xml:space="preserve"> </w:t>
            </w:r>
            <w:r w:rsidRPr="009F63DF">
              <w:rPr>
                <w:sz w:val="20"/>
                <w:szCs w:val="20"/>
                <w:shd w:val="clear" w:color="auto" w:fill="E6E6E6"/>
                <w:lang w:val="en-GB"/>
              </w:rPr>
              <w:t>Le</w:t>
            </w:r>
            <w:r w:rsidRPr="009F63DF">
              <w:rPr>
                <w:sz w:val="20"/>
                <w:szCs w:val="20"/>
                <w:lang w:val="en-GB"/>
              </w:rPr>
              <w:t>akage</w:t>
            </w:r>
          </w:p>
        </w:tc>
      </w:tr>
      <w:tr w:rsidR="000F67F3" w:rsidRPr="009F63DF" w14:paraId="337D3AE4" w14:textId="77777777" w:rsidTr="005A4B4B">
        <w:tc>
          <w:tcPr>
            <w:tcW w:w="1833" w:type="dxa"/>
            <w:tcBorders>
              <w:bottom w:val="single" w:sz="4" w:space="0" w:color="auto"/>
            </w:tcBorders>
            <w:shd w:val="clear" w:color="auto" w:fill="E6E6E6"/>
          </w:tcPr>
          <w:p w14:paraId="10D0A660" w14:textId="32F91A33" w:rsidR="000F67F3" w:rsidRPr="009F63DF" w:rsidRDefault="000F67F3" w:rsidP="00540956">
            <w:pPr>
              <w:suppressAutoHyphens/>
              <w:spacing w:before="60" w:after="60"/>
              <w:ind w:right="57"/>
              <w:jc w:val="left"/>
              <w:rPr>
                <w:rFonts w:cs="Arial"/>
                <w:sz w:val="20"/>
                <w:lang w:val="en-GB"/>
              </w:rPr>
            </w:pPr>
            <w:r w:rsidRPr="009F63DF">
              <w:rPr>
                <w:rFonts w:cs="Arial"/>
                <w:sz w:val="20"/>
                <w:lang w:val="en-GB"/>
              </w:rPr>
              <w:t>Value applied</w:t>
            </w:r>
          </w:p>
        </w:tc>
        <w:tc>
          <w:tcPr>
            <w:tcW w:w="2302" w:type="dxa"/>
            <w:tcBorders>
              <w:bottom w:val="single" w:sz="4" w:space="0" w:color="auto"/>
              <w:right w:val="nil"/>
            </w:tcBorders>
          </w:tcPr>
          <w:p w14:paraId="2F8B67E0" w14:textId="77777777" w:rsidR="000F67F3" w:rsidRPr="009F63DF" w:rsidRDefault="000F67F3" w:rsidP="00495C31">
            <w:pPr>
              <w:suppressAutoHyphens/>
              <w:spacing w:before="60" w:after="60"/>
              <w:ind w:right="57"/>
              <w:jc w:val="left"/>
              <w:rPr>
                <w:rFonts w:cs="Arial"/>
                <w:sz w:val="20"/>
                <w:shd w:val="clear" w:color="auto" w:fill="E6E6E6"/>
                <w:lang w:val="en-GB"/>
              </w:rPr>
            </w:pPr>
          </w:p>
        </w:tc>
        <w:tc>
          <w:tcPr>
            <w:tcW w:w="2126" w:type="dxa"/>
            <w:tcBorders>
              <w:left w:val="nil"/>
              <w:bottom w:val="single" w:sz="4" w:space="0" w:color="auto"/>
              <w:right w:val="nil"/>
            </w:tcBorders>
          </w:tcPr>
          <w:p w14:paraId="121CBC4B" w14:textId="77777777" w:rsidR="000F67F3" w:rsidRPr="009F63DF" w:rsidRDefault="000F67F3" w:rsidP="00495C31">
            <w:pPr>
              <w:suppressAutoHyphens/>
              <w:spacing w:before="60" w:after="60"/>
              <w:ind w:right="57"/>
              <w:jc w:val="left"/>
              <w:rPr>
                <w:rFonts w:cs="Arial"/>
                <w:sz w:val="20"/>
                <w:shd w:val="clear" w:color="auto" w:fill="E6E6E6"/>
                <w:lang w:val="en-GB"/>
              </w:rPr>
            </w:pPr>
          </w:p>
        </w:tc>
        <w:tc>
          <w:tcPr>
            <w:tcW w:w="2268" w:type="dxa"/>
            <w:tcBorders>
              <w:left w:val="nil"/>
              <w:bottom w:val="single" w:sz="4" w:space="0" w:color="auto"/>
            </w:tcBorders>
          </w:tcPr>
          <w:p w14:paraId="73703A65" w14:textId="77777777" w:rsidR="000F67F3" w:rsidRPr="009F63DF" w:rsidRDefault="000F67F3" w:rsidP="00495C31">
            <w:pPr>
              <w:suppressAutoHyphens/>
              <w:spacing w:before="60" w:after="60"/>
              <w:ind w:right="57"/>
              <w:jc w:val="left"/>
              <w:rPr>
                <w:sz w:val="20"/>
                <w:shd w:val="clear" w:color="auto" w:fill="E6E6E6"/>
                <w:lang w:val="en-GB"/>
              </w:rPr>
            </w:pPr>
          </w:p>
        </w:tc>
      </w:tr>
      <w:tr w:rsidR="000F67F3" w:rsidRPr="009F63DF" w14:paraId="261238DA" w14:textId="77777777" w:rsidTr="005A4B4B">
        <w:tc>
          <w:tcPr>
            <w:tcW w:w="1833" w:type="dxa"/>
            <w:tcBorders>
              <w:bottom w:val="single" w:sz="4" w:space="0" w:color="auto"/>
            </w:tcBorders>
            <w:shd w:val="clear" w:color="auto" w:fill="E6E6E6"/>
          </w:tcPr>
          <w:p w14:paraId="517FDCBF" w14:textId="551DEA04" w:rsidR="000F67F3" w:rsidRPr="009F63DF" w:rsidRDefault="000F67F3"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96" w:type="dxa"/>
            <w:gridSpan w:val="3"/>
            <w:tcBorders>
              <w:bottom w:val="single" w:sz="4" w:space="0" w:color="auto"/>
            </w:tcBorders>
          </w:tcPr>
          <w:p w14:paraId="4094C339" w14:textId="34066A75" w:rsidR="000F67F3" w:rsidRPr="009F63DF" w:rsidRDefault="000F67F3" w:rsidP="00495C31">
            <w:pPr>
              <w:suppressAutoHyphens/>
              <w:spacing w:before="60"/>
              <w:jc w:val="left"/>
              <w:rPr>
                <w:sz w:val="20"/>
                <w:shd w:val="clear" w:color="auto" w:fill="E6E6E6"/>
                <w:lang w:val="en-GB"/>
              </w:rPr>
            </w:pPr>
            <w:r w:rsidRPr="009F63DF">
              <w:rPr>
                <w:rFonts w:eastAsia="Montserrat" w:cs="Arial"/>
                <w:sz w:val="20"/>
                <w:szCs w:val="20"/>
                <w:lang w:val="en-GB"/>
              </w:rPr>
              <w:t>Activity usage surveys.</w:t>
            </w:r>
            <w:r w:rsidR="00495C31" w:rsidRPr="009F63DF">
              <w:rPr>
                <w:rFonts w:eastAsia="Montserrat" w:cs="Arial"/>
                <w:sz w:val="20"/>
                <w:szCs w:val="20"/>
                <w:lang w:val="en-GB"/>
              </w:rPr>
              <w:br/>
            </w:r>
            <w:r w:rsidRPr="009F63DF">
              <w:rPr>
                <w:rFonts w:eastAsia="Montserrat" w:cs="Arial"/>
                <w:sz w:val="20"/>
                <w:szCs w:val="20"/>
                <w:lang w:val="en-GB"/>
              </w:rPr>
              <w:t>The first activity usage survey must ask to identify all the cooking devices present in the household. For the project cookstove and each other cooking device present in the household, ask “How many times did you cook using (cooking device) yesterday?” to determine the number of usage events per day per device.</w:t>
            </w:r>
            <w:r w:rsidRPr="009F63DF">
              <w:rPr>
                <w:rFonts w:eastAsia="Montserrat" w:cs="Arial"/>
                <w:sz w:val="20"/>
                <w:szCs w:val="20"/>
                <w:lang w:val="en-GB"/>
              </w:rPr>
              <w:br/>
              <w:t xml:space="preserve">Estimate the proportion of activity cooking events conducted using fuel </w:t>
            </w:r>
            <w:r w:rsidRPr="009F63DF">
              <w:rPr>
                <w:rFonts w:eastAsia="Montserrat" w:cs="Arial"/>
                <w:i/>
                <w:sz w:val="20"/>
                <w:szCs w:val="20"/>
                <w:lang w:val="en-GB"/>
              </w:rPr>
              <w:t>i</w:t>
            </w:r>
            <w:r w:rsidRPr="009F63DF">
              <w:rPr>
                <w:rFonts w:eastAsia="Montserrat" w:cs="Arial"/>
                <w:sz w:val="20"/>
                <w:szCs w:val="20"/>
                <w:lang w:val="en-GB"/>
              </w:rPr>
              <w:t xml:space="preserve">, and use the result in conjunction with parameter </w:t>
            </w:r>
            <m:oMath>
              <m:r>
                <w:rPr>
                  <w:rFonts w:ascii="Cambria Math" w:eastAsia="Cambria Math" w:hAnsi="Cambria Math" w:cs="Arial"/>
                  <w:sz w:val="20"/>
                  <w:szCs w:val="20"/>
                  <w:lang w:val="en-GB"/>
                </w:rPr>
                <m:t>PC</m:t>
              </m:r>
            </m:oMath>
            <w:r w:rsidRPr="009F63DF">
              <w:rPr>
                <w:rFonts w:eastAsia="Cambria Math" w:cs="Arial"/>
                <w:i/>
                <w:sz w:val="20"/>
                <w:szCs w:val="20"/>
                <w:vertAlign w:val="subscript"/>
                <w:lang w:val="en-GB"/>
              </w:rPr>
              <w:t xml:space="preserve">b,i </w:t>
            </w:r>
            <w:r w:rsidRPr="009F63DF">
              <w:rPr>
                <w:rFonts w:eastAsia="Montserrat" w:cs="Arial"/>
                <w:sz w:val="20"/>
                <w:szCs w:val="20"/>
                <w:lang w:val="en-GB"/>
              </w:rPr>
              <w:t>to identify any material difference between the baseline scenario and actual Article 6.4 activity households. This parameter does not appear in emissions reduction quantification equations</w:t>
            </w:r>
          </w:p>
        </w:tc>
      </w:tr>
      <w:tr w:rsidR="00220652" w:rsidRPr="009F63DF" w14:paraId="4862A8B9" w14:textId="77777777" w:rsidTr="005A4B4B">
        <w:tc>
          <w:tcPr>
            <w:tcW w:w="1833" w:type="dxa"/>
            <w:tcBorders>
              <w:top w:val="single" w:sz="4" w:space="0" w:color="auto"/>
            </w:tcBorders>
            <w:shd w:val="clear" w:color="auto" w:fill="E6E6E6"/>
          </w:tcPr>
          <w:p w14:paraId="740CBE76"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96" w:type="dxa"/>
            <w:gridSpan w:val="3"/>
            <w:tcBorders>
              <w:top w:val="single" w:sz="4" w:space="0" w:color="auto"/>
              <w:bottom w:val="single" w:sz="4" w:space="0" w:color="auto"/>
            </w:tcBorders>
            <w:vAlign w:val="center"/>
          </w:tcPr>
          <w:p w14:paraId="27F3A08A" w14:textId="4AB86097" w:rsidR="00220652" w:rsidRPr="009F63DF" w:rsidRDefault="00220652" w:rsidP="00495C31">
            <w:pPr>
              <w:suppressAutoHyphens/>
              <w:spacing w:before="60" w:after="60"/>
              <w:ind w:right="57"/>
              <w:rPr>
                <w:rFonts w:cs="Arial"/>
                <w:sz w:val="20"/>
                <w:szCs w:val="20"/>
                <w:lang w:val="en-GB"/>
              </w:rPr>
            </w:pPr>
            <w:r w:rsidRPr="009F63DF">
              <w:rPr>
                <w:rFonts w:eastAsia="Montserrat" w:cs="Arial"/>
                <w:sz w:val="20"/>
                <w:szCs w:val="20"/>
                <w:lang w:val="en-GB"/>
              </w:rPr>
              <w:t>Once per crediting period</w:t>
            </w:r>
          </w:p>
        </w:tc>
      </w:tr>
      <w:tr w:rsidR="00220652" w:rsidRPr="009F63DF" w14:paraId="41A914E4" w14:textId="77777777" w:rsidTr="009167D3">
        <w:trPr>
          <w:trHeight w:val="107"/>
        </w:trPr>
        <w:tc>
          <w:tcPr>
            <w:tcW w:w="1833" w:type="dxa"/>
            <w:shd w:val="clear" w:color="auto" w:fill="E6E6E6"/>
          </w:tcPr>
          <w:p w14:paraId="005D09D4"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96" w:type="dxa"/>
            <w:gridSpan w:val="3"/>
            <w:tcBorders>
              <w:top w:val="single" w:sz="4" w:space="0" w:color="auto"/>
            </w:tcBorders>
          </w:tcPr>
          <w:p w14:paraId="0C4EAF55" w14:textId="0E0679DD" w:rsidR="00220652" w:rsidRPr="009F63DF" w:rsidRDefault="00AB2619" w:rsidP="00495C31">
            <w:pPr>
              <w:suppressAutoHyphens/>
              <w:spacing w:before="60" w:after="60"/>
              <w:ind w:right="57"/>
              <w:rPr>
                <w:rFonts w:cs="Arial"/>
                <w:sz w:val="20"/>
                <w:szCs w:val="20"/>
                <w:lang w:val="en-GB"/>
              </w:rPr>
            </w:pPr>
            <w:r w:rsidRPr="009F63DF">
              <w:rPr>
                <w:rFonts w:cs="Arial"/>
                <w:sz w:val="20"/>
                <w:szCs w:val="20"/>
                <w:lang w:val="en-GB"/>
              </w:rPr>
              <w:t>Activity participant</w:t>
            </w:r>
          </w:p>
        </w:tc>
      </w:tr>
      <w:tr w:rsidR="0062370B" w:rsidRPr="009F63DF" w14:paraId="3938C1DA" w14:textId="77777777" w:rsidTr="009167D3">
        <w:trPr>
          <w:trHeight w:val="107"/>
        </w:trPr>
        <w:tc>
          <w:tcPr>
            <w:tcW w:w="1833" w:type="dxa"/>
            <w:vMerge w:val="restart"/>
            <w:shd w:val="clear" w:color="auto" w:fill="E6E6E6"/>
          </w:tcPr>
          <w:p w14:paraId="0E933BD9"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2302" w:type="dxa"/>
            <w:tcBorders>
              <w:top w:val="single" w:sz="4" w:space="0" w:color="auto"/>
            </w:tcBorders>
          </w:tcPr>
          <w:p w14:paraId="416BB3E5" w14:textId="77777777" w:rsidR="00220652" w:rsidRPr="009F63DF" w:rsidRDefault="00220652" w:rsidP="00495C31">
            <w:pPr>
              <w:suppressAutoHyphens/>
              <w:spacing w:before="60" w:after="60"/>
              <w:ind w:right="57"/>
              <w:jc w:val="left"/>
              <w:rPr>
                <w:rFonts w:cs="Arial"/>
                <w:i/>
                <w:iCs/>
                <w:sz w:val="20"/>
                <w:szCs w:val="20"/>
                <w:lang w:val="en-GB"/>
              </w:rPr>
            </w:pPr>
            <w:r w:rsidRPr="009F63DF">
              <w:rPr>
                <w:rFonts w:cs="Arial"/>
                <w:i/>
                <w:iCs/>
                <w:sz w:val="20"/>
                <w:szCs w:val="20"/>
                <w:lang w:val="en-GB"/>
              </w:rPr>
              <w:t>Type of instrument</w:t>
            </w:r>
          </w:p>
        </w:tc>
        <w:tc>
          <w:tcPr>
            <w:tcW w:w="4394" w:type="dxa"/>
            <w:gridSpan w:val="2"/>
            <w:tcBorders>
              <w:top w:val="single" w:sz="4" w:space="0" w:color="auto"/>
            </w:tcBorders>
          </w:tcPr>
          <w:p w14:paraId="5BE13DA5" w14:textId="49C42861" w:rsidR="00220652" w:rsidRPr="009F63DF" w:rsidRDefault="00AB2619" w:rsidP="00495C31">
            <w:pPr>
              <w:pStyle w:val="ParaTickBox"/>
              <w:tabs>
                <w:tab w:val="clear" w:pos="510"/>
                <w:tab w:val="left" w:pos="120"/>
              </w:tabs>
              <w:suppressAutoHyphens/>
              <w:ind w:left="0" w:right="57" w:firstLine="0"/>
              <w:rPr>
                <w:szCs w:val="20"/>
                <w:lang w:val="en-GB"/>
              </w:rPr>
            </w:pPr>
            <w:r w:rsidRPr="009F63DF">
              <w:rPr>
                <w:szCs w:val="20"/>
                <w:lang w:val="en-GB"/>
              </w:rPr>
              <w:t>N/A</w:t>
            </w:r>
          </w:p>
        </w:tc>
      </w:tr>
      <w:tr w:rsidR="0062370B" w:rsidRPr="009F63DF" w14:paraId="041E3C49" w14:textId="77777777" w:rsidTr="009167D3">
        <w:trPr>
          <w:trHeight w:val="104"/>
        </w:trPr>
        <w:tc>
          <w:tcPr>
            <w:tcW w:w="1833" w:type="dxa"/>
            <w:vMerge/>
          </w:tcPr>
          <w:p w14:paraId="7C2EDA34" w14:textId="77777777" w:rsidR="00220652" w:rsidRPr="009F63DF" w:rsidRDefault="00220652" w:rsidP="00540956">
            <w:pPr>
              <w:suppressAutoHyphens/>
              <w:spacing w:before="60" w:after="60"/>
              <w:ind w:right="57"/>
              <w:jc w:val="left"/>
              <w:rPr>
                <w:rFonts w:cs="Arial"/>
                <w:sz w:val="20"/>
                <w:szCs w:val="20"/>
                <w:lang w:val="en-GB"/>
              </w:rPr>
            </w:pPr>
          </w:p>
        </w:tc>
        <w:tc>
          <w:tcPr>
            <w:tcW w:w="2302" w:type="dxa"/>
            <w:tcBorders>
              <w:top w:val="single" w:sz="4" w:space="0" w:color="auto"/>
            </w:tcBorders>
          </w:tcPr>
          <w:p w14:paraId="2C760530" w14:textId="77777777" w:rsidR="00220652" w:rsidRPr="009F63DF" w:rsidRDefault="00220652" w:rsidP="00495C31">
            <w:pPr>
              <w:suppressAutoHyphens/>
              <w:spacing w:before="60" w:after="60"/>
              <w:ind w:right="57"/>
              <w:jc w:val="left"/>
              <w:rPr>
                <w:rFonts w:cs="Arial"/>
                <w:i/>
                <w:iCs/>
                <w:sz w:val="20"/>
                <w:szCs w:val="20"/>
                <w:lang w:val="en-GB"/>
              </w:rPr>
            </w:pPr>
            <w:r w:rsidRPr="009F63DF">
              <w:rPr>
                <w:rFonts w:cs="Arial"/>
                <w:i/>
                <w:iCs/>
                <w:sz w:val="20"/>
                <w:szCs w:val="20"/>
                <w:lang w:val="en-GB"/>
              </w:rPr>
              <w:t>Accuracy class</w:t>
            </w:r>
          </w:p>
        </w:tc>
        <w:tc>
          <w:tcPr>
            <w:tcW w:w="4394" w:type="dxa"/>
            <w:gridSpan w:val="2"/>
            <w:tcBorders>
              <w:top w:val="single" w:sz="4" w:space="0" w:color="auto"/>
            </w:tcBorders>
          </w:tcPr>
          <w:p w14:paraId="46B1C580" w14:textId="2ACA5361" w:rsidR="00220652" w:rsidRPr="009F63DF" w:rsidRDefault="00AB2619" w:rsidP="00495C31">
            <w:pPr>
              <w:suppressAutoHyphens/>
              <w:spacing w:before="60" w:after="60"/>
              <w:ind w:right="57"/>
              <w:rPr>
                <w:rFonts w:cs="Arial"/>
                <w:sz w:val="20"/>
                <w:szCs w:val="20"/>
                <w:lang w:val="en-GB"/>
              </w:rPr>
            </w:pPr>
            <w:r w:rsidRPr="009F63DF">
              <w:rPr>
                <w:sz w:val="20"/>
                <w:szCs w:val="20"/>
                <w:lang w:val="en-GB"/>
              </w:rPr>
              <w:t>N/A</w:t>
            </w:r>
          </w:p>
        </w:tc>
      </w:tr>
      <w:tr w:rsidR="0062370B" w:rsidRPr="009F63DF" w14:paraId="59FC10FB" w14:textId="77777777" w:rsidTr="009167D3">
        <w:trPr>
          <w:trHeight w:val="104"/>
        </w:trPr>
        <w:tc>
          <w:tcPr>
            <w:tcW w:w="1833" w:type="dxa"/>
            <w:vMerge/>
          </w:tcPr>
          <w:p w14:paraId="6F762CDB" w14:textId="77777777" w:rsidR="00220652" w:rsidRPr="009F63DF" w:rsidRDefault="00220652" w:rsidP="00540956">
            <w:pPr>
              <w:suppressAutoHyphens/>
              <w:spacing w:before="60" w:after="60"/>
              <w:ind w:right="57"/>
              <w:jc w:val="left"/>
              <w:rPr>
                <w:rFonts w:cs="Arial"/>
                <w:sz w:val="20"/>
                <w:szCs w:val="20"/>
                <w:lang w:val="en-GB"/>
              </w:rPr>
            </w:pPr>
          </w:p>
        </w:tc>
        <w:tc>
          <w:tcPr>
            <w:tcW w:w="2302" w:type="dxa"/>
            <w:tcBorders>
              <w:top w:val="single" w:sz="4" w:space="0" w:color="auto"/>
            </w:tcBorders>
          </w:tcPr>
          <w:p w14:paraId="23A3C359" w14:textId="77777777" w:rsidR="00220652" w:rsidRPr="009F63DF" w:rsidRDefault="00220652" w:rsidP="00495C31">
            <w:pPr>
              <w:suppressAutoHyphens/>
              <w:spacing w:before="60" w:after="60"/>
              <w:ind w:right="57"/>
              <w:jc w:val="left"/>
              <w:rPr>
                <w:rFonts w:cs="Arial"/>
                <w:i/>
                <w:iCs/>
                <w:sz w:val="20"/>
                <w:szCs w:val="20"/>
                <w:lang w:val="en-GB"/>
              </w:rPr>
            </w:pPr>
            <w:r w:rsidRPr="009F63DF">
              <w:rPr>
                <w:rFonts w:cs="Arial"/>
                <w:i/>
                <w:iCs/>
                <w:sz w:val="20"/>
                <w:szCs w:val="20"/>
                <w:lang w:val="en-GB"/>
              </w:rPr>
              <w:t>Calibration requirements</w:t>
            </w:r>
          </w:p>
        </w:tc>
        <w:tc>
          <w:tcPr>
            <w:tcW w:w="4394" w:type="dxa"/>
            <w:gridSpan w:val="2"/>
            <w:tcBorders>
              <w:top w:val="single" w:sz="4" w:space="0" w:color="auto"/>
            </w:tcBorders>
          </w:tcPr>
          <w:p w14:paraId="5C89F57D" w14:textId="0C54D41A" w:rsidR="00220652" w:rsidRPr="009F63DF" w:rsidRDefault="00AB2619" w:rsidP="00495C31">
            <w:pPr>
              <w:suppressAutoHyphens/>
              <w:spacing w:before="60" w:after="60"/>
              <w:ind w:right="57"/>
              <w:rPr>
                <w:rFonts w:cs="Arial"/>
                <w:i/>
                <w:sz w:val="20"/>
                <w:szCs w:val="20"/>
                <w:lang w:val="en-GB"/>
              </w:rPr>
            </w:pPr>
            <w:r w:rsidRPr="009F63DF">
              <w:rPr>
                <w:sz w:val="20"/>
                <w:szCs w:val="20"/>
                <w:lang w:val="en-GB"/>
              </w:rPr>
              <w:t>N/A</w:t>
            </w:r>
          </w:p>
        </w:tc>
      </w:tr>
      <w:tr w:rsidR="0062370B" w:rsidRPr="009F63DF" w14:paraId="6CF1FC9B" w14:textId="77777777" w:rsidTr="009167D3">
        <w:trPr>
          <w:trHeight w:val="104"/>
        </w:trPr>
        <w:tc>
          <w:tcPr>
            <w:tcW w:w="1833" w:type="dxa"/>
            <w:vMerge/>
          </w:tcPr>
          <w:p w14:paraId="726A0C39" w14:textId="77777777" w:rsidR="00220652" w:rsidRPr="009F63DF" w:rsidRDefault="00220652" w:rsidP="00540956">
            <w:pPr>
              <w:suppressAutoHyphens/>
              <w:spacing w:before="60" w:after="60"/>
              <w:ind w:right="57"/>
              <w:jc w:val="left"/>
              <w:rPr>
                <w:rFonts w:cs="Arial"/>
                <w:sz w:val="20"/>
                <w:szCs w:val="20"/>
                <w:lang w:val="en-GB"/>
              </w:rPr>
            </w:pPr>
          </w:p>
        </w:tc>
        <w:tc>
          <w:tcPr>
            <w:tcW w:w="2302" w:type="dxa"/>
            <w:tcBorders>
              <w:top w:val="single" w:sz="4" w:space="0" w:color="auto"/>
            </w:tcBorders>
          </w:tcPr>
          <w:p w14:paraId="6963CF9B" w14:textId="77777777" w:rsidR="00220652" w:rsidRPr="009F63DF" w:rsidRDefault="00220652" w:rsidP="00495C31">
            <w:pPr>
              <w:suppressAutoHyphens/>
              <w:spacing w:before="60" w:after="60"/>
              <w:ind w:right="57"/>
              <w:jc w:val="left"/>
              <w:rPr>
                <w:rFonts w:cs="Arial"/>
                <w:i/>
                <w:iCs/>
                <w:sz w:val="20"/>
                <w:szCs w:val="20"/>
                <w:lang w:val="en-GB"/>
              </w:rPr>
            </w:pPr>
            <w:r w:rsidRPr="009F63DF">
              <w:rPr>
                <w:rFonts w:cs="Arial"/>
                <w:i/>
                <w:iCs/>
                <w:sz w:val="20"/>
                <w:szCs w:val="20"/>
                <w:lang w:val="en-GB"/>
              </w:rPr>
              <w:t>Location</w:t>
            </w:r>
          </w:p>
        </w:tc>
        <w:tc>
          <w:tcPr>
            <w:tcW w:w="4394" w:type="dxa"/>
            <w:gridSpan w:val="2"/>
            <w:tcBorders>
              <w:top w:val="single" w:sz="4" w:space="0" w:color="auto"/>
            </w:tcBorders>
          </w:tcPr>
          <w:p w14:paraId="3520528A" w14:textId="7CD5C640" w:rsidR="00220652" w:rsidRPr="009F63DF" w:rsidRDefault="00AB2619" w:rsidP="00495C31">
            <w:pPr>
              <w:suppressAutoHyphens/>
              <w:spacing w:before="60" w:after="60"/>
              <w:ind w:right="57"/>
              <w:rPr>
                <w:rFonts w:cs="Arial"/>
                <w:sz w:val="20"/>
                <w:szCs w:val="20"/>
                <w:lang w:val="en-GB"/>
              </w:rPr>
            </w:pPr>
            <w:r w:rsidRPr="009F63DF">
              <w:rPr>
                <w:rFonts w:cs="Arial"/>
                <w:sz w:val="20"/>
                <w:szCs w:val="20"/>
                <w:lang w:val="en-GB"/>
              </w:rPr>
              <w:t>Article 6.4 activity households</w:t>
            </w:r>
          </w:p>
        </w:tc>
      </w:tr>
      <w:tr w:rsidR="00220652" w:rsidRPr="009F63DF" w14:paraId="738E8ECE" w14:textId="77777777" w:rsidTr="009167D3">
        <w:tc>
          <w:tcPr>
            <w:tcW w:w="1833" w:type="dxa"/>
            <w:shd w:val="clear" w:color="auto" w:fill="E6E6E6"/>
          </w:tcPr>
          <w:p w14:paraId="2DDC5718"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96" w:type="dxa"/>
            <w:gridSpan w:val="3"/>
          </w:tcPr>
          <w:p w14:paraId="7905EE29" w14:textId="6F1163EC" w:rsidR="00220652" w:rsidRPr="009F63DF" w:rsidRDefault="00575404" w:rsidP="00495C31">
            <w:pPr>
              <w:tabs>
                <w:tab w:val="left" w:pos="567"/>
              </w:tabs>
              <w:suppressAutoHyphens/>
              <w:spacing w:before="20" w:after="20"/>
              <w:ind w:right="159"/>
              <w:rPr>
                <w:rFonts w:cs="Arial"/>
                <w:sz w:val="20"/>
                <w:szCs w:val="20"/>
                <w:lang w:val="en-GB"/>
              </w:rPr>
            </w:pPr>
            <w:r w:rsidRPr="009F63DF">
              <w:rPr>
                <w:rFonts w:cs="Arial"/>
                <w:sz w:val="20"/>
                <w:szCs w:val="20"/>
                <w:lang w:val="en-GB"/>
              </w:rPr>
              <w:t>Once</w:t>
            </w:r>
          </w:p>
        </w:tc>
      </w:tr>
      <w:tr w:rsidR="00220652" w:rsidRPr="009F63DF" w14:paraId="5422B398" w14:textId="77777777" w:rsidTr="009167D3">
        <w:tc>
          <w:tcPr>
            <w:tcW w:w="1833" w:type="dxa"/>
            <w:shd w:val="clear" w:color="auto" w:fill="E6E6E6"/>
          </w:tcPr>
          <w:p w14:paraId="3F09750A"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96" w:type="dxa"/>
            <w:gridSpan w:val="3"/>
          </w:tcPr>
          <w:p w14:paraId="68DBD261" w14:textId="0AD09A38" w:rsidR="00220652" w:rsidRPr="009F63DF" w:rsidRDefault="003F21A9" w:rsidP="00495C31">
            <w:pPr>
              <w:tabs>
                <w:tab w:val="left" w:pos="567"/>
              </w:tabs>
              <w:suppressAutoHyphens/>
              <w:spacing w:before="20" w:after="20"/>
              <w:ind w:right="159"/>
              <w:rPr>
                <w:rFonts w:cs="Arial"/>
                <w:sz w:val="20"/>
                <w:szCs w:val="20"/>
                <w:lang w:val="en-GB"/>
              </w:rPr>
            </w:pPr>
            <w:r w:rsidRPr="009F63DF">
              <w:rPr>
                <w:rFonts w:cs="Arial"/>
                <w:sz w:val="20"/>
                <w:szCs w:val="20"/>
                <w:bdr w:val="none" w:sz="0" w:space="0" w:color="auto" w:frame="1"/>
                <w:shd w:val="clear" w:color="auto" w:fill="FFFFFF"/>
                <w:lang w:val="en-GB"/>
              </w:rPr>
              <w:t xml:space="preserve">The parameter estimate from the survey shall meet the minimum </w:t>
            </w:r>
            <w:r w:rsidR="004752DF" w:rsidRPr="009F63DF">
              <w:rPr>
                <w:rFonts w:cs="Arial"/>
                <w:sz w:val="20"/>
                <w:szCs w:val="20"/>
                <w:bdr w:val="none" w:sz="0" w:space="0" w:color="auto" w:frame="1"/>
                <w:shd w:val="clear" w:color="auto" w:fill="FFFFFF"/>
                <w:lang w:val="en-GB"/>
              </w:rPr>
              <w:t>reliability</w:t>
            </w:r>
            <w:r w:rsidRPr="009F63DF">
              <w:rPr>
                <w:rFonts w:cs="Arial"/>
                <w:sz w:val="20"/>
                <w:szCs w:val="20"/>
                <w:bdr w:val="none" w:sz="0" w:space="0" w:color="auto" w:frame="1"/>
                <w:shd w:val="clear" w:color="auto" w:fill="FFFFFF"/>
                <w:lang w:val="en-GB"/>
              </w:rPr>
              <w:t xml:space="preserve"> of 95/10 for the percentage of </w:t>
            </w:r>
            <w:r w:rsidR="009D55B7" w:rsidRPr="009F63DF">
              <w:rPr>
                <w:rFonts w:cs="Arial"/>
                <w:sz w:val="20"/>
                <w:szCs w:val="20"/>
                <w:bdr w:val="none" w:sz="0" w:space="0" w:color="auto" w:frame="1"/>
                <w:shd w:val="clear" w:color="auto" w:fill="FFFFFF"/>
                <w:lang w:val="en-GB"/>
              </w:rPr>
              <w:t>activity</w:t>
            </w:r>
            <w:r w:rsidRPr="009F63DF">
              <w:rPr>
                <w:rFonts w:cs="Arial"/>
                <w:sz w:val="20"/>
                <w:szCs w:val="20"/>
                <w:bdr w:val="none" w:sz="0" w:space="0" w:color="auto" w:frame="1"/>
                <w:shd w:val="clear" w:color="auto" w:fill="FFFFFF"/>
                <w:lang w:val="en-GB"/>
              </w:rPr>
              <w:t xml:space="preserve"> cooking conducted using </w:t>
            </w:r>
            <w:r w:rsidRPr="009F63DF">
              <w:rPr>
                <w:rFonts w:eastAsia="Montserrat" w:cs="Arial"/>
                <w:sz w:val="20"/>
                <w:szCs w:val="20"/>
                <w:lang w:val="en-GB"/>
              </w:rPr>
              <w:t xml:space="preserve">fuel </w:t>
            </w:r>
            <w:r w:rsidRPr="009F63DF">
              <w:rPr>
                <w:rFonts w:eastAsia="Montserrat" w:cs="Arial"/>
                <w:i/>
                <w:sz w:val="20"/>
                <w:szCs w:val="20"/>
                <w:lang w:val="en-GB"/>
              </w:rPr>
              <w:t>i</w:t>
            </w:r>
          </w:p>
        </w:tc>
      </w:tr>
      <w:tr w:rsidR="00220652" w:rsidRPr="009F63DF" w14:paraId="487D7EA2" w14:textId="77777777" w:rsidTr="009167D3">
        <w:tc>
          <w:tcPr>
            <w:tcW w:w="1833" w:type="dxa"/>
            <w:shd w:val="clear" w:color="auto" w:fill="E6E6E6"/>
          </w:tcPr>
          <w:p w14:paraId="5250BEAF" w14:textId="77777777" w:rsidR="00220652" w:rsidRPr="009F63DF" w:rsidRDefault="00220652"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96" w:type="dxa"/>
            <w:gridSpan w:val="3"/>
          </w:tcPr>
          <w:p w14:paraId="7EB03210" w14:textId="2BCDC8CD" w:rsidR="00220652" w:rsidRPr="009F63DF" w:rsidRDefault="00575404" w:rsidP="00495C31">
            <w:pPr>
              <w:pStyle w:val="ParaTickBox"/>
              <w:keepNext/>
              <w:tabs>
                <w:tab w:val="clear" w:pos="510"/>
                <w:tab w:val="left" w:pos="315"/>
              </w:tabs>
              <w:suppressAutoHyphens/>
              <w:ind w:left="0" w:firstLine="0"/>
              <w:jc w:val="both"/>
              <w:rPr>
                <w:szCs w:val="20"/>
                <w:lang w:val="en-GB"/>
              </w:rPr>
            </w:pPr>
            <w:r w:rsidRPr="009F63DF">
              <w:rPr>
                <w:szCs w:val="20"/>
                <w:lang w:val="en-GB"/>
              </w:rPr>
              <w:t>N/A</w:t>
            </w:r>
          </w:p>
        </w:tc>
      </w:tr>
      <w:tr w:rsidR="00220652" w:rsidRPr="009F63DF" w14:paraId="2D8DE687" w14:textId="77777777" w:rsidTr="009167D3">
        <w:tc>
          <w:tcPr>
            <w:tcW w:w="1833" w:type="dxa"/>
            <w:shd w:val="clear" w:color="auto" w:fill="E6E6E6"/>
          </w:tcPr>
          <w:p w14:paraId="116FD935"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96" w:type="dxa"/>
            <w:gridSpan w:val="3"/>
          </w:tcPr>
          <w:p w14:paraId="0AEC7D41" w14:textId="13B20642" w:rsidR="00220652" w:rsidRPr="009F63DF" w:rsidRDefault="00F0251E" w:rsidP="00495C31">
            <w:pPr>
              <w:suppressAutoHyphens/>
              <w:spacing w:before="60" w:after="60"/>
              <w:ind w:right="57"/>
              <w:rPr>
                <w:rFonts w:cs="Arial"/>
                <w:sz w:val="20"/>
                <w:szCs w:val="20"/>
                <w:lang w:val="en-GB"/>
              </w:rPr>
            </w:pPr>
            <w:r w:rsidRPr="009F63DF">
              <w:rPr>
                <w:rFonts w:eastAsia="Montserrat" w:cs="Arial"/>
                <w:sz w:val="20"/>
                <w:szCs w:val="20"/>
                <w:lang w:val="en-GB"/>
              </w:rPr>
              <w:t>This parameter is used to verify that fuel switch does not occur during the Article 6.4 activity</w:t>
            </w:r>
          </w:p>
        </w:tc>
      </w:tr>
    </w:tbl>
    <w:p w14:paraId="1AF70C24" w14:textId="41DC4E7C"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20</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67"/>
        <w:gridCol w:w="1875"/>
        <w:gridCol w:w="393"/>
        <w:gridCol w:w="2126"/>
        <w:gridCol w:w="2268"/>
      </w:tblGrid>
      <w:tr w:rsidR="00220652" w:rsidRPr="009F63DF" w14:paraId="0225472B" w14:textId="77777777" w:rsidTr="26CCAC22">
        <w:tc>
          <w:tcPr>
            <w:tcW w:w="1867" w:type="dxa"/>
            <w:shd w:val="clear" w:color="auto" w:fill="E6E6E6"/>
          </w:tcPr>
          <w:p w14:paraId="1A67930E" w14:textId="77777777" w:rsidR="00220652" w:rsidRPr="009F63DF" w:rsidRDefault="00220652" w:rsidP="00540956">
            <w:pPr>
              <w:keepNext/>
              <w:suppressAutoHyphens/>
              <w:spacing w:before="60" w:after="60"/>
              <w:ind w:right="57"/>
              <w:jc w:val="left"/>
              <w:rPr>
                <w:rFonts w:cs="Arial"/>
                <w:b/>
                <w:bCs/>
                <w:sz w:val="20"/>
                <w:szCs w:val="20"/>
                <w:lang w:val="en-GB"/>
              </w:rPr>
            </w:pPr>
            <w:r w:rsidRPr="009F63DF">
              <w:rPr>
                <w:rFonts w:cs="Arial"/>
                <w:b/>
                <w:bCs/>
                <w:sz w:val="20"/>
                <w:szCs w:val="20"/>
                <w:lang w:val="en-GB"/>
              </w:rPr>
              <w:t>Data/parameter</w:t>
            </w:r>
          </w:p>
        </w:tc>
        <w:tc>
          <w:tcPr>
            <w:tcW w:w="6662" w:type="dxa"/>
            <w:gridSpan w:val="4"/>
          </w:tcPr>
          <w:p w14:paraId="128136F0" w14:textId="0C7BF4BD" w:rsidR="00220652" w:rsidRPr="009F63DF" w:rsidRDefault="001549D8" w:rsidP="00495C31">
            <w:pPr>
              <w:keepNext/>
              <w:suppressAutoHyphens/>
              <w:spacing w:before="60" w:after="60"/>
              <w:ind w:right="57"/>
              <w:jc w:val="left"/>
              <w:rPr>
                <w:rFonts w:cs="Arial"/>
                <w:b/>
                <w:i/>
                <w:sz w:val="20"/>
                <w:szCs w:val="20"/>
                <w:lang w:val="en-GB"/>
              </w:rPr>
            </w:pPr>
            <m:oMathPara>
              <m:oMathParaPr>
                <m:jc m:val="left"/>
              </m:oMathParaPr>
              <m:oMath>
                <m:sSub>
                  <m:sSubPr>
                    <m:ctrlPr>
                      <w:rPr>
                        <w:rFonts w:ascii="Cambria Math" w:eastAsia="Cambria Math" w:hAnsi="Cambria Math" w:cs="Arial"/>
                        <w:sz w:val="20"/>
                        <w:szCs w:val="20"/>
                        <w:lang w:val="en-GB"/>
                      </w:rPr>
                    </m:ctrlPr>
                  </m:sSubPr>
                  <m:e>
                    <m:r>
                      <m:rPr>
                        <m:sty m:val="bi"/>
                      </m:rPr>
                      <w:rPr>
                        <w:rFonts w:ascii="Cambria Math" w:eastAsia="Cambria Math" w:hAnsi="Cambria Math" w:cs="Arial"/>
                        <w:sz w:val="20"/>
                        <w:szCs w:val="20"/>
                        <w:lang w:val="en-GB"/>
                      </w:rPr>
                      <m:t>PCE</m:t>
                    </m:r>
                  </m:e>
                  <m:sub>
                    <m:r>
                      <m:rPr>
                        <m:sty m:val="bi"/>
                      </m:rPr>
                      <w:rPr>
                        <w:rFonts w:ascii="Cambria Math" w:eastAsia="Cambria Math" w:hAnsi="Cambria Math" w:cs="Arial"/>
                        <w:sz w:val="20"/>
                        <w:szCs w:val="20"/>
                        <w:lang w:val="en-GB"/>
                      </w:rPr>
                      <m:t>m</m:t>
                    </m:r>
                  </m:sub>
                </m:sSub>
              </m:oMath>
            </m:oMathPara>
          </w:p>
        </w:tc>
      </w:tr>
      <w:tr w:rsidR="00220652" w:rsidRPr="009F63DF" w14:paraId="1BD449DF" w14:textId="77777777" w:rsidTr="26CCAC22">
        <w:tc>
          <w:tcPr>
            <w:tcW w:w="1867" w:type="dxa"/>
            <w:shd w:val="clear" w:color="auto" w:fill="E6E6E6"/>
          </w:tcPr>
          <w:p w14:paraId="6B27F604"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62" w:type="dxa"/>
            <w:gridSpan w:val="4"/>
          </w:tcPr>
          <w:p w14:paraId="7715D689" w14:textId="5F492CE5" w:rsidR="00220652" w:rsidRPr="009F63DF" w:rsidRDefault="00220652" w:rsidP="00495C31">
            <w:pPr>
              <w:suppressAutoHyphens/>
              <w:spacing w:before="60" w:after="60"/>
              <w:ind w:right="57"/>
              <w:rPr>
                <w:rFonts w:cs="Arial"/>
                <w:sz w:val="20"/>
                <w:szCs w:val="20"/>
                <w:lang w:val="en-GB"/>
              </w:rPr>
            </w:pPr>
            <w:r w:rsidRPr="009F63DF">
              <w:rPr>
                <w:rFonts w:eastAsia="Montserrat" w:cs="Arial"/>
                <w:sz w:val="20"/>
                <w:szCs w:val="20"/>
                <w:lang w:val="en-GB"/>
              </w:rPr>
              <w:t xml:space="preserve">Average project </w:t>
            </w:r>
            <w:r w:rsidR="00F956A6" w:rsidRPr="009F63DF">
              <w:rPr>
                <w:rFonts w:eastAsia="Montserrat" w:cs="Arial"/>
                <w:sz w:val="20"/>
                <w:szCs w:val="20"/>
                <w:lang w:val="en-GB"/>
              </w:rPr>
              <w:t>cookstove</w:t>
            </w:r>
            <w:r w:rsidRPr="009F63DF">
              <w:rPr>
                <w:rFonts w:eastAsia="Montserrat" w:cs="Arial"/>
                <w:sz w:val="20"/>
                <w:szCs w:val="20"/>
                <w:lang w:val="en-GB"/>
              </w:rPr>
              <w:t xml:space="preserve"> cooking events per day over one month from SUMs measurements</w:t>
            </w:r>
          </w:p>
        </w:tc>
      </w:tr>
      <w:tr w:rsidR="00220652" w:rsidRPr="009F63DF" w14:paraId="29FED5E6" w14:textId="77777777" w:rsidTr="26CCAC22">
        <w:tc>
          <w:tcPr>
            <w:tcW w:w="1867" w:type="dxa"/>
            <w:shd w:val="clear" w:color="auto" w:fill="E6E6E6"/>
          </w:tcPr>
          <w:p w14:paraId="3A22AC7B"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62" w:type="dxa"/>
            <w:gridSpan w:val="4"/>
          </w:tcPr>
          <w:p w14:paraId="5F3FB490" w14:textId="7BDA1A25" w:rsidR="00220652" w:rsidRPr="009F63DF" w:rsidRDefault="00F956A6" w:rsidP="00495C31">
            <w:pPr>
              <w:suppressAutoHyphens/>
              <w:spacing w:before="60" w:after="60"/>
              <w:ind w:right="57"/>
              <w:jc w:val="left"/>
              <w:rPr>
                <w:rFonts w:cs="Arial"/>
                <w:sz w:val="20"/>
                <w:szCs w:val="20"/>
                <w:lang w:val="en-GB"/>
              </w:rPr>
            </w:pPr>
            <w:r w:rsidRPr="009F63DF">
              <w:rPr>
                <w:rFonts w:eastAsia="Montserrat" w:cs="Arial"/>
                <w:sz w:val="20"/>
                <w:szCs w:val="20"/>
                <w:lang w:val="en-GB"/>
              </w:rPr>
              <w:t>Number of c</w:t>
            </w:r>
            <w:r w:rsidR="00220652" w:rsidRPr="009F63DF">
              <w:rPr>
                <w:rFonts w:eastAsia="Montserrat" w:cs="Arial"/>
                <w:sz w:val="20"/>
                <w:szCs w:val="20"/>
                <w:lang w:val="en-GB"/>
              </w:rPr>
              <w:t>ooking events/day</w:t>
            </w:r>
          </w:p>
        </w:tc>
      </w:tr>
      <w:tr w:rsidR="00220652" w:rsidRPr="009F63DF" w14:paraId="6B62787F" w14:textId="77777777" w:rsidTr="26CCAC22">
        <w:tc>
          <w:tcPr>
            <w:tcW w:w="1867" w:type="dxa"/>
            <w:shd w:val="clear" w:color="auto" w:fill="E6E6E6"/>
          </w:tcPr>
          <w:p w14:paraId="3060AD60"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62" w:type="dxa"/>
            <w:gridSpan w:val="4"/>
            <w:tcBorders>
              <w:bottom w:val="single" w:sz="4" w:space="0" w:color="auto"/>
            </w:tcBorders>
          </w:tcPr>
          <w:p w14:paraId="07E80708" w14:textId="6836D895" w:rsidR="00220652" w:rsidRPr="009F63DF" w:rsidRDefault="4C1A9467" w:rsidP="00495C31">
            <w:pPr>
              <w:suppressAutoHyphens/>
              <w:spacing w:before="60" w:after="60"/>
              <w:ind w:right="57"/>
              <w:rPr>
                <w:rFonts w:cs="Arial"/>
                <w:sz w:val="20"/>
                <w:szCs w:val="20"/>
                <w:lang w:val="en-GB"/>
              </w:rPr>
            </w:pPr>
            <w:r w:rsidRPr="009F63DF">
              <w:rPr>
                <w:rFonts w:cs="Arial"/>
                <w:sz w:val="20"/>
                <w:szCs w:val="20"/>
                <w:lang w:val="en-GB"/>
              </w:rPr>
              <w:t>Equation (</w:t>
            </w:r>
            <w:r w:rsidR="00D524DC">
              <w:rPr>
                <w:rFonts w:cs="Arial"/>
                <w:sz w:val="20"/>
                <w:szCs w:val="20"/>
                <w:lang w:val="en-GB"/>
              </w:rPr>
              <w:t>25</w:t>
            </w:r>
            <w:r w:rsidRPr="009F63DF">
              <w:rPr>
                <w:rFonts w:cs="Arial"/>
                <w:sz w:val="20"/>
                <w:szCs w:val="20"/>
                <w:lang w:val="en-GB"/>
              </w:rPr>
              <w:t>)</w:t>
            </w:r>
          </w:p>
        </w:tc>
      </w:tr>
      <w:tr w:rsidR="00220652" w:rsidRPr="009F63DF" w14:paraId="669E090B" w14:textId="77777777" w:rsidTr="26CCAC22">
        <w:tc>
          <w:tcPr>
            <w:tcW w:w="1867" w:type="dxa"/>
            <w:shd w:val="clear" w:color="auto" w:fill="E6E6E6"/>
          </w:tcPr>
          <w:p w14:paraId="3BB5A1FD"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268" w:type="dxa"/>
            <w:gridSpan w:val="2"/>
            <w:tcBorders>
              <w:bottom w:val="nil"/>
              <w:right w:val="nil"/>
            </w:tcBorders>
          </w:tcPr>
          <w:p w14:paraId="42143882" w14:textId="0D30F672" w:rsidR="00220652" w:rsidRPr="009F63DF" w:rsidRDefault="00220652"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0"/>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17430E" w:rsidRPr="009F63DF">
              <w:rPr>
                <w:rFonts w:cs="Arial"/>
                <w:sz w:val="20"/>
                <w:shd w:val="clear" w:color="auto" w:fill="E6E6E6"/>
                <w:lang w:val="en-GB"/>
              </w:rPr>
              <w:t xml:space="preserve"> </w:t>
            </w:r>
            <w:r w:rsidRPr="009F63DF">
              <w:rPr>
                <w:rFonts w:cs="Arial"/>
                <w:sz w:val="20"/>
                <w:szCs w:val="20"/>
                <w:lang w:val="en-GB"/>
              </w:rPr>
              <w:t xml:space="preserve">Baseline </w:t>
            </w:r>
            <w:r w:rsidR="000F67F3" w:rsidRPr="009F63DF">
              <w:rPr>
                <w:rFonts w:cs="Arial"/>
                <w:sz w:val="20"/>
                <w:szCs w:val="20"/>
                <w:lang w:val="en-GB"/>
              </w:rPr>
              <w:t>Scenario</w:t>
            </w:r>
          </w:p>
        </w:tc>
        <w:tc>
          <w:tcPr>
            <w:tcW w:w="2126" w:type="dxa"/>
            <w:tcBorders>
              <w:left w:val="nil"/>
              <w:bottom w:val="nil"/>
              <w:right w:val="nil"/>
            </w:tcBorders>
          </w:tcPr>
          <w:p w14:paraId="1CC8A5A6" w14:textId="2A6B33A1" w:rsidR="00220652" w:rsidRPr="009F63DF" w:rsidRDefault="00220652"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Pr="009F63DF">
              <w:rPr>
                <w:rFonts w:cs="Arial"/>
                <w:sz w:val="20"/>
                <w:szCs w:val="20"/>
                <w:lang w:val="en-GB"/>
              </w:rPr>
              <w:t xml:space="preserve"> </w:t>
            </w:r>
            <w:r w:rsidR="002646DE" w:rsidRPr="009F63DF">
              <w:rPr>
                <w:rFonts w:cs="Arial"/>
                <w:sz w:val="20"/>
                <w:szCs w:val="20"/>
                <w:lang w:val="en-GB"/>
              </w:rPr>
              <w:t>Activity</w:t>
            </w:r>
            <w:r w:rsidRPr="009F63DF">
              <w:rPr>
                <w:rFonts w:cs="Arial"/>
                <w:sz w:val="20"/>
                <w:szCs w:val="20"/>
                <w:lang w:val="en-GB"/>
              </w:rPr>
              <w:t xml:space="preserve"> </w:t>
            </w:r>
            <w:r w:rsidR="000F67F3" w:rsidRPr="009F63DF">
              <w:rPr>
                <w:rFonts w:cs="Arial"/>
                <w:sz w:val="20"/>
                <w:szCs w:val="20"/>
                <w:lang w:val="en-GB"/>
              </w:rPr>
              <w:t>Scenario</w:t>
            </w:r>
          </w:p>
        </w:tc>
        <w:tc>
          <w:tcPr>
            <w:tcW w:w="2268" w:type="dxa"/>
            <w:tcBorders>
              <w:left w:val="nil"/>
              <w:bottom w:val="nil"/>
            </w:tcBorders>
          </w:tcPr>
          <w:p w14:paraId="5887A3A6" w14:textId="6DA87483" w:rsidR="00220652" w:rsidRPr="009F63DF" w:rsidRDefault="00220652" w:rsidP="00495C31">
            <w:pPr>
              <w:suppressAutoHyphens/>
              <w:spacing w:before="60" w:after="60"/>
              <w:ind w:right="57"/>
              <w:jc w:val="left"/>
              <w:rPr>
                <w:rFonts w:cs="Arial"/>
                <w:sz w:val="20"/>
                <w:szCs w:val="20"/>
                <w:lang w:val="en-GB"/>
              </w:rPr>
            </w:pPr>
            <w:r w:rsidRPr="009F63DF">
              <w:rPr>
                <w:sz w:val="20"/>
                <w:shd w:val="clear" w:color="auto" w:fill="E6E6E6"/>
              </w:rPr>
              <w:fldChar w:fldCharType="begin">
                <w:ffData>
                  <w:name w:val="Check2"/>
                  <w:enabled/>
                  <w:calcOnExit w:val="0"/>
                  <w:checkBox>
                    <w:size w:val="20"/>
                    <w:default w:val="0"/>
                  </w:checkBox>
                </w:ffData>
              </w:fldChar>
            </w:r>
            <w:r w:rsidRPr="009F63DF">
              <w:rPr>
                <w:sz w:val="20"/>
                <w:szCs w:val="20"/>
                <w:lang w:val="en-GB"/>
              </w:rPr>
              <w:instrText xml:space="preserve"> FORMCHECKBOX </w:instrText>
            </w:r>
            <w:r w:rsidRPr="009F63DF">
              <w:rPr>
                <w:sz w:val="20"/>
                <w:shd w:val="clear" w:color="auto" w:fill="E6E6E6"/>
              </w:rPr>
            </w:r>
            <w:r w:rsidRPr="009F63DF">
              <w:rPr>
                <w:sz w:val="20"/>
                <w:shd w:val="clear" w:color="auto" w:fill="E6E6E6"/>
              </w:rPr>
              <w:fldChar w:fldCharType="separate"/>
            </w:r>
            <w:r w:rsidRPr="009F63DF">
              <w:rPr>
                <w:sz w:val="20"/>
                <w:shd w:val="clear" w:color="auto" w:fill="E6E6E6"/>
              </w:rPr>
              <w:fldChar w:fldCharType="end"/>
            </w:r>
            <w:r w:rsidR="0017430E" w:rsidRPr="009F63DF">
              <w:rPr>
                <w:sz w:val="20"/>
                <w:shd w:val="clear" w:color="auto" w:fill="E6E6E6"/>
                <w:lang w:val="en-GB"/>
              </w:rPr>
              <w:t xml:space="preserve"> </w:t>
            </w:r>
            <w:r w:rsidRPr="009F63DF">
              <w:rPr>
                <w:sz w:val="20"/>
                <w:szCs w:val="20"/>
                <w:shd w:val="clear" w:color="auto" w:fill="E6E6E6"/>
                <w:lang w:val="en-GB"/>
              </w:rPr>
              <w:t>Le</w:t>
            </w:r>
            <w:r w:rsidRPr="009F63DF">
              <w:rPr>
                <w:sz w:val="20"/>
                <w:szCs w:val="20"/>
                <w:lang w:val="en-GB"/>
              </w:rPr>
              <w:t xml:space="preserve">akage </w:t>
            </w:r>
          </w:p>
        </w:tc>
      </w:tr>
      <w:tr w:rsidR="000F67F3" w:rsidRPr="009F63DF" w14:paraId="2F62DF75" w14:textId="77777777" w:rsidTr="26CCAC22">
        <w:tc>
          <w:tcPr>
            <w:tcW w:w="1867" w:type="dxa"/>
            <w:shd w:val="clear" w:color="auto" w:fill="E6E6E6"/>
          </w:tcPr>
          <w:p w14:paraId="7CC2F257" w14:textId="7A6A704F" w:rsidR="000F67F3" w:rsidRPr="009F63DF" w:rsidRDefault="000F67F3" w:rsidP="00540956">
            <w:pPr>
              <w:suppressAutoHyphens/>
              <w:spacing w:before="60" w:after="60"/>
              <w:ind w:right="57"/>
              <w:jc w:val="left"/>
              <w:rPr>
                <w:rFonts w:cs="Arial"/>
                <w:sz w:val="20"/>
                <w:lang w:val="en-GB"/>
              </w:rPr>
            </w:pPr>
            <w:r w:rsidRPr="009F63DF">
              <w:rPr>
                <w:rFonts w:cs="Arial"/>
                <w:sz w:val="20"/>
                <w:lang w:val="en-GB"/>
              </w:rPr>
              <w:t>Value applied</w:t>
            </w:r>
          </w:p>
        </w:tc>
        <w:tc>
          <w:tcPr>
            <w:tcW w:w="2268" w:type="dxa"/>
            <w:gridSpan w:val="2"/>
            <w:tcBorders>
              <w:bottom w:val="nil"/>
              <w:right w:val="nil"/>
            </w:tcBorders>
          </w:tcPr>
          <w:p w14:paraId="5DD7E9D7" w14:textId="77777777" w:rsidR="000F67F3" w:rsidRPr="009F63DF" w:rsidRDefault="000F67F3" w:rsidP="00495C31">
            <w:pPr>
              <w:suppressAutoHyphens/>
              <w:spacing w:before="60" w:after="60"/>
              <w:ind w:right="57"/>
              <w:jc w:val="left"/>
              <w:rPr>
                <w:rFonts w:cs="Arial"/>
                <w:sz w:val="20"/>
                <w:shd w:val="clear" w:color="auto" w:fill="E6E6E6"/>
                <w:lang w:val="en-GB"/>
              </w:rPr>
            </w:pPr>
          </w:p>
        </w:tc>
        <w:tc>
          <w:tcPr>
            <w:tcW w:w="2126" w:type="dxa"/>
            <w:tcBorders>
              <w:left w:val="nil"/>
              <w:bottom w:val="nil"/>
              <w:right w:val="nil"/>
            </w:tcBorders>
          </w:tcPr>
          <w:p w14:paraId="3F32CF39" w14:textId="77777777" w:rsidR="000F67F3" w:rsidRPr="009F63DF" w:rsidRDefault="000F67F3" w:rsidP="00495C31">
            <w:pPr>
              <w:suppressAutoHyphens/>
              <w:spacing w:before="60" w:after="60"/>
              <w:ind w:right="57"/>
              <w:jc w:val="left"/>
              <w:rPr>
                <w:rFonts w:cs="Arial"/>
                <w:sz w:val="20"/>
                <w:shd w:val="clear" w:color="auto" w:fill="E6E6E6"/>
                <w:lang w:val="en-GB"/>
              </w:rPr>
            </w:pPr>
          </w:p>
        </w:tc>
        <w:tc>
          <w:tcPr>
            <w:tcW w:w="2268" w:type="dxa"/>
            <w:tcBorders>
              <w:left w:val="nil"/>
              <w:bottom w:val="nil"/>
            </w:tcBorders>
          </w:tcPr>
          <w:p w14:paraId="1B4489B0" w14:textId="77777777" w:rsidR="000F67F3" w:rsidRPr="009F63DF" w:rsidRDefault="000F67F3" w:rsidP="00495C31">
            <w:pPr>
              <w:suppressAutoHyphens/>
              <w:spacing w:before="60" w:after="60"/>
              <w:ind w:right="57"/>
              <w:jc w:val="left"/>
              <w:rPr>
                <w:sz w:val="20"/>
                <w:shd w:val="clear" w:color="auto" w:fill="E6E6E6"/>
                <w:lang w:val="en-GB"/>
              </w:rPr>
            </w:pPr>
          </w:p>
        </w:tc>
      </w:tr>
      <w:tr w:rsidR="000F67F3" w:rsidRPr="009F63DF" w14:paraId="5214A171" w14:textId="77777777">
        <w:tc>
          <w:tcPr>
            <w:tcW w:w="1867" w:type="dxa"/>
            <w:shd w:val="clear" w:color="auto" w:fill="E6E6E6"/>
          </w:tcPr>
          <w:p w14:paraId="21BCA6EA" w14:textId="0005E1DD" w:rsidR="000F67F3" w:rsidRPr="009F63DF" w:rsidRDefault="000F67F3"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62" w:type="dxa"/>
            <w:gridSpan w:val="4"/>
            <w:tcBorders>
              <w:bottom w:val="nil"/>
            </w:tcBorders>
          </w:tcPr>
          <w:p w14:paraId="4A950604" w14:textId="7CB68F82" w:rsidR="000F67F3" w:rsidRPr="009F63DF" w:rsidRDefault="000F67F3" w:rsidP="00495C31">
            <w:pPr>
              <w:suppressAutoHyphens/>
              <w:spacing w:before="60" w:after="60"/>
              <w:ind w:right="57"/>
              <w:jc w:val="left"/>
              <w:rPr>
                <w:sz w:val="20"/>
                <w:shd w:val="clear" w:color="auto" w:fill="E6E6E6"/>
                <w:lang w:val="en-GB"/>
              </w:rPr>
            </w:pPr>
            <w:r w:rsidRPr="009F63DF">
              <w:rPr>
                <w:rFonts w:eastAsia="Montserrat" w:cs="Arial"/>
                <w:sz w:val="20"/>
                <w:szCs w:val="20"/>
                <w:lang w:val="en-GB"/>
              </w:rPr>
              <w:t>Installation of SUMs on a representative sample of project cookstoves that are the same on which the KPT is performed</w:t>
            </w:r>
          </w:p>
        </w:tc>
      </w:tr>
      <w:tr w:rsidR="00220652" w:rsidRPr="009F63DF" w14:paraId="64D86F9D" w14:textId="77777777" w:rsidTr="26CCAC22">
        <w:tc>
          <w:tcPr>
            <w:tcW w:w="1867" w:type="dxa"/>
            <w:shd w:val="clear" w:color="auto" w:fill="E6E6E6"/>
          </w:tcPr>
          <w:p w14:paraId="57CDE0DB"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62" w:type="dxa"/>
            <w:gridSpan w:val="4"/>
            <w:tcBorders>
              <w:bottom w:val="single" w:sz="4" w:space="0" w:color="auto"/>
            </w:tcBorders>
            <w:vAlign w:val="center"/>
          </w:tcPr>
          <w:p w14:paraId="553ECA01" w14:textId="427996FC" w:rsidR="00220652" w:rsidRPr="009F63DF" w:rsidRDefault="00220652" w:rsidP="00495C31">
            <w:pPr>
              <w:suppressAutoHyphens/>
              <w:spacing w:before="60" w:after="60"/>
              <w:ind w:right="57"/>
              <w:rPr>
                <w:rFonts w:cs="Arial"/>
                <w:sz w:val="20"/>
                <w:szCs w:val="20"/>
                <w:lang w:val="en-GB"/>
              </w:rPr>
            </w:pPr>
            <w:r w:rsidRPr="009F63DF">
              <w:rPr>
                <w:rFonts w:eastAsia="Montserrat" w:cs="Arial"/>
                <w:sz w:val="20"/>
                <w:szCs w:val="20"/>
                <w:lang w:val="en-GB"/>
              </w:rPr>
              <w:t>SUMs monitoring</w:t>
            </w:r>
            <w:r w:rsidR="00171523" w:rsidRPr="009F63DF">
              <w:rPr>
                <w:rFonts w:eastAsia="Montserrat" w:cs="Arial"/>
                <w:sz w:val="20"/>
                <w:szCs w:val="20"/>
                <w:lang w:val="en-GB"/>
              </w:rPr>
              <w:t>.</w:t>
            </w:r>
            <w:r w:rsidR="00171523" w:rsidRPr="009F63DF">
              <w:rPr>
                <w:rFonts w:eastAsia="Montserrat" w:cs="Arial"/>
                <w:sz w:val="20"/>
                <w:szCs w:val="20"/>
                <w:lang w:val="en-GB"/>
              </w:rPr>
              <w:br/>
            </w:r>
            <w:r w:rsidR="009435A0" w:rsidRPr="009F63DF">
              <w:rPr>
                <w:rFonts w:eastAsia="Montserrat" w:cs="Arial"/>
                <w:sz w:val="20"/>
                <w:szCs w:val="20"/>
                <w:lang w:val="en-GB"/>
              </w:rPr>
              <w:t>Continuously</w:t>
            </w:r>
            <w:r w:rsidRPr="009F63DF">
              <w:rPr>
                <w:rFonts w:eastAsia="Montserrat" w:cs="Arial"/>
                <w:sz w:val="20"/>
                <w:szCs w:val="20"/>
                <w:lang w:val="en-GB"/>
              </w:rPr>
              <w:t xml:space="preserve"> </w:t>
            </w:r>
            <w:r w:rsidR="006A396B" w:rsidRPr="009F63DF">
              <w:rPr>
                <w:rFonts w:eastAsia="Montserrat" w:cs="Arial"/>
                <w:sz w:val="20"/>
                <w:szCs w:val="20"/>
                <w:lang w:val="en-GB"/>
              </w:rPr>
              <w:t>during</w:t>
            </w:r>
            <w:r w:rsidRPr="009F63DF">
              <w:rPr>
                <w:rFonts w:eastAsia="Montserrat" w:cs="Arial"/>
                <w:sz w:val="20"/>
                <w:szCs w:val="20"/>
                <w:lang w:val="en-GB"/>
              </w:rPr>
              <w:t xml:space="preserve"> a </w:t>
            </w:r>
            <w:r w:rsidR="006A396B" w:rsidRPr="009F63DF">
              <w:rPr>
                <w:rFonts w:eastAsia="Montserrat" w:cs="Arial"/>
                <w:sz w:val="20"/>
                <w:szCs w:val="20"/>
                <w:lang w:val="en-GB"/>
              </w:rPr>
              <w:t xml:space="preserve">contiguous </w:t>
            </w:r>
            <w:r w:rsidRPr="009F63DF">
              <w:rPr>
                <w:rFonts w:eastAsia="Montserrat" w:cs="Arial"/>
                <w:sz w:val="20"/>
                <w:szCs w:val="20"/>
                <w:lang w:val="en-GB"/>
              </w:rPr>
              <w:t>one-month duration during the first monitoring period of the crediting period</w:t>
            </w:r>
          </w:p>
        </w:tc>
      </w:tr>
      <w:tr w:rsidR="00220652" w:rsidRPr="009F63DF" w14:paraId="59453AF8" w14:textId="77777777" w:rsidTr="26CCAC22">
        <w:trPr>
          <w:trHeight w:val="107"/>
        </w:trPr>
        <w:tc>
          <w:tcPr>
            <w:tcW w:w="1867" w:type="dxa"/>
            <w:shd w:val="clear" w:color="auto" w:fill="E6E6E6"/>
          </w:tcPr>
          <w:p w14:paraId="6775FE33"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62" w:type="dxa"/>
            <w:gridSpan w:val="4"/>
            <w:tcBorders>
              <w:top w:val="single" w:sz="4" w:space="0" w:color="auto"/>
            </w:tcBorders>
          </w:tcPr>
          <w:p w14:paraId="34A5D766" w14:textId="4D19245F" w:rsidR="00220652" w:rsidRPr="009F63DF" w:rsidRDefault="009435A0" w:rsidP="00495C31">
            <w:pPr>
              <w:suppressAutoHyphens/>
              <w:spacing w:before="60" w:after="60"/>
              <w:ind w:right="57"/>
              <w:rPr>
                <w:rFonts w:cs="Arial"/>
                <w:sz w:val="20"/>
                <w:szCs w:val="20"/>
                <w:lang w:val="en-GB"/>
              </w:rPr>
            </w:pPr>
            <w:r w:rsidRPr="009F63DF">
              <w:rPr>
                <w:rFonts w:cs="Arial"/>
                <w:sz w:val="20"/>
                <w:szCs w:val="20"/>
                <w:lang w:val="en-GB"/>
              </w:rPr>
              <w:t>Activity participant</w:t>
            </w:r>
          </w:p>
        </w:tc>
      </w:tr>
      <w:tr w:rsidR="00220652" w:rsidRPr="009F63DF" w14:paraId="02622A45" w14:textId="77777777" w:rsidTr="26CCAC22">
        <w:trPr>
          <w:trHeight w:val="107"/>
        </w:trPr>
        <w:tc>
          <w:tcPr>
            <w:tcW w:w="1867" w:type="dxa"/>
            <w:vMerge w:val="restart"/>
            <w:shd w:val="clear" w:color="auto" w:fill="E6E6E6"/>
          </w:tcPr>
          <w:p w14:paraId="4FF430E8"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1875" w:type="dxa"/>
            <w:tcBorders>
              <w:top w:val="single" w:sz="4" w:space="0" w:color="auto"/>
            </w:tcBorders>
          </w:tcPr>
          <w:p w14:paraId="660514F0" w14:textId="77777777" w:rsidR="00220652" w:rsidRPr="009F63DF" w:rsidRDefault="00220652" w:rsidP="00495C31">
            <w:pPr>
              <w:suppressAutoHyphens/>
              <w:spacing w:before="60" w:after="60"/>
              <w:ind w:right="57"/>
              <w:jc w:val="left"/>
              <w:rPr>
                <w:rFonts w:cs="Arial"/>
                <w:i/>
                <w:iCs/>
                <w:sz w:val="20"/>
                <w:szCs w:val="20"/>
                <w:lang w:val="en-GB"/>
              </w:rPr>
            </w:pPr>
            <w:r w:rsidRPr="009F63DF">
              <w:rPr>
                <w:rFonts w:cs="Arial"/>
                <w:i/>
                <w:iCs/>
                <w:sz w:val="20"/>
                <w:szCs w:val="20"/>
                <w:lang w:val="en-GB"/>
              </w:rPr>
              <w:t>Type of instrument</w:t>
            </w:r>
          </w:p>
        </w:tc>
        <w:tc>
          <w:tcPr>
            <w:tcW w:w="4787" w:type="dxa"/>
            <w:gridSpan w:val="3"/>
            <w:tcBorders>
              <w:top w:val="single" w:sz="4" w:space="0" w:color="auto"/>
            </w:tcBorders>
          </w:tcPr>
          <w:p w14:paraId="6C01212A" w14:textId="4441D96E" w:rsidR="00220652" w:rsidRPr="009F63DF" w:rsidRDefault="009435A0" w:rsidP="00495C31">
            <w:pPr>
              <w:pStyle w:val="ParaTickBox"/>
              <w:tabs>
                <w:tab w:val="clear" w:pos="510"/>
                <w:tab w:val="left" w:pos="120"/>
              </w:tabs>
              <w:suppressAutoHyphens/>
              <w:ind w:right="57"/>
              <w:rPr>
                <w:szCs w:val="20"/>
                <w:lang w:val="en-GB"/>
              </w:rPr>
            </w:pPr>
            <w:r w:rsidRPr="009F63DF">
              <w:rPr>
                <w:szCs w:val="20"/>
                <w:lang w:val="en-GB"/>
              </w:rPr>
              <w:t>SUMs</w:t>
            </w:r>
          </w:p>
        </w:tc>
      </w:tr>
      <w:tr w:rsidR="00220652" w:rsidRPr="009F63DF" w14:paraId="0BB803A5" w14:textId="77777777" w:rsidTr="26CCAC22">
        <w:trPr>
          <w:trHeight w:val="104"/>
        </w:trPr>
        <w:tc>
          <w:tcPr>
            <w:tcW w:w="1867" w:type="dxa"/>
            <w:vMerge/>
          </w:tcPr>
          <w:p w14:paraId="0AFC3CA9" w14:textId="77777777" w:rsidR="00220652" w:rsidRPr="009F63DF" w:rsidRDefault="00220652" w:rsidP="00540956">
            <w:pPr>
              <w:suppressAutoHyphens/>
              <w:spacing w:before="60" w:after="60"/>
              <w:ind w:right="57"/>
              <w:jc w:val="left"/>
              <w:rPr>
                <w:rFonts w:cs="Arial"/>
                <w:sz w:val="20"/>
                <w:szCs w:val="20"/>
                <w:lang w:val="en-GB"/>
              </w:rPr>
            </w:pPr>
          </w:p>
        </w:tc>
        <w:tc>
          <w:tcPr>
            <w:tcW w:w="1875" w:type="dxa"/>
            <w:tcBorders>
              <w:top w:val="single" w:sz="4" w:space="0" w:color="auto"/>
            </w:tcBorders>
          </w:tcPr>
          <w:p w14:paraId="09AFDD97" w14:textId="77777777" w:rsidR="00220652" w:rsidRPr="009F63DF" w:rsidRDefault="00220652" w:rsidP="00495C31">
            <w:pPr>
              <w:suppressAutoHyphens/>
              <w:spacing w:before="60" w:after="60"/>
              <w:ind w:right="57"/>
              <w:jc w:val="left"/>
              <w:rPr>
                <w:rFonts w:cs="Arial"/>
                <w:i/>
                <w:iCs/>
                <w:sz w:val="20"/>
                <w:szCs w:val="20"/>
                <w:lang w:val="en-GB"/>
              </w:rPr>
            </w:pPr>
            <w:r w:rsidRPr="009F63DF">
              <w:rPr>
                <w:rFonts w:cs="Arial"/>
                <w:i/>
                <w:iCs/>
                <w:sz w:val="20"/>
                <w:szCs w:val="20"/>
                <w:lang w:val="en-GB"/>
              </w:rPr>
              <w:t>Accuracy class</w:t>
            </w:r>
          </w:p>
        </w:tc>
        <w:tc>
          <w:tcPr>
            <w:tcW w:w="4787" w:type="dxa"/>
            <w:gridSpan w:val="3"/>
            <w:tcBorders>
              <w:top w:val="single" w:sz="4" w:space="0" w:color="auto"/>
            </w:tcBorders>
          </w:tcPr>
          <w:p w14:paraId="3AD4AB2F" w14:textId="2B918041" w:rsidR="00220652" w:rsidRPr="009F63DF" w:rsidRDefault="00A57DBA" w:rsidP="00495C31">
            <w:pPr>
              <w:suppressAutoHyphens/>
              <w:spacing w:before="60" w:after="60"/>
              <w:ind w:right="57"/>
              <w:rPr>
                <w:rFonts w:cs="Arial"/>
                <w:sz w:val="20"/>
                <w:szCs w:val="20"/>
                <w:lang w:val="en-GB"/>
              </w:rPr>
            </w:pPr>
            <w:r w:rsidRPr="009F63DF">
              <w:rPr>
                <w:rFonts w:cs="Arial"/>
                <w:sz w:val="20"/>
                <w:szCs w:val="20"/>
                <w:lang w:val="en-GB"/>
              </w:rPr>
              <w:t xml:space="preserve">In compliance with </w:t>
            </w:r>
            <w:r w:rsidR="00794CC7" w:rsidRPr="009F63DF">
              <w:rPr>
                <w:rFonts w:cs="Arial"/>
                <w:sz w:val="20"/>
              </w:rPr>
              <w:fldChar w:fldCharType="begin"/>
            </w:r>
            <w:r w:rsidR="00794CC7"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00794CC7" w:rsidRPr="009F63DF">
              <w:rPr>
                <w:rFonts w:cs="Arial"/>
                <w:sz w:val="20"/>
              </w:rPr>
            </w:r>
            <w:r w:rsidR="00794CC7"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00794CC7" w:rsidRPr="009F63DF">
              <w:rPr>
                <w:rFonts w:cs="Arial"/>
                <w:sz w:val="20"/>
              </w:rPr>
              <w:fldChar w:fldCharType="end"/>
            </w:r>
          </w:p>
        </w:tc>
      </w:tr>
      <w:tr w:rsidR="00220652" w:rsidRPr="009F63DF" w14:paraId="75C5240C" w14:textId="77777777" w:rsidTr="26CCAC22">
        <w:trPr>
          <w:trHeight w:val="104"/>
        </w:trPr>
        <w:tc>
          <w:tcPr>
            <w:tcW w:w="1867" w:type="dxa"/>
            <w:vMerge/>
          </w:tcPr>
          <w:p w14:paraId="2D708E29" w14:textId="77777777" w:rsidR="00220652" w:rsidRPr="009F63DF" w:rsidRDefault="00220652" w:rsidP="00540956">
            <w:pPr>
              <w:suppressAutoHyphens/>
              <w:spacing w:before="60" w:after="60"/>
              <w:ind w:right="57"/>
              <w:jc w:val="left"/>
              <w:rPr>
                <w:rFonts w:cs="Arial"/>
                <w:sz w:val="20"/>
                <w:szCs w:val="20"/>
                <w:lang w:val="en-GB"/>
              </w:rPr>
            </w:pPr>
          </w:p>
        </w:tc>
        <w:tc>
          <w:tcPr>
            <w:tcW w:w="1875" w:type="dxa"/>
            <w:tcBorders>
              <w:top w:val="single" w:sz="4" w:space="0" w:color="auto"/>
            </w:tcBorders>
          </w:tcPr>
          <w:p w14:paraId="520A7DBB" w14:textId="77777777" w:rsidR="00220652" w:rsidRPr="009F63DF" w:rsidRDefault="00220652" w:rsidP="00495C31">
            <w:pPr>
              <w:suppressAutoHyphens/>
              <w:spacing w:before="60" w:after="60"/>
              <w:ind w:right="57"/>
              <w:jc w:val="left"/>
              <w:rPr>
                <w:rFonts w:cs="Arial"/>
                <w:i/>
                <w:iCs/>
                <w:sz w:val="20"/>
                <w:szCs w:val="20"/>
                <w:lang w:val="en-GB"/>
              </w:rPr>
            </w:pPr>
            <w:r w:rsidRPr="009F63DF">
              <w:rPr>
                <w:rFonts w:cs="Arial"/>
                <w:i/>
                <w:iCs/>
                <w:sz w:val="20"/>
                <w:szCs w:val="20"/>
                <w:lang w:val="en-GB"/>
              </w:rPr>
              <w:t>Calibration requirements</w:t>
            </w:r>
          </w:p>
        </w:tc>
        <w:tc>
          <w:tcPr>
            <w:tcW w:w="4787" w:type="dxa"/>
            <w:gridSpan w:val="3"/>
            <w:tcBorders>
              <w:top w:val="single" w:sz="4" w:space="0" w:color="auto"/>
            </w:tcBorders>
          </w:tcPr>
          <w:p w14:paraId="778649AB" w14:textId="69C8D95C" w:rsidR="00220652" w:rsidRPr="009F63DF" w:rsidRDefault="00794CC7" w:rsidP="00495C31">
            <w:pPr>
              <w:suppressAutoHyphens/>
              <w:spacing w:before="60" w:after="60"/>
              <w:ind w:right="57"/>
              <w:rPr>
                <w:rFonts w:cs="Arial"/>
                <w:i/>
                <w:iCs/>
                <w:sz w:val="20"/>
                <w:szCs w:val="20"/>
                <w:lang w:val="en-GB"/>
              </w:rPr>
            </w:pPr>
            <w:r w:rsidRPr="009F63DF">
              <w:rPr>
                <w:rFonts w:cs="Arial"/>
                <w:sz w:val="20"/>
                <w:szCs w:val="20"/>
                <w:lang w:val="en-GB"/>
              </w:rPr>
              <w:t xml:space="preserve">In compliance with </w:t>
            </w:r>
            <w:r w:rsidRPr="009F63DF">
              <w:rPr>
                <w:rFonts w:cs="Arial"/>
                <w:sz w:val="20"/>
              </w:rPr>
              <w:fldChar w:fldCharType="begin"/>
            </w:r>
            <w:r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Pr="009F63DF">
              <w:rPr>
                <w:rFonts w:cs="Arial"/>
                <w:sz w:val="20"/>
              </w:rPr>
            </w:r>
            <w:r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Pr="009F63DF">
              <w:rPr>
                <w:rFonts w:cs="Arial"/>
                <w:sz w:val="20"/>
              </w:rPr>
              <w:fldChar w:fldCharType="end"/>
            </w:r>
          </w:p>
        </w:tc>
      </w:tr>
      <w:tr w:rsidR="00220652" w:rsidRPr="009F63DF" w14:paraId="385CE9A2" w14:textId="77777777" w:rsidTr="26CCAC22">
        <w:trPr>
          <w:trHeight w:val="104"/>
        </w:trPr>
        <w:tc>
          <w:tcPr>
            <w:tcW w:w="1867" w:type="dxa"/>
            <w:vMerge/>
          </w:tcPr>
          <w:p w14:paraId="2704D52D" w14:textId="77777777" w:rsidR="00220652" w:rsidRPr="009F63DF" w:rsidRDefault="00220652" w:rsidP="00540956">
            <w:pPr>
              <w:suppressAutoHyphens/>
              <w:spacing w:before="60" w:after="60"/>
              <w:ind w:right="57"/>
              <w:jc w:val="left"/>
              <w:rPr>
                <w:rFonts w:cs="Arial"/>
                <w:sz w:val="20"/>
                <w:szCs w:val="20"/>
                <w:lang w:val="en-GB"/>
              </w:rPr>
            </w:pPr>
          </w:p>
        </w:tc>
        <w:tc>
          <w:tcPr>
            <w:tcW w:w="1875" w:type="dxa"/>
            <w:tcBorders>
              <w:top w:val="single" w:sz="4" w:space="0" w:color="auto"/>
            </w:tcBorders>
          </w:tcPr>
          <w:p w14:paraId="7F72D9B7" w14:textId="77777777" w:rsidR="00220652" w:rsidRPr="009F63DF" w:rsidRDefault="00220652" w:rsidP="00495C31">
            <w:pPr>
              <w:suppressAutoHyphens/>
              <w:spacing w:before="60" w:after="60"/>
              <w:ind w:right="57"/>
              <w:jc w:val="left"/>
              <w:rPr>
                <w:rFonts w:cs="Arial"/>
                <w:i/>
                <w:iCs/>
                <w:sz w:val="20"/>
                <w:szCs w:val="20"/>
                <w:lang w:val="en-GB"/>
              </w:rPr>
            </w:pPr>
            <w:r w:rsidRPr="009F63DF">
              <w:rPr>
                <w:rFonts w:cs="Arial"/>
                <w:i/>
                <w:iCs/>
                <w:sz w:val="20"/>
                <w:szCs w:val="20"/>
                <w:lang w:val="en-GB"/>
              </w:rPr>
              <w:t>Location</w:t>
            </w:r>
          </w:p>
        </w:tc>
        <w:tc>
          <w:tcPr>
            <w:tcW w:w="4787" w:type="dxa"/>
            <w:gridSpan w:val="3"/>
            <w:tcBorders>
              <w:top w:val="single" w:sz="4" w:space="0" w:color="auto"/>
            </w:tcBorders>
          </w:tcPr>
          <w:p w14:paraId="74172E6C" w14:textId="052DEC23" w:rsidR="00220652" w:rsidRPr="009F63DF" w:rsidRDefault="00794CC7" w:rsidP="00495C31">
            <w:pPr>
              <w:suppressAutoHyphens/>
              <w:spacing w:before="60" w:after="60"/>
              <w:ind w:right="57"/>
              <w:rPr>
                <w:rFonts w:cs="Arial"/>
                <w:sz w:val="20"/>
                <w:szCs w:val="20"/>
                <w:lang w:val="en-GB"/>
              </w:rPr>
            </w:pPr>
            <w:r w:rsidRPr="009F63DF">
              <w:rPr>
                <w:rFonts w:cs="Arial"/>
                <w:sz w:val="20"/>
                <w:szCs w:val="20"/>
                <w:lang w:val="en-GB"/>
              </w:rPr>
              <w:t>Article 6.4 activity households</w:t>
            </w:r>
          </w:p>
        </w:tc>
      </w:tr>
      <w:tr w:rsidR="00220652" w:rsidRPr="009F63DF" w14:paraId="05852C0A" w14:textId="77777777" w:rsidTr="26CCAC22">
        <w:tc>
          <w:tcPr>
            <w:tcW w:w="1867" w:type="dxa"/>
            <w:shd w:val="clear" w:color="auto" w:fill="E6E6E6"/>
          </w:tcPr>
          <w:p w14:paraId="5F7BC431"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62" w:type="dxa"/>
            <w:gridSpan w:val="4"/>
          </w:tcPr>
          <w:p w14:paraId="2A226B90" w14:textId="27C33E28" w:rsidR="00220652" w:rsidRPr="009F63DF" w:rsidRDefault="00794CC7" w:rsidP="00495C31">
            <w:pPr>
              <w:tabs>
                <w:tab w:val="left" w:pos="567"/>
              </w:tabs>
              <w:suppressAutoHyphens/>
              <w:spacing w:before="20" w:after="20"/>
              <w:ind w:right="159"/>
              <w:rPr>
                <w:rFonts w:cs="Arial"/>
                <w:sz w:val="20"/>
                <w:szCs w:val="20"/>
                <w:lang w:val="en-GB"/>
              </w:rPr>
            </w:pPr>
            <w:r w:rsidRPr="009F63DF">
              <w:rPr>
                <w:rFonts w:cs="Arial"/>
                <w:sz w:val="20"/>
                <w:szCs w:val="20"/>
                <w:lang w:val="en-GB"/>
              </w:rPr>
              <w:t xml:space="preserve">In compliance with </w:t>
            </w:r>
            <w:r w:rsidRPr="009F63DF">
              <w:rPr>
                <w:rFonts w:cs="Arial"/>
                <w:sz w:val="20"/>
              </w:rPr>
              <w:fldChar w:fldCharType="begin"/>
            </w:r>
            <w:r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Pr="009F63DF">
              <w:rPr>
                <w:rFonts w:cs="Arial"/>
                <w:sz w:val="20"/>
              </w:rPr>
            </w:r>
            <w:r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Pr="009F63DF">
              <w:rPr>
                <w:rFonts w:cs="Arial"/>
                <w:sz w:val="20"/>
              </w:rPr>
              <w:fldChar w:fldCharType="end"/>
            </w:r>
          </w:p>
        </w:tc>
      </w:tr>
      <w:tr w:rsidR="00220652" w:rsidRPr="009F63DF" w14:paraId="32DF2372" w14:textId="77777777" w:rsidTr="26CCAC22">
        <w:tc>
          <w:tcPr>
            <w:tcW w:w="1867" w:type="dxa"/>
            <w:shd w:val="clear" w:color="auto" w:fill="E6E6E6"/>
          </w:tcPr>
          <w:p w14:paraId="60F71C00"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62" w:type="dxa"/>
            <w:gridSpan w:val="4"/>
          </w:tcPr>
          <w:p w14:paraId="4F70BBBD" w14:textId="5B20DF2D" w:rsidR="00220652" w:rsidRPr="009F63DF" w:rsidRDefault="00220652" w:rsidP="00495C31">
            <w:pPr>
              <w:suppressAutoHyphens/>
              <w:spacing w:before="60"/>
              <w:jc w:val="left"/>
              <w:rPr>
                <w:rFonts w:cs="Arial"/>
                <w:sz w:val="20"/>
                <w:szCs w:val="20"/>
                <w:lang w:val="en-GB"/>
              </w:rPr>
            </w:pPr>
            <w:r w:rsidRPr="009F63DF">
              <w:rPr>
                <w:rFonts w:cs="Arial"/>
                <w:color w:val="000000"/>
                <w:sz w:val="20"/>
                <w:szCs w:val="20"/>
                <w:shd w:val="clear" w:color="auto" w:fill="FFFFFF"/>
                <w:lang w:val="en-GB"/>
              </w:rPr>
              <w:t xml:space="preserve">The study shall meet the minimum </w:t>
            </w:r>
            <w:r w:rsidR="004752DF" w:rsidRPr="009F63DF">
              <w:rPr>
                <w:rFonts w:cs="Arial"/>
                <w:color w:val="000000"/>
                <w:sz w:val="20"/>
                <w:szCs w:val="20"/>
                <w:shd w:val="clear" w:color="auto" w:fill="FFFFFF"/>
                <w:lang w:val="en-GB"/>
              </w:rPr>
              <w:t>reliability</w:t>
            </w:r>
            <w:r w:rsidRPr="009F63DF">
              <w:rPr>
                <w:rFonts w:cs="Arial"/>
                <w:color w:val="000000"/>
                <w:sz w:val="20"/>
                <w:szCs w:val="20"/>
                <w:shd w:val="clear" w:color="auto" w:fill="FFFFFF"/>
                <w:lang w:val="en-GB"/>
              </w:rPr>
              <w:t xml:space="preserve"> of 95/10 for the target parameter of average </w:t>
            </w:r>
            <w:r w:rsidRPr="009F63DF">
              <w:rPr>
                <w:rFonts w:eastAsia="Montserrat" w:cs="Arial"/>
                <w:sz w:val="20"/>
                <w:szCs w:val="20"/>
                <w:lang w:val="en-GB"/>
              </w:rPr>
              <w:t xml:space="preserve">cooking events per day per </w:t>
            </w:r>
            <w:r w:rsidR="00794CC7" w:rsidRPr="009F63DF">
              <w:rPr>
                <w:rFonts w:eastAsia="Montserrat" w:cs="Arial"/>
                <w:sz w:val="20"/>
                <w:szCs w:val="20"/>
                <w:lang w:val="en-GB"/>
              </w:rPr>
              <w:t>project</w:t>
            </w:r>
            <w:r w:rsidRPr="009F63DF">
              <w:rPr>
                <w:rFonts w:eastAsia="Montserrat" w:cs="Arial"/>
                <w:sz w:val="20"/>
                <w:szCs w:val="20"/>
                <w:lang w:val="en-GB"/>
              </w:rPr>
              <w:t xml:space="preserve"> cookstoves</w:t>
            </w:r>
            <w:r w:rsidRPr="009F63DF">
              <w:rPr>
                <w:rFonts w:cs="Arial"/>
                <w:color w:val="000000"/>
                <w:sz w:val="20"/>
                <w:szCs w:val="20"/>
                <w:shd w:val="clear" w:color="auto" w:fill="FFFFFF"/>
                <w:lang w:val="en-GB"/>
              </w:rPr>
              <w:t xml:space="preserve">. </w:t>
            </w:r>
            <w:r w:rsidR="00685C13" w:rsidRPr="009F63DF">
              <w:rPr>
                <w:rFonts w:cs="Arial"/>
                <w:sz w:val="20"/>
                <w:szCs w:val="20"/>
                <w:lang w:val="en-GB"/>
              </w:rPr>
              <w:t xml:space="preserve">In compliance with </w:t>
            </w:r>
            <w:r w:rsidR="00685C13" w:rsidRPr="009F63DF">
              <w:rPr>
                <w:rFonts w:cs="Arial"/>
                <w:sz w:val="20"/>
              </w:rPr>
              <w:fldChar w:fldCharType="begin"/>
            </w:r>
            <w:r w:rsidR="00685C13"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00685C13" w:rsidRPr="009F63DF">
              <w:rPr>
                <w:rFonts w:cs="Arial"/>
                <w:sz w:val="20"/>
              </w:rPr>
            </w:r>
            <w:r w:rsidR="00685C13"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00685C13" w:rsidRPr="009F63DF">
              <w:rPr>
                <w:rFonts w:cs="Arial"/>
                <w:sz w:val="20"/>
              </w:rPr>
              <w:fldChar w:fldCharType="end"/>
            </w:r>
          </w:p>
        </w:tc>
      </w:tr>
      <w:tr w:rsidR="00220652" w:rsidRPr="009F63DF" w14:paraId="688EF706" w14:textId="77777777" w:rsidTr="26CCAC22">
        <w:tc>
          <w:tcPr>
            <w:tcW w:w="1867" w:type="dxa"/>
            <w:shd w:val="clear" w:color="auto" w:fill="E6E6E6"/>
          </w:tcPr>
          <w:p w14:paraId="355F9878" w14:textId="77777777" w:rsidR="00220652" w:rsidRPr="009F63DF" w:rsidRDefault="00220652"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62" w:type="dxa"/>
            <w:gridSpan w:val="4"/>
          </w:tcPr>
          <w:p w14:paraId="2F68F515" w14:textId="7412A69E" w:rsidR="00220652" w:rsidRPr="009F63DF" w:rsidRDefault="00A3595D" w:rsidP="00495C31">
            <w:pPr>
              <w:pStyle w:val="ParaTickBox"/>
              <w:keepNext/>
              <w:tabs>
                <w:tab w:val="clear" w:pos="510"/>
                <w:tab w:val="left" w:pos="315"/>
              </w:tabs>
              <w:suppressAutoHyphens/>
              <w:ind w:left="0" w:firstLine="0"/>
              <w:jc w:val="both"/>
              <w:rPr>
                <w:szCs w:val="20"/>
                <w:lang w:val="en-GB"/>
              </w:rPr>
            </w:pPr>
            <w:r w:rsidRPr="009F63DF">
              <w:rPr>
                <w:color w:val="000000"/>
                <w:szCs w:val="20"/>
                <w:shd w:val="clear" w:color="auto" w:fill="FFFFFF"/>
                <w:lang w:val="en-GB"/>
              </w:rPr>
              <w:t>If the target reliability is not met, the activity participant shall take the lower bound of the confidence intervals as the parameter value</w:t>
            </w:r>
          </w:p>
        </w:tc>
      </w:tr>
      <w:tr w:rsidR="00220652" w:rsidRPr="009F63DF" w14:paraId="7CAE8464" w14:textId="77777777" w:rsidTr="26CCAC22">
        <w:tc>
          <w:tcPr>
            <w:tcW w:w="1867" w:type="dxa"/>
            <w:shd w:val="clear" w:color="auto" w:fill="E6E6E6"/>
          </w:tcPr>
          <w:p w14:paraId="4FA79D8F" w14:textId="77777777" w:rsidR="00220652" w:rsidRPr="009F63DF" w:rsidRDefault="00220652"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62" w:type="dxa"/>
            <w:gridSpan w:val="4"/>
          </w:tcPr>
          <w:p w14:paraId="6C5464DE" w14:textId="77777777" w:rsidR="00220652" w:rsidRPr="009F63DF" w:rsidRDefault="00220652" w:rsidP="00495C31">
            <w:pPr>
              <w:suppressAutoHyphens/>
              <w:spacing w:before="60" w:after="60"/>
              <w:ind w:right="57"/>
              <w:rPr>
                <w:rFonts w:cs="Arial"/>
                <w:sz w:val="20"/>
                <w:szCs w:val="20"/>
                <w:lang w:val="en-GB"/>
              </w:rPr>
            </w:pPr>
            <w:r w:rsidRPr="009F63DF">
              <w:rPr>
                <w:rFonts w:eastAsia="Montserrat" w:cs="Arial"/>
                <w:sz w:val="20"/>
                <w:szCs w:val="20"/>
                <w:lang w:val="en-GB"/>
              </w:rPr>
              <w:t>Households in the SUMs sample shall not receive any support different from or additional to those not in the sample</w:t>
            </w:r>
          </w:p>
        </w:tc>
      </w:tr>
    </w:tbl>
    <w:p w14:paraId="7ED2914A" w14:textId="24C2DFE9" w:rsidR="0038342C" w:rsidRPr="009F63DF" w:rsidRDefault="0038342C" w:rsidP="0038342C">
      <w:pPr>
        <w:keepNext/>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21</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67"/>
        <w:gridCol w:w="1941"/>
        <w:gridCol w:w="327"/>
        <w:gridCol w:w="2126"/>
        <w:gridCol w:w="2268"/>
      </w:tblGrid>
      <w:tr w:rsidR="00A45954" w:rsidRPr="009F63DF" w14:paraId="243A7E5D" w14:textId="77777777" w:rsidTr="26CCAC22">
        <w:tc>
          <w:tcPr>
            <w:tcW w:w="1867" w:type="dxa"/>
            <w:shd w:val="clear" w:color="auto" w:fill="E6E6E6"/>
          </w:tcPr>
          <w:p w14:paraId="650EA39D" w14:textId="77777777" w:rsidR="00A45954" w:rsidRPr="009F63DF" w:rsidRDefault="00A45954" w:rsidP="00540956">
            <w:pPr>
              <w:keepNext/>
              <w:suppressAutoHyphens/>
              <w:spacing w:before="60" w:after="60"/>
              <w:ind w:right="57"/>
              <w:jc w:val="left"/>
              <w:rPr>
                <w:rFonts w:cs="Arial"/>
                <w:b/>
                <w:bCs/>
                <w:sz w:val="20"/>
                <w:szCs w:val="20"/>
                <w:lang w:val="en-GB"/>
              </w:rPr>
            </w:pPr>
            <w:r w:rsidRPr="009F63DF">
              <w:rPr>
                <w:rFonts w:cs="Arial"/>
                <w:b/>
                <w:bCs/>
                <w:sz w:val="20"/>
                <w:szCs w:val="20"/>
                <w:lang w:val="en-GB"/>
              </w:rPr>
              <w:t>Data/parameter</w:t>
            </w:r>
          </w:p>
        </w:tc>
        <w:tc>
          <w:tcPr>
            <w:tcW w:w="6662" w:type="dxa"/>
            <w:gridSpan w:val="4"/>
          </w:tcPr>
          <w:p w14:paraId="7DA7AA3A" w14:textId="0C3B8B3C" w:rsidR="00A45954" w:rsidRPr="009F63DF" w:rsidRDefault="001549D8" w:rsidP="00495C31">
            <w:pPr>
              <w:keepNext/>
              <w:suppressAutoHyphens/>
              <w:spacing w:before="60" w:after="60"/>
              <w:ind w:right="57"/>
              <w:rPr>
                <w:rFonts w:cs="Arial"/>
                <w:b/>
                <w:i/>
                <w:sz w:val="20"/>
                <w:szCs w:val="20"/>
                <w:lang w:val="en-GB"/>
              </w:rPr>
            </w:pPr>
            <m:oMathPara>
              <m:oMathParaPr>
                <m:jc m:val="left"/>
              </m:oMathParaPr>
              <m:oMath>
                <m:sSub>
                  <m:sSubPr>
                    <m:ctrlPr>
                      <w:rPr>
                        <w:rFonts w:ascii="Cambria Math" w:eastAsia="Cambria Math" w:hAnsi="Cambria Math" w:cs="Arial"/>
                        <w:sz w:val="20"/>
                        <w:szCs w:val="20"/>
                        <w:lang w:val="en-GB"/>
                      </w:rPr>
                    </m:ctrlPr>
                  </m:sSubPr>
                  <m:e>
                    <m:r>
                      <m:rPr>
                        <m:sty m:val="bi"/>
                      </m:rPr>
                      <w:rPr>
                        <w:rFonts w:ascii="Cambria Math" w:eastAsia="Cambria Math" w:hAnsi="Cambria Math" w:cs="Arial"/>
                        <w:sz w:val="20"/>
                        <w:szCs w:val="20"/>
                        <w:lang w:val="en-GB"/>
                      </w:rPr>
                      <m:t>PCE</m:t>
                    </m:r>
                  </m:e>
                  <m:sub>
                    <m:r>
                      <m:rPr>
                        <m:sty m:val="bi"/>
                      </m:rPr>
                      <w:rPr>
                        <w:rFonts w:ascii="Cambria Math" w:eastAsia="Cambria Math" w:hAnsi="Cambria Math" w:cs="Arial"/>
                        <w:sz w:val="20"/>
                        <w:szCs w:val="20"/>
                        <w:lang w:val="en-GB"/>
                      </w:rPr>
                      <m:t>KPT</m:t>
                    </m:r>
                  </m:sub>
                </m:sSub>
              </m:oMath>
            </m:oMathPara>
          </w:p>
        </w:tc>
      </w:tr>
      <w:tr w:rsidR="00A45954" w:rsidRPr="009F63DF" w14:paraId="5676F404" w14:textId="77777777" w:rsidTr="26CCAC22">
        <w:tc>
          <w:tcPr>
            <w:tcW w:w="1867" w:type="dxa"/>
            <w:shd w:val="clear" w:color="auto" w:fill="E6E6E6"/>
          </w:tcPr>
          <w:p w14:paraId="730E8309"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62" w:type="dxa"/>
            <w:gridSpan w:val="4"/>
          </w:tcPr>
          <w:p w14:paraId="0EC5D487" w14:textId="0E296903" w:rsidR="00A45954" w:rsidRPr="009F63DF" w:rsidRDefault="00A45954" w:rsidP="00495C31">
            <w:pPr>
              <w:suppressAutoHyphens/>
              <w:spacing w:before="60" w:after="60"/>
              <w:ind w:right="57"/>
              <w:rPr>
                <w:rFonts w:cs="Arial"/>
                <w:sz w:val="20"/>
                <w:szCs w:val="20"/>
                <w:lang w:val="en-GB"/>
              </w:rPr>
            </w:pPr>
            <w:r w:rsidRPr="009F63DF">
              <w:rPr>
                <w:rFonts w:eastAsia="Montserrat" w:cs="Arial"/>
                <w:sz w:val="20"/>
                <w:szCs w:val="20"/>
                <w:lang w:val="en-GB"/>
              </w:rPr>
              <w:t xml:space="preserve">Average project </w:t>
            </w:r>
            <w:r w:rsidR="00553CAE" w:rsidRPr="009F63DF">
              <w:rPr>
                <w:rFonts w:eastAsia="Montserrat" w:cs="Arial"/>
                <w:sz w:val="20"/>
                <w:szCs w:val="20"/>
                <w:lang w:val="en-GB"/>
              </w:rPr>
              <w:t>cookstove</w:t>
            </w:r>
            <w:r w:rsidRPr="009F63DF">
              <w:rPr>
                <w:rFonts w:eastAsia="Montserrat" w:cs="Arial"/>
                <w:sz w:val="20"/>
                <w:szCs w:val="20"/>
                <w:lang w:val="en-GB"/>
              </w:rPr>
              <w:t xml:space="preserve"> cooking events per day over the </w:t>
            </w:r>
            <w:r w:rsidR="00DA0699" w:rsidRPr="009F63DF">
              <w:rPr>
                <w:rFonts w:eastAsia="Montserrat" w:cs="Arial"/>
                <w:sz w:val="20"/>
                <w:szCs w:val="20"/>
                <w:lang w:val="en-GB"/>
              </w:rPr>
              <w:t>activity</w:t>
            </w:r>
            <w:r w:rsidRPr="009F63DF">
              <w:rPr>
                <w:rFonts w:eastAsia="Montserrat" w:cs="Arial"/>
                <w:sz w:val="20"/>
                <w:szCs w:val="20"/>
                <w:lang w:val="en-GB"/>
              </w:rPr>
              <w:t xml:space="preserve"> </w:t>
            </w:r>
            <w:r w:rsidR="00553CAE" w:rsidRPr="009F63DF">
              <w:rPr>
                <w:rFonts w:eastAsia="Montserrat" w:cs="Arial"/>
                <w:sz w:val="20"/>
                <w:szCs w:val="20"/>
                <w:lang w:val="en-GB"/>
              </w:rPr>
              <w:t>KPTs</w:t>
            </w:r>
            <w:r w:rsidRPr="009F63DF">
              <w:rPr>
                <w:rFonts w:eastAsia="Montserrat" w:cs="Arial"/>
                <w:sz w:val="20"/>
                <w:szCs w:val="20"/>
                <w:lang w:val="en-GB"/>
              </w:rPr>
              <w:t xml:space="preserve"> from SUMs measurements</w:t>
            </w:r>
          </w:p>
        </w:tc>
      </w:tr>
      <w:tr w:rsidR="00A45954" w:rsidRPr="009F63DF" w14:paraId="558D2441" w14:textId="77777777" w:rsidTr="26CCAC22">
        <w:tc>
          <w:tcPr>
            <w:tcW w:w="1867" w:type="dxa"/>
            <w:shd w:val="clear" w:color="auto" w:fill="E6E6E6"/>
          </w:tcPr>
          <w:p w14:paraId="2C7C2767"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62" w:type="dxa"/>
            <w:gridSpan w:val="4"/>
          </w:tcPr>
          <w:p w14:paraId="32006E1D" w14:textId="09010C5C" w:rsidR="00A45954" w:rsidRPr="009F63DF" w:rsidRDefault="00553CAE" w:rsidP="00495C31">
            <w:pPr>
              <w:suppressAutoHyphens/>
              <w:spacing w:before="60" w:after="60"/>
              <w:ind w:right="57"/>
              <w:rPr>
                <w:rFonts w:cs="Arial"/>
                <w:sz w:val="20"/>
                <w:szCs w:val="20"/>
                <w:lang w:val="en-GB"/>
              </w:rPr>
            </w:pPr>
            <w:r w:rsidRPr="009F63DF">
              <w:rPr>
                <w:rFonts w:eastAsia="Montserrat" w:cs="Arial"/>
                <w:sz w:val="20"/>
                <w:szCs w:val="20"/>
                <w:lang w:val="en-GB"/>
              </w:rPr>
              <w:t>Number of cooking</w:t>
            </w:r>
            <w:r w:rsidR="00A45954" w:rsidRPr="009F63DF">
              <w:rPr>
                <w:rFonts w:eastAsia="Montserrat" w:cs="Arial"/>
                <w:sz w:val="20"/>
                <w:szCs w:val="20"/>
                <w:lang w:val="en-GB"/>
              </w:rPr>
              <w:t xml:space="preserve"> events/day</w:t>
            </w:r>
          </w:p>
        </w:tc>
      </w:tr>
      <w:tr w:rsidR="00A45954" w:rsidRPr="009F63DF" w14:paraId="5B34CA52" w14:textId="77777777" w:rsidTr="26CCAC22">
        <w:tc>
          <w:tcPr>
            <w:tcW w:w="1867" w:type="dxa"/>
            <w:shd w:val="clear" w:color="auto" w:fill="E6E6E6"/>
          </w:tcPr>
          <w:p w14:paraId="22B4A3A9"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62" w:type="dxa"/>
            <w:gridSpan w:val="4"/>
            <w:tcBorders>
              <w:bottom w:val="single" w:sz="4" w:space="0" w:color="auto"/>
            </w:tcBorders>
          </w:tcPr>
          <w:p w14:paraId="06F76044" w14:textId="4C8C0288" w:rsidR="00A45954" w:rsidRPr="009F63DF" w:rsidRDefault="7A16F8BF" w:rsidP="00495C31">
            <w:pPr>
              <w:suppressAutoHyphens/>
              <w:spacing w:before="60" w:after="60"/>
              <w:ind w:right="57"/>
              <w:rPr>
                <w:rFonts w:cs="Arial"/>
                <w:sz w:val="20"/>
                <w:szCs w:val="20"/>
                <w:lang w:val="en-GB"/>
              </w:rPr>
            </w:pPr>
            <w:r w:rsidRPr="009F63DF">
              <w:rPr>
                <w:rFonts w:cs="Arial"/>
                <w:sz w:val="20"/>
                <w:szCs w:val="20"/>
                <w:lang w:val="en-GB"/>
              </w:rPr>
              <w:t>Equation (</w:t>
            </w:r>
            <w:r w:rsidR="00D524DC">
              <w:rPr>
                <w:rFonts w:cs="Arial"/>
                <w:sz w:val="20"/>
                <w:szCs w:val="20"/>
                <w:lang w:val="en-GB"/>
              </w:rPr>
              <w:t>25</w:t>
            </w:r>
            <w:r w:rsidRPr="009F63DF">
              <w:rPr>
                <w:rFonts w:cs="Arial"/>
                <w:sz w:val="20"/>
                <w:szCs w:val="20"/>
                <w:lang w:val="en-GB"/>
              </w:rPr>
              <w:t>)</w:t>
            </w:r>
          </w:p>
        </w:tc>
      </w:tr>
      <w:tr w:rsidR="00A45954" w:rsidRPr="009F63DF" w14:paraId="435289A9" w14:textId="77777777" w:rsidTr="26CCAC22">
        <w:tc>
          <w:tcPr>
            <w:tcW w:w="1867" w:type="dxa"/>
            <w:shd w:val="clear" w:color="auto" w:fill="E6E6E6"/>
          </w:tcPr>
          <w:p w14:paraId="13429FC8"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268" w:type="dxa"/>
            <w:gridSpan w:val="2"/>
            <w:tcBorders>
              <w:bottom w:val="single" w:sz="4" w:space="0" w:color="auto"/>
              <w:right w:val="nil"/>
            </w:tcBorders>
          </w:tcPr>
          <w:p w14:paraId="7DF87606" w14:textId="4668F7E5" w:rsidR="00A45954" w:rsidRPr="009F63DF" w:rsidRDefault="00A45954"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0"/>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17430E" w:rsidRPr="009F63DF">
              <w:rPr>
                <w:rFonts w:cs="Arial"/>
                <w:sz w:val="20"/>
                <w:shd w:val="clear" w:color="auto" w:fill="E6E6E6"/>
                <w:lang w:val="en-GB"/>
              </w:rPr>
              <w:t xml:space="preserve"> </w:t>
            </w:r>
            <w:r w:rsidRPr="009F63DF">
              <w:rPr>
                <w:rFonts w:cs="Arial"/>
                <w:sz w:val="20"/>
                <w:szCs w:val="20"/>
                <w:lang w:val="en-GB"/>
              </w:rPr>
              <w:t xml:space="preserve">Baseline </w:t>
            </w:r>
            <w:r w:rsidR="004D7614" w:rsidRPr="009F63DF">
              <w:rPr>
                <w:rFonts w:cs="Arial"/>
                <w:sz w:val="20"/>
                <w:szCs w:val="20"/>
                <w:lang w:val="en-GB"/>
              </w:rPr>
              <w:t>Scenario</w:t>
            </w:r>
          </w:p>
        </w:tc>
        <w:tc>
          <w:tcPr>
            <w:tcW w:w="2126" w:type="dxa"/>
            <w:tcBorders>
              <w:left w:val="nil"/>
              <w:bottom w:val="single" w:sz="4" w:space="0" w:color="auto"/>
              <w:right w:val="nil"/>
            </w:tcBorders>
          </w:tcPr>
          <w:p w14:paraId="3FD4B120" w14:textId="43FAE14F" w:rsidR="00A45954" w:rsidRPr="009F63DF" w:rsidRDefault="00A45954"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Pr="009F63DF">
              <w:rPr>
                <w:rFonts w:cs="Arial"/>
                <w:sz w:val="20"/>
                <w:szCs w:val="20"/>
                <w:lang w:val="en-GB"/>
              </w:rPr>
              <w:t xml:space="preserve"> </w:t>
            </w:r>
            <w:r w:rsidR="005D662C" w:rsidRPr="009F63DF">
              <w:rPr>
                <w:rFonts w:cs="Arial"/>
                <w:sz w:val="20"/>
                <w:szCs w:val="20"/>
                <w:lang w:val="en-GB"/>
              </w:rPr>
              <w:t>Activity</w:t>
            </w:r>
            <w:r w:rsidRPr="009F63DF">
              <w:rPr>
                <w:rFonts w:cs="Arial"/>
                <w:sz w:val="20"/>
                <w:szCs w:val="20"/>
                <w:lang w:val="en-GB"/>
              </w:rPr>
              <w:t xml:space="preserve"> </w:t>
            </w:r>
            <w:r w:rsidR="004D7614" w:rsidRPr="009F63DF">
              <w:rPr>
                <w:rFonts w:cs="Arial"/>
                <w:sz w:val="20"/>
                <w:szCs w:val="20"/>
                <w:lang w:val="en-GB"/>
              </w:rPr>
              <w:t>Scenario</w:t>
            </w:r>
          </w:p>
        </w:tc>
        <w:tc>
          <w:tcPr>
            <w:tcW w:w="2268" w:type="dxa"/>
            <w:tcBorders>
              <w:left w:val="nil"/>
              <w:bottom w:val="single" w:sz="4" w:space="0" w:color="auto"/>
            </w:tcBorders>
          </w:tcPr>
          <w:p w14:paraId="5D9BF6A9" w14:textId="2A553638" w:rsidR="00A45954" w:rsidRPr="009F63DF" w:rsidRDefault="00A45954" w:rsidP="00495C31">
            <w:pPr>
              <w:suppressAutoHyphens/>
              <w:spacing w:before="60" w:after="60"/>
              <w:ind w:right="57"/>
              <w:jc w:val="left"/>
              <w:rPr>
                <w:rFonts w:cs="Arial"/>
                <w:sz w:val="20"/>
                <w:szCs w:val="20"/>
                <w:lang w:val="en-GB"/>
              </w:rPr>
            </w:pPr>
            <w:r w:rsidRPr="009F63DF">
              <w:rPr>
                <w:sz w:val="20"/>
                <w:shd w:val="clear" w:color="auto" w:fill="E6E6E6"/>
              </w:rPr>
              <w:fldChar w:fldCharType="begin">
                <w:ffData>
                  <w:name w:val="Check2"/>
                  <w:enabled/>
                  <w:calcOnExit w:val="0"/>
                  <w:checkBox>
                    <w:size w:val="20"/>
                    <w:default w:val="0"/>
                  </w:checkBox>
                </w:ffData>
              </w:fldChar>
            </w:r>
            <w:r w:rsidRPr="009F63DF">
              <w:rPr>
                <w:sz w:val="20"/>
                <w:szCs w:val="20"/>
                <w:lang w:val="en-GB"/>
              </w:rPr>
              <w:instrText xml:space="preserve"> FORMCHECKBOX </w:instrText>
            </w:r>
            <w:r w:rsidRPr="009F63DF">
              <w:rPr>
                <w:sz w:val="20"/>
                <w:shd w:val="clear" w:color="auto" w:fill="E6E6E6"/>
              </w:rPr>
            </w:r>
            <w:r w:rsidRPr="009F63DF">
              <w:rPr>
                <w:sz w:val="20"/>
                <w:shd w:val="clear" w:color="auto" w:fill="E6E6E6"/>
              </w:rPr>
              <w:fldChar w:fldCharType="separate"/>
            </w:r>
            <w:r w:rsidRPr="009F63DF">
              <w:rPr>
                <w:sz w:val="20"/>
                <w:shd w:val="clear" w:color="auto" w:fill="E6E6E6"/>
              </w:rPr>
              <w:fldChar w:fldCharType="end"/>
            </w:r>
            <w:r w:rsidR="0017430E" w:rsidRPr="009F63DF">
              <w:rPr>
                <w:sz w:val="20"/>
                <w:shd w:val="clear" w:color="auto" w:fill="E6E6E6"/>
                <w:lang w:val="en-GB"/>
              </w:rPr>
              <w:t xml:space="preserve"> </w:t>
            </w:r>
            <w:r w:rsidRPr="009F63DF">
              <w:rPr>
                <w:sz w:val="20"/>
                <w:szCs w:val="20"/>
                <w:shd w:val="clear" w:color="auto" w:fill="E6E6E6"/>
                <w:lang w:val="en-GB"/>
              </w:rPr>
              <w:t>Le</w:t>
            </w:r>
            <w:r w:rsidRPr="009F63DF">
              <w:rPr>
                <w:sz w:val="20"/>
                <w:szCs w:val="20"/>
                <w:lang w:val="en-GB"/>
              </w:rPr>
              <w:t>akage</w:t>
            </w:r>
          </w:p>
        </w:tc>
      </w:tr>
      <w:tr w:rsidR="004D7614" w:rsidRPr="009F63DF" w14:paraId="2A71B4BF" w14:textId="77777777" w:rsidTr="26CCAC22">
        <w:tc>
          <w:tcPr>
            <w:tcW w:w="1867" w:type="dxa"/>
            <w:shd w:val="clear" w:color="auto" w:fill="E6E6E6"/>
          </w:tcPr>
          <w:p w14:paraId="4685B81A" w14:textId="78CE1D85" w:rsidR="004D7614" w:rsidRPr="009F63DF" w:rsidRDefault="004D7614" w:rsidP="00540956">
            <w:pPr>
              <w:suppressAutoHyphens/>
              <w:spacing w:before="60" w:after="60"/>
              <w:ind w:right="57"/>
              <w:jc w:val="left"/>
              <w:rPr>
                <w:rFonts w:cs="Arial"/>
                <w:sz w:val="20"/>
                <w:lang w:val="en-GB"/>
              </w:rPr>
            </w:pPr>
            <w:r w:rsidRPr="009F63DF">
              <w:rPr>
                <w:rFonts w:cs="Arial"/>
                <w:sz w:val="20"/>
                <w:lang w:val="en-GB"/>
              </w:rPr>
              <w:t>Value applied</w:t>
            </w:r>
          </w:p>
        </w:tc>
        <w:tc>
          <w:tcPr>
            <w:tcW w:w="2268" w:type="dxa"/>
            <w:gridSpan w:val="2"/>
            <w:tcBorders>
              <w:bottom w:val="single" w:sz="4" w:space="0" w:color="auto"/>
              <w:right w:val="nil"/>
            </w:tcBorders>
          </w:tcPr>
          <w:p w14:paraId="12F48A40" w14:textId="77777777" w:rsidR="004D7614" w:rsidRPr="009F63DF" w:rsidRDefault="004D7614" w:rsidP="00495C31">
            <w:pPr>
              <w:suppressAutoHyphens/>
              <w:spacing w:before="60" w:after="60"/>
              <w:ind w:right="57"/>
              <w:jc w:val="left"/>
              <w:rPr>
                <w:rFonts w:cs="Arial"/>
                <w:sz w:val="20"/>
                <w:shd w:val="clear" w:color="auto" w:fill="E6E6E6"/>
                <w:lang w:val="en-GB"/>
              </w:rPr>
            </w:pPr>
          </w:p>
        </w:tc>
        <w:tc>
          <w:tcPr>
            <w:tcW w:w="2126" w:type="dxa"/>
            <w:tcBorders>
              <w:left w:val="nil"/>
              <w:bottom w:val="single" w:sz="4" w:space="0" w:color="auto"/>
              <w:right w:val="nil"/>
            </w:tcBorders>
          </w:tcPr>
          <w:p w14:paraId="4A6873B2" w14:textId="77777777" w:rsidR="004D7614" w:rsidRPr="009F63DF" w:rsidRDefault="004D7614" w:rsidP="00495C31">
            <w:pPr>
              <w:suppressAutoHyphens/>
              <w:spacing w:before="60" w:after="60"/>
              <w:ind w:right="57"/>
              <w:jc w:val="left"/>
              <w:rPr>
                <w:rFonts w:cs="Arial"/>
                <w:sz w:val="20"/>
                <w:shd w:val="clear" w:color="auto" w:fill="E6E6E6"/>
                <w:lang w:val="en-GB"/>
              </w:rPr>
            </w:pPr>
          </w:p>
        </w:tc>
        <w:tc>
          <w:tcPr>
            <w:tcW w:w="2268" w:type="dxa"/>
            <w:tcBorders>
              <w:left w:val="nil"/>
              <w:bottom w:val="single" w:sz="4" w:space="0" w:color="auto"/>
            </w:tcBorders>
          </w:tcPr>
          <w:p w14:paraId="242B4138" w14:textId="77777777" w:rsidR="004D7614" w:rsidRPr="009F63DF" w:rsidRDefault="004D7614" w:rsidP="00495C31">
            <w:pPr>
              <w:suppressAutoHyphens/>
              <w:spacing w:before="60" w:after="60"/>
              <w:ind w:right="57"/>
              <w:jc w:val="left"/>
              <w:rPr>
                <w:sz w:val="20"/>
                <w:shd w:val="clear" w:color="auto" w:fill="E6E6E6"/>
                <w:lang w:val="en-GB"/>
              </w:rPr>
            </w:pPr>
          </w:p>
        </w:tc>
      </w:tr>
      <w:tr w:rsidR="004D7614" w:rsidRPr="009F63DF" w14:paraId="4AC8C4FB" w14:textId="77777777">
        <w:tc>
          <w:tcPr>
            <w:tcW w:w="1867" w:type="dxa"/>
            <w:shd w:val="clear" w:color="auto" w:fill="E6E6E6"/>
          </w:tcPr>
          <w:p w14:paraId="799E349B" w14:textId="03AE2A5A" w:rsidR="004D7614" w:rsidRPr="009F63DF" w:rsidRDefault="004D7614"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62" w:type="dxa"/>
            <w:gridSpan w:val="4"/>
            <w:tcBorders>
              <w:bottom w:val="single" w:sz="4" w:space="0" w:color="auto"/>
            </w:tcBorders>
          </w:tcPr>
          <w:p w14:paraId="315FFF10" w14:textId="4B9B64FC" w:rsidR="004D7614" w:rsidRPr="009F63DF" w:rsidRDefault="004D7614" w:rsidP="00495C31">
            <w:pPr>
              <w:suppressAutoHyphens/>
              <w:spacing w:before="60" w:after="60"/>
              <w:ind w:right="57"/>
              <w:jc w:val="left"/>
              <w:rPr>
                <w:sz w:val="20"/>
                <w:shd w:val="clear" w:color="auto" w:fill="E6E6E6"/>
                <w:lang w:val="en-GB"/>
              </w:rPr>
            </w:pPr>
            <w:r w:rsidRPr="009F63DF">
              <w:rPr>
                <w:rFonts w:eastAsia="Montserrat" w:cs="Arial"/>
                <w:sz w:val="20"/>
                <w:szCs w:val="20"/>
                <w:lang w:val="en-GB"/>
              </w:rPr>
              <w:t>SUMs monitoring.</w:t>
            </w:r>
            <w:r w:rsidRPr="009F63DF">
              <w:rPr>
                <w:rFonts w:eastAsia="Montserrat" w:cs="Arial"/>
                <w:sz w:val="20"/>
                <w:szCs w:val="20"/>
                <w:lang w:val="en-GB"/>
              </w:rPr>
              <w:br/>
              <w:t>Installation of SUMs on the project cookstoves during the activity KPT</w:t>
            </w:r>
          </w:p>
        </w:tc>
      </w:tr>
      <w:tr w:rsidR="00A45954" w:rsidRPr="009F63DF" w14:paraId="70C23F83" w14:textId="77777777" w:rsidTr="26CCAC22">
        <w:tc>
          <w:tcPr>
            <w:tcW w:w="1867" w:type="dxa"/>
            <w:shd w:val="clear" w:color="auto" w:fill="E6E6E6"/>
          </w:tcPr>
          <w:p w14:paraId="5077F12F"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62" w:type="dxa"/>
            <w:gridSpan w:val="4"/>
            <w:tcBorders>
              <w:top w:val="single" w:sz="4" w:space="0" w:color="auto"/>
              <w:bottom w:val="single" w:sz="4" w:space="0" w:color="auto"/>
            </w:tcBorders>
            <w:vAlign w:val="center"/>
          </w:tcPr>
          <w:p w14:paraId="246C7B48" w14:textId="2F40FA11" w:rsidR="00A45954" w:rsidRPr="009F63DF" w:rsidRDefault="00B42E39" w:rsidP="00495C31">
            <w:pPr>
              <w:suppressAutoHyphens/>
              <w:spacing w:before="60" w:after="60"/>
              <w:ind w:right="57"/>
              <w:rPr>
                <w:rFonts w:cs="Arial"/>
                <w:sz w:val="20"/>
                <w:szCs w:val="20"/>
                <w:lang w:val="en-GB"/>
              </w:rPr>
            </w:pPr>
            <w:r w:rsidRPr="009F63DF">
              <w:rPr>
                <w:rFonts w:eastAsia="Montserrat" w:cs="Arial"/>
                <w:sz w:val="20"/>
                <w:szCs w:val="20"/>
                <w:lang w:val="en-GB"/>
              </w:rPr>
              <w:t>Continuously f</w:t>
            </w:r>
            <w:r w:rsidR="00965A50" w:rsidRPr="009F63DF">
              <w:rPr>
                <w:rFonts w:eastAsia="Montserrat" w:cs="Arial"/>
                <w:sz w:val="20"/>
                <w:szCs w:val="20"/>
                <w:lang w:val="en-GB"/>
              </w:rPr>
              <w:t>or</w:t>
            </w:r>
            <w:r w:rsidR="00A45954" w:rsidRPr="009F63DF">
              <w:rPr>
                <w:rFonts w:eastAsia="Montserrat" w:cs="Arial"/>
                <w:sz w:val="20"/>
                <w:szCs w:val="20"/>
                <w:lang w:val="en-GB"/>
              </w:rPr>
              <w:t xml:space="preserve"> the </w:t>
            </w:r>
            <w:r w:rsidR="00965A50" w:rsidRPr="009F63DF">
              <w:rPr>
                <w:rFonts w:eastAsia="Montserrat" w:cs="Arial"/>
                <w:sz w:val="20"/>
                <w:szCs w:val="20"/>
                <w:lang w:val="en-GB"/>
              </w:rPr>
              <w:t>duration of</w:t>
            </w:r>
            <w:r w:rsidR="00A45954" w:rsidRPr="009F63DF">
              <w:rPr>
                <w:rFonts w:eastAsia="Montserrat" w:cs="Arial"/>
                <w:sz w:val="20"/>
                <w:szCs w:val="20"/>
                <w:lang w:val="en-GB"/>
              </w:rPr>
              <w:t xml:space="preserve"> the </w:t>
            </w:r>
            <w:r w:rsidR="00965A50" w:rsidRPr="009F63DF">
              <w:rPr>
                <w:rFonts w:eastAsia="Montserrat" w:cs="Arial"/>
                <w:sz w:val="20"/>
                <w:szCs w:val="20"/>
                <w:lang w:val="en-GB"/>
              </w:rPr>
              <w:t xml:space="preserve">first </w:t>
            </w:r>
            <w:r w:rsidR="00A45954" w:rsidRPr="009F63DF">
              <w:rPr>
                <w:rFonts w:eastAsia="Montserrat" w:cs="Arial"/>
                <w:sz w:val="20"/>
                <w:szCs w:val="20"/>
                <w:lang w:val="en-GB"/>
              </w:rPr>
              <w:t>Article 6.4 activity KPT</w:t>
            </w:r>
            <w:r w:rsidR="00965A50" w:rsidRPr="009F63DF">
              <w:rPr>
                <w:rFonts w:eastAsia="Montserrat" w:cs="Arial"/>
                <w:sz w:val="20"/>
                <w:szCs w:val="20"/>
                <w:lang w:val="en-GB"/>
              </w:rPr>
              <w:t>s</w:t>
            </w:r>
          </w:p>
        </w:tc>
      </w:tr>
      <w:tr w:rsidR="00A45954" w:rsidRPr="009F63DF" w14:paraId="70E5D9B9" w14:textId="77777777" w:rsidTr="26CCAC22">
        <w:trPr>
          <w:trHeight w:val="107"/>
        </w:trPr>
        <w:tc>
          <w:tcPr>
            <w:tcW w:w="1867" w:type="dxa"/>
            <w:shd w:val="clear" w:color="auto" w:fill="E6E6E6"/>
          </w:tcPr>
          <w:p w14:paraId="46F0C1B9"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62" w:type="dxa"/>
            <w:gridSpan w:val="4"/>
            <w:tcBorders>
              <w:top w:val="single" w:sz="4" w:space="0" w:color="auto"/>
            </w:tcBorders>
          </w:tcPr>
          <w:p w14:paraId="1D44BBD0" w14:textId="0639A260" w:rsidR="00A45954" w:rsidRPr="009F63DF" w:rsidRDefault="00965A50" w:rsidP="00495C31">
            <w:pPr>
              <w:suppressAutoHyphens/>
              <w:spacing w:before="60" w:after="60"/>
              <w:ind w:right="57"/>
              <w:rPr>
                <w:rFonts w:cs="Arial"/>
                <w:sz w:val="20"/>
                <w:szCs w:val="20"/>
                <w:lang w:val="en-GB"/>
              </w:rPr>
            </w:pPr>
            <w:r w:rsidRPr="009F63DF">
              <w:rPr>
                <w:rFonts w:cs="Arial"/>
                <w:sz w:val="20"/>
                <w:szCs w:val="20"/>
                <w:lang w:val="en-GB"/>
              </w:rPr>
              <w:t>Activity participants</w:t>
            </w:r>
          </w:p>
        </w:tc>
      </w:tr>
      <w:tr w:rsidR="00A45954" w:rsidRPr="009F63DF" w14:paraId="5EA79C34" w14:textId="77777777" w:rsidTr="26CCAC22">
        <w:trPr>
          <w:trHeight w:val="107"/>
        </w:trPr>
        <w:tc>
          <w:tcPr>
            <w:tcW w:w="1867" w:type="dxa"/>
            <w:vMerge w:val="restart"/>
            <w:shd w:val="clear" w:color="auto" w:fill="E6E6E6"/>
          </w:tcPr>
          <w:p w14:paraId="3CDE9321"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1941" w:type="dxa"/>
            <w:tcBorders>
              <w:top w:val="single" w:sz="4" w:space="0" w:color="auto"/>
            </w:tcBorders>
          </w:tcPr>
          <w:p w14:paraId="41BF3BD2" w14:textId="77777777" w:rsidR="00A45954" w:rsidRPr="009F63DF" w:rsidRDefault="00A45954" w:rsidP="00495C31">
            <w:pPr>
              <w:suppressAutoHyphens/>
              <w:spacing w:before="60" w:after="60"/>
              <w:ind w:right="57"/>
              <w:jc w:val="left"/>
              <w:rPr>
                <w:rFonts w:cs="Arial"/>
                <w:i/>
                <w:iCs/>
                <w:sz w:val="20"/>
                <w:szCs w:val="20"/>
                <w:lang w:val="en-GB"/>
              </w:rPr>
            </w:pPr>
            <w:r w:rsidRPr="009F63DF">
              <w:rPr>
                <w:rFonts w:cs="Arial"/>
                <w:i/>
                <w:iCs/>
                <w:sz w:val="20"/>
                <w:szCs w:val="20"/>
                <w:lang w:val="en-GB"/>
              </w:rPr>
              <w:t>Type of instrument</w:t>
            </w:r>
          </w:p>
        </w:tc>
        <w:tc>
          <w:tcPr>
            <w:tcW w:w="4721" w:type="dxa"/>
            <w:gridSpan w:val="3"/>
            <w:tcBorders>
              <w:top w:val="single" w:sz="4" w:space="0" w:color="auto"/>
            </w:tcBorders>
          </w:tcPr>
          <w:p w14:paraId="6066B12B" w14:textId="61AACC2A" w:rsidR="00A45954" w:rsidRPr="009F63DF" w:rsidRDefault="00965A50" w:rsidP="00495C31">
            <w:pPr>
              <w:pStyle w:val="ParaTickBox"/>
              <w:tabs>
                <w:tab w:val="clear" w:pos="510"/>
                <w:tab w:val="left" w:pos="120"/>
              </w:tabs>
              <w:suppressAutoHyphens/>
              <w:ind w:right="57"/>
              <w:rPr>
                <w:szCs w:val="20"/>
                <w:lang w:val="en-GB"/>
              </w:rPr>
            </w:pPr>
            <w:r w:rsidRPr="009F63DF">
              <w:rPr>
                <w:szCs w:val="20"/>
                <w:lang w:val="en-GB"/>
              </w:rPr>
              <w:t>SUMs</w:t>
            </w:r>
          </w:p>
        </w:tc>
      </w:tr>
      <w:tr w:rsidR="00A45954" w:rsidRPr="009F63DF" w14:paraId="7AA951A1" w14:textId="77777777" w:rsidTr="26CCAC22">
        <w:trPr>
          <w:trHeight w:val="104"/>
        </w:trPr>
        <w:tc>
          <w:tcPr>
            <w:tcW w:w="1867" w:type="dxa"/>
            <w:vMerge/>
          </w:tcPr>
          <w:p w14:paraId="5F207212" w14:textId="77777777" w:rsidR="00A45954" w:rsidRPr="009F63DF" w:rsidRDefault="00A45954" w:rsidP="00540956">
            <w:pPr>
              <w:suppressAutoHyphens/>
              <w:spacing w:before="60" w:after="60"/>
              <w:ind w:right="57"/>
              <w:jc w:val="left"/>
              <w:rPr>
                <w:rFonts w:cs="Arial"/>
                <w:sz w:val="20"/>
                <w:szCs w:val="20"/>
                <w:lang w:val="en-GB"/>
              </w:rPr>
            </w:pPr>
          </w:p>
        </w:tc>
        <w:tc>
          <w:tcPr>
            <w:tcW w:w="1941" w:type="dxa"/>
            <w:tcBorders>
              <w:top w:val="single" w:sz="4" w:space="0" w:color="auto"/>
            </w:tcBorders>
          </w:tcPr>
          <w:p w14:paraId="7AC50E0D" w14:textId="77777777" w:rsidR="00A45954" w:rsidRPr="009F63DF" w:rsidRDefault="00A45954" w:rsidP="00495C31">
            <w:pPr>
              <w:suppressAutoHyphens/>
              <w:spacing w:before="60" w:after="60"/>
              <w:ind w:right="57"/>
              <w:jc w:val="left"/>
              <w:rPr>
                <w:rFonts w:cs="Arial"/>
                <w:i/>
                <w:iCs/>
                <w:sz w:val="20"/>
                <w:szCs w:val="20"/>
                <w:lang w:val="en-GB"/>
              </w:rPr>
            </w:pPr>
            <w:r w:rsidRPr="009F63DF">
              <w:rPr>
                <w:rFonts w:cs="Arial"/>
                <w:i/>
                <w:iCs/>
                <w:sz w:val="20"/>
                <w:szCs w:val="20"/>
                <w:lang w:val="en-GB"/>
              </w:rPr>
              <w:t>Accuracy class</w:t>
            </w:r>
          </w:p>
        </w:tc>
        <w:tc>
          <w:tcPr>
            <w:tcW w:w="4721" w:type="dxa"/>
            <w:gridSpan w:val="3"/>
            <w:tcBorders>
              <w:top w:val="single" w:sz="4" w:space="0" w:color="auto"/>
            </w:tcBorders>
          </w:tcPr>
          <w:p w14:paraId="74B9100A" w14:textId="29A6D1BD" w:rsidR="00A45954" w:rsidRPr="009F63DF" w:rsidRDefault="00965A50" w:rsidP="00495C31">
            <w:pPr>
              <w:suppressAutoHyphens/>
              <w:spacing w:before="60" w:after="60"/>
              <w:ind w:right="57"/>
              <w:rPr>
                <w:rFonts w:cs="Arial"/>
                <w:sz w:val="20"/>
                <w:szCs w:val="20"/>
                <w:lang w:val="en-GB"/>
              </w:rPr>
            </w:pPr>
            <w:r w:rsidRPr="009F63DF">
              <w:rPr>
                <w:rFonts w:cs="Arial"/>
                <w:sz w:val="20"/>
                <w:szCs w:val="20"/>
                <w:lang w:val="en-GB"/>
              </w:rPr>
              <w:t xml:space="preserve">In compliance with </w:t>
            </w:r>
            <w:r w:rsidRPr="009F63DF">
              <w:rPr>
                <w:rFonts w:cs="Arial"/>
                <w:sz w:val="20"/>
              </w:rPr>
              <w:fldChar w:fldCharType="begin"/>
            </w:r>
            <w:r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Pr="009F63DF">
              <w:rPr>
                <w:rFonts w:cs="Arial"/>
                <w:sz w:val="20"/>
              </w:rPr>
            </w:r>
            <w:r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Pr="009F63DF">
              <w:rPr>
                <w:rFonts w:cs="Arial"/>
                <w:sz w:val="20"/>
              </w:rPr>
              <w:fldChar w:fldCharType="end"/>
            </w:r>
          </w:p>
        </w:tc>
      </w:tr>
      <w:tr w:rsidR="00A45954" w:rsidRPr="009F63DF" w14:paraId="6A14815B" w14:textId="77777777" w:rsidTr="26CCAC22">
        <w:trPr>
          <w:trHeight w:val="104"/>
        </w:trPr>
        <w:tc>
          <w:tcPr>
            <w:tcW w:w="1867" w:type="dxa"/>
            <w:vMerge/>
          </w:tcPr>
          <w:p w14:paraId="4CAD9362" w14:textId="77777777" w:rsidR="00A45954" w:rsidRPr="009F63DF" w:rsidRDefault="00A45954" w:rsidP="00540956">
            <w:pPr>
              <w:suppressAutoHyphens/>
              <w:spacing w:before="60" w:after="60"/>
              <w:ind w:right="57"/>
              <w:jc w:val="left"/>
              <w:rPr>
                <w:rFonts w:cs="Arial"/>
                <w:sz w:val="20"/>
                <w:szCs w:val="20"/>
                <w:lang w:val="en-GB"/>
              </w:rPr>
            </w:pPr>
          </w:p>
        </w:tc>
        <w:tc>
          <w:tcPr>
            <w:tcW w:w="1941" w:type="dxa"/>
            <w:tcBorders>
              <w:top w:val="single" w:sz="4" w:space="0" w:color="auto"/>
            </w:tcBorders>
          </w:tcPr>
          <w:p w14:paraId="39FC0738" w14:textId="77777777" w:rsidR="00A45954" w:rsidRPr="009F63DF" w:rsidRDefault="00A45954" w:rsidP="00495C31">
            <w:pPr>
              <w:suppressAutoHyphens/>
              <w:spacing w:before="60" w:after="60"/>
              <w:ind w:right="57"/>
              <w:jc w:val="left"/>
              <w:rPr>
                <w:rFonts w:cs="Arial"/>
                <w:i/>
                <w:iCs/>
                <w:sz w:val="20"/>
                <w:szCs w:val="20"/>
                <w:lang w:val="en-GB"/>
              </w:rPr>
            </w:pPr>
            <w:r w:rsidRPr="009F63DF">
              <w:rPr>
                <w:rFonts w:cs="Arial"/>
                <w:i/>
                <w:iCs/>
                <w:sz w:val="20"/>
                <w:szCs w:val="20"/>
                <w:lang w:val="en-GB"/>
              </w:rPr>
              <w:t>Calibration requirements</w:t>
            </w:r>
          </w:p>
        </w:tc>
        <w:tc>
          <w:tcPr>
            <w:tcW w:w="4721" w:type="dxa"/>
            <w:gridSpan w:val="3"/>
            <w:tcBorders>
              <w:top w:val="single" w:sz="4" w:space="0" w:color="auto"/>
            </w:tcBorders>
          </w:tcPr>
          <w:p w14:paraId="14ADC969" w14:textId="5C12ECA7" w:rsidR="00A45954" w:rsidRPr="009F63DF" w:rsidRDefault="00965A50" w:rsidP="00495C31">
            <w:pPr>
              <w:suppressAutoHyphens/>
              <w:spacing w:before="60" w:after="60"/>
              <w:ind w:right="57"/>
              <w:rPr>
                <w:rFonts w:cs="Arial"/>
                <w:i/>
                <w:iCs/>
                <w:sz w:val="20"/>
                <w:szCs w:val="20"/>
                <w:lang w:val="en-GB"/>
              </w:rPr>
            </w:pPr>
            <w:r w:rsidRPr="009F63DF">
              <w:rPr>
                <w:rFonts w:cs="Arial"/>
                <w:sz w:val="20"/>
                <w:szCs w:val="20"/>
                <w:lang w:val="en-GB"/>
              </w:rPr>
              <w:t xml:space="preserve">In compliance with </w:t>
            </w:r>
            <w:r w:rsidRPr="009F63DF">
              <w:rPr>
                <w:rFonts w:cs="Arial"/>
                <w:sz w:val="20"/>
              </w:rPr>
              <w:fldChar w:fldCharType="begin"/>
            </w:r>
            <w:r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Pr="009F63DF">
              <w:rPr>
                <w:rFonts w:cs="Arial"/>
                <w:sz w:val="20"/>
              </w:rPr>
            </w:r>
            <w:r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Pr="009F63DF">
              <w:rPr>
                <w:rFonts w:cs="Arial"/>
                <w:sz w:val="20"/>
              </w:rPr>
              <w:fldChar w:fldCharType="end"/>
            </w:r>
          </w:p>
        </w:tc>
      </w:tr>
      <w:tr w:rsidR="00A45954" w:rsidRPr="009F63DF" w14:paraId="2822823D" w14:textId="77777777" w:rsidTr="26CCAC22">
        <w:trPr>
          <w:trHeight w:val="104"/>
        </w:trPr>
        <w:tc>
          <w:tcPr>
            <w:tcW w:w="1867" w:type="dxa"/>
            <w:vMerge/>
          </w:tcPr>
          <w:p w14:paraId="2FB37373" w14:textId="77777777" w:rsidR="00A45954" w:rsidRPr="009F63DF" w:rsidRDefault="00A45954" w:rsidP="00540956">
            <w:pPr>
              <w:suppressAutoHyphens/>
              <w:spacing w:before="60" w:after="60"/>
              <w:ind w:right="57"/>
              <w:jc w:val="left"/>
              <w:rPr>
                <w:rFonts w:cs="Arial"/>
                <w:sz w:val="20"/>
                <w:szCs w:val="20"/>
                <w:lang w:val="en-GB"/>
              </w:rPr>
            </w:pPr>
          </w:p>
        </w:tc>
        <w:tc>
          <w:tcPr>
            <w:tcW w:w="1941" w:type="dxa"/>
            <w:tcBorders>
              <w:top w:val="single" w:sz="4" w:space="0" w:color="auto"/>
            </w:tcBorders>
          </w:tcPr>
          <w:p w14:paraId="1260D221" w14:textId="77777777" w:rsidR="00A45954" w:rsidRPr="009F63DF" w:rsidRDefault="00A45954" w:rsidP="00495C31">
            <w:pPr>
              <w:suppressAutoHyphens/>
              <w:spacing w:before="60" w:after="60"/>
              <w:ind w:right="57"/>
              <w:jc w:val="left"/>
              <w:rPr>
                <w:rFonts w:cs="Arial"/>
                <w:i/>
                <w:iCs/>
                <w:sz w:val="20"/>
                <w:szCs w:val="20"/>
                <w:lang w:val="en-GB"/>
              </w:rPr>
            </w:pPr>
            <w:r w:rsidRPr="009F63DF">
              <w:rPr>
                <w:rFonts w:cs="Arial"/>
                <w:i/>
                <w:iCs/>
                <w:sz w:val="20"/>
                <w:szCs w:val="20"/>
                <w:lang w:val="en-GB"/>
              </w:rPr>
              <w:t>Location</w:t>
            </w:r>
          </w:p>
        </w:tc>
        <w:tc>
          <w:tcPr>
            <w:tcW w:w="4721" w:type="dxa"/>
            <w:gridSpan w:val="3"/>
            <w:tcBorders>
              <w:top w:val="single" w:sz="4" w:space="0" w:color="auto"/>
            </w:tcBorders>
          </w:tcPr>
          <w:p w14:paraId="2769FD2D" w14:textId="46CB83C9" w:rsidR="00A45954" w:rsidRPr="009F63DF" w:rsidRDefault="00965A50" w:rsidP="00495C31">
            <w:pPr>
              <w:suppressAutoHyphens/>
              <w:spacing w:before="60" w:after="60"/>
              <w:ind w:right="57"/>
              <w:rPr>
                <w:rFonts w:cs="Arial"/>
                <w:sz w:val="20"/>
                <w:szCs w:val="20"/>
                <w:lang w:val="en-GB"/>
              </w:rPr>
            </w:pPr>
            <w:r w:rsidRPr="009F63DF">
              <w:rPr>
                <w:rFonts w:cs="Arial"/>
                <w:sz w:val="20"/>
                <w:szCs w:val="20"/>
                <w:lang w:val="en-GB"/>
              </w:rPr>
              <w:t>Article 6.4 activity households</w:t>
            </w:r>
          </w:p>
        </w:tc>
      </w:tr>
      <w:tr w:rsidR="00A45954" w:rsidRPr="009F63DF" w14:paraId="7C83A45F" w14:textId="77777777" w:rsidTr="26CCAC22">
        <w:tc>
          <w:tcPr>
            <w:tcW w:w="1867" w:type="dxa"/>
            <w:shd w:val="clear" w:color="auto" w:fill="E6E6E6"/>
          </w:tcPr>
          <w:p w14:paraId="4EEB1E4C"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62" w:type="dxa"/>
            <w:gridSpan w:val="4"/>
          </w:tcPr>
          <w:p w14:paraId="2CF63608" w14:textId="6EA733FB" w:rsidR="00A45954" w:rsidRPr="009F63DF" w:rsidRDefault="00965A50" w:rsidP="00495C31">
            <w:pPr>
              <w:tabs>
                <w:tab w:val="left" w:pos="567"/>
              </w:tabs>
              <w:suppressAutoHyphens/>
              <w:spacing w:before="20" w:after="20"/>
              <w:ind w:right="159"/>
              <w:rPr>
                <w:rFonts w:cs="Arial"/>
                <w:sz w:val="20"/>
                <w:szCs w:val="20"/>
                <w:lang w:val="en-GB"/>
              </w:rPr>
            </w:pPr>
            <w:r w:rsidRPr="009F63DF">
              <w:rPr>
                <w:rFonts w:cs="Arial"/>
                <w:sz w:val="20"/>
                <w:szCs w:val="20"/>
                <w:lang w:val="en-GB"/>
              </w:rPr>
              <w:t xml:space="preserve">In compliance with </w:t>
            </w:r>
            <w:r w:rsidRPr="009F63DF">
              <w:rPr>
                <w:rFonts w:cs="Arial"/>
                <w:sz w:val="20"/>
              </w:rPr>
              <w:fldChar w:fldCharType="begin"/>
            </w:r>
            <w:r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Pr="009F63DF">
              <w:rPr>
                <w:rFonts w:cs="Arial"/>
                <w:sz w:val="20"/>
              </w:rPr>
            </w:r>
            <w:r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Pr="009F63DF">
              <w:rPr>
                <w:rFonts w:cs="Arial"/>
                <w:sz w:val="20"/>
              </w:rPr>
              <w:fldChar w:fldCharType="end"/>
            </w:r>
          </w:p>
        </w:tc>
      </w:tr>
      <w:tr w:rsidR="00A45954" w:rsidRPr="009F63DF" w14:paraId="393E07F8" w14:textId="77777777" w:rsidTr="26CCAC22">
        <w:tc>
          <w:tcPr>
            <w:tcW w:w="1867" w:type="dxa"/>
            <w:shd w:val="clear" w:color="auto" w:fill="E6E6E6"/>
          </w:tcPr>
          <w:p w14:paraId="6145DE0D"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62" w:type="dxa"/>
            <w:gridSpan w:val="4"/>
          </w:tcPr>
          <w:p w14:paraId="50647735" w14:textId="5E30C1EB" w:rsidR="00A45954" w:rsidRPr="009F63DF" w:rsidRDefault="00965A50" w:rsidP="00495C31">
            <w:pPr>
              <w:suppressAutoHyphens/>
              <w:spacing w:before="60"/>
              <w:jc w:val="left"/>
              <w:rPr>
                <w:rFonts w:cs="Arial"/>
                <w:sz w:val="20"/>
                <w:szCs w:val="20"/>
                <w:lang w:val="en-GB"/>
              </w:rPr>
            </w:pPr>
            <w:r w:rsidRPr="009F63DF">
              <w:rPr>
                <w:rFonts w:cs="Arial"/>
                <w:color w:val="000000"/>
                <w:sz w:val="20"/>
                <w:szCs w:val="20"/>
                <w:shd w:val="clear" w:color="auto" w:fill="FFFFFF"/>
                <w:lang w:val="en-GB"/>
              </w:rPr>
              <w:t xml:space="preserve">The study shall meet the minimum reliability of 95/10 for the target parameter of average </w:t>
            </w:r>
            <w:r w:rsidRPr="009F63DF">
              <w:rPr>
                <w:rFonts w:eastAsia="Montserrat" w:cs="Arial"/>
                <w:sz w:val="20"/>
                <w:szCs w:val="20"/>
                <w:lang w:val="en-GB"/>
              </w:rPr>
              <w:t>cooking events per day per project cookstoves</w:t>
            </w:r>
            <w:r w:rsidRPr="009F63DF">
              <w:rPr>
                <w:rFonts w:cs="Arial"/>
                <w:color w:val="000000"/>
                <w:sz w:val="20"/>
                <w:szCs w:val="20"/>
                <w:shd w:val="clear" w:color="auto" w:fill="FFFFFF"/>
                <w:lang w:val="en-GB"/>
              </w:rPr>
              <w:t xml:space="preserve">. </w:t>
            </w:r>
            <w:r w:rsidRPr="009F63DF">
              <w:rPr>
                <w:rFonts w:cs="Arial"/>
                <w:sz w:val="20"/>
                <w:szCs w:val="20"/>
                <w:lang w:val="en-GB"/>
              </w:rPr>
              <w:t xml:space="preserve">In compliance with </w:t>
            </w:r>
            <w:r w:rsidRPr="009F63DF">
              <w:rPr>
                <w:rFonts w:cs="Arial"/>
                <w:sz w:val="20"/>
              </w:rPr>
              <w:fldChar w:fldCharType="begin"/>
            </w:r>
            <w:r w:rsidRPr="009F63DF">
              <w:rPr>
                <w:rFonts w:cs="Arial"/>
                <w:sz w:val="20"/>
                <w:szCs w:val="20"/>
                <w:lang w:val="en-GB"/>
              </w:rPr>
              <w:instrText xml:space="preserve"> REF _Ref227250743 \w \h </w:instrText>
            </w:r>
            <w:r w:rsidR="00171523" w:rsidRPr="009F63DF">
              <w:rPr>
                <w:rFonts w:cs="Arial"/>
                <w:sz w:val="20"/>
                <w:szCs w:val="20"/>
                <w:lang w:val="en-GB"/>
              </w:rPr>
              <w:instrText xml:space="preserve"> \* MERGEFORMAT </w:instrText>
            </w:r>
            <w:r w:rsidRPr="009F63DF">
              <w:rPr>
                <w:rFonts w:cs="Arial"/>
                <w:sz w:val="20"/>
              </w:rPr>
            </w:r>
            <w:r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Pr="009F63DF">
              <w:rPr>
                <w:rFonts w:cs="Arial"/>
                <w:sz w:val="20"/>
              </w:rPr>
              <w:fldChar w:fldCharType="end"/>
            </w:r>
          </w:p>
        </w:tc>
      </w:tr>
      <w:tr w:rsidR="00A45954" w:rsidRPr="009F63DF" w14:paraId="6161EF23" w14:textId="77777777" w:rsidTr="26CCAC22">
        <w:tc>
          <w:tcPr>
            <w:tcW w:w="1867" w:type="dxa"/>
            <w:shd w:val="clear" w:color="auto" w:fill="E6E6E6"/>
          </w:tcPr>
          <w:p w14:paraId="1BC47529" w14:textId="77777777" w:rsidR="00A45954" w:rsidRPr="009F63DF" w:rsidRDefault="00A45954"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62" w:type="dxa"/>
            <w:gridSpan w:val="4"/>
          </w:tcPr>
          <w:p w14:paraId="5ACF64FC" w14:textId="69A4E2C4" w:rsidR="00A45954" w:rsidRPr="009F63DF" w:rsidRDefault="00A3595D" w:rsidP="00495C31">
            <w:pPr>
              <w:pStyle w:val="ParaTickBox"/>
              <w:keepNext/>
              <w:tabs>
                <w:tab w:val="clear" w:pos="510"/>
                <w:tab w:val="left" w:pos="315"/>
              </w:tabs>
              <w:suppressAutoHyphens/>
              <w:ind w:left="0" w:firstLine="0"/>
              <w:jc w:val="both"/>
              <w:rPr>
                <w:szCs w:val="20"/>
                <w:lang w:val="en-GB"/>
              </w:rPr>
            </w:pPr>
            <w:r w:rsidRPr="009F63DF">
              <w:rPr>
                <w:color w:val="000000"/>
                <w:szCs w:val="20"/>
                <w:shd w:val="clear" w:color="auto" w:fill="FFFFFF"/>
                <w:lang w:val="en-GB"/>
              </w:rPr>
              <w:t>If the target reliability is not met, the activity participant shall take the lower bound of the confidence intervals as the parameter value</w:t>
            </w:r>
          </w:p>
        </w:tc>
      </w:tr>
      <w:tr w:rsidR="00A45954" w:rsidRPr="009F63DF" w14:paraId="7753E473" w14:textId="77777777" w:rsidTr="26CCAC22">
        <w:tc>
          <w:tcPr>
            <w:tcW w:w="1867" w:type="dxa"/>
            <w:shd w:val="clear" w:color="auto" w:fill="E6E6E6"/>
          </w:tcPr>
          <w:p w14:paraId="051FF885" w14:textId="77777777" w:rsidR="00A45954" w:rsidRPr="009F63DF" w:rsidRDefault="00A45954"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62" w:type="dxa"/>
            <w:gridSpan w:val="4"/>
          </w:tcPr>
          <w:p w14:paraId="368DC1E3" w14:textId="1FEF6D40" w:rsidR="00A45954" w:rsidRPr="009F63DF" w:rsidRDefault="00965A50" w:rsidP="00495C31">
            <w:pPr>
              <w:suppressAutoHyphens/>
              <w:spacing w:before="60" w:after="60"/>
              <w:ind w:right="57"/>
              <w:rPr>
                <w:rFonts w:cs="Arial"/>
                <w:sz w:val="20"/>
                <w:szCs w:val="20"/>
                <w:lang w:val="en-GB"/>
              </w:rPr>
            </w:pPr>
            <w:r w:rsidRPr="009F63DF">
              <w:rPr>
                <w:rFonts w:eastAsia="Montserrat" w:cs="Arial"/>
                <w:sz w:val="20"/>
                <w:szCs w:val="20"/>
                <w:lang w:val="en-GB"/>
              </w:rPr>
              <w:t>Households in the SUMs sample shall not receive any support different from or additional to those not in the sample</w:t>
            </w:r>
          </w:p>
        </w:tc>
      </w:tr>
    </w:tbl>
    <w:p w14:paraId="53B364C1" w14:textId="6D4EA484" w:rsidR="00147532" w:rsidRPr="009F63DF" w:rsidRDefault="00147532" w:rsidP="00002134">
      <w:pPr>
        <w:keepLines/>
        <w:tabs>
          <w:tab w:val="left" w:pos="1134"/>
          <w:tab w:val="left" w:pos="1956"/>
          <w:tab w:val="left" w:pos="2126"/>
          <w:tab w:val="left" w:pos="2693"/>
          <w:tab w:val="left" w:pos="3260"/>
        </w:tabs>
        <w:spacing w:before="320" w:after="120"/>
        <w:ind w:left="1956" w:hanging="1247"/>
        <w:rPr>
          <w:b/>
          <w:sz w:val="20"/>
        </w:rPr>
      </w:pPr>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22</w:t>
      </w:r>
      <w:r w:rsidRPr="009F63DF">
        <w:rPr>
          <w:b/>
          <w:sz w:val="20"/>
        </w:rPr>
        <w:fldChar w:fldCharType="end"/>
      </w:r>
      <w:r w:rsidRPr="009F63DF">
        <w:rPr>
          <w:b/>
          <w:sz w:val="20"/>
        </w:rPr>
        <w:t>.</w:t>
      </w:r>
    </w:p>
    <w:tbl>
      <w:tblPr>
        <w:tblStyle w:val="TableGrid"/>
        <w:tblW w:w="8529" w:type="dxa"/>
        <w:tblInd w:w="822" w:type="dxa"/>
        <w:tblLook w:val="04A0" w:firstRow="1" w:lastRow="0" w:firstColumn="1" w:lastColumn="0" w:noHBand="0" w:noVBand="1"/>
      </w:tblPr>
      <w:tblGrid>
        <w:gridCol w:w="1867"/>
        <w:gridCol w:w="1941"/>
        <w:gridCol w:w="325"/>
        <w:gridCol w:w="2128"/>
        <w:gridCol w:w="2268"/>
      </w:tblGrid>
      <w:tr w:rsidR="006E759D" w:rsidRPr="009F63DF" w14:paraId="2B994280" w14:textId="77777777" w:rsidTr="00223FDE">
        <w:tc>
          <w:tcPr>
            <w:tcW w:w="1867" w:type="dxa"/>
            <w:shd w:val="clear" w:color="auto" w:fill="E6E6E6"/>
          </w:tcPr>
          <w:p w14:paraId="1CF6D527" w14:textId="77777777" w:rsidR="003C405B" w:rsidRPr="00DB265B" w:rsidRDefault="003C405B" w:rsidP="00540956">
            <w:pPr>
              <w:keepNext/>
              <w:spacing w:before="60" w:after="60"/>
              <w:ind w:right="57"/>
              <w:jc w:val="left"/>
              <w:rPr>
                <w:rFonts w:cs="Arial"/>
                <w:b/>
                <w:bCs/>
                <w:sz w:val="20"/>
                <w:szCs w:val="20"/>
                <w:lang w:val="en-GB"/>
              </w:rPr>
            </w:pPr>
            <w:r w:rsidRPr="00DB265B">
              <w:rPr>
                <w:rFonts w:cs="Arial"/>
                <w:b/>
                <w:bCs/>
                <w:sz w:val="20"/>
                <w:szCs w:val="20"/>
                <w:lang w:val="en-GB"/>
              </w:rPr>
              <w:t>Data/parameter</w:t>
            </w:r>
          </w:p>
        </w:tc>
        <w:tc>
          <w:tcPr>
            <w:tcW w:w="6662" w:type="dxa"/>
            <w:gridSpan w:val="4"/>
          </w:tcPr>
          <w:p w14:paraId="445C02AC" w14:textId="7FF97E15" w:rsidR="003C405B" w:rsidRPr="00DB265B" w:rsidRDefault="001549D8" w:rsidP="00B033CE">
            <w:pPr>
              <w:keepNext/>
              <w:spacing w:before="60" w:after="60"/>
              <w:ind w:right="57"/>
              <w:jc w:val="left"/>
              <w:rPr>
                <w:rFonts w:cs="Arial"/>
                <w:b/>
                <w:i/>
                <w:sz w:val="20"/>
                <w:szCs w:val="20"/>
                <w:lang w:val="en-GB"/>
              </w:rPr>
            </w:pPr>
            <m:oMathPara>
              <m:oMathParaPr>
                <m:jc m:val="left"/>
              </m:oMathParaPr>
              <m:oMath>
                <m:sSub>
                  <m:sSubPr>
                    <m:ctrlPr>
                      <w:rPr>
                        <w:rFonts w:ascii="Cambria Math" w:eastAsia="Cambria Math" w:hAnsi="Cambria Math" w:cs="Arial"/>
                        <w:sz w:val="20"/>
                        <w:szCs w:val="20"/>
                        <w:lang w:val="en-GB"/>
                      </w:rPr>
                    </m:ctrlPr>
                  </m:sSubPr>
                  <m:e>
                    <m:r>
                      <w:rPr>
                        <w:rFonts w:ascii="Cambria Math" w:eastAsia="Roboto" w:hAnsi="Cambria Math" w:cs="Arial"/>
                        <w:color w:val="040C28"/>
                        <w:sz w:val="20"/>
                        <w:szCs w:val="20"/>
                        <w:lang w:val="en-GB"/>
                      </w:rPr>
                      <m:t>Ψ</m:t>
                    </m:r>
                  </m:e>
                  <m:sub>
                    <m:r>
                      <w:rPr>
                        <w:rFonts w:ascii="Cambria Math" w:eastAsia="Cambria Math" w:hAnsi="Cambria Math" w:cs="Arial"/>
                        <w:sz w:val="20"/>
                        <w:szCs w:val="20"/>
                        <w:lang w:val="en-GB"/>
                      </w:rPr>
                      <m:t>y</m:t>
                    </m:r>
                  </m:sub>
                </m:sSub>
              </m:oMath>
            </m:oMathPara>
          </w:p>
        </w:tc>
      </w:tr>
      <w:tr w:rsidR="006E759D" w:rsidRPr="009F63DF" w14:paraId="2DB3BA1F" w14:textId="77777777" w:rsidTr="00223FDE">
        <w:tc>
          <w:tcPr>
            <w:tcW w:w="1867" w:type="dxa"/>
            <w:shd w:val="clear" w:color="auto" w:fill="E6E6E6"/>
          </w:tcPr>
          <w:p w14:paraId="4CAFC747" w14:textId="77777777" w:rsidR="003C405B" w:rsidRPr="009F63DF" w:rsidRDefault="003C405B" w:rsidP="00540956">
            <w:pPr>
              <w:suppressAutoHyphens/>
              <w:spacing w:before="60" w:after="60"/>
              <w:ind w:right="57"/>
              <w:jc w:val="left"/>
              <w:rPr>
                <w:rFonts w:cs="Arial"/>
                <w:sz w:val="20"/>
                <w:szCs w:val="20"/>
                <w:lang w:val="en-GB"/>
              </w:rPr>
            </w:pPr>
            <w:r w:rsidRPr="009F63DF">
              <w:rPr>
                <w:rFonts w:cs="Arial"/>
                <w:sz w:val="20"/>
                <w:szCs w:val="20"/>
                <w:lang w:val="en-GB"/>
              </w:rPr>
              <w:t>Description</w:t>
            </w:r>
          </w:p>
        </w:tc>
        <w:tc>
          <w:tcPr>
            <w:tcW w:w="6662" w:type="dxa"/>
            <w:gridSpan w:val="4"/>
          </w:tcPr>
          <w:p w14:paraId="0E7CDE71" w14:textId="3567EF43" w:rsidR="003C405B" w:rsidRPr="009F63DF" w:rsidRDefault="003C405B" w:rsidP="00495C31">
            <w:pPr>
              <w:suppressAutoHyphens/>
              <w:spacing w:before="60" w:after="60"/>
              <w:ind w:right="57"/>
              <w:rPr>
                <w:rFonts w:cs="Arial"/>
                <w:sz w:val="20"/>
                <w:szCs w:val="20"/>
                <w:lang w:val="en-GB"/>
              </w:rPr>
            </w:pPr>
            <w:r w:rsidRPr="009F63DF">
              <w:rPr>
                <w:rFonts w:eastAsia="Montserrat" w:cs="Arial"/>
                <w:sz w:val="20"/>
                <w:szCs w:val="20"/>
                <w:lang w:val="en-GB"/>
              </w:rPr>
              <w:t xml:space="preserve">Percent of A6.4 activity households that qualify as user households in year </w:t>
            </w:r>
            <w:r w:rsidRPr="009F63DF">
              <w:rPr>
                <w:rFonts w:eastAsia="Montserrat" w:cs="Arial"/>
                <w:i/>
                <w:iCs/>
                <w:sz w:val="20"/>
                <w:szCs w:val="20"/>
                <w:lang w:val="en-GB"/>
              </w:rPr>
              <w:t>y</w:t>
            </w:r>
          </w:p>
        </w:tc>
      </w:tr>
      <w:tr w:rsidR="006E759D" w:rsidRPr="009F63DF" w14:paraId="257B9AEB" w14:textId="77777777" w:rsidTr="00223FDE">
        <w:tc>
          <w:tcPr>
            <w:tcW w:w="1867" w:type="dxa"/>
            <w:shd w:val="clear" w:color="auto" w:fill="E6E6E6"/>
          </w:tcPr>
          <w:p w14:paraId="0AD60C41" w14:textId="77777777" w:rsidR="003C405B" w:rsidRPr="009F63DF" w:rsidRDefault="003C405B" w:rsidP="00540956">
            <w:pPr>
              <w:suppressAutoHyphens/>
              <w:spacing w:before="60" w:after="60"/>
              <w:ind w:right="57"/>
              <w:jc w:val="left"/>
              <w:rPr>
                <w:rFonts w:cs="Arial"/>
                <w:sz w:val="20"/>
                <w:szCs w:val="20"/>
                <w:lang w:val="en-GB"/>
              </w:rPr>
            </w:pPr>
            <w:r w:rsidRPr="009F63DF">
              <w:rPr>
                <w:rFonts w:cs="Arial"/>
                <w:sz w:val="20"/>
                <w:szCs w:val="20"/>
                <w:lang w:val="en-GB"/>
              </w:rPr>
              <w:t>Data unit</w:t>
            </w:r>
          </w:p>
        </w:tc>
        <w:tc>
          <w:tcPr>
            <w:tcW w:w="6662" w:type="dxa"/>
            <w:gridSpan w:val="4"/>
          </w:tcPr>
          <w:p w14:paraId="50A0E1C5" w14:textId="0596B401" w:rsidR="003C405B" w:rsidRPr="009F63DF" w:rsidRDefault="003C405B" w:rsidP="00495C31">
            <w:pPr>
              <w:suppressAutoHyphens/>
              <w:spacing w:before="60" w:after="60"/>
              <w:ind w:right="57"/>
              <w:rPr>
                <w:rFonts w:cs="Arial"/>
                <w:sz w:val="20"/>
                <w:szCs w:val="20"/>
                <w:lang w:val="en-GB"/>
              </w:rPr>
            </w:pPr>
            <w:r w:rsidRPr="009F63DF">
              <w:rPr>
                <w:rFonts w:eastAsia="Montserrat" w:cs="Arial"/>
                <w:sz w:val="20"/>
                <w:szCs w:val="20"/>
                <w:lang w:val="en-GB"/>
              </w:rPr>
              <w:t>Percentage</w:t>
            </w:r>
          </w:p>
        </w:tc>
      </w:tr>
      <w:tr w:rsidR="00B37F85" w:rsidRPr="009F63DF" w14:paraId="0A3502FE" w14:textId="77777777" w:rsidTr="00223FDE">
        <w:tc>
          <w:tcPr>
            <w:tcW w:w="1867" w:type="dxa"/>
            <w:shd w:val="clear" w:color="auto" w:fill="E6E6E6"/>
          </w:tcPr>
          <w:p w14:paraId="3692B8C2" w14:textId="77777777" w:rsidR="003C405B" w:rsidRPr="009F63DF" w:rsidRDefault="003C405B" w:rsidP="00540956">
            <w:pPr>
              <w:suppressAutoHyphens/>
              <w:spacing w:before="60" w:after="60"/>
              <w:ind w:right="57"/>
              <w:jc w:val="left"/>
              <w:rPr>
                <w:rFonts w:cs="Arial"/>
                <w:sz w:val="20"/>
                <w:szCs w:val="20"/>
                <w:lang w:val="en-GB"/>
              </w:rPr>
            </w:pPr>
            <w:r w:rsidRPr="009F63DF">
              <w:rPr>
                <w:rFonts w:cs="Arial"/>
                <w:sz w:val="20"/>
                <w:szCs w:val="20"/>
                <w:lang w:val="en-GB"/>
              </w:rPr>
              <w:t>Equations referred</w:t>
            </w:r>
          </w:p>
        </w:tc>
        <w:tc>
          <w:tcPr>
            <w:tcW w:w="6662" w:type="dxa"/>
            <w:gridSpan w:val="4"/>
            <w:tcBorders>
              <w:bottom w:val="single" w:sz="4" w:space="0" w:color="auto"/>
            </w:tcBorders>
          </w:tcPr>
          <w:p w14:paraId="35C6AD04" w14:textId="7C8C2924" w:rsidR="003C405B" w:rsidRPr="009F63DF" w:rsidRDefault="003C405B" w:rsidP="00495C31">
            <w:pPr>
              <w:suppressAutoHyphens/>
              <w:spacing w:before="60" w:after="60"/>
              <w:ind w:right="57"/>
              <w:rPr>
                <w:rFonts w:cs="Arial"/>
                <w:sz w:val="20"/>
                <w:szCs w:val="20"/>
                <w:lang w:val="en-GB"/>
              </w:rPr>
            </w:pPr>
            <w:r w:rsidRPr="009F63DF">
              <w:rPr>
                <w:rFonts w:cs="Arial"/>
                <w:sz w:val="20"/>
                <w:szCs w:val="20"/>
                <w:lang w:val="en-GB"/>
              </w:rPr>
              <w:t>Equation</w:t>
            </w:r>
            <w:r w:rsidR="0026677D" w:rsidRPr="009F63DF">
              <w:rPr>
                <w:rFonts w:cs="Arial"/>
                <w:sz w:val="20"/>
                <w:szCs w:val="20"/>
                <w:lang w:val="en-GB"/>
              </w:rPr>
              <w:t>s</w:t>
            </w:r>
            <w:r w:rsidRPr="009F63DF">
              <w:rPr>
                <w:rFonts w:cs="Arial"/>
                <w:sz w:val="20"/>
                <w:szCs w:val="20"/>
                <w:lang w:val="en-GB"/>
              </w:rPr>
              <w:t> (</w:t>
            </w:r>
            <w:r w:rsidR="0026677D" w:rsidRPr="009F63DF">
              <w:rPr>
                <w:rFonts w:cs="Arial"/>
                <w:sz w:val="20"/>
                <w:szCs w:val="20"/>
                <w:lang w:val="en-GB"/>
              </w:rPr>
              <w:t>6</w:t>
            </w:r>
            <w:r w:rsidRPr="009F63DF">
              <w:rPr>
                <w:rFonts w:cs="Arial"/>
                <w:sz w:val="20"/>
                <w:szCs w:val="20"/>
                <w:lang w:val="en-GB"/>
              </w:rPr>
              <w:t>)</w:t>
            </w:r>
            <w:r w:rsidR="00A311F9" w:rsidRPr="009F63DF">
              <w:rPr>
                <w:rFonts w:cs="Arial"/>
                <w:sz w:val="20"/>
                <w:szCs w:val="20"/>
                <w:lang w:val="en-GB"/>
              </w:rPr>
              <w:t>,</w:t>
            </w:r>
            <w:r w:rsidR="0026677D" w:rsidRPr="009F63DF">
              <w:rPr>
                <w:rFonts w:cs="Arial"/>
                <w:sz w:val="20"/>
                <w:szCs w:val="20"/>
                <w:lang w:val="en-GB"/>
              </w:rPr>
              <w:t xml:space="preserve"> (7)</w:t>
            </w:r>
            <w:r w:rsidR="00A311F9" w:rsidRPr="009F63DF">
              <w:rPr>
                <w:rFonts w:cs="Arial"/>
                <w:sz w:val="20"/>
                <w:szCs w:val="20"/>
                <w:lang w:val="en-GB"/>
              </w:rPr>
              <w:t>,</w:t>
            </w:r>
            <w:r w:rsidR="0026677D" w:rsidRPr="009F63DF">
              <w:rPr>
                <w:rFonts w:cs="Arial"/>
                <w:sz w:val="20"/>
                <w:szCs w:val="20"/>
                <w:lang w:val="en-GB"/>
              </w:rPr>
              <w:t xml:space="preserve"> (</w:t>
            </w:r>
            <w:r w:rsidR="004E797A">
              <w:rPr>
                <w:rFonts w:cs="Arial"/>
                <w:sz w:val="20"/>
                <w:szCs w:val="20"/>
                <w:lang w:val="en-GB"/>
              </w:rPr>
              <w:t>13</w:t>
            </w:r>
            <w:r w:rsidR="0026677D" w:rsidRPr="009F63DF">
              <w:rPr>
                <w:rFonts w:cs="Arial"/>
                <w:sz w:val="20"/>
                <w:szCs w:val="20"/>
                <w:lang w:val="en-GB"/>
              </w:rPr>
              <w:t>)</w:t>
            </w:r>
            <w:r w:rsidR="00A311F9" w:rsidRPr="009F63DF">
              <w:rPr>
                <w:rFonts w:cs="Arial"/>
                <w:sz w:val="20"/>
                <w:szCs w:val="20"/>
                <w:lang w:val="en-GB"/>
              </w:rPr>
              <w:t>,</w:t>
            </w:r>
            <w:r w:rsidR="0026677D" w:rsidRPr="009F63DF">
              <w:rPr>
                <w:rFonts w:cs="Arial"/>
                <w:sz w:val="20"/>
                <w:szCs w:val="20"/>
                <w:lang w:val="en-GB"/>
              </w:rPr>
              <w:t xml:space="preserve"> (</w:t>
            </w:r>
            <w:r w:rsidR="004E797A">
              <w:rPr>
                <w:rFonts w:cs="Arial"/>
                <w:sz w:val="20"/>
                <w:szCs w:val="20"/>
                <w:lang w:val="en-GB"/>
              </w:rPr>
              <w:t>14</w:t>
            </w:r>
            <w:r w:rsidR="0026677D" w:rsidRPr="009F63DF">
              <w:rPr>
                <w:rFonts w:cs="Arial"/>
                <w:sz w:val="20"/>
                <w:szCs w:val="20"/>
                <w:lang w:val="en-GB"/>
              </w:rPr>
              <w:t>)</w:t>
            </w:r>
            <w:r w:rsidR="00A311F9" w:rsidRPr="009F63DF">
              <w:rPr>
                <w:rFonts w:cs="Arial"/>
                <w:sz w:val="20"/>
                <w:szCs w:val="20"/>
                <w:lang w:val="en-GB"/>
              </w:rPr>
              <w:t>,</w:t>
            </w:r>
            <w:r w:rsidR="0026677D" w:rsidRPr="009F63DF">
              <w:rPr>
                <w:rFonts w:cs="Arial"/>
                <w:sz w:val="20"/>
                <w:szCs w:val="20"/>
                <w:lang w:val="en-GB"/>
              </w:rPr>
              <w:t xml:space="preserve"> (</w:t>
            </w:r>
            <w:r w:rsidR="004E797A">
              <w:rPr>
                <w:rFonts w:cs="Arial"/>
                <w:sz w:val="20"/>
                <w:szCs w:val="20"/>
                <w:lang w:val="en-GB"/>
              </w:rPr>
              <w:t>22</w:t>
            </w:r>
            <w:r w:rsidR="0026677D" w:rsidRPr="009F63DF">
              <w:rPr>
                <w:rFonts w:cs="Arial"/>
                <w:sz w:val="20"/>
                <w:szCs w:val="20"/>
                <w:lang w:val="en-GB"/>
              </w:rPr>
              <w:t>)</w:t>
            </w:r>
            <w:r w:rsidR="00A311F9" w:rsidRPr="009F63DF">
              <w:rPr>
                <w:rFonts w:cs="Arial"/>
                <w:sz w:val="20"/>
                <w:szCs w:val="20"/>
                <w:lang w:val="en-GB"/>
              </w:rPr>
              <w:t>,</w:t>
            </w:r>
            <w:r w:rsidR="0026677D" w:rsidRPr="009F63DF">
              <w:rPr>
                <w:rFonts w:cs="Arial"/>
                <w:sz w:val="20"/>
                <w:szCs w:val="20"/>
                <w:lang w:val="en-GB"/>
              </w:rPr>
              <w:t xml:space="preserve"> (</w:t>
            </w:r>
            <w:r w:rsidR="004E797A">
              <w:rPr>
                <w:rFonts w:cs="Arial"/>
                <w:sz w:val="20"/>
                <w:szCs w:val="20"/>
                <w:lang w:val="en-GB"/>
              </w:rPr>
              <w:t>23</w:t>
            </w:r>
            <w:r w:rsidR="0026677D" w:rsidRPr="009F63DF">
              <w:rPr>
                <w:rFonts w:cs="Arial"/>
                <w:sz w:val="20"/>
                <w:szCs w:val="20"/>
                <w:lang w:val="en-GB"/>
              </w:rPr>
              <w:t>)</w:t>
            </w:r>
          </w:p>
        </w:tc>
      </w:tr>
      <w:tr w:rsidR="00173B56" w:rsidRPr="009F63DF" w14:paraId="49780512" w14:textId="77777777" w:rsidTr="00223FDE">
        <w:tc>
          <w:tcPr>
            <w:tcW w:w="1867" w:type="dxa"/>
            <w:shd w:val="clear" w:color="auto" w:fill="E6E6E6"/>
          </w:tcPr>
          <w:p w14:paraId="63B8D979" w14:textId="77777777" w:rsidR="003C405B" w:rsidRPr="009F63DF" w:rsidRDefault="003C405B" w:rsidP="00540956">
            <w:pPr>
              <w:suppressAutoHyphens/>
              <w:spacing w:before="60" w:after="60"/>
              <w:ind w:right="57"/>
              <w:jc w:val="left"/>
              <w:rPr>
                <w:rFonts w:cs="Arial"/>
                <w:sz w:val="20"/>
                <w:szCs w:val="20"/>
                <w:lang w:val="en-GB"/>
              </w:rPr>
            </w:pPr>
            <w:r w:rsidRPr="009F63DF">
              <w:rPr>
                <w:rFonts w:cs="Arial"/>
                <w:sz w:val="20"/>
                <w:szCs w:val="20"/>
                <w:lang w:val="en-GB"/>
              </w:rPr>
              <w:t>Purpose of data</w:t>
            </w:r>
          </w:p>
        </w:tc>
        <w:tc>
          <w:tcPr>
            <w:tcW w:w="2266" w:type="dxa"/>
            <w:gridSpan w:val="2"/>
            <w:tcBorders>
              <w:bottom w:val="nil"/>
              <w:right w:val="nil"/>
            </w:tcBorders>
          </w:tcPr>
          <w:p w14:paraId="457BEA1F" w14:textId="298EA821" w:rsidR="003C405B" w:rsidRPr="009F63DF" w:rsidRDefault="003C405B"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17430E" w:rsidRPr="009F63DF">
              <w:rPr>
                <w:rFonts w:cs="Arial"/>
                <w:sz w:val="20"/>
                <w:shd w:val="clear" w:color="auto" w:fill="E6E6E6"/>
                <w:lang w:val="en-GB"/>
              </w:rPr>
              <w:t xml:space="preserve"> </w:t>
            </w:r>
            <w:r w:rsidRPr="009F63DF">
              <w:rPr>
                <w:rFonts w:cs="Arial"/>
                <w:sz w:val="20"/>
                <w:szCs w:val="20"/>
                <w:lang w:val="en-GB"/>
              </w:rPr>
              <w:t xml:space="preserve">Baseline </w:t>
            </w:r>
            <w:r w:rsidR="00DF13E6" w:rsidRPr="009F63DF">
              <w:rPr>
                <w:rFonts w:cs="Arial"/>
                <w:sz w:val="20"/>
                <w:szCs w:val="20"/>
                <w:lang w:val="en-GB"/>
              </w:rPr>
              <w:t>Scenario</w:t>
            </w:r>
          </w:p>
        </w:tc>
        <w:tc>
          <w:tcPr>
            <w:tcW w:w="2128" w:type="dxa"/>
            <w:tcBorders>
              <w:left w:val="nil"/>
              <w:bottom w:val="nil"/>
              <w:right w:val="nil"/>
            </w:tcBorders>
          </w:tcPr>
          <w:p w14:paraId="3DD18812" w14:textId="60D4B8A0" w:rsidR="003C405B" w:rsidRPr="009F63DF" w:rsidRDefault="003C405B"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
                  <w:enabled/>
                  <w:calcOnExit w:val="0"/>
                  <w:checkBox>
                    <w:size w:val="20"/>
                    <w:default w:val="1"/>
                  </w:checkBox>
                </w:ffData>
              </w:fldChar>
            </w:r>
            <w:r w:rsidRPr="009F63DF">
              <w:rPr>
                <w:rFonts w:cs="Arial"/>
                <w:sz w:val="20"/>
                <w:szCs w:val="20"/>
                <w:shd w:val="clear" w:color="auto" w:fill="E6E6E6"/>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Pr="009F63DF">
              <w:rPr>
                <w:rFonts w:cs="Arial"/>
                <w:sz w:val="20"/>
                <w:szCs w:val="20"/>
                <w:lang w:val="en-GB"/>
              </w:rPr>
              <w:t xml:space="preserve"> </w:t>
            </w:r>
            <w:r w:rsidR="005D662C" w:rsidRPr="009F63DF">
              <w:rPr>
                <w:rFonts w:cs="Arial"/>
                <w:sz w:val="20"/>
                <w:szCs w:val="20"/>
                <w:lang w:val="en-GB"/>
              </w:rPr>
              <w:t>Activity</w:t>
            </w:r>
            <w:r w:rsidRPr="009F63DF">
              <w:rPr>
                <w:rFonts w:cs="Arial"/>
                <w:sz w:val="20"/>
                <w:szCs w:val="20"/>
                <w:lang w:val="en-GB"/>
              </w:rPr>
              <w:t xml:space="preserve"> </w:t>
            </w:r>
            <w:r w:rsidR="00DF13E6" w:rsidRPr="009F63DF">
              <w:rPr>
                <w:rFonts w:cs="Arial"/>
                <w:sz w:val="20"/>
                <w:szCs w:val="20"/>
                <w:lang w:val="en-GB"/>
              </w:rPr>
              <w:t>Scenario</w:t>
            </w:r>
          </w:p>
        </w:tc>
        <w:tc>
          <w:tcPr>
            <w:tcW w:w="2268" w:type="dxa"/>
            <w:tcBorders>
              <w:left w:val="nil"/>
              <w:bottom w:val="nil"/>
            </w:tcBorders>
          </w:tcPr>
          <w:p w14:paraId="2A5DE817" w14:textId="32E9E02E" w:rsidR="003C405B" w:rsidRPr="009F63DF" w:rsidRDefault="003C405B" w:rsidP="00495C31">
            <w:pPr>
              <w:suppressAutoHyphens/>
              <w:spacing w:before="60" w:after="60"/>
              <w:ind w:right="57"/>
              <w:jc w:val="left"/>
              <w:rPr>
                <w:rFonts w:cs="Arial"/>
                <w:sz w:val="20"/>
                <w:szCs w:val="20"/>
                <w:lang w:val="en-GB"/>
              </w:rPr>
            </w:pPr>
            <w:r w:rsidRPr="009F63DF">
              <w:rPr>
                <w:rFonts w:cs="Arial"/>
                <w:sz w:val="20"/>
                <w:shd w:val="clear" w:color="auto" w:fill="E6E6E6"/>
              </w:rPr>
              <w:fldChar w:fldCharType="begin">
                <w:ffData>
                  <w:name w:val="Check2"/>
                  <w:enabled/>
                  <w:calcOnExit w:val="0"/>
                  <w:checkBox>
                    <w:size w:val="20"/>
                    <w:default w:val="0"/>
                  </w:checkBox>
                </w:ffData>
              </w:fldChar>
            </w:r>
            <w:r w:rsidRPr="009F63DF">
              <w:rPr>
                <w:rFonts w:cs="Arial"/>
                <w:sz w:val="20"/>
                <w:szCs w:val="20"/>
                <w:lang w:val="en-GB"/>
              </w:rPr>
              <w:instrText xml:space="preserve"> FORMCHECKBOX </w:instrText>
            </w:r>
            <w:r w:rsidRPr="009F63DF">
              <w:rPr>
                <w:rFonts w:cs="Arial"/>
                <w:sz w:val="20"/>
                <w:shd w:val="clear" w:color="auto" w:fill="E6E6E6"/>
              </w:rPr>
            </w:r>
            <w:r w:rsidRPr="009F63DF">
              <w:rPr>
                <w:rFonts w:cs="Arial"/>
                <w:sz w:val="20"/>
                <w:shd w:val="clear" w:color="auto" w:fill="E6E6E6"/>
              </w:rPr>
              <w:fldChar w:fldCharType="separate"/>
            </w:r>
            <w:r w:rsidRPr="009F63DF">
              <w:rPr>
                <w:rFonts w:cs="Arial"/>
                <w:sz w:val="20"/>
                <w:shd w:val="clear" w:color="auto" w:fill="E6E6E6"/>
              </w:rPr>
              <w:fldChar w:fldCharType="end"/>
            </w:r>
            <w:r w:rsidR="0017430E" w:rsidRPr="009F63DF">
              <w:rPr>
                <w:rFonts w:cs="Arial"/>
                <w:sz w:val="20"/>
                <w:shd w:val="clear" w:color="auto" w:fill="E6E6E6"/>
                <w:lang w:val="en-GB"/>
              </w:rPr>
              <w:t xml:space="preserve"> </w:t>
            </w:r>
            <w:r w:rsidRPr="009F63DF">
              <w:rPr>
                <w:rFonts w:cs="Arial"/>
                <w:sz w:val="20"/>
                <w:szCs w:val="20"/>
                <w:shd w:val="clear" w:color="auto" w:fill="E6E6E6"/>
                <w:lang w:val="en-GB"/>
              </w:rPr>
              <w:t>Le</w:t>
            </w:r>
            <w:r w:rsidRPr="009F63DF">
              <w:rPr>
                <w:rFonts w:cs="Arial"/>
                <w:sz w:val="20"/>
                <w:szCs w:val="20"/>
                <w:lang w:val="en-GB"/>
              </w:rPr>
              <w:t>akage</w:t>
            </w:r>
          </w:p>
        </w:tc>
      </w:tr>
      <w:tr w:rsidR="00DF13E6" w:rsidRPr="009F63DF" w14:paraId="54B50084" w14:textId="77777777" w:rsidTr="00223FDE">
        <w:tc>
          <w:tcPr>
            <w:tcW w:w="1867" w:type="dxa"/>
            <w:shd w:val="clear" w:color="auto" w:fill="E6E6E6"/>
          </w:tcPr>
          <w:p w14:paraId="0EB7EF96" w14:textId="18669E99" w:rsidR="00DF13E6" w:rsidRPr="009F63DF" w:rsidRDefault="00DF13E6" w:rsidP="00540956">
            <w:pPr>
              <w:suppressAutoHyphens/>
              <w:spacing w:before="60" w:after="60"/>
              <w:ind w:right="57"/>
              <w:jc w:val="left"/>
              <w:rPr>
                <w:rFonts w:cs="Arial"/>
                <w:sz w:val="20"/>
                <w:lang w:val="en-GB"/>
              </w:rPr>
            </w:pPr>
            <w:r w:rsidRPr="009F63DF">
              <w:rPr>
                <w:rFonts w:cs="Arial"/>
                <w:sz w:val="20"/>
                <w:lang w:val="en-GB"/>
              </w:rPr>
              <w:t>Value applied</w:t>
            </w:r>
          </w:p>
        </w:tc>
        <w:tc>
          <w:tcPr>
            <w:tcW w:w="2266" w:type="dxa"/>
            <w:gridSpan w:val="2"/>
            <w:tcBorders>
              <w:bottom w:val="nil"/>
              <w:right w:val="nil"/>
            </w:tcBorders>
          </w:tcPr>
          <w:p w14:paraId="416F18A5" w14:textId="77777777" w:rsidR="00DF13E6" w:rsidRPr="009F63DF" w:rsidRDefault="00DF13E6" w:rsidP="00495C31">
            <w:pPr>
              <w:suppressAutoHyphens/>
              <w:spacing w:before="60" w:after="60"/>
              <w:ind w:right="57"/>
              <w:jc w:val="left"/>
              <w:rPr>
                <w:rFonts w:cs="Arial"/>
                <w:sz w:val="20"/>
                <w:shd w:val="clear" w:color="auto" w:fill="E6E6E6"/>
                <w:lang w:val="en-GB"/>
              </w:rPr>
            </w:pPr>
          </w:p>
        </w:tc>
        <w:tc>
          <w:tcPr>
            <w:tcW w:w="2128" w:type="dxa"/>
            <w:tcBorders>
              <w:left w:val="nil"/>
              <w:bottom w:val="nil"/>
              <w:right w:val="nil"/>
            </w:tcBorders>
          </w:tcPr>
          <w:p w14:paraId="5E1152E6" w14:textId="77777777" w:rsidR="00DF13E6" w:rsidRPr="009F63DF" w:rsidRDefault="00DF13E6" w:rsidP="00495C31">
            <w:pPr>
              <w:suppressAutoHyphens/>
              <w:spacing w:before="60" w:after="60"/>
              <w:ind w:right="57"/>
              <w:jc w:val="left"/>
              <w:rPr>
                <w:rFonts w:cs="Arial"/>
                <w:sz w:val="20"/>
                <w:shd w:val="clear" w:color="auto" w:fill="E6E6E6"/>
                <w:lang w:val="en-GB"/>
              </w:rPr>
            </w:pPr>
          </w:p>
        </w:tc>
        <w:tc>
          <w:tcPr>
            <w:tcW w:w="2268" w:type="dxa"/>
            <w:tcBorders>
              <w:left w:val="nil"/>
              <w:bottom w:val="nil"/>
            </w:tcBorders>
          </w:tcPr>
          <w:p w14:paraId="59A61D0A" w14:textId="77777777" w:rsidR="00DF13E6" w:rsidRPr="009F63DF" w:rsidRDefault="00DF13E6" w:rsidP="00495C31">
            <w:pPr>
              <w:suppressAutoHyphens/>
              <w:spacing w:before="60" w:after="60"/>
              <w:ind w:right="57"/>
              <w:jc w:val="left"/>
              <w:rPr>
                <w:rFonts w:cs="Arial"/>
                <w:sz w:val="20"/>
                <w:shd w:val="clear" w:color="auto" w:fill="E6E6E6"/>
                <w:lang w:val="en-GB"/>
              </w:rPr>
            </w:pPr>
          </w:p>
        </w:tc>
      </w:tr>
      <w:tr w:rsidR="00DF13E6" w:rsidRPr="009F63DF" w14:paraId="35C140C5" w14:textId="77777777" w:rsidTr="00223FDE">
        <w:tc>
          <w:tcPr>
            <w:tcW w:w="1867" w:type="dxa"/>
            <w:shd w:val="clear" w:color="auto" w:fill="E6E6E6"/>
          </w:tcPr>
          <w:p w14:paraId="2BC15A60" w14:textId="26EF7E6B" w:rsidR="00DF13E6" w:rsidRPr="009F63DF" w:rsidRDefault="00DF13E6" w:rsidP="00540956">
            <w:pPr>
              <w:suppressAutoHyphens/>
              <w:spacing w:before="60" w:after="60"/>
              <w:ind w:right="57"/>
              <w:jc w:val="left"/>
              <w:rPr>
                <w:rFonts w:cs="Arial"/>
                <w:sz w:val="20"/>
                <w:lang w:val="en-GB"/>
              </w:rPr>
            </w:pPr>
            <w:r w:rsidRPr="009F63DF">
              <w:rPr>
                <w:rFonts w:cs="Arial"/>
                <w:sz w:val="20"/>
                <w:szCs w:val="20"/>
                <w:lang w:val="en-GB"/>
              </w:rPr>
              <w:t>Measurement methods and procedures</w:t>
            </w:r>
          </w:p>
        </w:tc>
        <w:tc>
          <w:tcPr>
            <w:tcW w:w="6662" w:type="dxa"/>
            <w:gridSpan w:val="4"/>
            <w:tcBorders>
              <w:bottom w:val="nil"/>
            </w:tcBorders>
          </w:tcPr>
          <w:p w14:paraId="4CD19827" w14:textId="77777777" w:rsidR="00DF13E6" w:rsidRPr="009F63DF" w:rsidRDefault="00DF13E6" w:rsidP="00021FFE">
            <w:pPr>
              <w:keepNext/>
              <w:pBdr>
                <w:bottom w:val="single" w:sz="4" w:space="1" w:color="auto"/>
              </w:pBdr>
              <w:suppressAutoHyphens/>
              <w:spacing w:before="60"/>
              <w:jc w:val="left"/>
              <w:rPr>
                <w:rFonts w:eastAsia="Montserrat" w:cs="Arial"/>
                <w:sz w:val="20"/>
                <w:szCs w:val="20"/>
                <w:lang w:val="en-GB"/>
              </w:rPr>
            </w:pPr>
            <w:r w:rsidRPr="009F63DF">
              <w:rPr>
                <w:rFonts w:eastAsia="Montserrat" w:cs="Arial"/>
                <w:sz w:val="20"/>
                <w:szCs w:val="20"/>
                <w:lang w:val="en-GB"/>
              </w:rPr>
              <w:t>Household surveys of households participating in the Article 6.4 activity with cookstoves present, where respondents are asked whether the cookstove is used more than five times per week. The project cookstove shall also be visually observed to identify and report on the following signs of consistent use. Project cookstove is:</w:t>
            </w:r>
            <w:r w:rsidRPr="009F63DF">
              <w:rPr>
                <w:rFonts w:eastAsia="Montserrat" w:cs="Arial"/>
                <w:sz w:val="20"/>
                <w:szCs w:val="20"/>
                <w:lang w:val="en-GB"/>
              </w:rPr>
              <w:br/>
            </w:r>
          </w:p>
          <w:p w14:paraId="1FC6DC5F" w14:textId="77777777" w:rsidR="00DF13E6" w:rsidRPr="009F63DF" w:rsidRDefault="00DF13E6" w:rsidP="00E03E61">
            <w:pPr>
              <w:numPr>
                <w:ilvl w:val="0"/>
                <w:numId w:val="12"/>
              </w:numPr>
              <w:pBdr>
                <w:bottom w:val="single" w:sz="4" w:space="1" w:color="auto"/>
              </w:pBdr>
              <w:suppressAutoHyphens/>
              <w:spacing w:before="60"/>
              <w:contextualSpacing/>
              <w:jc w:val="left"/>
              <w:rPr>
                <w:rFonts w:eastAsia="Montserrat" w:cs="Arial"/>
                <w:sz w:val="20"/>
                <w:szCs w:val="20"/>
                <w:lang w:val="en-GB"/>
              </w:rPr>
            </w:pPr>
            <w:r w:rsidRPr="009F63DF">
              <w:rPr>
                <w:rFonts w:eastAsia="Montserrat" w:cs="Arial"/>
                <w:sz w:val="20"/>
                <w:szCs w:val="20"/>
                <w:lang w:val="en-GB"/>
              </w:rPr>
              <w:t>Unpacked</w:t>
            </w:r>
          </w:p>
          <w:p w14:paraId="2B00F7F0" w14:textId="77777777" w:rsidR="00DF13E6" w:rsidRPr="009F63DF" w:rsidRDefault="00DF13E6" w:rsidP="00E03E61">
            <w:pPr>
              <w:numPr>
                <w:ilvl w:val="0"/>
                <w:numId w:val="12"/>
              </w:numPr>
              <w:pBdr>
                <w:bottom w:val="single" w:sz="4" w:space="1" w:color="auto"/>
              </w:pBdr>
              <w:suppressAutoHyphens/>
              <w:spacing w:before="60"/>
              <w:contextualSpacing/>
              <w:jc w:val="left"/>
              <w:rPr>
                <w:rFonts w:eastAsia="Montserrat" w:cs="Arial"/>
                <w:sz w:val="20"/>
                <w:szCs w:val="20"/>
                <w:lang w:val="en-GB"/>
              </w:rPr>
            </w:pPr>
            <w:r w:rsidRPr="009F63DF">
              <w:rPr>
                <w:rFonts w:eastAsia="Montserrat" w:cs="Arial"/>
                <w:sz w:val="20"/>
                <w:szCs w:val="20"/>
                <w:lang w:val="en-GB"/>
              </w:rPr>
              <w:t>Present in an easily accessible area</w:t>
            </w:r>
          </w:p>
          <w:p w14:paraId="5F347A58" w14:textId="77777777" w:rsidR="00DF13E6" w:rsidRPr="009F63DF" w:rsidRDefault="00DF13E6" w:rsidP="00E03E61">
            <w:pPr>
              <w:numPr>
                <w:ilvl w:val="0"/>
                <w:numId w:val="12"/>
              </w:numPr>
              <w:suppressAutoHyphens/>
              <w:spacing w:before="60"/>
              <w:contextualSpacing/>
              <w:jc w:val="left"/>
              <w:rPr>
                <w:rFonts w:eastAsia="Montserrat" w:cs="Arial"/>
                <w:sz w:val="20"/>
                <w:szCs w:val="20"/>
                <w:lang w:val="en-GB"/>
              </w:rPr>
            </w:pPr>
            <w:r w:rsidRPr="009F63DF">
              <w:rPr>
                <w:rFonts w:eastAsia="Montserrat" w:cs="Arial"/>
                <w:sz w:val="20"/>
                <w:szCs w:val="20"/>
                <w:lang w:val="en-GB"/>
              </w:rPr>
              <w:t>Not being used for a non-cooking purpose</w:t>
            </w:r>
          </w:p>
          <w:p w14:paraId="7B4658BB" w14:textId="77777777" w:rsidR="00DF13E6" w:rsidRPr="009F63DF" w:rsidRDefault="00DF13E6" w:rsidP="00E03E61">
            <w:pPr>
              <w:numPr>
                <w:ilvl w:val="0"/>
                <w:numId w:val="12"/>
              </w:numPr>
              <w:suppressAutoHyphens/>
              <w:spacing w:before="60"/>
              <w:contextualSpacing/>
              <w:jc w:val="left"/>
              <w:rPr>
                <w:rFonts w:eastAsia="Montserrat" w:cs="Arial"/>
                <w:sz w:val="20"/>
                <w:szCs w:val="20"/>
                <w:lang w:val="en-GB"/>
              </w:rPr>
            </w:pPr>
            <w:r w:rsidRPr="009F63DF">
              <w:rPr>
                <w:rFonts w:eastAsia="Montserrat" w:cs="Arial"/>
                <w:sz w:val="20"/>
                <w:szCs w:val="20"/>
                <w:lang w:val="en-GB"/>
              </w:rPr>
              <w:t>In apparent working condition</w:t>
            </w:r>
          </w:p>
          <w:p w14:paraId="54C70B2C" w14:textId="77777777" w:rsidR="00DF13E6" w:rsidRPr="009F63DF" w:rsidRDefault="00DF13E6" w:rsidP="00E03E61">
            <w:pPr>
              <w:numPr>
                <w:ilvl w:val="0"/>
                <w:numId w:val="12"/>
              </w:numPr>
              <w:suppressAutoHyphens/>
              <w:spacing w:before="60"/>
              <w:contextualSpacing/>
              <w:jc w:val="left"/>
              <w:rPr>
                <w:rFonts w:eastAsia="Montserrat" w:cs="Arial"/>
                <w:sz w:val="20"/>
                <w:szCs w:val="20"/>
                <w:lang w:val="en-GB"/>
              </w:rPr>
            </w:pPr>
            <w:r w:rsidRPr="009F63DF">
              <w:rPr>
                <w:rFonts w:eastAsia="Montserrat" w:cs="Arial"/>
                <w:sz w:val="20"/>
                <w:szCs w:val="20"/>
                <w:lang w:val="en-GB"/>
              </w:rPr>
              <w:t>Not showing signs of disuse (e.g., dust accumulation or spider webs)</w:t>
            </w:r>
          </w:p>
          <w:p w14:paraId="73047FF5" w14:textId="714B0306" w:rsidR="00DF13E6" w:rsidRPr="00CF5EED" w:rsidRDefault="00DF13E6" w:rsidP="00E03E61">
            <w:pPr>
              <w:numPr>
                <w:ilvl w:val="0"/>
                <w:numId w:val="12"/>
              </w:numPr>
              <w:suppressAutoHyphens/>
              <w:spacing w:before="60"/>
              <w:contextualSpacing/>
              <w:jc w:val="left"/>
              <w:rPr>
                <w:rFonts w:eastAsia="Montserrat" w:cs="Arial"/>
                <w:sz w:val="20"/>
                <w:szCs w:val="20"/>
                <w:lang w:val="en-GB"/>
              </w:rPr>
            </w:pPr>
            <w:r w:rsidRPr="009F63DF">
              <w:rPr>
                <w:rFonts w:eastAsia="Montserrat" w:cs="Arial"/>
                <w:sz w:val="20"/>
                <w:szCs w:val="20"/>
                <w:lang w:val="en-GB"/>
              </w:rPr>
              <w:t xml:space="preserve">Showing evidence of </w:t>
            </w:r>
            <w:r w:rsidRPr="00CF5EED">
              <w:rPr>
                <w:rFonts w:eastAsia="Montserrat" w:cs="Arial"/>
                <w:sz w:val="20"/>
                <w:szCs w:val="20"/>
                <w:lang w:val="en-GB"/>
              </w:rPr>
              <w:t>recent use (e.g., presence of recent ashes).</w:t>
            </w:r>
            <w:r w:rsidRPr="00CF5EED">
              <w:rPr>
                <w:rFonts w:eastAsia="Montserrat" w:cs="Arial"/>
                <w:sz w:val="20"/>
                <w:szCs w:val="20"/>
                <w:lang w:val="en-GB"/>
              </w:rPr>
              <w:br/>
              <w:t xml:space="preserve">The requirements of the sampling and surveys tool shall be applied along with the complementary requirements in </w:t>
            </w:r>
            <w:r w:rsidRPr="00CF5EED">
              <w:rPr>
                <w:rFonts w:eastAsia="Montserrat" w:cs="Arial"/>
                <w:sz w:val="20"/>
              </w:rPr>
              <w:fldChar w:fldCharType="begin"/>
            </w:r>
            <w:r w:rsidRPr="00CF5EED">
              <w:rPr>
                <w:rFonts w:eastAsia="Montserrat" w:cs="Arial"/>
                <w:sz w:val="20"/>
                <w:szCs w:val="20"/>
                <w:lang w:val="en-GB"/>
              </w:rPr>
              <w:instrText xml:space="preserve"> REF _Ref227097490 \r \h  \* MERGEFORMAT </w:instrText>
            </w:r>
            <w:r w:rsidRPr="00CF5EED">
              <w:rPr>
                <w:rFonts w:eastAsia="Montserrat" w:cs="Arial"/>
                <w:sz w:val="20"/>
              </w:rPr>
            </w:r>
            <w:r w:rsidRPr="00CF5EED">
              <w:rPr>
                <w:rFonts w:eastAsia="Montserrat" w:cs="Arial"/>
                <w:sz w:val="20"/>
              </w:rPr>
              <w:fldChar w:fldCharType="separate"/>
            </w:r>
            <w:r w:rsidR="00831DAE">
              <w:rPr>
                <w:rFonts w:eastAsia="Montserrat" w:cs="Arial"/>
                <w:sz w:val="20"/>
                <w:szCs w:val="20"/>
                <w:cs/>
                <w:lang w:val="en-GB"/>
              </w:rPr>
              <w:t>‎</w:t>
            </w:r>
            <w:r w:rsidR="00831DAE">
              <w:rPr>
                <w:rFonts w:eastAsia="Montserrat" w:cs="Arial"/>
                <w:sz w:val="20"/>
                <w:szCs w:val="20"/>
                <w:lang w:val="en-GB"/>
              </w:rPr>
              <w:t>Appendix 4</w:t>
            </w:r>
            <w:r w:rsidRPr="00CF5EED">
              <w:rPr>
                <w:rFonts w:eastAsia="Montserrat" w:cs="Arial"/>
                <w:sz w:val="20"/>
              </w:rPr>
              <w:fldChar w:fldCharType="end"/>
            </w:r>
            <w:r w:rsidRPr="00CF5EED">
              <w:rPr>
                <w:rFonts w:eastAsia="Montserrat" w:cs="Arial"/>
                <w:sz w:val="20"/>
                <w:szCs w:val="20"/>
                <w:lang w:val="en-GB"/>
              </w:rPr>
              <w:t xml:space="preserve"> and </w:t>
            </w:r>
            <w:r w:rsidRPr="00CF5EED">
              <w:rPr>
                <w:rFonts w:eastAsia="Montserrat" w:cs="Arial"/>
                <w:sz w:val="20"/>
              </w:rPr>
              <w:fldChar w:fldCharType="begin"/>
            </w:r>
            <w:r w:rsidRPr="00CF5EED">
              <w:rPr>
                <w:rFonts w:eastAsia="Montserrat" w:cs="Arial"/>
                <w:sz w:val="20"/>
                <w:szCs w:val="20"/>
                <w:lang w:val="en-GB"/>
              </w:rPr>
              <w:instrText xml:space="preserve"> REF _Ref227097532 \r \h  \* MERGEFORMAT </w:instrText>
            </w:r>
            <w:r w:rsidRPr="00CF5EED">
              <w:rPr>
                <w:rFonts w:eastAsia="Montserrat" w:cs="Arial"/>
                <w:sz w:val="20"/>
              </w:rPr>
            </w:r>
            <w:r w:rsidRPr="00CF5EED">
              <w:rPr>
                <w:rFonts w:eastAsia="Montserrat" w:cs="Arial"/>
                <w:sz w:val="20"/>
              </w:rPr>
              <w:fldChar w:fldCharType="separate"/>
            </w:r>
            <w:r w:rsidR="00831DAE">
              <w:rPr>
                <w:rFonts w:eastAsia="Montserrat" w:cs="Arial"/>
                <w:sz w:val="20"/>
                <w:szCs w:val="20"/>
                <w:cs/>
                <w:lang w:val="en-GB"/>
              </w:rPr>
              <w:t>‎</w:t>
            </w:r>
            <w:r w:rsidR="00831DAE">
              <w:rPr>
                <w:rFonts w:eastAsia="Montserrat" w:cs="Arial"/>
                <w:sz w:val="20"/>
                <w:szCs w:val="20"/>
                <w:lang w:val="en-GB"/>
              </w:rPr>
              <w:t>Appendix 6</w:t>
            </w:r>
            <w:r w:rsidRPr="00CF5EED">
              <w:rPr>
                <w:rFonts w:eastAsia="Montserrat" w:cs="Arial"/>
                <w:sz w:val="20"/>
              </w:rPr>
              <w:fldChar w:fldCharType="end"/>
            </w:r>
            <w:r w:rsidRPr="00CF5EED">
              <w:rPr>
                <w:rFonts w:eastAsia="Montserrat" w:cs="Arial"/>
                <w:sz w:val="20"/>
                <w:szCs w:val="20"/>
                <w:lang w:val="en-GB"/>
              </w:rPr>
              <w:t>.</w:t>
            </w:r>
          </w:p>
          <w:p w14:paraId="5A6D7F80" w14:textId="651ED420" w:rsidR="00DF13E6" w:rsidRPr="009F63DF" w:rsidRDefault="00DF13E6" w:rsidP="0067528F">
            <w:pPr>
              <w:suppressAutoHyphens/>
              <w:spacing w:before="60"/>
              <w:contextualSpacing/>
              <w:jc w:val="left"/>
              <w:rPr>
                <w:rFonts w:cs="Arial"/>
                <w:sz w:val="20"/>
                <w:shd w:val="clear" w:color="auto" w:fill="E6E6E6"/>
                <w:lang w:val="en-GB"/>
              </w:rPr>
            </w:pPr>
            <w:r w:rsidRPr="00CF5EED">
              <w:rPr>
                <w:rFonts w:eastAsia="Montserrat" w:cs="Arial"/>
                <w:sz w:val="20"/>
                <w:szCs w:val="20"/>
                <w:lang w:val="en-GB"/>
              </w:rPr>
              <w:br/>
              <w:t xml:space="preserve">When surveys only are used to estimate </w:t>
            </w:r>
            <m:oMath>
              <m:sSub>
                <m:sSubPr>
                  <m:ctrlPr>
                    <w:rPr>
                      <w:rFonts w:ascii="Cambria Math" w:eastAsia="Cambria Math" w:hAnsi="Cambria Math" w:cs="Arial"/>
                      <w:sz w:val="20"/>
                      <w:szCs w:val="20"/>
                      <w:lang w:val="en-GB"/>
                    </w:rPr>
                  </m:ctrlPr>
                </m:sSubPr>
                <m:e>
                  <m:r>
                    <w:rPr>
                      <w:rFonts w:ascii="Cambria Math" w:eastAsia="Roboto" w:hAnsi="Cambria Math" w:cs="Arial"/>
                      <w:color w:val="040C28"/>
                      <w:sz w:val="20"/>
                      <w:szCs w:val="20"/>
                      <w:lang w:val="en-GB"/>
                    </w:rPr>
                    <m:t>Ψ</m:t>
                  </m:r>
                </m:e>
                <m:sub>
                  <m:r>
                    <w:rPr>
                      <w:rFonts w:ascii="Cambria Math" w:eastAsia="Cambria Math" w:hAnsi="Cambria Math" w:cs="Arial"/>
                      <w:sz w:val="20"/>
                      <w:szCs w:val="20"/>
                      <w:lang w:val="en-GB"/>
                    </w:rPr>
                    <m:t>y</m:t>
                  </m:r>
                </m:sub>
              </m:sSub>
            </m:oMath>
            <w:r w:rsidRPr="00CF5EED">
              <w:rPr>
                <w:rFonts w:eastAsia="Montserrat" w:cs="Arial"/>
                <w:sz w:val="20"/>
                <w:szCs w:val="20"/>
                <w:lang w:val="en-GB"/>
              </w:rPr>
              <w:t>, the values shall be capped at</w:t>
            </w:r>
            <w:r w:rsidRPr="00CF5EED">
              <w:rPr>
                <w:rFonts w:eastAsia="Montserrat" w:cs="Arial"/>
                <w:i/>
                <w:sz w:val="20"/>
                <w:szCs w:val="20"/>
                <w:lang w:val="en-GB"/>
              </w:rPr>
              <w:t xml:space="preserve"> </w:t>
            </w:r>
            <w:r w:rsidRPr="00CF5EED">
              <w:rPr>
                <w:rFonts w:eastAsia="Montserrat" w:cs="Arial"/>
                <w:sz w:val="20"/>
                <w:lang w:val="en-GB"/>
              </w:rPr>
              <w:t>90</w:t>
            </w:r>
            <w:r w:rsidRPr="00CF5EED">
              <w:rPr>
                <w:rFonts w:cs="Arial"/>
                <w:sz w:val="20"/>
                <w:szCs w:val="20"/>
                <w:lang w:val="en-GB"/>
              </w:rPr>
              <w:t xml:space="preserve"> per cent</w:t>
            </w:r>
            <w:r w:rsidRPr="00CF5EED">
              <w:rPr>
                <w:rFonts w:eastAsia="Montserrat" w:cs="Arial"/>
                <w:sz w:val="20"/>
                <w:szCs w:val="20"/>
                <w:lang w:val="en-GB"/>
              </w:rPr>
              <w:t xml:space="preserve"> for Article 6.4 activities that undertake</w:t>
            </w:r>
            <w:r w:rsidRPr="009F63DF">
              <w:rPr>
                <w:rFonts w:eastAsia="Montserrat" w:cs="Arial"/>
                <w:sz w:val="20"/>
                <w:szCs w:val="20"/>
                <w:lang w:val="en-GB"/>
              </w:rPr>
              <w:t xml:space="preserve"> customer support actions as described below and at </w:t>
            </w:r>
            <w:r w:rsidRPr="009F63DF">
              <w:rPr>
                <w:rFonts w:eastAsia="Montserrat" w:cs="Arial"/>
                <w:sz w:val="20"/>
                <w:lang w:val="en-GB"/>
              </w:rPr>
              <w:t>58</w:t>
            </w:r>
            <w:r w:rsidRPr="009F63DF">
              <w:rPr>
                <w:rFonts w:eastAsia="Montserrat" w:cs="Arial"/>
                <w:sz w:val="20"/>
                <w:szCs w:val="20"/>
                <w:lang w:val="en-GB"/>
              </w:rPr>
              <w:t xml:space="preserve"> per cent for those that do not.</w:t>
            </w:r>
            <w:r w:rsidR="00495C31" w:rsidRPr="009F63DF">
              <w:rPr>
                <w:rFonts w:eastAsia="Montserrat" w:cs="Arial"/>
                <w:sz w:val="20"/>
                <w:szCs w:val="20"/>
                <w:lang w:val="en-GB"/>
              </w:rPr>
              <w:br/>
            </w:r>
            <w:r w:rsidRPr="009F63DF">
              <w:rPr>
                <w:rFonts w:eastAsia="Montserrat" w:cs="Arial"/>
                <w:sz w:val="20"/>
                <w:szCs w:val="20"/>
                <w:lang w:val="en-GB"/>
              </w:rPr>
              <w:br/>
            </w:r>
            <w:r w:rsidRPr="009F63DF">
              <w:rPr>
                <w:rFonts w:eastAsia="Montserrat" w:cs="Arial"/>
                <w:sz w:val="20"/>
                <w:lang w:val="en-GB"/>
              </w:rPr>
              <w:t>When</w:t>
            </w:r>
            <w:r w:rsidRPr="009F63DF">
              <w:rPr>
                <w:rFonts w:eastAsia="Montserrat" w:cs="Arial"/>
                <w:i/>
                <w:iCs/>
                <w:sz w:val="20"/>
                <w:szCs w:val="20"/>
                <w:lang w:val="en-GB"/>
              </w:rPr>
              <w:t xml:space="preserve"> </w:t>
            </w:r>
            <w:r w:rsidRPr="009F63DF">
              <w:rPr>
                <w:rFonts w:eastAsia="Montserrat" w:cs="Arial"/>
                <w:sz w:val="20"/>
                <w:szCs w:val="20"/>
                <w:lang w:val="en-GB"/>
              </w:rPr>
              <w:t xml:space="preserve">the percentage is measured using SUMs on a sample of Article 6.4 activity households. The requirements of the sampling and survey tool shall be applied along with the complementary requirements in </w:t>
            </w:r>
            <w:r w:rsidRPr="009F63DF">
              <w:rPr>
                <w:rFonts w:eastAsia="Montserrat" w:cs="Arial"/>
                <w:sz w:val="20"/>
              </w:rPr>
              <w:fldChar w:fldCharType="begin"/>
            </w:r>
            <w:r w:rsidRPr="009F63DF">
              <w:rPr>
                <w:rFonts w:eastAsia="Montserrat" w:cs="Arial"/>
                <w:sz w:val="20"/>
                <w:szCs w:val="20"/>
                <w:lang w:val="en-GB"/>
              </w:rPr>
              <w:instrText xml:space="preserve"> REF _Ref227097490 \r \h  \* MERGEFORMAT </w:instrText>
            </w:r>
            <w:r w:rsidRPr="009F63DF">
              <w:rPr>
                <w:rFonts w:eastAsia="Montserrat" w:cs="Arial"/>
                <w:sz w:val="20"/>
              </w:rPr>
            </w:r>
            <w:r w:rsidRPr="009F63DF">
              <w:rPr>
                <w:rFonts w:eastAsia="Montserrat" w:cs="Arial"/>
                <w:sz w:val="20"/>
              </w:rPr>
              <w:fldChar w:fldCharType="separate"/>
            </w:r>
            <w:r w:rsidR="00831DAE">
              <w:rPr>
                <w:rFonts w:eastAsia="Montserrat" w:cs="Arial"/>
                <w:sz w:val="20"/>
                <w:szCs w:val="20"/>
                <w:cs/>
                <w:lang w:val="en-GB"/>
              </w:rPr>
              <w:t>‎</w:t>
            </w:r>
            <w:r w:rsidR="00831DAE">
              <w:rPr>
                <w:rFonts w:eastAsia="Montserrat" w:cs="Arial"/>
                <w:sz w:val="20"/>
                <w:szCs w:val="20"/>
                <w:lang w:val="en-GB"/>
              </w:rPr>
              <w:t>Appendix 4</w:t>
            </w:r>
            <w:r w:rsidRPr="009F63DF">
              <w:rPr>
                <w:rFonts w:eastAsia="Montserrat" w:cs="Arial"/>
                <w:sz w:val="20"/>
              </w:rPr>
              <w:fldChar w:fldCharType="end"/>
            </w:r>
            <w:r w:rsidRPr="009F63DF">
              <w:rPr>
                <w:rFonts w:eastAsia="Montserrat" w:cs="Arial"/>
                <w:sz w:val="20"/>
                <w:szCs w:val="20"/>
                <w:lang w:val="en-GB"/>
              </w:rPr>
              <w:t xml:space="preserve"> and </w:t>
            </w:r>
            <w:r w:rsidRPr="009F63DF">
              <w:rPr>
                <w:rFonts w:eastAsia="Montserrat" w:cs="Arial"/>
                <w:sz w:val="20"/>
              </w:rPr>
              <w:fldChar w:fldCharType="begin"/>
            </w:r>
            <w:r w:rsidRPr="009F63DF">
              <w:rPr>
                <w:rFonts w:eastAsia="Montserrat" w:cs="Arial"/>
                <w:sz w:val="20"/>
                <w:szCs w:val="20"/>
                <w:lang w:val="en-GB"/>
              </w:rPr>
              <w:instrText xml:space="preserve"> REF _Ref227097532 \r \h  \* MERGEFORMAT </w:instrText>
            </w:r>
            <w:r w:rsidRPr="009F63DF">
              <w:rPr>
                <w:rFonts w:eastAsia="Montserrat" w:cs="Arial"/>
                <w:sz w:val="20"/>
              </w:rPr>
            </w:r>
            <w:r w:rsidRPr="009F63DF">
              <w:rPr>
                <w:rFonts w:eastAsia="Montserrat" w:cs="Arial"/>
                <w:sz w:val="20"/>
              </w:rPr>
              <w:fldChar w:fldCharType="separate"/>
            </w:r>
            <w:r w:rsidR="00831DAE">
              <w:rPr>
                <w:rFonts w:eastAsia="Montserrat" w:cs="Arial"/>
                <w:sz w:val="20"/>
                <w:szCs w:val="20"/>
                <w:cs/>
                <w:lang w:val="en-GB"/>
              </w:rPr>
              <w:t>‎</w:t>
            </w:r>
            <w:r w:rsidR="00831DAE">
              <w:rPr>
                <w:rFonts w:eastAsia="Montserrat" w:cs="Arial"/>
                <w:sz w:val="20"/>
                <w:szCs w:val="20"/>
                <w:lang w:val="en-GB"/>
              </w:rPr>
              <w:t>Appendix 6</w:t>
            </w:r>
            <w:r w:rsidRPr="009F63DF">
              <w:rPr>
                <w:rFonts w:eastAsia="Montserrat" w:cs="Arial"/>
                <w:sz w:val="20"/>
              </w:rPr>
              <w:fldChar w:fldCharType="end"/>
            </w:r>
            <w:r w:rsidRPr="009F63DF">
              <w:rPr>
                <w:rFonts w:eastAsia="Montserrat" w:cs="Arial"/>
                <w:sz w:val="20"/>
                <w:szCs w:val="20"/>
                <w:lang w:val="en-GB"/>
              </w:rPr>
              <w:t>.</w:t>
            </w:r>
            <w:r w:rsidRPr="009F63DF">
              <w:rPr>
                <w:rFonts w:eastAsia="Montserrat" w:cs="Arial"/>
                <w:sz w:val="20"/>
                <w:szCs w:val="20"/>
                <w:lang w:val="en-GB"/>
              </w:rPr>
              <w:br/>
              <w:t>The results shall be processed such that each A6.4 activity household that uses the project cookstove at least once five times per week (or the minimum frequency defined for the A6.4 activity) is assigned a score of “1” and each A6.4 activity household that does not is assigned a score of “0”. The percentage is calculated at the sum of the scores “1” and “0” divided by the total number of A6.4 activity households sampled</w:t>
            </w:r>
          </w:p>
        </w:tc>
      </w:tr>
      <w:tr w:rsidR="00B37F85" w:rsidRPr="009F63DF" w14:paraId="4344744E" w14:textId="77777777" w:rsidTr="00223FDE">
        <w:tc>
          <w:tcPr>
            <w:tcW w:w="1867" w:type="dxa"/>
            <w:shd w:val="clear" w:color="auto" w:fill="E6E6E6"/>
          </w:tcPr>
          <w:p w14:paraId="0B4833F8" w14:textId="77777777" w:rsidR="00E63749" w:rsidRPr="009F63DF" w:rsidRDefault="00E63749" w:rsidP="00540956">
            <w:pPr>
              <w:suppressAutoHyphens/>
              <w:spacing w:before="60" w:after="60"/>
              <w:ind w:right="57"/>
              <w:jc w:val="left"/>
              <w:rPr>
                <w:rFonts w:cs="Arial"/>
                <w:sz w:val="20"/>
                <w:szCs w:val="20"/>
                <w:lang w:val="en-GB"/>
              </w:rPr>
            </w:pPr>
            <w:r w:rsidRPr="009F63DF">
              <w:rPr>
                <w:rFonts w:cs="Arial"/>
                <w:sz w:val="20"/>
                <w:szCs w:val="20"/>
                <w:lang w:val="en-GB"/>
              </w:rPr>
              <w:t>Measurement and updating frequency</w:t>
            </w:r>
          </w:p>
        </w:tc>
        <w:tc>
          <w:tcPr>
            <w:tcW w:w="6662" w:type="dxa"/>
            <w:gridSpan w:val="4"/>
            <w:tcBorders>
              <w:bottom w:val="single" w:sz="4" w:space="0" w:color="auto"/>
            </w:tcBorders>
          </w:tcPr>
          <w:p w14:paraId="6BFE6850" w14:textId="2E147B45" w:rsidR="00E63749" w:rsidRPr="009F63DF" w:rsidRDefault="00E63749" w:rsidP="00495C31">
            <w:pPr>
              <w:suppressAutoHyphens/>
              <w:spacing w:before="60" w:after="60"/>
              <w:ind w:right="57"/>
              <w:rPr>
                <w:rFonts w:cs="Arial"/>
                <w:sz w:val="20"/>
                <w:szCs w:val="20"/>
                <w:lang w:val="en-GB"/>
              </w:rPr>
            </w:pPr>
            <w:r w:rsidRPr="009F63DF">
              <w:rPr>
                <w:rFonts w:eastAsia="Montserrat" w:cs="Arial"/>
                <w:sz w:val="20"/>
                <w:szCs w:val="20"/>
                <w:lang w:val="en-GB"/>
              </w:rPr>
              <w:t>Annual</w:t>
            </w:r>
          </w:p>
        </w:tc>
      </w:tr>
      <w:tr w:rsidR="00B37F85" w:rsidRPr="009F63DF" w14:paraId="2330B976" w14:textId="77777777" w:rsidTr="00223FDE">
        <w:trPr>
          <w:trHeight w:val="107"/>
        </w:trPr>
        <w:tc>
          <w:tcPr>
            <w:tcW w:w="1867" w:type="dxa"/>
            <w:shd w:val="clear" w:color="auto" w:fill="E6E6E6"/>
          </w:tcPr>
          <w:p w14:paraId="3AEF597E" w14:textId="77777777" w:rsidR="00E63749" w:rsidRPr="009F63DF" w:rsidRDefault="00E63749" w:rsidP="00540956">
            <w:pPr>
              <w:suppressAutoHyphens/>
              <w:spacing w:before="60" w:after="60"/>
              <w:ind w:right="57"/>
              <w:jc w:val="left"/>
              <w:rPr>
                <w:rFonts w:cs="Arial"/>
                <w:sz w:val="20"/>
                <w:szCs w:val="20"/>
                <w:lang w:val="en-GB"/>
              </w:rPr>
            </w:pPr>
            <w:r w:rsidRPr="009F63DF">
              <w:rPr>
                <w:rFonts w:cs="Arial"/>
                <w:sz w:val="20"/>
                <w:szCs w:val="20"/>
                <w:lang w:val="en-GB"/>
              </w:rPr>
              <w:t>Entity/person responsible for the measurement</w:t>
            </w:r>
          </w:p>
        </w:tc>
        <w:tc>
          <w:tcPr>
            <w:tcW w:w="6662" w:type="dxa"/>
            <w:gridSpan w:val="4"/>
            <w:tcBorders>
              <w:top w:val="single" w:sz="4" w:space="0" w:color="auto"/>
            </w:tcBorders>
          </w:tcPr>
          <w:p w14:paraId="0B49023B" w14:textId="5BDF7A4F" w:rsidR="00E63749" w:rsidRPr="009F63DF" w:rsidRDefault="001A04A9" w:rsidP="00495C31">
            <w:pPr>
              <w:suppressAutoHyphens/>
              <w:spacing w:before="60" w:after="60"/>
              <w:ind w:right="57"/>
              <w:rPr>
                <w:rFonts w:cs="Arial"/>
                <w:sz w:val="20"/>
                <w:szCs w:val="20"/>
                <w:lang w:val="en-GB"/>
              </w:rPr>
            </w:pPr>
            <w:r w:rsidRPr="009F63DF">
              <w:rPr>
                <w:rFonts w:eastAsia="Montserrat" w:cs="Arial"/>
                <w:sz w:val="20"/>
                <w:szCs w:val="20"/>
                <w:lang w:val="en-GB"/>
              </w:rPr>
              <w:t>Activity participant</w:t>
            </w:r>
          </w:p>
        </w:tc>
      </w:tr>
      <w:tr w:rsidR="003C405B" w:rsidRPr="009F63DF" w14:paraId="53377451" w14:textId="77777777" w:rsidTr="00223FDE">
        <w:trPr>
          <w:trHeight w:val="107"/>
        </w:trPr>
        <w:tc>
          <w:tcPr>
            <w:tcW w:w="1867" w:type="dxa"/>
            <w:vMerge w:val="restart"/>
            <w:shd w:val="clear" w:color="auto" w:fill="E6E6E6"/>
          </w:tcPr>
          <w:p w14:paraId="64CA1622" w14:textId="77777777" w:rsidR="003C405B" w:rsidRPr="009F63DF" w:rsidRDefault="003C405B" w:rsidP="00540956">
            <w:pPr>
              <w:suppressAutoHyphens/>
              <w:spacing w:before="60" w:after="60"/>
              <w:ind w:right="57"/>
              <w:jc w:val="left"/>
              <w:rPr>
                <w:rFonts w:cs="Arial"/>
                <w:sz w:val="20"/>
                <w:szCs w:val="20"/>
                <w:lang w:val="en-GB"/>
              </w:rPr>
            </w:pPr>
            <w:r w:rsidRPr="009F63DF">
              <w:rPr>
                <w:rFonts w:cs="Arial"/>
                <w:sz w:val="20"/>
                <w:szCs w:val="20"/>
                <w:lang w:val="en-GB"/>
              </w:rPr>
              <w:t>Measuring instrument(s)</w:t>
            </w:r>
          </w:p>
        </w:tc>
        <w:tc>
          <w:tcPr>
            <w:tcW w:w="1941" w:type="dxa"/>
            <w:tcBorders>
              <w:top w:val="single" w:sz="4" w:space="0" w:color="auto"/>
            </w:tcBorders>
          </w:tcPr>
          <w:p w14:paraId="37C00FBC" w14:textId="77777777" w:rsidR="003C405B" w:rsidRPr="009F63DF" w:rsidRDefault="003C405B" w:rsidP="00495C31">
            <w:pPr>
              <w:suppressAutoHyphens/>
              <w:spacing w:before="60" w:after="60"/>
              <w:ind w:right="57"/>
              <w:jc w:val="left"/>
              <w:rPr>
                <w:rFonts w:cs="Arial"/>
                <w:i/>
                <w:iCs/>
                <w:sz w:val="20"/>
                <w:szCs w:val="20"/>
                <w:lang w:val="en-GB"/>
              </w:rPr>
            </w:pPr>
            <w:r w:rsidRPr="009F63DF">
              <w:rPr>
                <w:rFonts w:cs="Arial"/>
                <w:i/>
                <w:iCs/>
                <w:sz w:val="20"/>
                <w:szCs w:val="20"/>
                <w:lang w:val="en-GB"/>
              </w:rPr>
              <w:t>Type of instrument</w:t>
            </w:r>
          </w:p>
        </w:tc>
        <w:tc>
          <w:tcPr>
            <w:tcW w:w="4721" w:type="dxa"/>
            <w:gridSpan w:val="3"/>
            <w:tcBorders>
              <w:top w:val="single" w:sz="4" w:space="0" w:color="auto"/>
            </w:tcBorders>
          </w:tcPr>
          <w:p w14:paraId="5E288306" w14:textId="5AD4A68E" w:rsidR="003C405B" w:rsidRPr="009F63DF" w:rsidRDefault="00814EA5" w:rsidP="00495C31">
            <w:pPr>
              <w:pStyle w:val="ParaTickBox"/>
              <w:tabs>
                <w:tab w:val="clear" w:pos="510"/>
                <w:tab w:val="left" w:pos="120"/>
              </w:tabs>
              <w:suppressAutoHyphens/>
              <w:ind w:left="0" w:right="57" w:firstLine="0"/>
              <w:rPr>
                <w:szCs w:val="20"/>
                <w:lang w:val="en-GB"/>
              </w:rPr>
            </w:pPr>
            <w:r w:rsidRPr="009F63DF">
              <w:rPr>
                <w:szCs w:val="20"/>
                <w:lang w:val="en-GB"/>
              </w:rPr>
              <w:t>N/</w:t>
            </w:r>
            <w:r w:rsidR="00161020" w:rsidRPr="009F63DF">
              <w:rPr>
                <w:szCs w:val="20"/>
                <w:lang w:val="en-GB"/>
              </w:rPr>
              <w:t>A</w:t>
            </w:r>
            <w:r w:rsidR="00166189" w:rsidRPr="009F63DF">
              <w:rPr>
                <w:szCs w:val="20"/>
                <w:lang w:val="en-GB"/>
              </w:rPr>
              <w:t xml:space="preserve"> or</w:t>
            </w:r>
            <w:r w:rsidR="000515D9" w:rsidRPr="009F63DF">
              <w:rPr>
                <w:szCs w:val="20"/>
                <w:lang w:val="en-GB"/>
              </w:rPr>
              <w:t xml:space="preserve"> </w:t>
            </w:r>
            <w:r w:rsidRPr="009F63DF">
              <w:rPr>
                <w:szCs w:val="20"/>
                <w:lang w:val="en-GB"/>
              </w:rPr>
              <w:t>SUMs</w:t>
            </w:r>
          </w:p>
        </w:tc>
      </w:tr>
      <w:tr w:rsidR="003C405B" w:rsidRPr="009F63DF" w14:paraId="4F4E4E22" w14:textId="77777777" w:rsidTr="00223FDE">
        <w:trPr>
          <w:trHeight w:val="104"/>
        </w:trPr>
        <w:tc>
          <w:tcPr>
            <w:tcW w:w="1867" w:type="dxa"/>
            <w:vMerge/>
          </w:tcPr>
          <w:p w14:paraId="117619ED" w14:textId="77777777" w:rsidR="003C405B" w:rsidRPr="009F63DF" w:rsidRDefault="003C405B" w:rsidP="00540956">
            <w:pPr>
              <w:suppressAutoHyphens/>
              <w:spacing w:before="60" w:after="60"/>
              <w:ind w:right="57"/>
              <w:jc w:val="left"/>
              <w:rPr>
                <w:rFonts w:cs="Arial"/>
                <w:sz w:val="20"/>
                <w:szCs w:val="20"/>
                <w:lang w:val="en-GB"/>
              </w:rPr>
            </w:pPr>
          </w:p>
        </w:tc>
        <w:tc>
          <w:tcPr>
            <w:tcW w:w="1941" w:type="dxa"/>
            <w:tcBorders>
              <w:top w:val="single" w:sz="4" w:space="0" w:color="auto"/>
            </w:tcBorders>
          </w:tcPr>
          <w:p w14:paraId="7ACD4C0C" w14:textId="77777777" w:rsidR="003C405B" w:rsidRPr="009F63DF" w:rsidRDefault="003C405B" w:rsidP="00495C31">
            <w:pPr>
              <w:suppressAutoHyphens/>
              <w:spacing w:before="60" w:after="60"/>
              <w:ind w:right="57"/>
              <w:jc w:val="left"/>
              <w:rPr>
                <w:rFonts w:cs="Arial"/>
                <w:i/>
                <w:iCs/>
                <w:sz w:val="20"/>
                <w:szCs w:val="20"/>
                <w:lang w:val="en-GB"/>
              </w:rPr>
            </w:pPr>
            <w:r w:rsidRPr="009F63DF">
              <w:rPr>
                <w:rFonts w:cs="Arial"/>
                <w:i/>
                <w:iCs/>
                <w:sz w:val="20"/>
                <w:szCs w:val="20"/>
                <w:lang w:val="en-GB"/>
              </w:rPr>
              <w:t>Accuracy class</w:t>
            </w:r>
          </w:p>
        </w:tc>
        <w:tc>
          <w:tcPr>
            <w:tcW w:w="4721" w:type="dxa"/>
            <w:gridSpan w:val="3"/>
            <w:tcBorders>
              <w:top w:val="single" w:sz="4" w:space="0" w:color="auto"/>
            </w:tcBorders>
          </w:tcPr>
          <w:p w14:paraId="30EB55FB" w14:textId="67783574" w:rsidR="003C405B" w:rsidRPr="009F63DF" w:rsidRDefault="00166189" w:rsidP="00495C31">
            <w:pPr>
              <w:suppressAutoHyphens/>
              <w:spacing w:before="60" w:after="60"/>
              <w:ind w:right="57"/>
              <w:rPr>
                <w:rFonts w:cs="Arial"/>
                <w:sz w:val="20"/>
                <w:szCs w:val="20"/>
                <w:lang w:val="en-GB"/>
              </w:rPr>
            </w:pPr>
            <w:r w:rsidRPr="009F63DF">
              <w:rPr>
                <w:rFonts w:cs="Arial"/>
                <w:sz w:val="20"/>
                <w:szCs w:val="20"/>
                <w:lang w:val="en-GB"/>
              </w:rPr>
              <w:t>When SUMs, i</w:t>
            </w:r>
            <w:r w:rsidR="00814EA5" w:rsidRPr="009F63DF">
              <w:rPr>
                <w:rFonts w:cs="Arial"/>
                <w:sz w:val="20"/>
                <w:szCs w:val="20"/>
                <w:lang w:val="en-GB"/>
              </w:rPr>
              <w:t xml:space="preserve">n compliance with </w:t>
            </w:r>
            <w:r w:rsidR="00814EA5" w:rsidRPr="009F63DF">
              <w:rPr>
                <w:rFonts w:cs="Arial"/>
                <w:sz w:val="20"/>
              </w:rPr>
              <w:fldChar w:fldCharType="begin"/>
            </w:r>
            <w:r w:rsidR="00814EA5" w:rsidRPr="009F63DF">
              <w:rPr>
                <w:rFonts w:cs="Arial"/>
                <w:sz w:val="20"/>
                <w:szCs w:val="20"/>
                <w:lang w:val="en-GB"/>
              </w:rPr>
              <w:instrText xml:space="preserve"> REF _Ref227250743 \w \h </w:instrText>
            </w:r>
            <w:r w:rsidR="004D232A" w:rsidRPr="009F63DF">
              <w:rPr>
                <w:rFonts w:cs="Arial"/>
                <w:sz w:val="20"/>
                <w:szCs w:val="20"/>
                <w:lang w:val="en-GB"/>
              </w:rPr>
              <w:instrText xml:space="preserve"> \* MERGEFORMAT </w:instrText>
            </w:r>
            <w:r w:rsidR="00814EA5" w:rsidRPr="009F63DF">
              <w:rPr>
                <w:rFonts w:cs="Arial"/>
                <w:sz w:val="20"/>
              </w:rPr>
            </w:r>
            <w:r w:rsidR="00814EA5"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00814EA5" w:rsidRPr="009F63DF">
              <w:rPr>
                <w:rFonts w:cs="Arial"/>
                <w:sz w:val="20"/>
              </w:rPr>
              <w:fldChar w:fldCharType="end"/>
            </w:r>
          </w:p>
        </w:tc>
      </w:tr>
      <w:tr w:rsidR="003C405B" w:rsidRPr="009F63DF" w14:paraId="0D8588E4" w14:textId="77777777" w:rsidTr="00223FDE">
        <w:trPr>
          <w:trHeight w:val="104"/>
        </w:trPr>
        <w:tc>
          <w:tcPr>
            <w:tcW w:w="1867" w:type="dxa"/>
            <w:vMerge/>
          </w:tcPr>
          <w:p w14:paraId="0A1840ED" w14:textId="77777777" w:rsidR="003C405B" w:rsidRPr="009F63DF" w:rsidRDefault="003C405B" w:rsidP="00540956">
            <w:pPr>
              <w:suppressAutoHyphens/>
              <w:spacing w:before="60" w:after="60"/>
              <w:ind w:right="57"/>
              <w:jc w:val="left"/>
              <w:rPr>
                <w:rFonts w:cs="Arial"/>
                <w:sz w:val="20"/>
                <w:szCs w:val="20"/>
                <w:lang w:val="en-GB"/>
              </w:rPr>
            </w:pPr>
          </w:p>
        </w:tc>
        <w:tc>
          <w:tcPr>
            <w:tcW w:w="1941" w:type="dxa"/>
            <w:tcBorders>
              <w:top w:val="single" w:sz="4" w:space="0" w:color="auto"/>
            </w:tcBorders>
          </w:tcPr>
          <w:p w14:paraId="5F7F7E04" w14:textId="77777777" w:rsidR="003C405B" w:rsidRPr="009F63DF" w:rsidRDefault="003C405B" w:rsidP="00495C31">
            <w:pPr>
              <w:suppressAutoHyphens/>
              <w:spacing w:before="60" w:after="60"/>
              <w:ind w:right="57"/>
              <w:jc w:val="left"/>
              <w:rPr>
                <w:rFonts w:cs="Arial"/>
                <w:i/>
                <w:iCs/>
                <w:sz w:val="20"/>
                <w:szCs w:val="20"/>
                <w:lang w:val="en-GB"/>
              </w:rPr>
            </w:pPr>
            <w:r w:rsidRPr="009F63DF">
              <w:rPr>
                <w:rFonts w:cs="Arial"/>
                <w:i/>
                <w:iCs/>
                <w:sz w:val="20"/>
                <w:szCs w:val="20"/>
                <w:lang w:val="en-GB"/>
              </w:rPr>
              <w:t>Calibration requirements</w:t>
            </w:r>
          </w:p>
        </w:tc>
        <w:tc>
          <w:tcPr>
            <w:tcW w:w="4721" w:type="dxa"/>
            <w:gridSpan w:val="3"/>
            <w:tcBorders>
              <w:top w:val="single" w:sz="4" w:space="0" w:color="auto"/>
            </w:tcBorders>
          </w:tcPr>
          <w:p w14:paraId="391248F4" w14:textId="7DD66849" w:rsidR="003C405B" w:rsidRPr="009F63DF" w:rsidRDefault="00166189" w:rsidP="00495C31">
            <w:pPr>
              <w:suppressAutoHyphens/>
              <w:spacing w:before="60" w:after="60"/>
              <w:ind w:right="57"/>
              <w:rPr>
                <w:rFonts w:cs="Arial"/>
                <w:i/>
                <w:iCs/>
                <w:sz w:val="20"/>
                <w:szCs w:val="20"/>
                <w:lang w:val="en-GB"/>
              </w:rPr>
            </w:pPr>
            <w:r w:rsidRPr="009F63DF">
              <w:rPr>
                <w:rFonts w:cs="Arial"/>
                <w:sz w:val="20"/>
                <w:szCs w:val="20"/>
                <w:lang w:val="en-GB"/>
              </w:rPr>
              <w:t>When SUMS, in</w:t>
            </w:r>
            <w:r w:rsidR="00814EA5" w:rsidRPr="009F63DF">
              <w:rPr>
                <w:rFonts w:cs="Arial"/>
                <w:sz w:val="20"/>
                <w:szCs w:val="20"/>
                <w:lang w:val="en-GB"/>
              </w:rPr>
              <w:t xml:space="preserve"> compliance with </w:t>
            </w:r>
            <w:r w:rsidR="00814EA5" w:rsidRPr="009F63DF">
              <w:rPr>
                <w:rFonts w:cs="Arial"/>
                <w:sz w:val="20"/>
              </w:rPr>
              <w:fldChar w:fldCharType="begin"/>
            </w:r>
            <w:r w:rsidR="00814EA5" w:rsidRPr="009F63DF">
              <w:rPr>
                <w:rFonts w:cs="Arial"/>
                <w:sz w:val="20"/>
                <w:szCs w:val="20"/>
                <w:lang w:val="en-GB"/>
              </w:rPr>
              <w:instrText xml:space="preserve"> REF _Ref227250743 \w \h </w:instrText>
            </w:r>
            <w:r w:rsidR="004D232A" w:rsidRPr="009F63DF">
              <w:rPr>
                <w:rFonts w:cs="Arial"/>
                <w:sz w:val="20"/>
                <w:szCs w:val="20"/>
                <w:lang w:val="en-GB"/>
              </w:rPr>
              <w:instrText xml:space="preserve"> \* MERGEFORMAT </w:instrText>
            </w:r>
            <w:r w:rsidR="00814EA5" w:rsidRPr="009F63DF">
              <w:rPr>
                <w:rFonts w:cs="Arial"/>
                <w:sz w:val="20"/>
              </w:rPr>
            </w:r>
            <w:r w:rsidR="00814EA5"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00814EA5" w:rsidRPr="009F63DF">
              <w:rPr>
                <w:rFonts w:cs="Arial"/>
                <w:sz w:val="20"/>
              </w:rPr>
              <w:fldChar w:fldCharType="end"/>
            </w:r>
          </w:p>
        </w:tc>
      </w:tr>
      <w:tr w:rsidR="003C405B" w:rsidRPr="009F63DF" w14:paraId="2CC4B2E3" w14:textId="77777777" w:rsidTr="00223FDE">
        <w:trPr>
          <w:trHeight w:val="104"/>
        </w:trPr>
        <w:tc>
          <w:tcPr>
            <w:tcW w:w="1867" w:type="dxa"/>
            <w:vMerge/>
          </w:tcPr>
          <w:p w14:paraId="56E15AE8" w14:textId="77777777" w:rsidR="003C405B" w:rsidRPr="009F63DF" w:rsidRDefault="003C405B" w:rsidP="00540956">
            <w:pPr>
              <w:suppressAutoHyphens/>
              <w:spacing w:before="60" w:after="60"/>
              <w:ind w:right="57"/>
              <w:jc w:val="left"/>
              <w:rPr>
                <w:rFonts w:cs="Arial"/>
                <w:sz w:val="20"/>
                <w:szCs w:val="20"/>
                <w:lang w:val="en-GB"/>
              </w:rPr>
            </w:pPr>
          </w:p>
        </w:tc>
        <w:tc>
          <w:tcPr>
            <w:tcW w:w="1941" w:type="dxa"/>
            <w:tcBorders>
              <w:top w:val="single" w:sz="4" w:space="0" w:color="auto"/>
            </w:tcBorders>
          </w:tcPr>
          <w:p w14:paraId="1E696C72" w14:textId="77777777" w:rsidR="003C405B" w:rsidRPr="009F63DF" w:rsidRDefault="003C405B" w:rsidP="00495C31">
            <w:pPr>
              <w:suppressAutoHyphens/>
              <w:spacing w:before="60" w:after="60"/>
              <w:ind w:right="57"/>
              <w:jc w:val="left"/>
              <w:rPr>
                <w:rFonts w:cs="Arial"/>
                <w:i/>
                <w:iCs/>
                <w:sz w:val="20"/>
                <w:szCs w:val="20"/>
                <w:lang w:val="en-GB"/>
              </w:rPr>
            </w:pPr>
            <w:r w:rsidRPr="009F63DF">
              <w:rPr>
                <w:rFonts w:cs="Arial"/>
                <w:i/>
                <w:iCs/>
                <w:sz w:val="20"/>
                <w:szCs w:val="20"/>
                <w:lang w:val="en-GB"/>
              </w:rPr>
              <w:t>Location</w:t>
            </w:r>
          </w:p>
        </w:tc>
        <w:tc>
          <w:tcPr>
            <w:tcW w:w="4721" w:type="dxa"/>
            <w:gridSpan w:val="3"/>
            <w:tcBorders>
              <w:top w:val="single" w:sz="4" w:space="0" w:color="auto"/>
            </w:tcBorders>
          </w:tcPr>
          <w:p w14:paraId="4D72160C" w14:textId="129F8FD2" w:rsidR="003C405B" w:rsidRPr="009F63DF" w:rsidRDefault="00814EA5" w:rsidP="00495C31">
            <w:pPr>
              <w:suppressAutoHyphens/>
              <w:spacing w:before="60" w:after="60"/>
              <w:ind w:right="57"/>
              <w:rPr>
                <w:rFonts w:cs="Arial"/>
                <w:sz w:val="20"/>
                <w:szCs w:val="20"/>
                <w:lang w:val="en-GB"/>
              </w:rPr>
            </w:pPr>
            <w:r w:rsidRPr="009F63DF">
              <w:rPr>
                <w:rFonts w:cs="Arial"/>
                <w:sz w:val="20"/>
                <w:szCs w:val="20"/>
                <w:lang w:val="en-GB"/>
              </w:rPr>
              <w:t>Article 6.4 activity households</w:t>
            </w:r>
          </w:p>
        </w:tc>
      </w:tr>
      <w:tr w:rsidR="006E759D" w:rsidRPr="009F63DF" w14:paraId="278625BD" w14:textId="77777777" w:rsidTr="00223FDE">
        <w:tc>
          <w:tcPr>
            <w:tcW w:w="1867" w:type="dxa"/>
            <w:shd w:val="clear" w:color="auto" w:fill="E6E6E6"/>
          </w:tcPr>
          <w:p w14:paraId="110F70DB" w14:textId="77777777" w:rsidR="00814EA5" w:rsidRPr="009F63DF" w:rsidRDefault="00814EA5" w:rsidP="00540956">
            <w:pPr>
              <w:suppressAutoHyphens/>
              <w:spacing w:before="60" w:after="60"/>
              <w:ind w:right="57"/>
              <w:jc w:val="left"/>
              <w:rPr>
                <w:rFonts w:cs="Arial"/>
                <w:sz w:val="20"/>
                <w:szCs w:val="20"/>
                <w:lang w:val="en-GB"/>
              </w:rPr>
            </w:pPr>
            <w:r w:rsidRPr="009F63DF">
              <w:rPr>
                <w:rFonts w:cs="Arial"/>
                <w:sz w:val="20"/>
                <w:szCs w:val="20"/>
                <w:lang w:val="en-GB"/>
              </w:rPr>
              <w:t>Measurement intervals</w:t>
            </w:r>
          </w:p>
        </w:tc>
        <w:tc>
          <w:tcPr>
            <w:tcW w:w="6662" w:type="dxa"/>
            <w:gridSpan w:val="4"/>
          </w:tcPr>
          <w:p w14:paraId="1869327D" w14:textId="308643C9" w:rsidR="00814EA5" w:rsidRPr="009F63DF" w:rsidRDefault="00166189" w:rsidP="00495C31">
            <w:pPr>
              <w:tabs>
                <w:tab w:val="left" w:pos="567"/>
              </w:tabs>
              <w:suppressAutoHyphens/>
              <w:spacing w:before="20" w:after="20"/>
              <w:ind w:right="159"/>
              <w:rPr>
                <w:rFonts w:cs="Arial"/>
                <w:sz w:val="20"/>
                <w:szCs w:val="20"/>
                <w:lang w:val="en-GB"/>
              </w:rPr>
            </w:pPr>
            <w:r w:rsidRPr="009F63DF">
              <w:rPr>
                <w:rFonts w:cs="Arial"/>
                <w:sz w:val="20"/>
                <w:szCs w:val="20"/>
                <w:lang w:val="en-GB"/>
              </w:rPr>
              <w:t>When SUMS, i</w:t>
            </w:r>
            <w:r w:rsidR="00814EA5" w:rsidRPr="009F63DF">
              <w:rPr>
                <w:rFonts w:cs="Arial"/>
                <w:sz w:val="20"/>
                <w:szCs w:val="20"/>
                <w:lang w:val="en-GB"/>
              </w:rPr>
              <w:t xml:space="preserve">n compliance with </w:t>
            </w:r>
            <w:r w:rsidR="00814EA5" w:rsidRPr="009F63DF">
              <w:rPr>
                <w:rFonts w:cs="Arial"/>
                <w:sz w:val="20"/>
              </w:rPr>
              <w:fldChar w:fldCharType="begin"/>
            </w:r>
            <w:r w:rsidR="00814EA5" w:rsidRPr="009F63DF">
              <w:rPr>
                <w:rFonts w:cs="Arial"/>
                <w:sz w:val="20"/>
                <w:szCs w:val="20"/>
                <w:lang w:val="en-GB"/>
              </w:rPr>
              <w:instrText xml:space="preserve"> REF _Ref227250743 \w \h </w:instrText>
            </w:r>
            <w:r w:rsidR="004D232A" w:rsidRPr="009F63DF">
              <w:rPr>
                <w:rFonts w:cs="Arial"/>
                <w:sz w:val="20"/>
                <w:szCs w:val="20"/>
                <w:lang w:val="en-GB"/>
              </w:rPr>
              <w:instrText xml:space="preserve"> \* MERGEFORMAT </w:instrText>
            </w:r>
            <w:r w:rsidR="00814EA5" w:rsidRPr="009F63DF">
              <w:rPr>
                <w:rFonts w:cs="Arial"/>
                <w:sz w:val="20"/>
              </w:rPr>
            </w:r>
            <w:r w:rsidR="00814EA5" w:rsidRPr="009F63DF">
              <w:rPr>
                <w:rFonts w:cs="Arial"/>
                <w:sz w:val="20"/>
              </w:rPr>
              <w:fldChar w:fldCharType="separate"/>
            </w:r>
            <w:r w:rsidR="00831DAE">
              <w:rPr>
                <w:rFonts w:cs="Arial"/>
                <w:sz w:val="20"/>
                <w:szCs w:val="20"/>
                <w:cs/>
                <w:lang w:val="en-GB"/>
              </w:rPr>
              <w:t>‎</w:t>
            </w:r>
            <w:r w:rsidR="00831DAE">
              <w:rPr>
                <w:rFonts w:cs="Arial"/>
                <w:sz w:val="20"/>
                <w:szCs w:val="20"/>
                <w:lang w:val="en-GB"/>
              </w:rPr>
              <w:t>Appendix 6</w:t>
            </w:r>
            <w:r w:rsidR="00814EA5" w:rsidRPr="009F63DF">
              <w:rPr>
                <w:rFonts w:cs="Arial"/>
                <w:sz w:val="20"/>
              </w:rPr>
              <w:fldChar w:fldCharType="end"/>
            </w:r>
          </w:p>
        </w:tc>
      </w:tr>
      <w:tr w:rsidR="006E759D" w:rsidRPr="009F63DF" w14:paraId="265AF92B" w14:textId="77777777" w:rsidTr="00223FDE">
        <w:tc>
          <w:tcPr>
            <w:tcW w:w="1867" w:type="dxa"/>
            <w:shd w:val="clear" w:color="auto" w:fill="E6E6E6"/>
          </w:tcPr>
          <w:p w14:paraId="45F3C5A8" w14:textId="77777777" w:rsidR="00814EA5" w:rsidRPr="009F63DF" w:rsidRDefault="00814EA5" w:rsidP="00540956">
            <w:pPr>
              <w:suppressAutoHyphens/>
              <w:spacing w:before="60" w:after="60"/>
              <w:ind w:right="57"/>
              <w:jc w:val="left"/>
              <w:rPr>
                <w:rFonts w:cs="Arial"/>
                <w:sz w:val="20"/>
                <w:szCs w:val="20"/>
                <w:lang w:val="en-GB"/>
              </w:rPr>
            </w:pPr>
            <w:r w:rsidRPr="009F63DF">
              <w:rPr>
                <w:rFonts w:cs="Arial"/>
                <w:sz w:val="20"/>
                <w:szCs w:val="20"/>
                <w:lang w:val="en-GB"/>
              </w:rPr>
              <w:t>QA/QC procedures</w:t>
            </w:r>
          </w:p>
        </w:tc>
        <w:tc>
          <w:tcPr>
            <w:tcW w:w="6662" w:type="dxa"/>
            <w:gridSpan w:val="4"/>
          </w:tcPr>
          <w:p w14:paraId="33F2A5E2" w14:textId="1B1513C8" w:rsidR="00814EA5" w:rsidRPr="009F63DF" w:rsidRDefault="006272C0" w:rsidP="00237EDE">
            <w:pPr>
              <w:suppressAutoHyphens/>
              <w:jc w:val="left"/>
              <w:rPr>
                <w:rFonts w:cs="Arial"/>
                <w:sz w:val="20"/>
                <w:szCs w:val="20"/>
                <w:lang w:val="en-GB"/>
              </w:rPr>
            </w:pPr>
            <w:r w:rsidRPr="009F63DF">
              <w:rPr>
                <w:rFonts w:eastAsia="Montserrat" w:cs="Arial"/>
                <w:sz w:val="20"/>
                <w:lang w:val="en-GB"/>
              </w:rPr>
              <w:t>Option 1</w:t>
            </w:r>
            <w:r w:rsidRPr="009F63DF">
              <w:rPr>
                <w:rFonts w:eastAsia="Montserrat" w:cs="Arial"/>
                <w:i/>
                <w:iCs/>
                <w:sz w:val="20"/>
                <w:szCs w:val="20"/>
                <w:lang w:val="en-GB"/>
              </w:rPr>
              <w:t xml:space="preserve">: </w:t>
            </w:r>
            <w:r w:rsidR="00814EA5" w:rsidRPr="009F63DF">
              <w:rPr>
                <w:rFonts w:eastAsia="Montserrat" w:cs="Arial"/>
                <w:sz w:val="20"/>
                <w:szCs w:val="20"/>
                <w:lang w:val="en-GB"/>
              </w:rPr>
              <w:t>Sampling shall be conducted to meet the 95/10 reliability guideline on the target parameter of the percentage of Article 6.4 activity households with cookstoves present in which project cookstove is used at least once per week</w:t>
            </w:r>
            <w:r w:rsidR="00166189" w:rsidRPr="009F63DF">
              <w:rPr>
                <w:rFonts w:eastAsia="Montserrat" w:cs="Arial"/>
                <w:sz w:val="20"/>
                <w:szCs w:val="20"/>
                <w:lang w:val="en-GB"/>
              </w:rPr>
              <w:t xml:space="preserve"> (or the minimum frequency defined for the A6.4 activity)</w:t>
            </w:r>
            <w:r w:rsidR="00237EDE" w:rsidRPr="009F63DF">
              <w:rPr>
                <w:rFonts w:eastAsia="Montserrat" w:cs="Arial"/>
                <w:sz w:val="20"/>
                <w:szCs w:val="20"/>
                <w:lang w:val="en-GB"/>
              </w:rPr>
              <w:t>.</w:t>
            </w:r>
            <w:r w:rsidR="00237EDE" w:rsidRPr="009F63DF">
              <w:rPr>
                <w:rFonts w:eastAsia="Montserrat" w:cs="Arial"/>
                <w:sz w:val="20"/>
                <w:szCs w:val="20"/>
                <w:lang w:val="en-GB"/>
              </w:rPr>
              <w:br/>
            </w:r>
            <w:r w:rsidR="00474FCB" w:rsidRPr="009F63DF">
              <w:rPr>
                <w:rFonts w:eastAsia="Montserrat" w:cs="Arial"/>
                <w:sz w:val="20"/>
                <w:szCs w:val="20"/>
                <w:lang w:val="en-GB"/>
              </w:rPr>
              <w:br/>
            </w:r>
            <w:r w:rsidRPr="009F63DF">
              <w:rPr>
                <w:rFonts w:eastAsia="Montserrat" w:cs="Arial"/>
                <w:sz w:val="20"/>
                <w:lang w:val="en-GB"/>
              </w:rPr>
              <w:t>Option 2:</w:t>
            </w:r>
            <w:r w:rsidRPr="009F63DF">
              <w:rPr>
                <w:rFonts w:eastAsia="Montserrat" w:cs="Arial"/>
                <w:i/>
                <w:iCs/>
                <w:sz w:val="20"/>
                <w:szCs w:val="20"/>
                <w:lang w:val="en-GB"/>
              </w:rPr>
              <w:t xml:space="preserve"> </w:t>
            </w:r>
            <w:r w:rsidR="00814EA5" w:rsidRPr="009F63DF">
              <w:rPr>
                <w:rFonts w:eastAsia="Montserrat" w:cs="Arial"/>
                <w:sz w:val="20"/>
                <w:szCs w:val="20"/>
                <w:lang w:val="en-GB"/>
              </w:rPr>
              <w:t>Sampling for the measurements using SUMs shall be conducted to meet the 95/10 reliability guideline on the target parameter of the percentage of Article 6.4 activity households with cookstoves present in which project cookstove is used at least once per week</w:t>
            </w:r>
            <w:r w:rsidR="009E723A" w:rsidRPr="009F63DF">
              <w:rPr>
                <w:rFonts w:eastAsia="Montserrat" w:cs="Arial"/>
                <w:sz w:val="20"/>
                <w:szCs w:val="20"/>
                <w:lang w:val="en-GB"/>
              </w:rPr>
              <w:t xml:space="preserve"> (or the minimum frequency defined for the A6.4 activity)</w:t>
            </w:r>
            <w:r w:rsidR="00814EA5" w:rsidRPr="009F63DF">
              <w:rPr>
                <w:rFonts w:eastAsia="Montserrat" w:cs="Arial"/>
                <w:sz w:val="20"/>
                <w:szCs w:val="20"/>
                <w:lang w:val="en-GB"/>
              </w:rPr>
              <w:t>. The results based on the SUMs measurements shall be cross-checked against the survey results to confirm the presence of the project cookstove and SUM and support interpretation of usage data</w:t>
            </w:r>
          </w:p>
        </w:tc>
      </w:tr>
      <w:tr w:rsidR="006E759D" w:rsidRPr="009F63DF" w14:paraId="255CC0A9" w14:textId="77777777" w:rsidTr="00223FDE">
        <w:tc>
          <w:tcPr>
            <w:tcW w:w="1867" w:type="dxa"/>
            <w:shd w:val="clear" w:color="auto" w:fill="E6E6E6"/>
          </w:tcPr>
          <w:p w14:paraId="713DC784" w14:textId="77777777" w:rsidR="00814EA5" w:rsidRPr="009F63DF" w:rsidRDefault="00814EA5" w:rsidP="00540956">
            <w:pPr>
              <w:pStyle w:val="ParaTickBox"/>
              <w:keepNext/>
              <w:tabs>
                <w:tab w:val="clear" w:pos="510"/>
              </w:tabs>
              <w:suppressAutoHyphens/>
              <w:ind w:left="0" w:right="57" w:firstLine="0"/>
              <w:rPr>
                <w:szCs w:val="20"/>
                <w:lang w:val="en-GB"/>
              </w:rPr>
            </w:pPr>
            <w:r w:rsidRPr="009F63DF">
              <w:rPr>
                <w:szCs w:val="20"/>
                <w:lang w:val="en-GB"/>
              </w:rPr>
              <w:t>Treatment of uncertainty</w:t>
            </w:r>
          </w:p>
        </w:tc>
        <w:tc>
          <w:tcPr>
            <w:tcW w:w="6662" w:type="dxa"/>
            <w:gridSpan w:val="4"/>
          </w:tcPr>
          <w:p w14:paraId="6A1C00DF" w14:textId="0D64F826" w:rsidR="00814EA5" w:rsidRPr="009F63DF" w:rsidRDefault="00DE7F01" w:rsidP="00B033CE">
            <w:pPr>
              <w:pStyle w:val="ParaTickBox"/>
              <w:keepNext/>
              <w:tabs>
                <w:tab w:val="clear" w:pos="510"/>
                <w:tab w:val="left" w:pos="315"/>
              </w:tabs>
              <w:suppressAutoHyphens/>
              <w:ind w:left="0" w:firstLine="0"/>
              <w:jc w:val="both"/>
              <w:rPr>
                <w:szCs w:val="20"/>
                <w:lang w:val="en-GB"/>
              </w:rPr>
            </w:pPr>
            <w:r w:rsidRPr="009F63DF">
              <w:rPr>
                <w:szCs w:val="20"/>
                <w:lang w:val="en-GB"/>
              </w:rPr>
              <w:t>T</w:t>
            </w:r>
            <w:r w:rsidR="00814EA5" w:rsidRPr="009F63DF">
              <w:rPr>
                <w:szCs w:val="20"/>
                <w:lang w:val="en-GB"/>
              </w:rPr>
              <w:t>he lower bound of the confidence interval is applied as the parameter value</w:t>
            </w:r>
          </w:p>
        </w:tc>
      </w:tr>
      <w:tr w:rsidR="006E759D" w:rsidRPr="009F63DF" w14:paraId="6DE6C5CA" w14:textId="77777777" w:rsidTr="00223FDE">
        <w:tc>
          <w:tcPr>
            <w:tcW w:w="1867" w:type="dxa"/>
            <w:shd w:val="clear" w:color="auto" w:fill="E6E6E6"/>
          </w:tcPr>
          <w:p w14:paraId="57C211D4" w14:textId="77777777" w:rsidR="00814EA5" w:rsidRPr="009F63DF" w:rsidRDefault="00814EA5" w:rsidP="00540956">
            <w:pPr>
              <w:suppressAutoHyphens/>
              <w:spacing w:before="60" w:after="60"/>
              <w:ind w:right="57"/>
              <w:jc w:val="left"/>
              <w:rPr>
                <w:rFonts w:cs="Arial"/>
                <w:sz w:val="20"/>
                <w:szCs w:val="20"/>
                <w:lang w:val="en-GB"/>
              </w:rPr>
            </w:pPr>
            <w:r w:rsidRPr="009F63DF">
              <w:rPr>
                <w:rFonts w:cs="Arial"/>
                <w:sz w:val="20"/>
                <w:szCs w:val="20"/>
                <w:lang w:val="en-GB"/>
              </w:rPr>
              <w:t>Additional comment</w:t>
            </w:r>
          </w:p>
        </w:tc>
        <w:tc>
          <w:tcPr>
            <w:tcW w:w="6662" w:type="dxa"/>
            <w:gridSpan w:val="4"/>
          </w:tcPr>
          <w:p w14:paraId="4B32D3CC" w14:textId="2F9BAEAB" w:rsidR="00814EA5" w:rsidRPr="009F63DF" w:rsidRDefault="00814EA5" w:rsidP="00495C31">
            <w:pPr>
              <w:suppressAutoHyphens/>
              <w:spacing w:before="60" w:after="60"/>
              <w:ind w:right="57"/>
              <w:rPr>
                <w:rFonts w:cs="Arial"/>
                <w:sz w:val="20"/>
                <w:szCs w:val="20"/>
                <w:lang w:val="en-GB"/>
              </w:rPr>
            </w:pPr>
            <w:r w:rsidRPr="009F63DF">
              <w:rPr>
                <w:rFonts w:eastAsia="Montserrat" w:cs="Arial"/>
                <w:sz w:val="20"/>
                <w:szCs w:val="20"/>
                <w:lang w:val="en-GB"/>
              </w:rPr>
              <w:t>N/A</w:t>
            </w:r>
          </w:p>
        </w:tc>
      </w:tr>
    </w:tbl>
    <w:p w14:paraId="06936EC2" w14:textId="29AFFFEE" w:rsidR="009F50B7" w:rsidRPr="009F63DF" w:rsidRDefault="009F50B7" w:rsidP="009F50B7">
      <w:pPr>
        <w:keepNext/>
        <w:keepLines/>
        <w:tabs>
          <w:tab w:val="left" w:pos="1134"/>
          <w:tab w:val="left" w:pos="1956"/>
          <w:tab w:val="left" w:pos="2126"/>
          <w:tab w:val="left" w:pos="2693"/>
          <w:tab w:val="left" w:pos="3260"/>
        </w:tabs>
        <w:spacing w:before="320" w:after="120"/>
        <w:ind w:left="1956" w:hanging="1247"/>
        <w:rPr>
          <w:b/>
          <w:sz w:val="20"/>
        </w:rPr>
      </w:pPr>
      <w:bookmarkStart w:id="804" w:name="_Appendix__"/>
      <w:bookmarkStart w:id="805" w:name="_Toc193924644"/>
      <w:bookmarkStart w:id="806" w:name="_Toc219446955"/>
      <w:bookmarkStart w:id="807" w:name="_Toc219711090"/>
      <w:bookmarkStart w:id="808" w:name="_Toc219711193"/>
      <w:bookmarkStart w:id="809" w:name="_Toc219711370"/>
      <w:bookmarkStart w:id="810" w:name="_Toc226502301"/>
      <w:bookmarkStart w:id="811" w:name="_Toc226576254"/>
      <w:bookmarkStart w:id="812" w:name="_Toc226983105"/>
      <w:bookmarkEnd w:id="804"/>
      <w:r w:rsidRPr="009F63DF">
        <w:rPr>
          <w:b/>
          <w:sz w:val="20"/>
        </w:rPr>
        <w:t>Data / Parameter table </w:t>
      </w:r>
      <w:r w:rsidRPr="009F63DF">
        <w:rPr>
          <w:b/>
          <w:sz w:val="20"/>
        </w:rPr>
        <w:fldChar w:fldCharType="begin"/>
      </w:r>
      <w:r w:rsidRPr="009F63DF">
        <w:rPr>
          <w:b/>
          <w:sz w:val="20"/>
        </w:rPr>
        <w:instrText>SEQ Data_/_Parameter_table \* ARABIC</w:instrText>
      </w:r>
      <w:r w:rsidRPr="009F63DF">
        <w:rPr>
          <w:b/>
          <w:sz w:val="20"/>
        </w:rPr>
        <w:fldChar w:fldCharType="separate"/>
      </w:r>
      <w:r w:rsidR="00831DAE">
        <w:rPr>
          <w:b/>
          <w:noProof/>
          <w:sz w:val="20"/>
        </w:rPr>
        <w:t>23</w:t>
      </w:r>
      <w:r w:rsidRPr="009F63DF">
        <w:rPr>
          <w:b/>
          <w:sz w:val="20"/>
        </w:rPr>
        <w:fldChar w:fldCharType="end"/>
      </w:r>
      <w:r w:rsidRPr="009F63DF">
        <w:rPr>
          <w:b/>
          <w:sz w:val="20"/>
        </w:rPr>
        <w:t>.</w:t>
      </w:r>
    </w:p>
    <w:tbl>
      <w:tblPr>
        <w:tblStyle w:val="SDMMethTableDataParameter"/>
        <w:tblW w:w="8529" w:type="dxa"/>
        <w:tblLayout w:type="fixed"/>
        <w:tblLook w:val="01E0" w:firstRow="1" w:lastRow="1" w:firstColumn="1" w:lastColumn="1" w:noHBand="0" w:noVBand="0"/>
      </w:tblPr>
      <w:tblGrid>
        <w:gridCol w:w="1867"/>
        <w:gridCol w:w="1842"/>
        <w:gridCol w:w="629"/>
        <w:gridCol w:w="1112"/>
        <w:gridCol w:w="3079"/>
      </w:tblGrid>
      <w:tr w:rsidR="00457E2B" w:rsidRPr="009F63DF" w14:paraId="60B77578" w14:textId="77777777" w:rsidTr="00CF5E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tcPr>
          <w:p w14:paraId="610CC16C" w14:textId="5A12A249" w:rsidR="009F50B7" w:rsidRPr="009F63DF" w:rsidRDefault="009F50B7" w:rsidP="00540956">
            <w:pPr>
              <w:suppressAutoHyphens/>
              <w:jc w:val="left"/>
              <w:rPr>
                <w:rFonts w:cs="Arial"/>
                <w:sz w:val="20"/>
              </w:rPr>
            </w:pPr>
            <w:r w:rsidRPr="009F63DF">
              <w:rPr>
                <w:rFonts w:cs="Arial"/>
                <w:sz w:val="20"/>
              </w:rPr>
              <w:t>Data / Parameter</w:t>
            </w:r>
          </w:p>
        </w:tc>
        <w:tc>
          <w:tcPr>
            <w:tcW w:w="6662" w:type="dxa"/>
            <w:gridSpan w:val="4"/>
          </w:tcPr>
          <w:p w14:paraId="416527DF" w14:textId="5588D92D" w:rsidR="009F50B7" w:rsidRPr="009F63DF" w:rsidRDefault="001549D8">
            <w:pPr>
              <w:jc w:val="left"/>
              <w:cnfStyle w:val="100000000000" w:firstRow="1" w:lastRow="0" w:firstColumn="0" w:lastColumn="0" w:oddVBand="0" w:evenVBand="0" w:oddHBand="0" w:evenHBand="0" w:firstRowFirstColumn="0" w:firstRowLastColumn="0" w:lastRowFirstColumn="0" w:lastRowLastColumn="0"/>
              <w:rPr>
                <w:rFonts w:cs="Arial"/>
                <w:sz w:val="20"/>
              </w:rPr>
            </w:pPr>
            <m:oMathPara>
              <m:oMathParaPr>
                <m:jc m:val="left"/>
              </m:oMathParaPr>
              <m:oMath>
                <m:sSub>
                  <m:sSubPr>
                    <m:ctrlPr>
                      <w:rPr>
                        <w:rFonts w:ascii="Cambria Math" w:eastAsia="Cambria Math" w:hAnsi="Cambria Math" w:cs="Arial"/>
                        <w:sz w:val="20"/>
                      </w:rPr>
                    </m:ctrlPr>
                  </m:sSubPr>
                  <m:e>
                    <m:r>
                      <m:rPr>
                        <m:sty m:val="bi"/>
                      </m:rPr>
                      <w:rPr>
                        <w:rFonts w:ascii="Cambria Math" w:eastAsia="Roboto" w:hAnsi="Cambria Math" w:cs="Arial"/>
                        <w:color w:val="040C28"/>
                        <w:sz w:val="20"/>
                      </w:rPr>
                      <m:t>AC</m:t>
                    </m:r>
                  </m:e>
                  <m:sub>
                    <m:r>
                      <m:rPr>
                        <m:sty m:val="bi"/>
                      </m:rPr>
                      <w:rPr>
                        <w:rFonts w:ascii="Cambria Math" w:eastAsia="Cambria Math" w:hAnsi="Cambria Math" w:cs="Arial"/>
                        <w:sz w:val="20"/>
                      </w:rPr>
                      <m:t>New,y</m:t>
                    </m:r>
                  </m:sub>
                </m:sSub>
              </m:oMath>
            </m:oMathPara>
          </w:p>
        </w:tc>
      </w:tr>
      <w:tr w:rsidR="00457E2B" w:rsidRPr="009F63DF" w14:paraId="36B12CFD"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32D39C69" w14:textId="78B222E8" w:rsidR="00D81FAA" w:rsidRPr="009F63DF" w:rsidRDefault="00D81FAA" w:rsidP="00540956">
            <w:pPr>
              <w:suppressAutoHyphens/>
              <w:jc w:val="left"/>
              <w:rPr>
                <w:rFonts w:cs="Arial"/>
                <w:sz w:val="20"/>
              </w:rPr>
            </w:pPr>
            <w:r w:rsidRPr="009F63DF">
              <w:rPr>
                <w:rFonts w:cs="Arial"/>
                <w:sz w:val="20"/>
              </w:rPr>
              <w:t>Description</w:t>
            </w:r>
          </w:p>
        </w:tc>
        <w:tc>
          <w:tcPr>
            <w:tcW w:w="6662" w:type="dxa"/>
            <w:gridSpan w:val="4"/>
          </w:tcPr>
          <w:p w14:paraId="7B243278" w14:textId="05E864CB" w:rsidR="00D81FAA" w:rsidRPr="009F63DF" w:rsidRDefault="00D81FAA" w:rsidP="00D81FAA">
            <w:pPr>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r w:rsidRPr="009F63DF">
              <w:rPr>
                <w:rFonts w:eastAsia="Montserrat" w:cs="Arial"/>
                <w:color w:val="000000" w:themeColor="text1"/>
                <w:sz w:val="20"/>
              </w:rPr>
              <w:t xml:space="preserve">Quantity of new project cookstoves added to the activity in year </w:t>
            </w:r>
            <w:r w:rsidRPr="009F63DF">
              <w:rPr>
                <w:rFonts w:eastAsia="Montserrat" w:cs="Arial"/>
                <w:i/>
                <w:iCs/>
                <w:color w:val="000000" w:themeColor="text1"/>
                <w:sz w:val="20"/>
              </w:rPr>
              <w:t>y</w:t>
            </w:r>
          </w:p>
        </w:tc>
      </w:tr>
      <w:tr w:rsidR="00457E2B" w:rsidRPr="009F63DF" w14:paraId="692E3A10"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7922662A" w14:textId="17E8B931" w:rsidR="009F50B7" w:rsidRPr="009F63DF" w:rsidRDefault="009F50B7" w:rsidP="00540956">
            <w:pPr>
              <w:suppressAutoHyphens/>
              <w:jc w:val="left"/>
              <w:rPr>
                <w:rFonts w:cs="Arial"/>
                <w:sz w:val="20"/>
              </w:rPr>
            </w:pPr>
            <w:r w:rsidRPr="009F63DF">
              <w:rPr>
                <w:rFonts w:cs="Arial"/>
                <w:sz w:val="20"/>
              </w:rPr>
              <w:t>Data unit</w:t>
            </w:r>
          </w:p>
        </w:tc>
        <w:tc>
          <w:tcPr>
            <w:tcW w:w="6662" w:type="dxa"/>
            <w:gridSpan w:val="4"/>
          </w:tcPr>
          <w:p w14:paraId="37B656D7" w14:textId="1CD07AAF" w:rsidR="009F50B7" w:rsidRPr="009F63DF" w:rsidRDefault="002E0C46">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eastAsia="Montserrat" w:cs="Arial"/>
                <w:sz w:val="20"/>
              </w:rPr>
              <w:t>Number</w:t>
            </w:r>
          </w:p>
        </w:tc>
      </w:tr>
      <w:tr w:rsidR="00457E2B" w:rsidRPr="009F63DF" w14:paraId="24C9C9C1"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798EBC8E" w14:textId="7A06CC97" w:rsidR="00CF5A68" w:rsidRPr="009F63DF" w:rsidRDefault="00CF5A68" w:rsidP="00540956">
            <w:pPr>
              <w:suppressAutoHyphens/>
              <w:jc w:val="left"/>
              <w:rPr>
                <w:rFonts w:cs="Arial"/>
                <w:sz w:val="20"/>
              </w:rPr>
            </w:pPr>
            <w:r w:rsidRPr="009F63DF">
              <w:rPr>
                <w:rFonts w:cs="Arial"/>
                <w:sz w:val="20"/>
              </w:rPr>
              <w:t>Equations referred</w:t>
            </w:r>
          </w:p>
        </w:tc>
        <w:tc>
          <w:tcPr>
            <w:tcW w:w="6662" w:type="dxa"/>
            <w:gridSpan w:val="4"/>
          </w:tcPr>
          <w:p w14:paraId="73E49F8D" w14:textId="69EDA8D9" w:rsidR="00CF5A68" w:rsidRPr="009F63DF" w:rsidRDefault="00CF5A68">
            <w:pPr>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r w:rsidRPr="009F63DF">
              <w:rPr>
                <w:rFonts w:eastAsia="Montserrat" w:cs="Arial"/>
                <w:sz w:val="20"/>
              </w:rPr>
              <w:t>Equation (</w:t>
            </w:r>
            <w:r w:rsidR="00456CAE">
              <w:rPr>
                <w:rFonts w:eastAsia="Montserrat" w:cs="Arial"/>
                <w:sz w:val="20"/>
              </w:rPr>
              <w:t>26</w:t>
            </w:r>
            <w:r w:rsidRPr="009F63DF">
              <w:rPr>
                <w:rFonts w:eastAsia="Montserrat" w:cs="Arial"/>
                <w:sz w:val="20"/>
              </w:rPr>
              <w:t>)</w:t>
            </w:r>
          </w:p>
        </w:tc>
      </w:tr>
      <w:tr w:rsidR="001D2CAD" w:rsidRPr="009F63DF" w14:paraId="0F3F8D44"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170A5D5E" w14:textId="11AF62CF" w:rsidR="00CF5A68" w:rsidRPr="009F63DF" w:rsidRDefault="00CF5A68" w:rsidP="00540956">
            <w:pPr>
              <w:suppressAutoHyphens/>
              <w:jc w:val="left"/>
              <w:rPr>
                <w:rFonts w:cs="Arial"/>
                <w:sz w:val="20"/>
              </w:rPr>
            </w:pPr>
            <w:r w:rsidRPr="009F63DF">
              <w:rPr>
                <w:rFonts w:cs="Arial"/>
                <w:sz w:val="20"/>
              </w:rPr>
              <w:t>Purpose of data</w:t>
            </w:r>
          </w:p>
        </w:tc>
        <w:tc>
          <w:tcPr>
            <w:tcW w:w="1842" w:type="dxa"/>
            <w:tcBorders>
              <w:right w:val="single" w:sz="4" w:space="0" w:color="FFFFFF" w:themeColor="background1"/>
            </w:tcBorders>
          </w:tcPr>
          <w:p w14:paraId="175B2F5A" w14:textId="4EA63C04" w:rsidR="00CF5A68" w:rsidRPr="009F63DF" w:rsidRDefault="00CF5A68" w:rsidP="00CF5A68">
            <w:pPr>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eastAsia="en-US"/>
              </w:rPr>
              <w:t xml:space="preserve"> Baseline </w:t>
            </w:r>
            <w:r w:rsidR="00DF13E6" w:rsidRPr="009F63DF">
              <w:rPr>
                <w:rFonts w:cs="Arial"/>
                <w:spacing w:val="-2"/>
                <w:sz w:val="20"/>
                <w:lang w:eastAsia="en-US"/>
              </w:rPr>
              <w:t>Scenario</w:t>
            </w:r>
          </w:p>
        </w:tc>
        <w:tc>
          <w:tcPr>
            <w:tcW w:w="1741" w:type="dxa"/>
            <w:gridSpan w:val="2"/>
            <w:tcBorders>
              <w:left w:val="single" w:sz="4" w:space="0" w:color="FFFFFF" w:themeColor="background1"/>
              <w:right w:val="single" w:sz="4" w:space="0" w:color="FFFFFF" w:themeColor="background1"/>
            </w:tcBorders>
          </w:tcPr>
          <w:p w14:paraId="20344905" w14:textId="5A594523" w:rsidR="00CF5A68" w:rsidRPr="009F63DF" w:rsidRDefault="00CF5A68" w:rsidP="00CF5A68">
            <w:pPr>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r w:rsidRPr="009F63DF">
              <w:rPr>
                <w:rFonts w:cs="Arial"/>
                <w:spacing w:val="-2"/>
                <w:sz w:val="20"/>
                <w:shd w:val="clear" w:color="auto" w:fill="E6E6E6"/>
                <w:lang w:eastAsia="en-US"/>
              </w:rPr>
              <w:fldChar w:fldCharType="begin">
                <w:ffData>
                  <w:name w:val="Check2"/>
                  <w:enabled/>
                  <w:calcOnExit w:val="0"/>
                  <w:checkBox>
                    <w:size w:val="20"/>
                    <w:default w:val="0"/>
                  </w:checkBox>
                </w:ffData>
              </w:fldChar>
            </w:r>
            <w:r w:rsidRPr="009F63DF">
              <w:rPr>
                <w:rFonts w:cs="Arial"/>
                <w:spacing w:val="-2"/>
                <w:sz w:val="20"/>
                <w:lang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Pr="009F63DF">
              <w:rPr>
                <w:rFonts w:cs="Arial"/>
                <w:spacing w:val="-2"/>
                <w:sz w:val="20"/>
                <w:lang w:eastAsia="en-US"/>
              </w:rPr>
              <w:t xml:space="preserve"> </w:t>
            </w:r>
            <w:r w:rsidR="006917BB" w:rsidRPr="009F63DF">
              <w:rPr>
                <w:rFonts w:cs="Arial"/>
                <w:spacing w:val="-2"/>
                <w:sz w:val="20"/>
                <w:lang w:eastAsia="en-US"/>
              </w:rPr>
              <w:t>Activity</w:t>
            </w:r>
            <w:r w:rsidRPr="009F63DF">
              <w:rPr>
                <w:rFonts w:cs="Arial"/>
                <w:spacing w:val="-2"/>
                <w:sz w:val="20"/>
                <w:lang w:eastAsia="en-US"/>
              </w:rPr>
              <w:t xml:space="preserve"> </w:t>
            </w:r>
            <w:r w:rsidR="00DF13E6" w:rsidRPr="009F63DF">
              <w:rPr>
                <w:rFonts w:cs="Arial"/>
                <w:spacing w:val="-2"/>
                <w:sz w:val="20"/>
                <w:lang w:eastAsia="en-US"/>
              </w:rPr>
              <w:t>Scenario</w:t>
            </w:r>
          </w:p>
        </w:tc>
        <w:tc>
          <w:tcPr>
            <w:tcW w:w="3079" w:type="dxa"/>
            <w:tcBorders>
              <w:left w:val="single" w:sz="4" w:space="0" w:color="FFFFFF" w:themeColor="background1"/>
            </w:tcBorders>
          </w:tcPr>
          <w:p w14:paraId="03AC9793" w14:textId="12A493CF" w:rsidR="00CF5A68" w:rsidRPr="009F63DF" w:rsidRDefault="00FA5B54" w:rsidP="00CF5A68">
            <w:pPr>
              <w:jc w:val="left"/>
              <w:cnfStyle w:val="000000000000" w:firstRow="0" w:lastRow="0" w:firstColumn="0" w:lastColumn="0" w:oddVBand="0" w:evenVBand="0" w:oddHBand="0" w:evenHBand="0" w:firstRowFirstColumn="0" w:firstRowLastColumn="0" w:lastRowFirstColumn="0" w:lastRowLastColumn="0"/>
              <w:rPr>
                <w:rFonts w:eastAsia="Montserrat" w:cs="Arial"/>
                <w:sz w:val="20"/>
              </w:rPr>
            </w:pPr>
            <w:r w:rsidRPr="009F63DF">
              <w:rPr>
                <w:rFonts w:cs="Arial"/>
                <w:spacing w:val="-2"/>
                <w:sz w:val="20"/>
                <w:shd w:val="clear" w:color="auto" w:fill="E6E6E6"/>
                <w:lang w:eastAsia="en-US"/>
              </w:rPr>
              <w:fldChar w:fldCharType="begin">
                <w:ffData>
                  <w:name w:val=""/>
                  <w:enabled/>
                  <w:calcOnExit w:val="0"/>
                  <w:checkBox>
                    <w:size w:val="20"/>
                    <w:default w:val="1"/>
                  </w:checkBox>
                </w:ffData>
              </w:fldChar>
            </w:r>
            <w:r w:rsidRPr="009F63DF">
              <w:rPr>
                <w:rFonts w:cs="Arial"/>
                <w:spacing w:val="-2"/>
                <w:sz w:val="20"/>
                <w:shd w:val="clear" w:color="auto" w:fill="E6E6E6"/>
                <w:lang w:eastAsia="en-US"/>
              </w:rPr>
              <w:instrText xml:space="preserve"> FORMCHECKBOX </w:instrText>
            </w:r>
            <w:r w:rsidRPr="009F63DF">
              <w:rPr>
                <w:rFonts w:cs="Arial"/>
                <w:spacing w:val="-2"/>
                <w:sz w:val="20"/>
                <w:shd w:val="clear" w:color="auto" w:fill="E6E6E6"/>
                <w:lang w:eastAsia="en-US"/>
              </w:rPr>
            </w:r>
            <w:r w:rsidRPr="009F63DF">
              <w:rPr>
                <w:rFonts w:cs="Arial"/>
                <w:spacing w:val="-2"/>
                <w:sz w:val="20"/>
                <w:shd w:val="clear" w:color="auto" w:fill="E6E6E6"/>
                <w:lang w:eastAsia="en-US"/>
              </w:rPr>
              <w:fldChar w:fldCharType="separate"/>
            </w:r>
            <w:r w:rsidRPr="009F63DF">
              <w:rPr>
                <w:rFonts w:cs="Arial"/>
                <w:spacing w:val="-2"/>
                <w:sz w:val="20"/>
                <w:shd w:val="clear" w:color="auto" w:fill="E6E6E6"/>
                <w:lang w:eastAsia="en-US"/>
              </w:rPr>
              <w:fldChar w:fldCharType="end"/>
            </w:r>
            <w:r w:rsidR="00CF5A68" w:rsidRPr="009F63DF">
              <w:rPr>
                <w:rFonts w:cs="Arial"/>
                <w:spacing w:val="-2"/>
                <w:sz w:val="20"/>
                <w:lang w:eastAsia="en-US"/>
              </w:rPr>
              <w:t xml:space="preserve"> Leakage</w:t>
            </w:r>
          </w:p>
        </w:tc>
      </w:tr>
      <w:tr w:rsidR="00DF13E6" w:rsidRPr="009F63DF" w14:paraId="4C083140"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533E67BE" w14:textId="082FD86F" w:rsidR="00DF13E6" w:rsidRPr="009F63DF" w:rsidRDefault="00DF13E6" w:rsidP="00540956">
            <w:pPr>
              <w:suppressAutoHyphens/>
              <w:jc w:val="left"/>
              <w:rPr>
                <w:rFonts w:cs="Arial"/>
                <w:sz w:val="20"/>
              </w:rPr>
            </w:pPr>
            <w:r w:rsidRPr="009F63DF">
              <w:rPr>
                <w:rFonts w:cs="Arial"/>
                <w:sz w:val="20"/>
              </w:rPr>
              <w:t>Value applied</w:t>
            </w:r>
          </w:p>
        </w:tc>
        <w:tc>
          <w:tcPr>
            <w:tcW w:w="2471" w:type="dxa"/>
            <w:gridSpan w:val="2"/>
            <w:tcBorders>
              <w:right w:val="single" w:sz="4" w:space="0" w:color="FFFFFF" w:themeColor="background1"/>
            </w:tcBorders>
          </w:tcPr>
          <w:p w14:paraId="1C1EC6DB" w14:textId="77777777" w:rsidR="00DF13E6" w:rsidRPr="009F63DF" w:rsidRDefault="00DF13E6"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p>
        </w:tc>
        <w:tc>
          <w:tcPr>
            <w:tcW w:w="1112" w:type="dxa"/>
            <w:tcBorders>
              <w:left w:val="single" w:sz="4" w:space="0" w:color="FFFFFF" w:themeColor="background1"/>
              <w:right w:val="single" w:sz="4" w:space="0" w:color="FFFFFF" w:themeColor="background1"/>
            </w:tcBorders>
          </w:tcPr>
          <w:p w14:paraId="63BF8970" w14:textId="77777777" w:rsidR="00DF13E6" w:rsidRPr="009F63DF" w:rsidRDefault="00DF13E6"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p>
        </w:tc>
        <w:tc>
          <w:tcPr>
            <w:tcW w:w="3079" w:type="dxa"/>
            <w:tcBorders>
              <w:left w:val="single" w:sz="4" w:space="0" w:color="FFFFFF" w:themeColor="background1"/>
            </w:tcBorders>
          </w:tcPr>
          <w:p w14:paraId="46086B46" w14:textId="77777777" w:rsidR="00DF13E6" w:rsidRPr="009F63DF" w:rsidRDefault="00DF13E6"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p>
        </w:tc>
      </w:tr>
      <w:tr w:rsidR="00DF13E6" w:rsidRPr="009F63DF" w14:paraId="3195FCAE"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278D4569" w14:textId="7FDC902E" w:rsidR="00DF13E6" w:rsidRPr="009F63DF" w:rsidRDefault="00DF13E6" w:rsidP="00540956">
            <w:pPr>
              <w:suppressAutoHyphens/>
              <w:jc w:val="left"/>
              <w:rPr>
                <w:rFonts w:cs="Arial"/>
                <w:sz w:val="20"/>
              </w:rPr>
            </w:pPr>
            <w:r w:rsidRPr="009F63DF">
              <w:rPr>
                <w:rFonts w:cs="Arial"/>
                <w:sz w:val="20"/>
              </w:rPr>
              <w:t>Measurement methods and procedures</w:t>
            </w:r>
          </w:p>
        </w:tc>
        <w:tc>
          <w:tcPr>
            <w:tcW w:w="6662" w:type="dxa"/>
            <w:gridSpan w:val="4"/>
          </w:tcPr>
          <w:p w14:paraId="76D702DE" w14:textId="4B943D3B" w:rsidR="00DF13E6" w:rsidRPr="009F63DF" w:rsidRDefault="00DF13E6" w:rsidP="00DF13E6">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cs="Arial"/>
                <w:sz w:val="20"/>
              </w:rPr>
              <w:t>It is the count of new project cookstoves that are included in the Article 6.4 activity database during a year</w:t>
            </w:r>
          </w:p>
        </w:tc>
      </w:tr>
      <w:tr w:rsidR="00457E2B" w:rsidRPr="009F63DF" w14:paraId="1BAB32D9"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045BA44C" w14:textId="59D560DD" w:rsidR="00CF5A68" w:rsidRPr="009F63DF" w:rsidRDefault="00CF5A68" w:rsidP="00540956">
            <w:pPr>
              <w:suppressAutoHyphens/>
              <w:jc w:val="left"/>
              <w:rPr>
                <w:rFonts w:cs="Arial"/>
                <w:sz w:val="20"/>
              </w:rPr>
            </w:pPr>
            <w:r w:rsidRPr="009F63DF">
              <w:rPr>
                <w:rFonts w:cs="Arial"/>
                <w:sz w:val="20"/>
              </w:rPr>
              <w:t>Measurement and updating frequency</w:t>
            </w:r>
          </w:p>
        </w:tc>
        <w:tc>
          <w:tcPr>
            <w:tcW w:w="6662" w:type="dxa"/>
            <w:gridSpan w:val="4"/>
          </w:tcPr>
          <w:p w14:paraId="60A7AD2B" w14:textId="09BDA9C0" w:rsidR="00CF5A68" w:rsidRPr="009F63DF" w:rsidRDefault="00CF5A68"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eastAsia="Montserrat" w:cs="Arial"/>
                <w:sz w:val="20"/>
              </w:rPr>
              <w:t>Annual</w:t>
            </w:r>
          </w:p>
        </w:tc>
      </w:tr>
      <w:tr w:rsidR="00457E2B" w:rsidRPr="009F63DF" w14:paraId="2E519926"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5BEAE28C" w14:textId="6285B8C4" w:rsidR="00CF5A68" w:rsidRPr="009F63DF" w:rsidRDefault="00CF5A68" w:rsidP="00540956">
            <w:pPr>
              <w:suppressAutoHyphens/>
              <w:jc w:val="left"/>
              <w:rPr>
                <w:rFonts w:cs="Arial"/>
                <w:sz w:val="20"/>
              </w:rPr>
            </w:pPr>
            <w:r w:rsidRPr="009F63DF">
              <w:rPr>
                <w:rFonts w:cs="Arial"/>
                <w:sz w:val="20"/>
              </w:rPr>
              <w:t>Entity/person responsible for the measurement</w:t>
            </w:r>
          </w:p>
        </w:tc>
        <w:tc>
          <w:tcPr>
            <w:tcW w:w="6662" w:type="dxa"/>
            <w:gridSpan w:val="4"/>
            <w:shd w:val="clear" w:color="auto" w:fill="FFFFFF" w:themeFill="background1"/>
          </w:tcPr>
          <w:p w14:paraId="5D01EF99" w14:textId="098DE7D3" w:rsidR="00CF5A68" w:rsidRPr="009F63DF" w:rsidRDefault="004408CF" w:rsidP="00CF5A68">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9F63DF">
              <w:rPr>
                <w:rFonts w:cs="Arial"/>
                <w:sz w:val="20"/>
              </w:rPr>
              <w:t>Activity participant</w:t>
            </w:r>
          </w:p>
        </w:tc>
      </w:tr>
      <w:tr w:rsidR="00C95FFE" w:rsidRPr="009F63DF" w14:paraId="1322C27E" w14:textId="77777777" w:rsidTr="00CF5EED">
        <w:trPr>
          <w:trHeight w:val="97"/>
        </w:trPr>
        <w:tc>
          <w:tcPr>
            <w:cnfStyle w:val="001000000000" w:firstRow="0" w:lastRow="0" w:firstColumn="1" w:lastColumn="0" w:oddVBand="0" w:evenVBand="0" w:oddHBand="0" w:evenHBand="0" w:firstRowFirstColumn="0" w:firstRowLastColumn="0" w:lastRowFirstColumn="0" w:lastRowLastColumn="0"/>
            <w:tcW w:w="1867" w:type="dxa"/>
            <w:vMerge w:val="restart"/>
          </w:tcPr>
          <w:p w14:paraId="616A7977" w14:textId="149F17F7" w:rsidR="00C95FFE" w:rsidRPr="009F63DF" w:rsidRDefault="00C95FFE" w:rsidP="00540956">
            <w:pPr>
              <w:suppressAutoHyphens/>
              <w:jc w:val="left"/>
              <w:rPr>
                <w:rFonts w:cs="Arial"/>
                <w:sz w:val="20"/>
              </w:rPr>
            </w:pPr>
            <w:r w:rsidRPr="009F63DF">
              <w:rPr>
                <w:rFonts w:cs="Arial"/>
                <w:sz w:val="20"/>
              </w:rPr>
              <w:t>Measuring instrument(s)</w:t>
            </w:r>
          </w:p>
        </w:tc>
        <w:tc>
          <w:tcPr>
            <w:tcW w:w="2471" w:type="dxa"/>
            <w:gridSpan w:val="2"/>
          </w:tcPr>
          <w:p w14:paraId="0B402F77" w14:textId="4A58AA12" w:rsidR="00C95FFE" w:rsidRPr="009F63DF" w:rsidRDefault="00C95FFE" w:rsidP="00CF5A68">
            <w:pPr>
              <w:jc w:val="left"/>
              <w:cnfStyle w:val="000000000000" w:firstRow="0" w:lastRow="0" w:firstColumn="0" w:lastColumn="0" w:oddVBand="0" w:evenVBand="0" w:oddHBand="0" w:evenHBand="0" w:firstRowFirstColumn="0" w:firstRowLastColumn="0" w:lastRowFirstColumn="0" w:lastRowLastColumn="0"/>
              <w:rPr>
                <w:rFonts w:cs="Arial"/>
                <w:i/>
                <w:sz w:val="20"/>
              </w:rPr>
            </w:pPr>
            <w:r w:rsidRPr="009F63DF">
              <w:rPr>
                <w:rFonts w:cs="Arial"/>
                <w:i/>
                <w:sz w:val="20"/>
              </w:rPr>
              <w:t>Type of instrument</w:t>
            </w:r>
          </w:p>
        </w:tc>
        <w:tc>
          <w:tcPr>
            <w:tcW w:w="4191" w:type="dxa"/>
            <w:gridSpan w:val="2"/>
          </w:tcPr>
          <w:p w14:paraId="4B1C2E23" w14:textId="59AE4397" w:rsidR="00C95FFE" w:rsidRPr="009F63DF" w:rsidRDefault="00C95FFE"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cs="Arial"/>
                <w:spacing w:val="-2"/>
                <w:sz w:val="20"/>
                <w:shd w:val="clear" w:color="auto" w:fill="E6E6E6"/>
                <w:lang w:eastAsia="en-US"/>
              </w:rPr>
              <w:t>N/A</w:t>
            </w:r>
          </w:p>
        </w:tc>
      </w:tr>
      <w:tr w:rsidR="00C95FFE" w:rsidRPr="009F63DF" w14:paraId="58EB3F0B" w14:textId="77777777" w:rsidTr="00CF5EED">
        <w:trPr>
          <w:trHeight w:val="97"/>
        </w:trPr>
        <w:tc>
          <w:tcPr>
            <w:cnfStyle w:val="001000000000" w:firstRow="0" w:lastRow="0" w:firstColumn="1" w:lastColumn="0" w:oddVBand="0" w:evenVBand="0" w:oddHBand="0" w:evenHBand="0" w:firstRowFirstColumn="0" w:firstRowLastColumn="0" w:lastRowFirstColumn="0" w:lastRowLastColumn="0"/>
            <w:tcW w:w="1867" w:type="dxa"/>
            <w:vMerge/>
          </w:tcPr>
          <w:p w14:paraId="69AC501C" w14:textId="77777777" w:rsidR="00C95FFE" w:rsidRPr="009F63DF" w:rsidRDefault="00C95FFE" w:rsidP="00540956">
            <w:pPr>
              <w:suppressAutoHyphens/>
              <w:jc w:val="left"/>
              <w:rPr>
                <w:rFonts w:cs="Arial"/>
                <w:sz w:val="20"/>
              </w:rPr>
            </w:pPr>
          </w:p>
        </w:tc>
        <w:tc>
          <w:tcPr>
            <w:tcW w:w="2471" w:type="dxa"/>
            <w:gridSpan w:val="2"/>
          </w:tcPr>
          <w:p w14:paraId="4B65B58D" w14:textId="527FF819" w:rsidR="00C95FFE" w:rsidRPr="009F63DF" w:rsidRDefault="00C95FFE"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cs="Arial"/>
                <w:i/>
                <w:sz w:val="20"/>
              </w:rPr>
              <w:t>Accuracy class</w:t>
            </w:r>
          </w:p>
        </w:tc>
        <w:tc>
          <w:tcPr>
            <w:tcW w:w="4191" w:type="dxa"/>
            <w:gridSpan w:val="2"/>
          </w:tcPr>
          <w:p w14:paraId="128A2647" w14:textId="50070134" w:rsidR="00C95FFE" w:rsidRPr="009F63DF" w:rsidRDefault="00C95FFE"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cs="Arial"/>
                <w:spacing w:val="-2"/>
                <w:sz w:val="20"/>
                <w:shd w:val="clear" w:color="auto" w:fill="E6E6E6"/>
                <w:lang w:eastAsia="en-US"/>
              </w:rPr>
              <w:t>N/A</w:t>
            </w:r>
          </w:p>
        </w:tc>
      </w:tr>
      <w:tr w:rsidR="00C95FFE" w:rsidRPr="009F63DF" w14:paraId="2A4DA3B3" w14:textId="77777777" w:rsidTr="00CF5EED">
        <w:trPr>
          <w:trHeight w:val="97"/>
        </w:trPr>
        <w:tc>
          <w:tcPr>
            <w:cnfStyle w:val="001000000000" w:firstRow="0" w:lastRow="0" w:firstColumn="1" w:lastColumn="0" w:oddVBand="0" w:evenVBand="0" w:oddHBand="0" w:evenHBand="0" w:firstRowFirstColumn="0" w:firstRowLastColumn="0" w:lastRowFirstColumn="0" w:lastRowLastColumn="0"/>
            <w:tcW w:w="1867" w:type="dxa"/>
            <w:vMerge/>
          </w:tcPr>
          <w:p w14:paraId="53DE6D40" w14:textId="77777777" w:rsidR="00C95FFE" w:rsidRPr="009F63DF" w:rsidRDefault="00C95FFE" w:rsidP="00540956">
            <w:pPr>
              <w:suppressAutoHyphens/>
              <w:jc w:val="left"/>
              <w:rPr>
                <w:rFonts w:cs="Arial"/>
                <w:sz w:val="20"/>
              </w:rPr>
            </w:pPr>
          </w:p>
        </w:tc>
        <w:tc>
          <w:tcPr>
            <w:tcW w:w="2471" w:type="dxa"/>
            <w:gridSpan w:val="2"/>
          </w:tcPr>
          <w:p w14:paraId="01CF8877" w14:textId="125DB8B7" w:rsidR="00C95FFE" w:rsidRPr="009F63DF" w:rsidRDefault="00C95FFE"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cs="Arial"/>
                <w:i/>
                <w:sz w:val="20"/>
              </w:rPr>
              <w:t>Calibration requirements</w:t>
            </w:r>
          </w:p>
        </w:tc>
        <w:tc>
          <w:tcPr>
            <w:tcW w:w="4191" w:type="dxa"/>
            <w:gridSpan w:val="2"/>
          </w:tcPr>
          <w:p w14:paraId="17120B71" w14:textId="4C176714" w:rsidR="00C95FFE" w:rsidRPr="009F63DF" w:rsidRDefault="00C95FFE"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cs="Arial"/>
                <w:spacing w:val="-2"/>
                <w:sz w:val="20"/>
                <w:shd w:val="clear" w:color="auto" w:fill="E6E6E6"/>
                <w:lang w:eastAsia="en-US"/>
              </w:rPr>
              <w:t>N/A</w:t>
            </w:r>
          </w:p>
        </w:tc>
      </w:tr>
      <w:tr w:rsidR="00C95FFE" w:rsidRPr="009F63DF" w14:paraId="25CCF145" w14:textId="77777777" w:rsidTr="00CF5EED">
        <w:trPr>
          <w:trHeight w:val="97"/>
        </w:trPr>
        <w:tc>
          <w:tcPr>
            <w:cnfStyle w:val="001000000000" w:firstRow="0" w:lastRow="0" w:firstColumn="1" w:lastColumn="0" w:oddVBand="0" w:evenVBand="0" w:oddHBand="0" w:evenHBand="0" w:firstRowFirstColumn="0" w:firstRowLastColumn="0" w:lastRowFirstColumn="0" w:lastRowLastColumn="0"/>
            <w:tcW w:w="1867" w:type="dxa"/>
            <w:vMerge/>
          </w:tcPr>
          <w:p w14:paraId="7F8DE5F6" w14:textId="77777777" w:rsidR="00C95FFE" w:rsidRPr="009F63DF" w:rsidRDefault="00C95FFE" w:rsidP="00540956">
            <w:pPr>
              <w:suppressAutoHyphens/>
              <w:jc w:val="left"/>
              <w:rPr>
                <w:rFonts w:cs="Arial"/>
                <w:sz w:val="20"/>
              </w:rPr>
            </w:pPr>
          </w:p>
        </w:tc>
        <w:tc>
          <w:tcPr>
            <w:tcW w:w="2471" w:type="dxa"/>
            <w:gridSpan w:val="2"/>
          </w:tcPr>
          <w:p w14:paraId="5461A8A8" w14:textId="308411F5" w:rsidR="00C95FFE" w:rsidRPr="009F63DF" w:rsidRDefault="00C95FFE"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cs="Arial"/>
                <w:i/>
                <w:sz w:val="20"/>
              </w:rPr>
              <w:t>Location</w:t>
            </w:r>
          </w:p>
        </w:tc>
        <w:tc>
          <w:tcPr>
            <w:tcW w:w="4191" w:type="dxa"/>
            <w:gridSpan w:val="2"/>
          </w:tcPr>
          <w:p w14:paraId="01BC09B4" w14:textId="725190A8" w:rsidR="00C95FFE" w:rsidRPr="009F63DF" w:rsidRDefault="00C95FFE" w:rsidP="00CF5A68">
            <w:pPr>
              <w:jc w:val="left"/>
              <w:cnfStyle w:val="000000000000" w:firstRow="0" w:lastRow="0" w:firstColumn="0" w:lastColumn="0" w:oddVBand="0" w:evenVBand="0" w:oddHBand="0" w:evenHBand="0" w:firstRowFirstColumn="0" w:firstRowLastColumn="0" w:lastRowFirstColumn="0" w:lastRowLastColumn="0"/>
              <w:rPr>
                <w:rFonts w:cs="Arial"/>
                <w:spacing w:val="-2"/>
                <w:sz w:val="20"/>
                <w:shd w:val="clear" w:color="auto" w:fill="E6E6E6"/>
                <w:lang w:eastAsia="en-US"/>
              </w:rPr>
            </w:pPr>
            <w:r w:rsidRPr="009F63DF">
              <w:rPr>
                <w:rFonts w:cs="Arial"/>
                <w:spacing w:val="-2"/>
                <w:sz w:val="20"/>
                <w:shd w:val="clear" w:color="auto" w:fill="E6E6E6"/>
                <w:lang w:eastAsia="en-US"/>
              </w:rPr>
              <w:t>N/A</w:t>
            </w:r>
          </w:p>
        </w:tc>
      </w:tr>
      <w:tr w:rsidR="00457E2B" w:rsidRPr="009F63DF" w:rsidDel="00D81FAA" w14:paraId="4D407AB2"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4ACDBC46" w14:textId="4E7D3D67" w:rsidR="00255479" w:rsidRPr="009F63DF" w:rsidDel="00D81FAA" w:rsidRDefault="00FE73CB" w:rsidP="00540956">
            <w:pPr>
              <w:suppressAutoHyphens/>
              <w:jc w:val="left"/>
              <w:rPr>
                <w:rFonts w:cs="Arial"/>
                <w:sz w:val="20"/>
              </w:rPr>
            </w:pPr>
            <w:r w:rsidRPr="009F63DF">
              <w:rPr>
                <w:rFonts w:cs="Arial"/>
                <w:sz w:val="20"/>
              </w:rPr>
              <w:t>Measurement intervals</w:t>
            </w:r>
          </w:p>
        </w:tc>
        <w:tc>
          <w:tcPr>
            <w:tcW w:w="6662" w:type="dxa"/>
            <w:gridSpan w:val="4"/>
          </w:tcPr>
          <w:p w14:paraId="51BCA631" w14:textId="54E7775C" w:rsidR="00255479" w:rsidRPr="009F63DF" w:rsidDel="00D81FAA" w:rsidRDefault="004408CF">
            <w:pPr>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themeColor="text1"/>
                <w:sz w:val="20"/>
              </w:rPr>
            </w:pPr>
            <w:r w:rsidRPr="009F63DF">
              <w:rPr>
                <w:rFonts w:eastAsia="Montserrat" w:cs="Arial"/>
                <w:color w:val="000000" w:themeColor="text1"/>
                <w:sz w:val="20"/>
              </w:rPr>
              <w:t>Annual</w:t>
            </w:r>
          </w:p>
        </w:tc>
      </w:tr>
      <w:tr w:rsidR="00457E2B" w:rsidRPr="009F63DF" w:rsidDel="00D81FAA" w14:paraId="776D7A26"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2E1E7CF1" w14:textId="35A97481" w:rsidR="00255479" w:rsidRPr="009F63DF" w:rsidDel="00D81FAA" w:rsidRDefault="00FE73CB" w:rsidP="00540956">
            <w:pPr>
              <w:suppressAutoHyphens/>
              <w:jc w:val="left"/>
              <w:rPr>
                <w:rFonts w:cs="Arial"/>
                <w:sz w:val="20"/>
              </w:rPr>
            </w:pPr>
            <w:r w:rsidRPr="009F63DF">
              <w:rPr>
                <w:rFonts w:cs="Arial"/>
                <w:sz w:val="20"/>
              </w:rPr>
              <w:t>QA/QC procedures</w:t>
            </w:r>
          </w:p>
        </w:tc>
        <w:tc>
          <w:tcPr>
            <w:tcW w:w="6662" w:type="dxa"/>
            <w:gridSpan w:val="4"/>
          </w:tcPr>
          <w:p w14:paraId="62ABE498" w14:textId="20828040" w:rsidR="00255479" w:rsidRPr="009F63DF" w:rsidDel="00D81FAA" w:rsidRDefault="008E579E">
            <w:pPr>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themeColor="text1"/>
                <w:sz w:val="20"/>
              </w:rPr>
            </w:pPr>
            <w:r w:rsidRPr="009F63DF">
              <w:rPr>
                <w:rFonts w:cs="Arial"/>
                <w:sz w:val="20"/>
              </w:rPr>
              <w:t>Cross check against household number and waiver certificates or similar</w:t>
            </w:r>
          </w:p>
        </w:tc>
      </w:tr>
      <w:tr w:rsidR="00457E2B" w:rsidRPr="009F63DF" w:rsidDel="00D81FAA" w14:paraId="17796A62"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2C47441D" w14:textId="40E75BC5" w:rsidR="00217E0B" w:rsidRPr="009F63DF" w:rsidDel="00D81FAA" w:rsidRDefault="00FE73CB" w:rsidP="00540956">
            <w:pPr>
              <w:keepNext/>
              <w:suppressAutoHyphens/>
              <w:jc w:val="left"/>
              <w:rPr>
                <w:rFonts w:cs="Arial"/>
                <w:sz w:val="20"/>
              </w:rPr>
            </w:pPr>
            <w:r w:rsidRPr="009F63DF">
              <w:rPr>
                <w:rFonts w:cs="Arial"/>
                <w:sz w:val="20"/>
              </w:rPr>
              <w:t>Treatment of uncertainty</w:t>
            </w:r>
          </w:p>
        </w:tc>
        <w:tc>
          <w:tcPr>
            <w:tcW w:w="6662" w:type="dxa"/>
            <w:gridSpan w:val="4"/>
          </w:tcPr>
          <w:p w14:paraId="450CCF4C" w14:textId="2927E3A6" w:rsidR="00217E0B" w:rsidRPr="00B71ACB" w:rsidDel="00D81FAA" w:rsidRDefault="007126FD" w:rsidP="00B033CE">
            <w:pPr>
              <w:keepNext/>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themeColor="text1"/>
                <w:sz w:val="20"/>
                <w:highlight w:val="yellow"/>
              </w:rPr>
            </w:pPr>
            <w:r w:rsidRPr="009F63DF">
              <w:rPr>
                <w:rFonts w:cs="Arial"/>
                <w:sz w:val="20"/>
                <w:lang w:eastAsia="en-US"/>
              </w:rPr>
              <w:t>Not applicable</w:t>
            </w:r>
          </w:p>
        </w:tc>
      </w:tr>
      <w:tr w:rsidR="00457E2B" w:rsidRPr="009F63DF" w:rsidDel="00D81FAA" w14:paraId="4126A872" w14:textId="77777777" w:rsidTr="00CF5EED">
        <w:tc>
          <w:tcPr>
            <w:cnfStyle w:val="001000000000" w:firstRow="0" w:lastRow="0" w:firstColumn="1" w:lastColumn="0" w:oddVBand="0" w:evenVBand="0" w:oddHBand="0" w:evenHBand="0" w:firstRowFirstColumn="0" w:firstRowLastColumn="0" w:lastRowFirstColumn="0" w:lastRowLastColumn="0"/>
            <w:tcW w:w="1867" w:type="dxa"/>
          </w:tcPr>
          <w:p w14:paraId="687EC5EB" w14:textId="06B8656B" w:rsidR="00217E0B" w:rsidRPr="009F63DF" w:rsidDel="00D81FAA" w:rsidRDefault="00FE73CB" w:rsidP="00540956">
            <w:pPr>
              <w:suppressAutoHyphens/>
              <w:jc w:val="left"/>
              <w:rPr>
                <w:rFonts w:cs="Arial"/>
                <w:sz w:val="20"/>
              </w:rPr>
            </w:pPr>
            <w:r w:rsidRPr="009F63DF">
              <w:rPr>
                <w:rFonts w:cs="Arial"/>
                <w:sz w:val="20"/>
              </w:rPr>
              <w:t>Additional comment</w:t>
            </w:r>
          </w:p>
        </w:tc>
        <w:tc>
          <w:tcPr>
            <w:tcW w:w="6662" w:type="dxa"/>
            <w:gridSpan w:val="4"/>
          </w:tcPr>
          <w:p w14:paraId="627BC44D" w14:textId="7F9618A1" w:rsidR="00217E0B" w:rsidRPr="009F63DF" w:rsidDel="00D81FAA" w:rsidRDefault="004408CF">
            <w:pPr>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themeColor="text1"/>
                <w:sz w:val="20"/>
              </w:rPr>
            </w:pPr>
            <w:r w:rsidRPr="009F63DF">
              <w:rPr>
                <w:rFonts w:eastAsia="Montserrat" w:cs="Arial"/>
                <w:color w:val="000000" w:themeColor="text1"/>
                <w:sz w:val="20"/>
              </w:rPr>
              <w:t>-</w:t>
            </w:r>
          </w:p>
        </w:tc>
      </w:tr>
    </w:tbl>
    <w:p w14:paraId="5FAA3F78" w14:textId="77777777" w:rsidR="00825A01" w:rsidRDefault="00825A01" w:rsidP="00134C3C">
      <w:pPr>
        <w:pStyle w:val="SDMPara"/>
        <w:sectPr w:rsidR="00825A01" w:rsidSect="0016344B">
          <w:headerReference w:type="even" r:id="rId16"/>
          <w:headerReference w:type="default" r:id="rId17"/>
          <w:footerReference w:type="default" r:id="rId18"/>
          <w:headerReference w:type="first" r:id="rId19"/>
          <w:footnotePr>
            <w:numRestart w:val="eachSect"/>
          </w:footnotePr>
          <w:pgSz w:w="11907" w:h="16840" w:code="9"/>
          <w:pgMar w:top="2269" w:right="1134" w:bottom="993" w:left="1418" w:header="851" w:footer="567" w:gutter="0"/>
          <w:cols w:space="720"/>
          <w:formProt w:val="0"/>
          <w:docGrid w:linePitch="299"/>
        </w:sectPr>
      </w:pPr>
    </w:p>
    <w:p w14:paraId="66995365" w14:textId="4D5906BC" w:rsidR="001C2394" w:rsidRPr="001C2394" w:rsidRDefault="003842B8" w:rsidP="00D75603">
      <w:pPr>
        <w:pStyle w:val="SDMAppTitle"/>
      </w:pPr>
      <w:bookmarkStart w:id="813" w:name="_Ref227238512"/>
      <w:bookmarkStart w:id="814" w:name="_Ref227245764"/>
      <w:bookmarkStart w:id="815" w:name="_Toc227677305"/>
      <w:bookmarkStart w:id="816" w:name="_Toc227694827"/>
      <w:bookmarkStart w:id="817" w:name="_Toc227920941"/>
      <w:bookmarkStart w:id="818" w:name="_Toc227938842"/>
      <w:bookmarkStart w:id="819" w:name="_Toc227948093"/>
      <w:bookmarkStart w:id="820" w:name="_Toc233388652"/>
      <w:bookmarkStart w:id="821" w:name="_Toc233961459"/>
      <w:bookmarkStart w:id="822" w:name="_Toc233970268"/>
      <w:bookmarkStart w:id="823" w:name="_Toc240546598"/>
      <w:bookmarkStart w:id="824" w:name="_Toc240631999"/>
      <w:bookmarkStart w:id="825" w:name="_Toc242471184"/>
      <w:r>
        <w:t>Activity</w:t>
      </w:r>
      <w:r w:rsidR="001C2394" w:rsidRPr="001C2394">
        <w:t xml:space="preserve"> information cover sheet</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14:paraId="23213DFB" w14:textId="34DF220B" w:rsidR="001C2394" w:rsidRPr="00776C29" w:rsidRDefault="001C2394" w:rsidP="00AF1AC1">
      <w:pPr>
        <w:pStyle w:val="SDMPara"/>
        <w:numPr>
          <w:ilvl w:val="0"/>
          <w:numId w:val="39"/>
        </w:numPr>
      </w:pPr>
      <w:r w:rsidRPr="00776C29">
        <w:t xml:space="preserve">To be completed at the </w:t>
      </w:r>
      <w:r w:rsidR="002D345E" w:rsidRPr="00776C29">
        <w:t>activity</w:t>
      </w:r>
      <w:r w:rsidRPr="00776C29">
        <w:t xml:space="preserve"> design stage (validation) and updated at time of each verification (highlighting changes from </w:t>
      </w:r>
      <w:r w:rsidR="006E47C6" w:rsidRPr="00776C29">
        <w:t xml:space="preserve">the </w:t>
      </w:r>
      <w:r w:rsidR="008F3F59" w:rsidRPr="00776C29">
        <w:t>most recent version</w:t>
      </w:r>
      <w:r w:rsidRPr="00776C29">
        <w:t>).</w:t>
      </w:r>
    </w:p>
    <w:p w14:paraId="4D539C6D" w14:textId="29F352EF" w:rsidR="001C2394" w:rsidRPr="001C2394" w:rsidRDefault="001C2394" w:rsidP="00655F47">
      <w:pPr>
        <w:pStyle w:val="SDMPara"/>
        <w:keepNext/>
      </w:pPr>
      <w:r w:rsidRPr="001C2394">
        <w:rPr>
          <w:rFonts w:eastAsia="Montserrat"/>
        </w:rPr>
        <w:t xml:space="preserve">Essential </w:t>
      </w:r>
      <w:r w:rsidR="00933C08">
        <w:rPr>
          <w:rFonts w:eastAsia="Montserrat"/>
        </w:rPr>
        <w:t>activity</w:t>
      </w:r>
      <w:r w:rsidR="00933C08" w:rsidRPr="001C2394">
        <w:rPr>
          <w:rFonts w:eastAsia="Montserrat"/>
        </w:rPr>
        <w:t xml:space="preserve"> </w:t>
      </w:r>
      <w:r w:rsidRPr="001C2394">
        <w:rPr>
          <w:rFonts w:eastAsia="Montserrat"/>
        </w:rPr>
        <w:t>information:</w:t>
      </w:r>
    </w:p>
    <w:p w14:paraId="695261E7" w14:textId="68310661" w:rsidR="001C2394" w:rsidRPr="001C2394" w:rsidRDefault="00722771" w:rsidP="00776C29">
      <w:pPr>
        <w:pStyle w:val="SDMSubPara1"/>
      </w:pPr>
      <w:r w:rsidRPr="00B514AD">
        <w:rPr>
          <w:rFonts w:eastAsia="Montserrat"/>
        </w:rPr>
        <w:t>S</w:t>
      </w:r>
      <w:r w:rsidR="001C2394" w:rsidRPr="00B514AD">
        <w:rPr>
          <w:rFonts w:eastAsia="Montserrat"/>
        </w:rPr>
        <w:t>tart date</w:t>
      </w:r>
      <w:r w:rsidRPr="00B514AD">
        <w:rPr>
          <w:rFonts w:eastAsia="Montserrat"/>
        </w:rPr>
        <w:t xml:space="preserve"> of the crediting </w:t>
      </w:r>
      <w:r w:rsidR="00D47C1A" w:rsidRPr="00B514AD">
        <w:rPr>
          <w:rFonts w:eastAsia="Montserrat"/>
        </w:rPr>
        <w:t>period</w:t>
      </w:r>
      <w:r w:rsidR="00EE447A">
        <w:rPr>
          <w:rFonts w:eastAsia="Montserrat"/>
        </w:rPr>
        <w:t>;</w:t>
      </w:r>
    </w:p>
    <w:p w14:paraId="1882C7CB" w14:textId="04717AF3" w:rsidR="001C2394" w:rsidRPr="001C2394" w:rsidRDefault="001C2394" w:rsidP="009D2355">
      <w:pPr>
        <w:pStyle w:val="SDMSubPara1"/>
      </w:pPr>
      <w:r w:rsidRPr="001C2394">
        <w:rPr>
          <w:rFonts w:eastAsia="Montserrat"/>
        </w:rPr>
        <w:t xml:space="preserve">Crediting period end </w:t>
      </w:r>
      <w:r w:rsidR="00D47C1A" w:rsidRPr="001C2394">
        <w:rPr>
          <w:rFonts w:eastAsia="Montserrat"/>
        </w:rPr>
        <w:t>date</w:t>
      </w:r>
      <w:r w:rsidR="00EE447A">
        <w:rPr>
          <w:rFonts w:eastAsia="Montserrat"/>
        </w:rPr>
        <w:t>;</w:t>
      </w:r>
    </w:p>
    <w:p w14:paraId="2482C36D" w14:textId="1273FA07" w:rsidR="001C2394" w:rsidRPr="001C2394" w:rsidRDefault="00FB3ED8" w:rsidP="009D2355">
      <w:pPr>
        <w:pStyle w:val="SDMSubPara1"/>
      </w:pPr>
      <w:r>
        <w:rPr>
          <w:rFonts w:eastAsia="Montserrat"/>
        </w:rPr>
        <w:t xml:space="preserve">Article 6.4 activity </w:t>
      </w:r>
      <w:r w:rsidR="001C2394" w:rsidRPr="001C2394">
        <w:rPr>
          <w:rFonts w:eastAsia="Montserrat"/>
        </w:rPr>
        <w:t>fuel type(s</w:t>
      </w:r>
      <w:r w:rsidR="00D47C1A" w:rsidRPr="001C2394">
        <w:rPr>
          <w:rFonts w:eastAsia="Montserrat"/>
        </w:rPr>
        <w:t>)</w:t>
      </w:r>
      <w:r w:rsidR="00EE447A">
        <w:rPr>
          <w:rFonts w:eastAsia="Montserrat"/>
        </w:rPr>
        <w:t>;</w:t>
      </w:r>
    </w:p>
    <w:p w14:paraId="478FE6F7" w14:textId="1CA6560F" w:rsidR="001C2394" w:rsidRPr="001C2394" w:rsidRDefault="001C2394" w:rsidP="009D2355">
      <w:pPr>
        <w:pStyle w:val="SDMSubPara1"/>
      </w:pPr>
      <w:r w:rsidRPr="001C2394" w:rsidDel="00E223D4">
        <w:rPr>
          <w:rFonts w:eastAsia="Montserrat"/>
        </w:rPr>
        <w:t xml:space="preserve">Project </w:t>
      </w:r>
      <w:r w:rsidR="00FB52A7">
        <w:rPr>
          <w:rFonts w:eastAsia="Montserrat"/>
        </w:rPr>
        <w:t>c</w:t>
      </w:r>
      <w:r w:rsidRPr="001C2394">
        <w:rPr>
          <w:rFonts w:eastAsia="Montserrat"/>
        </w:rPr>
        <w:t>ookstove(s) type(s), model(s)</w:t>
      </w:r>
      <w:r w:rsidR="00E223D4">
        <w:rPr>
          <w:rFonts w:eastAsia="Montserrat"/>
        </w:rPr>
        <w:t xml:space="preserve"> used in the Article 6.4 </w:t>
      </w:r>
      <w:r w:rsidR="00D47C1A">
        <w:rPr>
          <w:rFonts w:eastAsia="Montserrat"/>
        </w:rPr>
        <w:t>activity</w:t>
      </w:r>
      <w:r w:rsidR="00EE447A">
        <w:rPr>
          <w:rFonts w:eastAsia="Montserrat"/>
        </w:rPr>
        <w:t>;</w:t>
      </w:r>
    </w:p>
    <w:p w14:paraId="769C7EAC" w14:textId="669D1313" w:rsidR="001C2394" w:rsidRPr="001C2394" w:rsidRDefault="001C2394" w:rsidP="009D2355">
      <w:pPr>
        <w:pStyle w:val="SDMSubPara1"/>
      </w:pPr>
      <w:r w:rsidRPr="001C2394">
        <w:rPr>
          <w:rFonts w:eastAsia="Montserrat"/>
        </w:rPr>
        <w:t>ISO thermal efficiency(ies)</w:t>
      </w:r>
      <w:r w:rsidR="00E223D4">
        <w:rPr>
          <w:rFonts w:eastAsia="Montserrat"/>
        </w:rPr>
        <w:t xml:space="preserve"> of cookstoves used in the Article 6.4 </w:t>
      </w:r>
      <w:r w:rsidR="00D47C1A">
        <w:rPr>
          <w:rFonts w:eastAsia="Montserrat"/>
        </w:rPr>
        <w:t>activity</w:t>
      </w:r>
      <w:bookmarkStart w:id="826" w:name="_Ref231317637"/>
      <w:r w:rsidR="00EE447A">
        <w:rPr>
          <w:rFonts w:eastAsia="Montserrat"/>
        </w:rPr>
        <w:t>;</w:t>
      </w:r>
      <w:r w:rsidR="00EE447A">
        <w:rPr>
          <w:rStyle w:val="FootnoteReference"/>
          <w:rFonts w:eastAsia="Montserrat"/>
        </w:rPr>
        <w:footnoteReference w:id="44"/>
      </w:r>
      <w:bookmarkEnd w:id="826"/>
    </w:p>
    <w:p w14:paraId="6CB490BB" w14:textId="19D9B11F" w:rsidR="001C2394" w:rsidRPr="001C2394" w:rsidRDefault="001C2394" w:rsidP="009D2355">
      <w:pPr>
        <w:pStyle w:val="SDMSubPara1"/>
      </w:pPr>
      <w:r w:rsidRPr="001C2394">
        <w:rPr>
          <w:rFonts w:eastAsia="Montserrat"/>
        </w:rPr>
        <w:t>ISO tier(s) for PM2.5 emissions (optional</w:t>
      </w:r>
      <w:r w:rsidR="00D47C1A" w:rsidRPr="001C2394">
        <w:rPr>
          <w:rFonts w:eastAsia="Montserrat"/>
        </w:rPr>
        <w:t>)</w:t>
      </w:r>
      <w:r w:rsidR="00EE447A">
        <w:rPr>
          <w:rFonts w:eastAsia="Montserrat"/>
        </w:rPr>
        <w:t>;</w:t>
      </w:r>
      <w:r w:rsidR="00D02DD7" w:rsidRPr="00CC2A4B">
        <w:rPr>
          <w:rFonts w:eastAsia="Montserrat"/>
          <w:vertAlign w:val="superscript"/>
        </w:rPr>
        <w:fldChar w:fldCharType="begin"/>
      </w:r>
      <w:r w:rsidR="00D02DD7" w:rsidRPr="00CC2A4B">
        <w:rPr>
          <w:rFonts w:eastAsia="Montserrat"/>
          <w:vertAlign w:val="superscript"/>
        </w:rPr>
        <w:instrText xml:space="preserve"> NOTEREF _Ref231317637 \h </w:instrText>
      </w:r>
      <w:r w:rsidR="00CC2A4B">
        <w:rPr>
          <w:rFonts w:eastAsia="Montserrat"/>
          <w:vertAlign w:val="superscript"/>
        </w:rPr>
        <w:instrText xml:space="preserve"> \* MERGEFORMAT </w:instrText>
      </w:r>
      <w:r w:rsidR="00D02DD7" w:rsidRPr="00CC2A4B">
        <w:rPr>
          <w:rFonts w:eastAsia="Montserrat"/>
          <w:vertAlign w:val="superscript"/>
        </w:rPr>
      </w:r>
      <w:r w:rsidR="00D02DD7" w:rsidRPr="00CC2A4B">
        <w:rPr>
          <w:rFonts w:eastAsia="Montserrat"/>
          <w:vertAlign w:val="superscript"/>
        </w:rPr>
        <w:fldChar w:fldCharType="separate"/>
      </w:r>
      <w:r w:rsidR="00831DAE">
        <w:rPr>
          <w:rFonts w:eastAsia="Montserrat"/>
          <w:vertAlign w:val="superscript"/>
        </w:rPr>
        <w:t>1</w:t>
      </w:r>
      <w:r w:rsidR="00D02DD7" w:rsidRPr="00CC2A4B">
        <w:rPr>
          <w:rFonts w:eastAsia="Montserrat"/>
          <w:vertAlign w:val="superscript"/>
        </w:rPr>
        <w:fldChar w:fldCharType="end"/>
      </w:r>
    </w:p>
    <w:p w14:paraId="662146B3" w14:textId="1A15C7AF" w:rsidR="001C2394" w:rsidRPr="001C2394" w:rsidRDefault="001C2394" w:rsidP="009D2355">
      <w:pPr>
        <w:pStyle w:val="SDMSubPara1"/>
      </w:pPr>
      <w:r w:rsidRPr="001C2394">
        <w:rPr>
          <w:rFonts w:eastAsia="Montserrat"/>
        </w:rPr>
        <w:t>ISO tier(s) for CO emissions (optional</w:t>
      </w:r>
      <w:r w:rsidR="00D47C1A" w:rsidRPr="001C2394">
        <w:rPr>
          <w:rFonts w:eastAsia="Montserrat"/>
        </w:rPr>
        <w:t>)</w:t>
      </w:r>
      <w:r w:rsidR="00EE447A">
        <w:rPr>
          <w:rFonts w:eastAsia="Montserrat"/>
        </w:rPr>
        <w:t>;</w:t>
      </w:r>
      <w:r w:rsidR="00CC2A4B" w:rsidRPr="00CC2A4B">
        <w:rPr>
          <w:rFonts w:eastAsia="Montserrat"/>
          <w:vertAlign w:val="superscript"/>
        </w:rPr>
        <w:fldChar w:fldCharType="begin"/>
      </w:r>
      <w:r w:rsidR="00CC2A4B" w:rsidRPr="00CC2A4B">
        <w:rPr>
          <w:rFonts w:eastAsia="Montserrat"/>
          <w:vertAlign w:val="superscript"/>
        </w:rPr>
        <w:instrText xml:space="preserve"> NOTEREF _Ref231317637 \h </w:instrText>
      </w:r>
      <w:r w:rsidR="00CC2A4B">
        <w:rPr>
          <w:rFonts w:eastAsia="Montserrat"/>
          <w:vertAlign w:val="superscript"/>
        </w:rPr>
        <w:instrText xml:space="preserve"> \* MERGEFORMAT </w:instrText>
      </w:r>
      <w:r w:rsidR="00CC2A4B" w:rsidRPr="00CC2A4B">
        <w:rPr>
          <w:rFonts w:eastAsia="Montserrat"/>
          <w:vertAlign w:val="superscript"/>
        </w:rPr>
      </w:r>
      <w:r w:rsidR="00CC2A4B" w:rsidRPr="00CC2A4B">
        <w:rPr>
          <w:rFonts w:eastAsia="Montserrat"/>
          <w:vertAlign w:val="superscript"/>
        </w:rPr>
        <w:fldChar w:fldCharType="separate"/>
      </w:r>
      <w:r w:rsidR="00831DAE">
        <w:rPr>
          <w:rFonts w:eastAsia="Montserrat"/>
          <w:vertAlign w:val="superscript"/>
        </w:rPr>
        <w:t>1</w:t>
      </w:r>
      <w:r w:rsidR="00CC2A4B" w:rsidRPr="00CC2A4B">
        <w:rPr>
          <w:rFonts w:eastAsia="Montserrat"/>
          <w:vertAlign w:val="superscript"/>
        </w:rPr>
        <w:fldChar w:fldCharType="end"/>
      </w:r>
    </w:p>
    <w:p w14:paraId="25A2291B" w14:textId="68BE2515" w:rsidR="001C2394" w:rsidRPr="001C2394" w:rsidRDefault="001C2394" w:rsidP="009D2355">
      <w:pPr>
        <w:pStyle w:val="SDMSubPara1"/>
      </w:pPr>
      <w:r w:rsidRPr="001C2394">
        <w:rPr>
          <w:rFonts w:eastAsia="Montserrat"/>
        </w:rPr>
        <w:t xml:space="preserve">Number of </w:t>
      </w:r>
      <w:r w:rsidR="00D47C1A" w:rsidRPr="001C2394">
        <w:rPr>
          <w:rFonts w:eastAsia="Montserrat"/>
        </w:rPr>
        <w:t>households</w:t>
      </w:r>
      <w:r w:rsidR="00EE447A">
        <w:rPr>
          <w:rFonts w:eastAsia="Montserrat"/>
        </w:rPr>
        <w:t>;</w:t>
      </w:r>
    </w:p>
    <w:p w14:paraId="590FAFBF" w14:textId="0CF0D467" w:rsidR="001C2394" w:rsidRPr="001C2394" w:rsidRDefault="001C2394" w:rsidP="009D2355">
      <w:pPr>
        <w:pStyle w:val="SDMSubPara1"/>
      </w:pPr>
      <w:r w:rsidRPr="001C2394">
        <w:rPr>
          <w:rFonts w:eastAsia="Montserrat"/>
        </w:rPr>
        <w:t>Average household size (persons per household, regardless of age or gender</w:t>
      </w:r>
      <w:r w:rsidR="00D47C1A" w:rsidRPr="001C2394">
        <w:rPr>
          <w:rFonts w:eastAsia="Montserrat"/>
        </w:rPr>
        <w:t>)</w:t>
      </w:r>
      <w:r w:rsidR="00EE447A">
        <w:rPr>
          <w:rFonts w:eastAsia="Montserrat"/>
        </w:rPr>
        <w:t>;</w:t>
      </w:r>
    </w:p>
    <w:p w14:paraId="49D62267" w14:textId="434D2E05" w:rsidR="001C2394" w:rsidRPr="00291371" w:rsidRDefault="001C2394" w:rsidP="009D2355">
      <w:pPr>
        <w:pStyle w:val="SDMSubPara1"/>
      </w:pPr>
      <w:r w:rsidRPr="001C2394">
        <w:rPr>
          <w:rFonts w:eastAsia="Montserrat"/>
        </w:rPr>
        <w:t xml:space="preserve">Number of </w:t>
      </w:r>
      <w:r w:rsidR="0034113F">
        <w:rPr>
          <w:rFonts w:eastAsia="Montserrat"/>
        </w:rPr>
        <w:t xml:space="preserve">project </w:t>
      </w:r>
      <w:r w:rsidRPr="001C2394">
        <w:rPr>
          <w:rFonts w:eastAsia="Montserrat"/>
        </w:rPr>
        <w:t>cookstoves of each type</w:t>
      </w:r>
      <w:r w:rsidR="00FB52A7">
        <w:rPr>
          <w:rFonts w:eastAsia="Montserrat"/>
        </w:rPr>
        <w:t xml:space="preserve"> distributed during the crediting </w:t>
      </w:r>
      <w:r w:rsidR="00D47C1A">
        <w:rPr>
          <w:rFonts w:eastAsia="Montserrat"/>
        </w:rPr>
        <w:t>period</w:t>
      </w:r>
      <w:r w:rsidR="00EE447A">
        <w:rPr>
          <w:rFonts w:eastAsia="Montserrat"/>
        </w:rPr>
        <w:t>;</w:t>
      </w:r>
    </w:p>
    <w:p w14:paraId="45C92FB3" w14:textId="1633CA89" w:rsidR="00CE1C88" w:rsidRPr="00291371" w:rsidRDefault="00CE1C88" w:rsidP="009D2355">
      <w:pPr>
        <w:pStyle w:val="SDMSubPara1"/>
      </w:pPr>
      <w:r w:rsidRPr="00291371">
        <w:rPr>
          <w:rFonts w:eastAsia="Montserrat"/>
        </w:rPr>
        <w:t xml:space="preserve">Geographical </w:t>
      </w:r>
      <w:r w:rsidR="004D5426" w:rsidRPr="00291371">
        <w:rPr>
          <w:rFonts w:eastAsia="Montserrat"/>
        </w:rPr>
        <w:t>boundary (stoves</w:t>
      </w:r>
      <w:r w:rsidR="00D47C1A" w:rsidRPr="00291371">
        <w:rPr>
          <w:rFonts w:eastAsia="Montserrat"/>
        </w:rPr>
        <w:t>)</w:t>
      </w:r>
      <w:r w:rsidR="00EE447A">
        <w:rPr>
          <w:rFonts w:eastAsia="Montserrat"/>
        </w:rPr>
        <w:t>;</w:t>
      </w:r>
    </w:p>
    <w:p w14:paraId="409B88BE" w14:textId="493CF9F4" w:rsidR="008F3F59" w:rsidRPr="00291371" w:rsidRDefault="008F3F59" w:rsidP="009D2355">
      <w:pPr>
        <w:pStyle w:val="SDMSubPara1"/>
      </w:pPr>
      <w:r w:rsidRPr="00291371">
        <w:rPr>
          <w:rFonts w:eastAsia="Montserrat"/>
        </w:rPr>
        <w:t>Geographical boundary (fuel</w:t>
      </w:r>
      <w:r w:rsidR="00D47C1A" w:rsidRPr="00291371">
        <w:rPr>
          <w:rFonts w:eastAsia="Montserrat"/>
        </w:rPr>
        <w:t>)</w:t>
      </w:r>
      <w:r w:rsidR="00EE447A">
        <w:rPr>
          <w:rFonts w:eastAsia="Montserrat"/>
        </w:rPr>
        <w:t>;</w:t>
      </w:r>
    </w:p>
    <w:p w14:paraId="36F2B876" w14:textId="5700B57A" w:rsidR="001C2394" w:rsidRPr="001C2394" w:rsidRDefault="00893A1D" w:rsidP="009D2355">
      <w:pPr>
        <w:pStyle w:val="SDMSubPara1"/>
      </w:pPr>
      <w:r>
        <w:rPr>
          <w:rFonts w:eastAsia="Montserrat"/>
        </w:rPr>
        <w:t xml:space="preserve">Expected (ex-ante) or achieved (ex-post) </w:t>
      </w:r>
      <w:r w:rsidR="009702D9">
        <w:rPr>
          <w:rFonts w:eastAsia="Montserrat"/>
        </w:rPr>
        <w:t xml:space="preserve">gross </w:t>
      </w:r>
      <w:r w:rsidR="001C2394" w:rsidRPr="001C2394">
        <w:rPr>
          <w:rFonts w:eastAsia="Montserrat"/>
        </w:rPr>
        <w:t>CO</w:t>
      </w:r>
      <w:r w:rsidR="001C2394" w:rsidRPr="001C2394">
        <w:rPr>
          <w:rFonts w:eastAsia="Montserrat"/>
          <w:vertAlign w:val="subscript"/>
        </w:rPr>
        <w:t>2</w:t>
      </w:r>
      <w:r w:rsidR="00E9433E">
        <w:rPr>
          <w:rFonts w:eastAsia="Montserrat"/>
        </w:rPr>
        <w:t xml:space="preserve"> eq</w:t>
      </w:r>
      <w:r w:rsidR="001C2394" w:rsidRPr="001C2394">
        <w:rPr>
          <w:rFonts w:eastAsia="Montserrat"/>
        </w:rPr>
        <w:t xml:space="preserve"> emission reductions (per household</w:t>
      </w:r>
      <w:r w:rsidR="00D47C1A" w:rsidRPr="001C2394">
        <w:rPr>
          <w:rFonts w:eastAsia="Montserrat"/>
        </w:rPr>
        <w:t>)</w:t>
      </w:r>
      <w:r w:rsidR="00EE447A">
        <w:rPr>
          <w:rFonts w:eastAsia="Montserrat"/>
        </w:rPr>
        <w:t>;</w:t>
      </w:r>
    </w:p>
    <w:p w14:paraId="189B680D" w14:textId="3BFC474F" w:rsidR="001C2394" w:rsidRPr="001C2394" w:rsidRDefault="001C2394" w:rsidP="009D2355">
      <w:pPr>
        <w:pStyle w:val="SDMSubPara1"/>
      </w:pPr>
      <w:r w:rsidRPr="001C2394">
        <w:rPr>
          <w:rFonts w:eastAsia="Montserrat"/>
        </w:rPr>
        <w:t>Calculation sheet publicly available? (Y/N</w:t>
      </w:r>
      <w:r w:rsidR="00D47C1A" w:rsidRPr="001C2394">
        <w:rPr>
          <w:rFonts w:eastAsia="Montserrat"/>
        </w:rPr>
        <w:t>)</w:t>
      </w:r>
      <w:r w:rsidR="00EE447A">
        <w:rPr>
          <w:rFonts w:eastAsia="Montserrat"/>
        </w:rPr>
        <w:t>.</w:t>
      </w:r>
    </w:p>
    <w:p w14:paraId="1CF384C1" w14:textId="77777777" w:rsidR="001C2394" w:rsidRPr="001C2394" w:rsidRDefault="001C2394" w:rsidP="00655F47">
      <w:pPr>
        <w:pStyle w:val="SDMPara"/>
        <w:keepNext/>
      </w:pPr>
      <w:r w:rsidRPr="001C2394">
        <w:rPr>
          <w:rFonts w:eastAsia="Montserrat"/>
        </w:rPr>
        <w:t>Emissions reduction information:</w:t>
      </w:r>
    </w:p>
    <w:p w14:paraId="55320A60" w14:textId="19910DD9" w:rsidR="00D12676" w:rsidRPr="001C2394" w:rsidRDefault="00D12676" w:rsidP="009D2355">
      <w:pPr>
        <w:pStyle w:val="SDMSubPara1"/>
      </w:pPr>
      <w:r>
        <w:rPr>
          <w:rFonts w:eastAsia="Montserrat"/>
        </w:rPr>
        <w:t>Primary</w:t>
      </w:r>
      <w:r w:rsidRPr="001C2394">
        <w:rPr>
          <w:rFonts w:eastAsia="Montserrat"/>
        </w:rPr>
        <w:t xml:space="preserve"> fuel type(s)</w:t>
      </w:r>
      <w:r>
        <w:rPr>
          <w:rFonts w:eastAsia="Montserrat"/>
        </w:rPr>
        <w:t xml:space="preserve"> identified in the pre-activity </w:t>
      </w:r>
      <w:r w:rsidR="00D47C1A">
        <w:rPr>
          <w:rFonts w:eastAsia="Montserrat"/>
        </w:rPr>
        <w:t>scenario</w:t>
      </w:r>
      <w:r w:rsidR="00EE447A">
        <w:rPr>
          <w:rFonts w:eastAsia="Montserrat"/>
        </w:rPr>
        <w:t>;</w:t>
      </w:r>
    </w:p>
    <w:p w14:paraId="3A7F168D" w14:textId="1176E5A7" w:rsidR="008F3F59" w:rsidRPr="001C2394" w:rsidRDefault="008F3F59" w:rsidP="009D2355">
      <w:pPr>
        <w:pStyle w:val="SDMSubPara1"/>
      </w:pPr>
      <w:r>
        <w:rPr>
          <w:rFonts w:eastAsia="Montserrat"/>
        </w:rPr>
        <w:t xml:space="preserve">Secondary </w:t>
      </w:r>
      <w:r w:rsidRPr="001C2394">
        <w:rPr>
          <w:rFonts w:eastAsia="Montserrat"/>
        </w:rPr>
        <w:t>fuel type(s)</w:t>
      </w:r>
      <w:r>
        <w:rPr>
          <w:rFonts w:eastAsia="Montserrat"/>
        </w:rPr>
        <w:t xml:space="preserve"> identified in the pre-activity </w:t>
      </w:r>
      <w:r w:rsidR="00D47C1A">
        <w:rPr>
          <w:rFonts w:eastAsia="Montserrat"/>
        </w:rPr>
        <w:t>scenario</w:t>
      </w:r>
      <w:r w:rsidR="00EE447A">
        <w:rPr>
          <w:rFonts w:eastAsia="Montserrat"/>
        </w:rPr>
        <w:t>;</w:t>
      </w:r>
    </w:p>
    <w:p w14:paraId="4538A546" w14:textId="6BD324D5" w:rsidR="001C2394" w:rsidRPr="001C2394" w:rsidRDefault="001C2394" w:rsidP="009D2355">
      <w:pPr>
        <w:pStyle w:val="SDMSubPara1"/>
      </w:pPr>
      <w:r w:rsidRPr="001C2394">
        <w:rPr>
          <w:rFonts w:eastAsia="Montserrat"/>
        </w:rPr>
        <w:t>Baseline fuel consumption approach (</w:t>
      </w:r>
      <w:r w:rsidR="009B0447">
        <w:rPr>
          <w:rFonts w:eastAsia="Montserrat"/>
        </w:rPr>
        <w:t xml:space="preserve">e.g., </w:t>
      </w:r>
      <w:r w:rsidRPr="001C2394">
        <w:rPr>
          <w:rFonts w:eastAsia="Montserrat"/>
        </w:rPr>
        <w:t>default</w:t>
      </w:r>
      <w:r w:rsidR="00D47C1A" w:rsidRPr="001C2394">
        <w:rPr>
          <w:rFonts w:eastAsia="Montserrat"/>
        </w:rPr>
        <w:t>)</w:t>
      </w:r>
      <w:r w:rsidR="00EE447A">
        <w:rPr>
          <w:rFonts w:eastAsia="Montserrat"/>
        </w:rPr>
        <w:t>;</w:t>
      </w:r>
    </w:p>
    <w:p w14:paraId="29293B02" w14:textId="09B21FE6" w:rsidR="001C2394" w:rsidRPr="001C2394" w:rsidRDefault="001C2394" w:rsidP="009D2355">
      <w:pPr>
        <w:pStyle w:val="SDMSubPara1"/>
      </w:pPr>
      <w:r w:rsidRPr="001C2394">
        <w:rPr>
          <w:rFonts w:eastAsia="Montserrat"/>
        </w:rPr>
        <w:t xml:space="preserve">Baseline fuel consumption </w:t>
      </w:r>
      <w:r w:rsidR="00D47C1A" w:rsidRPr="001C2394">
        <w:rPr>
          <w:rFonts w:eastAsia="Montserrat"/>
        </w:rPr>
        <w:t>value</w:t>
      </w:r>
      <w:r w:rsidR="00EE447A">
        <w:rPr>
          <w:rFonts w:eastAsia="Montserrat"/>
        </w:rPr>
        <w:t>;</w:t>
      </w:r>
    </w:p>
    <w:p w14:paraId="2615CD2D" w14:textId="6F9E4FF7" w:rsidR="002A1E74" w:rsidRPr="00A74479" w:rsidRDefault="002A1E74" w:rsidP="002A1E74">
      <w:pPr>
        <w:pStyle w:val="SDMSubPara1"/>
      </w:pPr>
      <w:r w:rsidRPr="00A74479">
        <w:rPr>
          <w:rFonts w:eastAsia="Montserrat"/>
        </w:rPr>
        <w:t xml:space="preserve">Article 6.4 </w:t>
      </w:r>
      <w:r w:rsidR="00B125B5">
        <w:rPr>
          <w:rFonts w:eastAsia="Montserrat"/>
        </w:rPr>
        <w:t xml:space="preserve">activity </w:t>
      </w:r>
      <w:r>
        <w:rPr>
          <w:rFonts w:eastAsia="Montserrat"/>
        </w:rPr>
        <w:t>stove usage</w:t>
      </w:r>
      <w:r w:rsidRPr="00A74479">
        <w:rPr>
          <w:rFonts w:eastAsia="Montserrat"/>
        </w:rPr>
        <w:t xml:space="preserve"> monitoring approach (</w:t>
      </w:r>
      <w:r>
        <w:rPr>
          <w:rFonts w:eastAsia="Montserrat"/>
        </w:rPr>
        <w:t>Survey</w:t>
      </w:r>
      <w:r w:rsidRPr="00A74479">
        <w:rPr>
          <w:rFonts w:eastAsia="Montserrat"/>
        </w:rPr>
        <w:t xml:space="preserve"> or</w:t>
      </w:r>
      <w:r>
        <w:rPr>
          <w:rFonts w:eastAsia="Montserrat"/>
        </w:rPr>
        <w:t xml:space="preserve"> </w:t>
      </w:r>
      <w:r w:rsidRPr="00A74479">
        <w:rPr>
          <w:rFonts w:eastAsia="Montserrat"/>
        </w:rPr>
        <w:t>SUMs</w:t>
      </w:r>
      <w:r>
        <w:rPr>
          <w:rFonts w:eastAsia="Montserrat"/>
        </w:rPr>
        <w:t>+Survey</w:t>
      </w:r>
      <w:r w:rsidRPr="00A74479">
        <w:rPr>
          <w:rFonts w:eastAsia="Montserrat"/>
        </w:rPr>
        <w:t>)</w:t>
      </w:r>
      <w:r w:rsidR="00EE447A">
        <w:rPr>
          <w:rFonts w:eastAsia="Montserrat"/>
        </w:rPr>
        <w:t>;</w:t>
      </w:r>
    </w:p>
    <w:p w14:paraId="4E972A29" w14:textId="5D2AA378" w:rsidR="00C83B86" w:rsidRPr="00A74479" w:rsidRDefault="00C83B86" w:rsidP="00C83B86">
      <w:pPr>
        <w:pStyle w:val="SDMSubPara1"/>
      </w:pPr>
      <w:r w:rsidRPr="00A74479">
        <w:rPr>
          <w:rFonts w:eastAsia="Montserrat"/>
        </w:rPr>
        <w:t>Third party used for Usage survey? (Y/N)</w:t>
      </w:r>
      <w:r w:rsidR="00EE447A">
        <w:rPr>
          <w:rFonts w:eastAsia="Montserrat"/>
        </w:rPr>
        <w:t>;</w:t>
      </w:r>
    </w:p>
    <w:p w14:paraId="183934D3" w14:textId="4963519B" w:rsidR="00C83B86" w:rsidRPr="001C2394" w:rsidRDefault="00C83B86" w:rsidP="00C83B86">
      <w:pPr>
        <w:pStyle w:val="SDMSubPara1"/>
      </w:pPr>
      <w:r w:rsidRPr="001C2394">
        <w:rPr>
          <w:rFonts w:eastAsia="Montserrat"/>
        </w:rPr>
        <w:t>Number of households sampled for SUMs</w:t>
      </w:r>
      <w:r>
        <w:rPr>
          <w:rFonts w:eastAsia="Montserrat"/>
        </w:rPr>
        <w:t xml:space="preserve"> (for usage</w:t>
      </w:r>
      <w:r w:rsidR="00F37FFB">
        <w:rPr>
          <w:rFonts w:eastAsia="Montserrat"/>
        </w:rPr>
        <w:t>)</w:t>
      </w:r>
      <w:r w:rsidR="00EE447A">
        <w:rPr>
          <w:rFonts w:eastAsia="Montserrat"/>
        </w:rPr>
        <w:t>;</w:t>
      </w:r>
    </w:p>
    <w:p w14:paraId="2DC987A1" w14:textId="67588B57" w:rsidR="001C2394" w:rsidRPr="00A74479" w:rsidRDefault="00E223D4" w:rsidP="009D2355">
      <w:pPr>
        <w:pStyle w:val="SDMSubPara1"/>
      </w:pPr>
      <w:r w:rsidRPr="00A74479">
        <w:rPr>
          <w:rFonts w:eastAsia="Montserrat"/>
        </w:rPr>
        <w:t xml:space="preserve">Article 6.4 activity </w:t>
      </w:r>
      <w:r w:rsidR="001C2394" w:rsidRPr="00A74479">
        <w:rPr>
          <w:rFonts w:eastAsia="Montserrat"/>
        </w:rPr>
        <w:t>monitoring approach (KPT or KPT+SUMs)</w:t>
      </w:r>
      <w:r w:rsidR="00EE447A">
        <w:rPr>
          <w:rFonts w:eastAsia="Montserrat"/>
        </w:rPr>
        <w:t>;</w:t>
      </w:r>
    </w:p>
    <w:p w14:paraId="27650567" w14:textId="77777777" w:rsidR="001C2394" w:rsidRPr="001C2394" w:rsidRDefault="001C2394" w:rsidP="009D2355">
      <w:pPr>
        <w:pStyle w:val="SDMSubPara1"/>
      </w:pPr>
      <w:r w:rsidRPr="001C2394">
        <w:rPr>
          <w:rFonts w:eastAsia="Montserrat"/>
        </w:rPr>
        <w:t>Third party used for KPTs? (Y/N);</w:t>
      </w:r>
    </w:p>
    <w:p w14:paraId="698D190E" w14:textId="77777777" w:rsidR="001C2394" w:rsidRPr="001C2394" w:rsidRDefault="001C2394" w:rsidP="009D2355">
      <w:pPr>
        <w:pStyle w:val="SDMSubPara1"/>
      </w:pPr>
      <w:r w:rsidRPr="001C2394">
        <w:rPr>
          <w:rFonts w:eastAsia="Montserrat"/>
        </w:rPr>
        <w:t>Number of households sampled for KPT;</w:t>
      </w:r>
    </w:p>
    <w:p w14:paraId="650729B7" w14:textId="013D1DE6" w:rsidR="001C2394" w:rsidRPr="001C2394" w:rsidRDefault="001C2394" w:rsidP="009D2355">
      <w:pPr>
        <w:pStyle w:val="SDMSubPara1"/>
      </w:pPr>
      <w:r w:rsidRPr="001C2394">
        <w:rPr>
          <w:rFonts w:eastAsia="Montserrat"/>
        </w:rPr>
        <w:t>Number of households sampled for SUMs</w:t>
      </w:r>
      <w:r w:rsidR="008A2303">
        <w:rPr>
          <w:rFonts w:eastAsia="Montserrat"/>
        </w:rPr>
        <w:t xml:space="preserve"> (for </w:t>
      </w:r>
      <w:r w:rsidR="006B68A3">
        <w:rPr>
          <w:rFonts w:eastAsia="Montserrat"/>
        </w:rPr>
        <w:t>Hawthorne effect</w:t>
      </w:r>
      <w:r w:rsidR="008A2303">
        <w:rPr>
          <w:rFonts w:eastAsia="Montserrat"/>
        </w:rPr>
        <w:t>)</w:t>
      </w:r>
      <w:r w:rsidRPr="001C2394">
        <w:rPr>
          <w:rFonts w:eastAsia="Montserrat"/>
        </w:rPr>
        <w:t>;</w:t>
      </w:r>
    </w:p>
    <w:p w14:paraId="2F7FA5E6" w14:textId="77777777" w:rsidR="004D5426" w:rsidRPr="001C2394" w:rsidRDefault="004D5426" w:rsidP="009D2355">
      <w:pPr>
        <w:pStyle w:val="SDMSubPara1"/>
      </w:pPr>
      <w:r w:rsidRPr="001C2394">
        <w:rPr>
          <w:rFonts w:eastAsia="Montserrat"/>
          <w:iCs/>
        </w:rPr>
        <w:t>fNRB value;</w:t>
      </w:r>
    </w:p>
    <w:p w14:paraId="5ED84671" w14:textId="04F96E78" w:rsidR="001C2394" w:rsidRPr="001C2394" w:rsidRDefault="004D5426" w:rsidP="009D2355">
      <w:pPr>
        <w:pStyle w:val="SDMSubPara1"/>
      </w:pPr>
      <w:r>
        <w:rPr>
          <w:rFonts w:eastAsia="Montserrat"/>
          <w:iCs/>
        </w:rPr>
        <w:t xml:space="preserve">Geographical boundary used to determine the </w:t>
      </w:r>
      <w:r w:rsidR="001C2394" w:rsidRPr="001C2394">
        <w:rPr>
          <w:rFonts w:eastAsia="Montserrat"/>
          <w:iCs/>
        </w:rPr>
        <w:t xml:space="preserve">fNRB </w:t>
      </w:r>
      <w:r w:rsidR="00F94858">
        <w:rPr>
          <w:rFonts w:eastAsia="Montserrat"/>
          <w:iCs/>
        </w:rPr>
        <w:t>value</w:t>
      </w:r>
      <w:r w:rsidR="00EE447A">
        <w:rPr>
          <w:rFonts w:eastAsia="Montserrat"/>
          <w:iCs/>
        </w:rPr>
        <w:t>;</w:t>
      </w:r>
    </w:p>
    <w:p w14:paraId="4149D6AD" w14:textId="77777777" w:rsidR="001C2394" w:rsidRPr="001C2394" w:rsidRDefault="001C2394" w:rsidP="00655F47">
      <w:pPr>
        <w:pStyle w:val="SDMSubPara1"/>
        <w:keepNext/>
      </w:pPr>
      <w:r w:rsidRPr="001C2394">
        <w:rPr>
          <w:rFonts w:eastAsia="Montserrat"/>
          <w:iCs/>
        </w:rPr>
        <w:t>Details on customer support activities provided</w:t>
      </w:r>
      <w:r w:rsidRPr="001C2394">
        <w:t>:</w:t>
      </w:r>
    </w:p>
    <w:p w14:paraId="48BD8D9A" w14:textId="234E179F" w:rsidR="001C2394" w:rsidRPr="001C2394" w:rsidRDefault="001C2394" w:rsidP="00776C29">
      <w:pPr>
        <w:pStyle w:val="SDMSubPara2"/>
      </w:pPr>
      <w:r w:rsidRPr="00B377A8">
        <w:rPr>
          <w:rFonts w:eastAsia="Montserrat"/>
        </w:rPr>
        <w:t xml:space="preserve">Demonstration that the </w:t>
      </w:r>
      <w:r w:rsidR="00B1425A">
        <w:rPr>
          <w:rFonts w:eastAsia="Montserrat"/>
        </w:rPr>
        <w:t xml:space="preserve">Article 6.4 </w:t>
      </w:r>
      <w:r w:rsidR="008441D2">
        <w:rPr>
          <w:rFonts w:eastAsia="Montserrat"/>
        </w:rPr>
        <w:t>activity</w:t>
      </w:r>
      <w:r w:rsidRPr="00B377A8">
        <w:rPr>
          <w:rFonts w:eastAsia="Montserrat"/>
        </w:rPr>
        <w:t xml:space="preserve"> has selected technologies and fuels that meet the cooking needs of the target population;</w:t>
      </w:r>
    </w:p>
    <w:p w14:paraId="2AEE3639" w14:textId="17D683AD" w:rsidR="001C2394" w:rsidRPr="00611EFC" w:rsidRDefault="008441D2" w:rsidP="009D2355">
      <w:pPr>
        <w:pStyle w:val="SDMSubPara2"/>
        <w:rPr>
          <w:rFonts w:eastAsia="Montserrat"/>
        </w:rPr>
      </w:pPr>
      <w:r>
        <w:rPr>
          <w:rFonts w:eastAsia="Montserrat"/>
        </w:rPr>
        <w:t>Activity</w:t>
      </w:r>
      <w:r w:rsidR="001C2394" w:rsidRPr="001C2394">
        <w:rPr>
          <w:rFonts w:eastAsia="Montserrat"/>
        </w:rPr>
        <w:t xml:space="preserve"> participant operations and maintenance support activities;</w:t>
      </w:r>
    </w:p>
    <w:p w14:paraId="0FA2E40E" w14:textId="056B597B" w:rsidR="001C2394" w:rsidRPr="00611EFC" w:rsidRDefault="00B1425A" w:rsidP="009D2355">
      <w:pPr>
        <w:pStyle w:val="SDMSubPara2"/>
        <w:rPr>
          <w:rFonts w:eastAsia="Montserrat"/>
        </w:rPr>
      </w:pPr>
      <w:r>
        <w:rPr>
          <w:rFonts w:eastAsia="Montserrat"/>
        </w:rPr>
        <w:t xml:space="preserve">Availability </w:t>
      </w:r>
      <w:r w:rsidR="00EC628C">
        <w:rPr>
          <w:rFonts w:eastAsia="Montserrat"/>
        </w:rPr>
        <w:t xml:space="preserve">and use </w:t>
      </w:r>
      <w:r>
        <w:rPr>
          <w:rFonts w:eastAsia="Montserrat"/>
        </w:rPr>
        <w:t>of s</w:t>
      </w:r>
      <w:r w:rsidR="001C2394" w:rsidRPr="001C2394">
        <w:rPr>
          <w:rFonts w:eastAsia="Montserrat"/>
        </w:rPr>
        <w:t xml:space="preserve">upport communication channels to </w:t>
      </w:r>
      <w:r w:rsidR="00AF56DF">
        <w:rPr>
          <w:rFonts w:eastAsia="Montserrat"/>
        </w:rPr>
        <w:t>households</w:t>
      </w:r>
      <w:r>
        <w:rPr>
          <w:rFonts w:eastAsia="Montserrat"/>
        </w:rPr>
        <w:t xml:space="preserve"> participating in th</w:t>
      </w:r>
      <w:r w:rsidR="009575C4">
        <w:rPr>
          <w:rFonts w:eastAsia="Montserrat"/>
        </w:rPr>
        <w:t>e</w:t>
      </w:r>
      <w:r>
        <w:rPr>
          <w:rFonts w:eastAsia="Montserrat"/>
        </w:rPr>
        <w:t xml:space="preserve"> Article 6.4 activity</w:t>
      </w:r>
      <w:r w:rsidR="001C2394" w:rsidRPr="001C2394">
        <w:rPr>
          <w:rFonts w:eastAsia="Montserrat"/>
        </w:rPr>
        <w:t>.</w:t>
      </w:r>
    </w:p>
    <w:p w14:paraId="77139B2A" w14:textId="6B6FD669" w:rsidR="001C2394" w:rsidRPr="001C2394" w:rsidRDefault="001C2394" w:rsidP="00655F47">
      <w:pPr>
        <w:pStyle w:val="SDMPara"/>
        <w:keepNext/>
      </w:pPr>
      <w:r w:rsidRPr="001C2394">
        <w:rPr>
          <w:rFonts w:eastAsia="Montserrat"/>
        </w:rPr>
        <w:t xml:space="preserve">How seasonality is addressed in the </w:t>
      </w:r>
      <w:r w:rsidR="00B1425A">
        <w:rPr>
          <w:rFonts w:eastAsia="Montserrat"/>
        </w:rPr>
        <w:t>Article 6.4 activity</w:t>
      </w:r>
      <w:r w:rsidR="00B1425A" w:rsidRPr="001C2394">
        <w:rPr>
          <w:rFonts w:eastAsia="Montserrat"/>
        </w:rPr>
        <w:t xml:space="preserve"> </w:t>
      </w:r>
      <w:r w:rsidRPr="001C2394">
        <w:rPr>
          <w:rFonts w:eastAsia="Montserrat"/>
        </w:rPr>
        <w:t>monitoring plan:</w:t>
      </w:r>
    </w:p>
    <w:p w14:paraId="46348F4C" w14:textId="3294C5C5" w:rsidR="001C2394" w:rsidRPr="001C2394" w:rsidRDefault="001C2394" w:rsidP="009D2355">
      <w:pPr>
        <w:pStyle w:val="SDMSubPara1"/>
      </w:pPr>
      <w:r w:rsidRPr="001C2394">
        <w:rPr>
          <w:rFonts w:eastAsia="Montserrat"/>
        </w:rPr>
        <w:t xml:space="preserve">Justification for how this approach will result in accurate </w:t>
      </w:r>
      <w:r w:rsidR="00B1425A">
        <w:rPr>
          <w:rFonts w:eastAsia="Montserrat"/>
        </w:rPr>
        <w:t>Article 6.4 activity</w:t>
      </w:r>
      <w:r w:rsidR="00B1425A" w:rsidRPr="001C2394">
        <w:rPr>
          <w:rFonts w:eastAsia="Montserrat"/>
        </w:rPr>
        <w:t xml:space="preserve"> </w:t>
      </w:r>
      <w:r w:rsidR="0080763D">
        <w:rPr>
          <w:rFonts w:eastAsia="Montserrat"/>
        </w:rPr>
        <w:t>emission reduction calculations</w:t>
      </w:r>
      <w:r w:rsidRPr="001C2394">
        <w:rPr>
          <w:rFonts w:eastAsia="Montserrat"/>
        </w:rPr>
        <w:t>;</w:t>
      </w:r>
    </w:p>
    <w:p w14:paraId="696A25F5" w14:textId="4783CB4D" w:rsidR="001C2394" w:rsidRPr="001C2394" w:rsidRDefault="001C2394" w:rsidP="009D2355">
      <w:pPr>
        <w:pStyle w:val="SDMSubPara1"/>
      </w:pPr>
      <w:r w:rsidRPr="001C2394">
        <w:rPr>
          <w:rFonts w:eastAsia="Montserrat"/>
        </w:rPr>
        <w:t xml:space="preserve">If space heating is common in the </w:t>
      </w:r>
      <w:r w:rsidR="00B1425A">
        <w:rPr>
          <w:rFonts w:eastAsia="Montserrat"/>
        </w:rPr>
        <w:t>Article 6.4 activity</w:t>
      </w:r>
      <w:r w:rsidR="00B1425A" w:rsidRPr="001C2394">
        <w:rPr>
          <w:rFonts w:eastAsia="Montserrat"/>
        </w:rPr>
        <w:t xml:space="preserve"> </w:t>
      </w:r>
      <w:r w:rsidRPr="001C2394">
        <w:rPr>
          <w:rFonts w:eastAsia="Montserrat"/>
        </w:rPr>
        <w:t xml:space="preserve">area, how space heating has been addressed in the </w:t>
      </w:r>
      <w:r w:rsidR="00867A04">
        <w:rPr>
          <w:rFonts w:eastAsia="Montserrat"/>
        </w:rPr>
        <w:t xml:space="preserve">Article 6.4 activity </w:t>
      </w:r>
      <w:r w:rsidRPr="001C2394">
        <w:rPr>
          <w:rFonts w:eastAsia="Montserrat"/>
        </w:rPr>
        <w:t>design.</w:t>
      </w:r>
    </w:p>
    <w:p w14:paraId="283F0F8E" w14:textId="261B12C7" w:rsidR="001C2394" w:rsidRPr="001C2394" w:rsidRDefault="001C2394" w:rsidP="009D2355">
      <w:pPr>
        <w:pStyle w:val="SDMPara"/>
      </w:pPr>
      <w:r w:rsidRPr="001C2394">
        <w:rPr>
          <w:rFonts w:eastAsia="Montserrat"/>
        </w:rPr>
        <w:t>Description of any missing and outlier</w:t>
      </w:r>
      <w:r w:rsidR="00BC269F">
        <w:rPr>
          <w:rFonts w:eastAsia="Montserrat"/>
        </w:rPr>
        <w:t xml:space="preserve"> or </w:t>
      </w:r>
      <w:r w:rsidRPr="001C2394">
        <w:rPr>
          <w:rFonts w:eastAsia="Montserrat"/>
        </w:rPr>
        <w:t>excluded data for KPTs, SUMs, surveys.</w:t>
      </w:r>
    </w:p>
    <w:p w14:paraId="1644957A" w14:textId="3933166C" w:rsidR="001C2394" w:rsidRPr="001C2394" w:rsidRDefault="001C2394" w:rsidP="009D2355">
      <w:pPr>
        <w:pStyle w:val="SDMPara"/>
      </w:pPr>
      <w:r w:rsidRPr="001C2394">
        <w:rPr>
          <w:rFonts w:eastAsia="Montserrat"/>
        </w:rPr>
        <w:t>Description of how sampling randomization was conducted and what proof is available to auditors</w:t>
      </w:r>
      <w:r w:rsidR="00B5340E">
        <w:rPr>
          <w:rFonts w:eastAsia="Montserrat"/>
        </w:rPr>
        <w:t>.</w:t>
      </w:r>
    </w:p>
    <w:p w14:paraId="60272975" w14:textId="47C9B7DE" w:rsidR="001C2394" w:rsidRPr="001C2394" w:rsidRDefault="001C2394" w:rsidP="009D2355">
      <w:pPr>
        <w:pStyle w:val="SDMPara"/>
      </w:pPr>
      <w:r w:rsidRPr="001C2394">
        <w:rPr>
          <w:rFonts w:eastAsia="Montserrat"/>
        </w:rPr>
        <w:t xml:space="preserve">SUMs validation checks performed (as described in </w:t>
      </w:r>
      <w:r w:rsidR="00B5340E">
        <w:rPr>
          <w:rFonts w:eastAsia="Montserrat"/>
        </w:rPr>
        <w:fldChar w:fldCharType="begin"/>
      </w:r>
      <w:r w:rsidR="00B5340E">
        <w:rPr>
          <w:rFonts w:eastAsia="Montserrat"/>
        </w:rPr>
        <w:instrText xml:space="preserve"> REF _Ref227015661 \n \h </w:instrText>
      </w:r>
      <w:r w:rsidR="00B5340E">
        <w:rPr>
          <w:rFonts w:eastAsia="Montserrat"/>
        </w:rPr>
      </w:r>
      <w:r w:rsidR="00B5340E">
        <w:rPr>
          <w:rFonts w:eastAsia="Montserrat"/>
        </w:rPr>
        <w:fldChar w:fldCharType="separate"/>
      </w:r>
      <w:r w:rsidR="00831DAE">
        <w:rPr>
          <w:rFonts w:eastAsia="Montserrat"/>
          <w:cs/>
        </w:rPr>
        <w:t>‎</w:t>
      </w:r>
      <w:r w:rsidR="00831DAE">
        <w:rPr>
          <w:rFonts w:eastAsia="Montserrat"/>
        </w:rPr>
        <w:t>Appendix 6</w:t>
      </w:r>
      <w:r w:rsidR="00B5340E">
        <w:rPr>
          <w:rFonts w:eastAsia="Montserrat"/>
        </w:rPr>
        <w:fldChar w:fldCharType="end"/>
      </w:r>
      <w:r w:rsidRPr="001C2394">
        <w:rPr>
          <w:rFonts w:eastAsia="Montserrat"/>
        </w:rPr>
        <w:t xml:space="preserve">, for </w:t>
      </w:r>
      <w:r w:rsidR="00BC269F">
        <w:rPr>
          <w:rFonts w:eastAsia="Montserrat"/>
        </w:rPr>
        <w:t xml:space="preserve">Article 6.4 activities </w:t>
      </w:r>
      <w:r w:rsidRPr="001C2394">
        <w:rPr>
          <w:rFonts w:eastAsia="Montserrat"/>
        </w:rPr>
        <w:t>using SUMs</w:t>
      </w:r>
      <w:r w:rsidR="00881157">
        <w:rPr>
          <w:rFonts w:eastAsia="Montserrat"/>
        </w:rPr>
        <w:t>)</w:t>
      </w:r>
      <w:r w:rsidRPr="001C2394">
        <w:rPr>
          <w:rFonts w:eastAsia="Montserrat"/>
        </w:rPr>
        <w:t>.</w:t>
      </w:r>
    </w:p>
    <w:p w14:paraId="5270BD6B" w14:textId="0C00D074" w:rsidR="000D126E" w:rsidRDefault="001C2394" w:rsidP="00776C29">
      <w:pPr>
        <w:pStyle w:val="SDMPara"/>
        <w:rPr>
          <w:rFonts w:eastAsia="Montserrat"/>
        </w:rPr>
      </w:pPr>
      <w:r w:rsidRPr="001C2394">
        <w:rPr>
          <w:rFonts w:eastAsia="Montserrat"/>
        </w:rPr>
        <w:t>Compliance with the Principles</w:t>
      </w:r>
      <w:r w:rsidR="00970B55">
        <w:rPr>
          <w:rStyle w:val="FootnoteReference"/>
          <w:rFonts w:eastAsia="Montserrat"/>
        </w:rPr>
        <w:footnoteReference w:id="45"/>
      </w:r>
      <w:r w:rsidRPr="001C2394">
        <w:rPr>
          <w:rFonts w:eastAsia="Montserrat"/>
        </w:rPr>
        <w:t xml:space="preserve"> for Responsible Carbon Finance in Clean Cooking (optional)</w:t>
      </w:r>
      <w:r w:rsidR="000D126E">
        <w:rPr>
          <w:rFonts w:eastAsia="Montserrat"/>
        </w:rPr>
        <w:t>.</w:t>
      </w:r>
    </w:p>
    <w:p w14:paraId="596E59ED" w14:textId="3933C049" w:rsidR="001C2394" w:rsidRPr="001C2394" w:rsidRDefault="001C2394" w:rsidP="00A51C68">
      <w:pPr>
        <w:numPr>
          <w:ilvl w:val="0"/>
          <w:numId w:val="2"/>
        </w:numPr>
        <w:spacing w:before="180"/>
        <w:rPr>
          <w:rFonts w:eastAsia="Montserrat" w:cs="Arial"/>
          <w:szCs w:val="22"/>
        </w:rPr>
        <w:sectPr w:rsidR="001C2394" w:rsidRPr="001C2394" w:rsidSect="00E95198">
          <w:headerReference w:type="default" r:id="rId20"/>
          <w:footnotePr>
            <w:numRestart w:val="eachSect"/>
          </w:footnotePr>
          <w:pgSz w:w="11907" w:h="16840" w:code="9"/>
          <w:pgMar w:top="2269" w:right="1134" w:bottom="1418" w:left="1418" w:header="851" w:footer="567" w:gutter="0"/>
          <w:cols w:space="720"/>
          <w:formProt w:val="0"/>
          <w:docGrid w:linePitch="299"/>
        </w:sectPr>
      </w:pPr>
    </w:p>
    <w:p w14:paraId="6455EC18" w14:textId="2057DD9D" w:rsidR="001E1AC5" w:rsidRPr="001C2394" w:rsidRDefault="001E1AC5" w:rsidP="001E1AC5">
      <w:pPr>
        <w:pStyle w:val="SDMAppTitle"/>
      </w:pPr>
      <w:bookmarkStart w:id="827" w:name="_Ref227104489"/>
      <w:bookmarkStart w:id="828" w:name="_Toc227677306"/>
      <w:bookmarkStart w:id="829" w:name="_Toc227694828"/>
      <w:bookmarkStart w:id="830" w:name="_Toc227920942"/>
      <w:bookmarkStart w:id="831" w:name="_Toc227938843"/>
      <w:bookmarkStart w:id="832" w:name="_Toc227948094"/>
      <w:bookmarkStart w:id="833" w:name="_Toc233388653"/>
      <w:bookmarkStart w:id="834" w:name="_Ref233729082"/>
      <w:bookmarkStart w:id="835" w:name="_Ref233729108"/>
      <w:bookmarkStart w:id="836" w:name="_Toc233961460"/>
      <w:bookmarkStart w:id="837" w:name="_Toc233970269"/>
      <w:bookmarkStart w:id="838" w:name="_Toc240546599"/>
      <w:bookmarkStart w:id="839" w:name="_Toc240632000"/>
      <w:bookmarkStart w:id="840" w:name="_Toc242471185"/>
      <w:bookmarkStart w:id="841" w:name="_Toc226502304"/>
      <w:bookmarkStart w:id="842" w:name="_Toc226576257"/>
      <w:bookmarkStart w:id="843" w:name="_Toc226983106"/>
      <w:bookmarkStart w:id="844" w:name="_Ref226983827"/>
      <w:r>
        <w:t>Sample template for the A</w:t>
      </w:r>
      <w:r w:rsidR="007E38CE">
        <w:t xml:space="preserve">6.4ERs </w:t>
      </w:r>
      <w:bookmarkEnd w:id="827"/>
      <w:bookmarkEnd w:id="828"/>
      <w:bookmarkEnd w:id="829"/>
      <w:bookmarkEnd w:id="830"/>
      <w:bookmarkEnd w:id="831"/>
      <w:bookmarkEnd w:id="832"/>
      <w:r w:rsidR="000E1F29">
        <w:t>w</w:t>
      </w:r>
      <w:r w:rsidR="007E38CE">
        <w:t xml:space="preserve">aiver </w:t>
      </w:r>
      <w:r w:rsidR="000E1F29">
        <w:t>c</w:t>
      </w:r>
      <w:r w:rsidR="007E38CE">
        <w:t>ertificate</w:t>
      </w:r>
      <w:bookmarkEnd w:id="833"/>
      <w:bookmarkEnd w:id="834"/>
      <w:bookmarkEnd w:id="835"/>
      <w:bookmarkEnd w:id="836"/>
      <w:bookmarkEnd w:id="837"/>
      <w:bookmarkEnd w:id="838"/>
      <w:bookmarkEnd w:id="839"/>
      <w:bookmarkEnd w:id="840"/>
    </w:p>
    <w:p w14:paraId="4F4F4749" w14:textId="77777777" w:rsidR="001E1AC5" w:rsidRPr="007130DF" w:rsidRDefault="001E1AC5" w:rsidP="001E1AC5">
      <w:pPr>
        <w:pStyle w:val="SDMApp1"/>
      </w:pPr>
      <w:r w:rsidRPr="001C2394">
        <w:t>Scope and Application</w:t>
      </w:r>
    </w:p>
    <w:p w14:paraId="2F6E8AF2" w14:textId="5C11440D" w:rsidR="001E1AC5" w:rsidRPr="00BC2904" w:rsidRDefault="001E1AC5" w:rsidP="00641639">
      <w:pPr>
        <w:pStyle w:val="SDMPara"/>
        <w:numPr>
          <w:ilvl w:val="0"/>
          <w:numId w:val="42"/>
        </w:numPr>
      </w:pPr>
      <w:r w:rsidRPr="00BC2904">
        <w:t xml:space="preserve">This appendix </w:t>
      </w:r>
      <w:r w:rsidR="005C1622" w:rsidRPr="00BC2904">
        <w:t>provides a template</w:t>
      </w:r>
      <w:r w:rsidR="00203330" w:rsidRPr="00BC2904">
        <w:t xml:space="preserve">, requirements and guidance for the application of A6.4ERs </w:t>
      </w:r>
      <w:r w:rsidR="0086250B" w:rsidRPr="00BC2904">
        <w:t>w</w:t>
      </w:r>
      <w:r w:rsidR="00203330" w:rsidRPr="00BC2904">
        <w:t xml:space="preserve">aiver </w:t>
      </w:r>
      <w:r w:rsidR="0086250B" w:rsidRPr="00BC2904">
        <w:t>c</w:t>
      </w:r>
      <w:r w:rsidR="00203330" w:rsidRPr="00BC2904">
        <w:t>ertificates</w:t>
      </w:r>
      <w:r w:rsidRPr="00BC2904">
        <w:t>.</w:t>
      </w:r>
    </w:p>
    <w:p w14:paraId="50A0DBFA" w14:textId="390DC948" w:rsidR="006D2932" w:rsidRDefault="005C1622" w:rsidP="00BC2904">
      <w:pPr>
        <w:pStyle w:val="SDMPara"/>
      </w:pPr>
      <w:r>
        <w:t xml:space="preserve">The activity </w:t>
      </w:r>
      <w:r w:rsidR="00203330">
        <w:t>participant</w:t>
      </w:r>
      <w:r>
        <w:t xml:space="preserve"> </w:t>
      </w:r>
      <w:r w:rsidR="00203330">
        <w:t>may</w:t>
      </w:r>
      <w:r>
        <w:t xml:space="preserve"> </w:t>
      </w:r>
      <w:r w:rsidR="00203330">
        <w:t>obtain</w:t>
      </w:r>
      <w:r>
        <w:t xml:space="preserve"> a </w:t>
      </w:r>
      <w:r w:rsidR="00203330" w:rsidRPr="00203330">
        <w:t xml:space="preserve">A6.4ERs </w:t>
      </w:r>
      <w:r w:rsidR="009737A2">
        <w:t>w</w:t>
      </w:r>
      <w:r w:rsidR="00203330" w:rsidRPr="00203330">
        <w:t xml:space="preserve">aiver </w:t>
      </w:r>
      <w:r w:rsidR="009737A2">
        <w:t>c</w:t>
      </w:r>
      <w:r w:rsidR="00203330" w:rsidRPr="00203330">
        <w:t xml:space="preserve">ertificate </w:t>
      </w:r>
      <w:r>
        <w:t xml:space="preserve">from each household in which </w:t>
      </w:r>
      <w:r w:rsidR="00203330">
        <w:t>a project cookstove</w:t>
      </w:r>
      <w:r>
        <w:t xml:space="preserve"> is distributed as part of the activity.</w:t>
      </w:r>
    </w:p>
    <w:p w14:paraId="20E2C3EE" w14:textId="4413244B" w:rsidR="006D2932" w:rsidRDefault="00203330" w:rsidP="00BC2904">
      <w:pPr>
        <w:pStyle w:val="SDMPara"/>
      </w:pPr>
      <w:r>
        <w:t>When ut</w:t>
      </w:r>
      <w:r w:rsidR="003A649B">
        <w:t>ilized, t</w:t>
      </w:r>
      <w:r w:rsidR="005C1622">
        <w:t xml:space="preserve">he contents of the </w:t>
      </w:r>
      <w:r>
        <w:t xml:space="preserve">A6.4ERs </w:t>
      </w:r>
      <w:r w:rsidR="009737A2">
        <w:t>w</w:t>
      </w:r>
      <w:r>
        <w:t xml:space="preserve">aiver </w:t>
      </w:r>
      <w:r w:rsidR="009737A2">
        <w:t>c</w:t>
      </w:r>
      <w:r>
        <w:t xml:space="preserve">ertificate </w:t>
      </w:r>
      <w:r w:rsidR="005C1622">
        <w:t xml:space="preserve">and the implication of the </w:t>
      </w:r>
      <w:r>
        <w:t xml:space="preserve">A6.4ERs </w:t>
      </w:r>
      <w:r w:rsidR="0086250B">
        <w:t>w</w:t>
      </w:r>
      <w:r>
        <w:t xml:space="preserve">aiver </w:t>
      </w:r>
      <w:r w:rsidR="0086250B">
        <w:t>c</w:t>
      </w:r>
      <w:r>
        <w:t xml:space="preserve">ertificate </w:t>
      </w:r>
      <w:r w:rsidR="005C1622">
        <w:t xml:space="preserve">shall be clearly communicated to the user and shall denote that the </w:t>
      </w:r>
      <w:r w:rsidR="003A649B">
        <w:t xml:space="preserve">A6.4ERs Waiver Certificate </w:t>
      </w:r>
      <w:r w:rsidR="005C1622">
        <w:t>is obtained with consent of the household.</w:t>
      </w:r>
    </w:p>
    <w:p w14:paraId="01036E81" w14:textId="6949BC8A" w:rsidR="006D2932" w:rsidRDefault="002044FB" w:rsidP="00BC2904">
      <w:pPr>
        <w:pStyle w:val="SDMPara"/>
      </w:pPr>
      <w:r>
        <w:t>When utilized, t</w:t>
      </w:r>
      <w:r w:rsidR="005C1622">
        <w:t xml:space="preserve">he </w:t>
      </w:r>
      <w:r w:rsidR="003A649B">
        <w:t xml:space="preserve">A6.4ERs </w:t>
      </w:r>
      <w:r w:rsidR="009737A2">
        <w:t>w</w:t>
      </w:r>
      <w:r w:rsidR="003A649B">
        <w:t xml:space="preserve">aiver </w:t>
      </w:r>
      <w:r w:rsidR="009737A2">
        <w:t>c</w:t>
      </w:r>
      <w:r w:rsidR="003A649B">
        <w:t xml:space="preserve">ertificate </w:t>
      </w:r>
      <w:r w:rsidR="005C1622">
        <w:t>shall be signed by the head of the household</w:t>
      </w:r>
      <w:r w:rsidR="00176AC7" w:rsidRPr="00176AC7">
        <w:t>, or a named delegated adult (typically spouse/partner) with documented authority</w:t>
      </w:r>
      <w:r w:rsidR="003A649B">
        <w:t xml:space="preserve"> </w:t>
      </w:r>
      <w:r w:rsidR="005C1622">
        <w:t>(defined as per the national regulations).</w:t>
      </w:r>
    </w:p>
    <w:p w14:paraId="1A06859C" w14:textId="379B5841" w:rsidR="00B32811" w:rsidRPr="00DB265B" w:rsidRDefault="00A66862" w:rsidP="00BC2904">
      <w:pPr>
        <w:pStyle w:val="SDMPara"/>
      </w:pPr>
      <w:r w:rsidRPr="00A66862">
        <w:t xml:space="preserve">The contents </w:t>
      </w:r>
      <w:r w:rsidRPr="00DB265B">
        <w:t xml:space="preserve">of the </w:t>
      </w:r>
      <w:r w:rsidR="009737A2" w:rsidRPr="00DB265B">
        <w:t>c</w:t>
      </w:r>
      <w:r w:rsidRPr="00DB265B">
        <w:t xml:space="preserve">ertificate, the meaning of </w:t>
      </w:r>
      <w:r w:rsidR="00512085" w:rsidRPr="00DB265B">
        <w:t>A6.4</w:t>
      </w:r>
      <w:r w:rsidR="00915743" w:rsidRPr="00DB265B">
        <w:t>ERs</w:t>
      </w:r>
      <w:r w:rsidRPr="00DB265B">
        <w:t xml:space="preserve">, and the implications of its execution shall be verbally explained to the signatory in their language prior to attestation. This verbal explanation </w:t>
      </w:r>
      <w:r w:rsidR="00852311" w:rsidRPr="00DB265B">
        <w:t xml:space="preserve">may </w:t>
      </w:r>
      <w:r w:rsidRPr="00DB265B">
        <w:t>be audio-recorded and archived as part of the documentation.</w:t>
      </w:r>
    </w:p>
    <w:p w14:paraId="0A2D7B09" w14:textId="0AAFD8DD" w:rsidR="006D2932" w:rsidRPr="00DB265B" w:rsidRDefault="005C1622" w:rsidP="00BC2904">
      <w:pPr>
        <w:pStyle w:val="SDMPara"/>
      </w:pPr>
      <w:r w:rsidRPr="00DB265B">
        <w:t xml:space="preserve">This appendix </w:t>
      </w:r>
      <w:r w:rsidR="002044FB" w:rsidRPr="00DB265B">
        <w:t>provides</w:t>
      </w:r>
      <w:r w:rsidRPr="00DB265B">
        <w:t xml:space="preserve"> a</w:t>
      </w:r>
      <w:r w:rsidR="002044FB" w:rsidRPr="00DB265B">
        <w:t>n</w:t>
      </w:r>
      <w:r w:rsidRPr="00DB265B">
        <w:t xml:space="preserve"> </w:t>
      </w:r>
      <w:r w:rsidR="002044FB" w:rsidRPr="00DB265B">
        <w:t>example</w:t>
      </w:r>
      <w:r w:rsidRPr="00DB265B">
        <w:t xml:space="preserve"> </w:t>
      </w:r>
      <w:r w:rsidR="003A649B" w:rsidRPr="00DB265B">
        <w:t xml:space="preserve">A6.4ERs </w:t>
      </w:r>
      <w:r w:rsidR="009737A2" w:rsidRPr="00DB265B">
        <w:t>w</w:t>
      </w:r>
      <w:r w:rsidR="003A649B" w:rsidRPr="00DB265B">
        <w:t xml:space="preserve">aiver </w:t>
      </w:r>
      <w:r w:rsidR="009737A2" w:rsidRPr="00DB265B">
        <w:t>c</w:t>
      </w:r>
      <w:r w:rsidR="003A649B" w:rsidRPr="00DB265B">
        <w:t xml:space="preserve">ertificate </w:t>
      </w:r>
      <w:r w:rsidRPr="00DB265B">
        <w:t xml:space="preserve">to be used by the activity </w:t>
      </w:r>
      <w:r w:rsidR="002044FB" w:rsidRPr="00DB265B">
        <w:t>participant</w:t>
      </w:r>
      <w:r w:rsidRPr="00DB265B">
        <w:t xml:space="preserve">. </w:t>
      </w:r>
      <w:r w:rsidR="00604F47" w:rsidRPr="00DB265B">
        <w:t xml:space="preserve">The A6.4ERs </w:t>
      </w:r>
      <w:r w:rsidR="00AE4CFA" w:rsidRPr="00DB265B">
        <w:t>w</w:t>
      </w:r>
      <w:r w:rsidR="00604F47" w:rsidRPr="00DB265B">
        <w:t xml:space="preserve">aiver </w:t>
      </w:r>
      <w:r w:rsidR="00AE4CFA" w:rsidRPr="00DB265B">
        <w:t>c</w:t>
      </w:r>
      <w:r w:rsidR="00604F47" w:rsidRPr="00DB265B">
        <w:t xml:space="preserve">ertificate shall be available in each language commonly spoken in the </w:t>
      </w:r>
      <w:r w:rsidR="005302AA" w:rsidRPr="00DB265B">
        <w:t>activity</w:t>
      </w:r>
      <w:r w:rsidR="00604F47" w:rsidRPr="00DB265B">
        <w:t xml:space="preserve"> boundary. Where the head of household or adult resident is unable to read or write, attestation may be provided by (i) a thumbprint witnessed by both the enumerator and a community witness independent of the activity; (ii) an audio-recorded oral consent in the relevant local language; or (iii) a digital signature captured via biometric device. The contents of the </w:t>
      </w:r>
      <w:r w:rsidR="00856B5E" w:rsidRPr="00DB265B">
        <w:t>c</w:t>
      </w:r>
      <w:r w:rsidR="00604F47" w:rsidRPr="00DB265B">
        <w:t>ertificate and the implications of its execution shall be verbally explained to the signatory in their language prior to attestation, and this verbal explanation shall itself be audio-recorded and archived as part of the documentation.</w:t>
      </w:r>
    </w:p>
    <w:p w14:paraId="2B3A4BC0" w14:textId="51DDC1DC" w:rsidR="006D2932" w:rsidRPr="00DB265B" w:rsidRDefault="005C1622" w:rsidP="00BC2904">
      <w:pPr>
        <w:pStyle w:val="SDMPara"/>
      </w:pPr>
      <w:r w:rsidRPr="00DB265B">
        <w:t xml:space="preserve">Personal data about the household and the user such as contact information and national identification number shall </w:t>
      </w:r>
      <w:r w:rsidR="007B7409" w:rsidRPr="00DB265B">
        <w:rPr>
          <w:rFonts w:eastAsia="Arial"/>
          <w:color w:val="000000" w:themeColor="text1"/>
        </w:rPr>
        <w:t xml:space="preserve">be handled in accordance with the requirements of the host-country data-protection laws, with full records retained for DOE review. Where there are no host-country laws, personal data shall </w:t>
      </w:r>
      <w:r w:rsidRPr="00DB265B">
        <w:t>not be made public but shall be made available to the DOE during validation and verification, as relevant.</w:t>
      </w:r>
    </w:p>
    <w:p w14:paraId="15A59398" w14:textId="051EA4D0" w:rsidR="006D2932" w:rsidRPr="00611EFC" w:rsidRDefault="00F12D18" w:rsidP="00611EFC">
      <w:pPr>
        <w:pStyle w:val="SDMApp1"/>
      </w:pPr>
      <w:r w:rsidRPr="00611EFC">
        <w:t xml:space="preserve">A6.4ERs </w:t>
      </w:r>
      <w:r w:rsidR="009737A2">
        <w:t>w</w:t>
      </w:r>
      <w:r w:rsidRPr="00611EFC">
        <w:t xml:space="preserve">aiver </w:t>
      </w:r>
      <w:r w:rsidR="009737A2">
        <w:t>c</w:t>
      </w:r>
      <w:r w:rsidRPr="00611EFC">
        <w:t>ertificate</w:t>
      </w:r>
    </w:p>
    <w:p w14:paraId="051993F7" w14:textId="77777777" w:rsidR="00F12D18" w:rsidRPr="00611EFC" w:rsidRDefault="00F12D18" w:rsidP="00611EFC">
      <w:pPr>
        <w:pStyle w:val="SDMApp2"/>
      </w:pPr>
      <w:r>
        <w:t>Household Data</w:t>
      </w:r>
    </w:p>
    <w:p w14:paraId="780BDFD6" w14:textId="4E0B00A8" w:rsidR="006D2932" w:rsidRPr="001E187E" w:rsidRDefault="00F12D18" w:rsidP="001E187E">
      <w:pPr>
        <w:pStyle w:val="SDMPara"/>
      </w:pPr>
      <w:r w:rsidRPr="001E187E">
        <w:t xml:space="preserve">Full Name of the </w:t>
      </w:r>
      <w:r w:rsidR="00EA10CA" w:rsidRPr="001E187E">
        <w:t>Household representative</w:t>
      </w:r>
      <w:r w:rsidR="001B6E0D" w:rsidRPr="001E187E">
        <w:t>.</w:t>
      </w:r>
    </w:p>
    <w:p w14:paraId="4B2FB371" w14:textId="1724FEB5" w:rsidR="00F12D18" w:rsidRPr="00611EFC" w:rsidRDefault="00F12D18" w:rsidP="00BC2904">
      <w:pPr>
        <w:pStyle w:val="SDMPara"/>
      </w:pPr>
      <w:r w:rsidRPr="00611EFC">
        <w:t>Contact Number, if any</w:t>
      </w:r>
      <w:r w:rsidR="001B6E0D">
        <w:t>.</w:t>
      </w:r>
    </w:p>
    <w:p w14:paraId="0003D224" w14:textId="014C18C9" w:rsidR="00F12D18" w:rsidRPr="00611EFC" w:rsidRDefault="00F12D18" w:rsidP="00BC2904">
      <w:pPr>
        <w:pStyle w:val="SDMPara"/>
      </w:pPr>
      <w:r w:rsidRPr="00611EFC">
        <w:t>Email address, if any</w:t>
      </w:r>
      <w:r w:rsidR="001B6E0D">
        <w:t>.</w:t>
      </w:r>
    </w:p>
    <w:p w14:paraId="3DB6164F" w14:textId="5F5F7EE1" w:rsidR="006D2932" w:rsidRPr="00611EFC" w:rsidRDefault="00F12D18" w:rsidP="00655F47">
      <w:pPr>
        <w:pStyle w:val="SDMPara"/>
        <w:keepNext/>
      </w:pPr>
      <w:r w:rsidRPr="00611EFC">
        <w:t>Address</w:t>
      </w:r>
      <w:r w:rsidR="001B6E0D">
        <w:t>:</w:t>
      </w:r>
    </w:p>
    <w:p w14:paraId="3A99778A" w14:textId="6D936FDA" w:rsidR="006D2932" w:rsidRPr="00BC2904" w:rsidRDefault="00F12D18" w:rsidP="00BC2904">
      <w:pPr>
        <w:pStyle w:val="SDMSubPara1"/>
      </w:pPr>
      <w:r w:rsidRPr="00BC2904">
        <w:t>Country</w:t>
      </w:r>
      <w:r w:rsidR="001B6E0D" w:rsidRPr="00BC2904">
        <w:t>;</w:t>
      </w:r>
    </w:p>
    <w:p w14:paraId="3C87DEF6" w14:textId="4C36FC00" w:rsidR="00F12D18" w:rsidRPr="00611EFC" w:rsidRDefault="00F12D18" w:rsidP="00BC2904">
      <w:pPr>
        <w:pStyle w:val="SDMSubPara1"/>
      </w:pPr>
      <w:r w:rsidRPr="00611EFC">
        <w:t>State</w:t>
      </w:r>
      <w:r w:rsidR="001B6E0D">
        <w:t>;</w:t>
      </w:r>
    </w:p>
    <w:p w14:paraId="4381590C" w14:textId="746E64F0" w:rsidR="00F12D18" w:rsidRPr="00611EFC" w:rsidRDefault="00F12D18" w:rsidP="00BC2904">
      <w:pPr>
        <w:pStyle w:val="SDMSubPara1"/>
      </w:pPr>
      <w:r w:rsidRPr="00611EFC">
        <w:t>District</w:t>
      </w:r>
      <w:r w:rsidR="001B6E0D">
        <w:t>;</w:t>
      </w:r>
    </w:p>
    <w:p w14:paraId="54420324" w14:textId="4A233C54" w:rsidR="00F12D18" w:rsidRPr="00611EFC" w:rsidRDefault="00F12D18" w:rsidP="00BC2904">
      <w:pPr>
        <w:pStyle w:val="SDMSubPara1"/>
      </w:pPr>
      <w:r w:rsidRPr="00611EFC">
        <w:t>Village</w:t>
      </w:r>
      <w:r w:rsidR="001B6E0D">
        <w:t>;</w:t>
      </w:r>
    </w:p>
    <w:p w14:paraId="037F577F" w14:textId="44CE4725" w:rsidR="00F12D18" w:rsidRPr="00611EFC" w:rsidRDefault="00F12D18" w:rsidP="00BC2904">
      <w:pPr>
        <w:pStyle w:val="SDMSubPara1"/>
      </w:pPr>
      <w:r w:rsidRPr="00611EFC">
        <w:t>Street</w:t>
      </w:r>
      <w:r w:rsidR="001B6E0D">
        <w:t>;</w:t>
      </w:r>
    </w:p>
    <w:p w14:paraId="474C4754" w14:textId="388C2E1C" w:rsidR="00F12D18" w:rsidRPr="00611EFC" w:rsidRDefault="00F12D18" w:rsidP="00BC2904">
      <w:pPr>
        <w:pStyle w:val="SDMSubPara1"/>
      </w:pPr>
      <w:r w:rsidRPr="00611EFC">
        <w:t>Local Landmark</w:t>
      </w:r>
      <w:r w:rsidR="001B6E0D">
        <w:t>;</w:t>
      </w:r>
    </w:p>
    <w:p w14:paraId="403E1E4E" w14:textId="74D1AF93" w:rsidR="006D2932" w:rsidRPr="00611EFC" w:rsidRDefault="00F12D18" w:rsidP="00BC2904">
      <w:pPr>
        <w:pStyle w:val="SDMSubPara1"/>
      </w:pPr>
      <w:r w:rsidRPr="00611EFC">
        <w:t>House number</w:t>
      </w:r>
      <w:r w:rsidR="001B6E0D">
        <w:t>;</w:t>
      </w:r>
    </w:p>
    <w:p w14:paraId="70EBB004" w14:textId="77777777" w:rsidR="006D2932" w:rsidRPr="009D5932" w:rsidRDefault="00F12D18" w:rsidP="0070206C">
      <w:pPr>
        <w:pStyle w:val="SDMPara"/>
        <w:rPr>
          <w:sz w:val="24"/>
        </w:rPr>
      </w:pPr>
      <w:r w:rsidRPr="009D5932">
        <w:t xml:space="preserve">National Identification Number or any Government issued ID </w:t>
      </w:r>
      <w:r w:rsidR="008D1731" w:rsidRPr="009D5932">
        <w:t>(and evidence of number)</w:t>
      </w:r>
      <w:r w:rsidRPr="009D5932">
        <w:t>.</w:t>
      </w:r>
    </w:p>
    <w:p w14:paraId="78DC1F83" w14:textId="40D03AF8" w:rsidR="00F12D18" w:rsidRPr="00611EFC" w:rsidRDefault="00F12D18" w:rsidP="00611EFC">
      <w:pPr>
        <w:pStyle w:val="SDMApp2"/>
      </w:pPr>
      <w:r>
        <w:rPr>
          <w:bCs/>
          <w:sz w:val="24"/>
        </w:rPr>
        <w:t xml:space="preserve">Details of the </w:t>
      </w:r>
      <w:r w:rsidR="008D1731">
        <w:rPr>
          <w:bCs/>
          <w:sz w:val="24"/>
        </w:rPr>
        <w:t>Project Cookstove</w:t>
      </w:r>
      <w:r w:rsidR="0002084A">
        <w:rPr>
          <w:bCs/>
          <w:sz w:val="24"/>
        </w:rPr>
        <w:t>s</w:t>
      </w:r>
    </w:p>
    <w:p w14:paraId="2A65D1AE" w14:textId="2B499E94" w:rsidR="006D2932" w:rsidRPr="001B6E0D" w:rsidRDefault="00F12D18" w:rsidP="00BC2904">
      <w:pPr>
        <w:pStyle w:val="SDMPara"/>
      </w:pPr>
      <w:r w:rsidRPr="001B6E0D">
        <w:t>Type of Stove</w:t>
      </w:r>
      <w:r w:rsidR="001B6E0D">
        <w:t>.</w:t>
      </w:r>
    </w:p>
    <w:p w14:paraId="66FBE69B" w14:textId="42555720" w:rsidR="00F12D18" w:rsidRPr="001B6E0D" w:rsidRDefault="00F12D18" w:rsidP="001B6E0D">
      <w:pPr>
        <w:pStyle w:val="SDMPara"/>
      </w:pPr>
      <w:r w:rsidRPr="001B6E0D">
        <w:t>Fuel Type</w:t>
      </w:r>
      <w:r w:rsidR="001B6E0D">
        <w:t>.</w:t>
      </w:r>
    </w:p>
    <w:p w14:paraId="68CABDB8" w14:textId="5EFC4BC7" w:rsidR="00F12D18" w:rsidRPr="001B6E0D" w:rsidRDefault="00F12D18" w:rsidP="001B6E0D">
      <w:pPr>
        <w:pStyle w:val="SDMPara"/>
      </w:pPr>
      <w:r w:rsidRPr="001B6E0D">
        <w:t>Manufacturer</w:t>
      </w:r>
      <w:r w:rsidR="001B6E0D">
        <w:t>.</w:t>
      </w:r>
    </w:p>
    <w:p w14:paraId="5B60D407" w14:textId="0FF3F361" w:rsidR="006D2932" w:rsidRPr="001B6E0D" w:rsidRDefault="00F12D18" w:rsidP="001B6E0D">
      <w:pPr>
        <w:pStyle w:val="SDMPara"/>
      </w:pPr>
      <w:r w:rsidRPr="001B6E0D">
        <w:t>Vendor or Distributor</w:t>
      </w:r>
      <w:r w:rsidR="001B6E0D">
        <w:t>.</w:t>
      </w:r>
    </w:p>
    <w:p w14:paraId="4A9BFF2A" w14:textId="1CCC7ACD" w:rsidR="006D2932" w:rsidRPr="001B6E0D" w:rsidRDefault="00F12D18" w:rsidP="001B6E0D">
      <w:pPr>
        <w:pStyle w:val="SDMPara"/>
      </w:pPr>
      <w:r w:rsidRPr="001B6E0D">
        <w:t>Certified Efficiency</w:t>
      </w:r>
      <w:r w:rsidR="001B6E0D">
        <w:t>.</w:t>
      </w:r>
    </w:p>
    <w:p w14:paraId="05556261" w14:textId="6B8FC48A" w:rsidR="006D2932" w:rsidRPr="001B6E0D" w:rsidRDefault="00F12D18" w:rsidP="001B6E0D">
      <w:pPr>
        <w:pStyle w:val="SDMPara"/>
      </w:pPr>
      <w:r w:rsidRPr="001B6E0D">
        <w:t>Unique Identification Number</w:t>
      </w:r>
      <w:r w:rsidR="001B6E0D">
        <w:t>.</w:t>
      </w:r>
    </w:p>
    <w:p w14:paraId="519E3F12" w14:textId="0573D993" w:rsidR="006D2932" w:rsidRPr="001B6E0D" w:rsidRDefault="00F12D18" w:rsidP="001B6E0D">
      <w:pPr>
        <w:pStyle w:val="SDMPara"/>
      </w:pPr>
      <w:r w:rsidRPr="001B6E0D">
        <w:t>Manufacturing series</w:t>
      </w:r>
      <w:r w:rsidR="001B6E0D">
        <w:t>.</w:t>
      </w:r>
    </w:p>
    <w:p w14:paraId="271EA2CD" w14:textId="486E7E32" w:rsidR="006D2932" w:rsidRPr="001B6E0D" w:rsidRDefault="00F12D18" w:rsidP="001B6E0D">
      <w:pPr>
        <w:pStyle w:val="SDMPara"/>
      </w:pPr>
      <w:r w:rsidRPr="001B6E0D">
        <w:t>Installation Date</w:t>
      </w:r>
      <w:r w:rsidR="001B6E0D">
        <w:t>.</w:t>
      </w:r>
    </w:p>
    <w:p w14:paraId="39BC2138" w14:textId="4F306164" w:rsidR="006D2932" w:rsidRPr="00611EFC" w:rsidRDefault="00F71E50" w:rsidP="00611EFC">
      <w:pPr>
        <w:pStyle w:val="SDMApp1"/>
      </w:pPr>
      <w:r w:rsidRPr="00F71E50">
        <w:rPr>
          <w:bCs/>
        </w:rPr>
        <w:t xml:space="preserve">A6.4ERs </w:t>
      </w:r>
      <w:r w:rsidR="00462201">
        <w:rPr>
          <w:bCs/>
        </w:rPr>
        <w:t>w</w:t>
      </w:r>
      <w:r w:rsidRPr="00F71E50">
        <w:rPr>
          <w:bCs/>
        </w:rPr>
        <w:t xml:space="preserve">aiver </w:t>
      </w:r>
      <w:r w:rsidR="00453F83">
        <w:rPr>
          <w:bCs/>
        </w:rPr>
        <w:t>c</w:t>
      </w:r>
      <w:r w:rsidRPr="00F71E50">
        <w:rPr>
          <w:bCs/>
        </w:rPr>
        <w:t xml:space="preserve">ertificate </w:t>
      </w:r>
      <w:r w:rsidR="00453F83">
        <w:rPr>
          <w:bCs/>
        </w:rPr>
        <w:t>s</w:t>
      </w:r>
      <w:r w:rsidR="00F12D18">
        <w:rPr>
          <w:bCs/>
        </w:rPr>
        <w:t>tatement</w:t>
      </w:r>
    </w:p>
    <w:p w14:paraId="65979998" w14:textId="259F9F83" w:rsidR="00F12D18" w:rsidRPr="001B6E0D" w:rsidRDefault="00F12D18" w:rsidP="00BC2904">
      <w:pPr>
        <w:pStyle w:val="SDMPara"/>
      </w:pPr>
      <w:r w:rsidRPr="001B6E0D">
        <w:t xml:space="preserve">I, the undersigned, confirm my participation in the </w:t>
      </w:r>
      <w:r w:rsidR="00F71E50" w:rsidRPr="001B6E0D">
        <w:t>Article 6.4 activity</w:t>
      </w:r>
      <w:r w:rsidRPr="001B6E0D">
        <w:t xml:space="preserve"> (Name of the </w:t>
      </w:r>
      <w:r w:rsidR="00F71E50" w:rsidRPr="001B6E0D">
        <w:t>activity</w:t>
      </w:r>
      <w:r w:rsidRPr="001B6E0D">
        <w:t>, Reference ID) by receiving the above</w:t>
      </w:r>
      <w:r w:rsidR="004900CC" w:rsidRPr="001B6E0D">
        <w:t>-</w:t>
      </w:r>
      <w:r w:rsidRPr="001B6E0D">
        <w:t xml:space="preserve">mentioned stove for the </w:t>
      </w:r>
      <w:r w:rsidR="00F651C5" w:rsidRPr="001B6E0D">
        <w:t xml:space="preserve">primary </w:t>
      </w:r>
      <w:r w:rsidRPr="001B6E0D">
        <w:t>purpose</w:t>
      </w:r>
      <w:r w:rsidR="00F651C5" w:rsidRPr="001B6E0D">
        <w:t>s</w:t>
      </w:r>
      <w:r w:rsidRPr="001B6E0D">
        <w:t xml:space="preserve"> of </w:t>
      </w:r>
      <w:r w:rsidR="000C61EC" w:rsidRPr="001B6E0D">
        <w:t>cooking meals, preparing beverages</w:t>
      </w:r>
      <w:r w:rsidR="000C61EC" w:rsidRPr="001B6E0D" w:rsidDel="00FF61A5">
        <w:t xml:space="preserve"> or</w:t>
      </w:r>
      <w:r w:rsidR="000C61EC" w:rsidRPr="001B6E0D">
        <w:t xml:space="preserve"> heating water</w:t>
      </w:r>
      <w:r w:rsidRPr="001B6E0D">
        <w:t>.</w:t>
      </w:r>
      <w:r w:rsidR="00D47755" w:rsidRPr="001B6E0D">
        <w:t xml:space="preserve"> </w:t>
      </w:r>
      <w:r w:rsidRPr="001B6E0D">
        <w:t>I receiv</w:t>
      </w:r>
      <w:r w:rsidR="004A06A7" w:rsidRPr="001B6E0D">
        <w:t>ed</w:t>
      </w:r>
      <w:r w:rsidRPr="001B6E0D">
        <w:t xml:space="preserve"> the cookstove </w:t>
      </w:r>
      <w:r w:rsidR="002D4568" w:rsidRPr="001B6E0D">
        <w:t>(</w:t>
      </w:r>
      <w:r w:rsidRPr="001B6E0D">
        <w:t>free of charge</w:t>
      </w:r>
      <w:r w:rsidR="002D4568" w:rsidRPr="001B6E0D">
        <w:t>)</w:t>
      </w:r>
      <w:r w:rsidR="003A5DE2" w:rsidRPr="001B6E0D">
        <w:t xml:space="preserve"> OR </w:t>
      </w:r>
      <w:r w:rsidR="002D4568" w:rsidRPr="001B6E0D">
        <w:t>(</w:t>
      </w:r>
      <w:r w:rsidRPr="001B6E0D">
        <w:t>at the cost of ______</w:t>
      </w:r>
      <w:r w:rsidR="002D4568" w:rsidRPr="001B6E0D">
        <w:t>)</w:t>
      </w:r>
      <w:r w:rsidRPr="001B6E0D">
        <w:t>.</w:t>
      </w:r>
    </w:p>
    <w:p w14:paraId="03EC5C20" w14:textId="02404CAC" w:rsidR="00F12D18" w:rsidRPr="0020480D" w:rsidRDefault="00F12D18" w:rsidP="00BC2904">
      <w:pPr>
        <w:pStyle w:val="SDMPara"/>
      </w:pPr>
      <w:r w:rsidRPr="00611EFC">
        <w:t xml:space="preserve">By signing this </w:t>
      </w:r>
      <w:r w:rsidR="00194F87" w:rsidRPr="00611EFC">
        <w:t>waiver</w:t>
      </w:r>
      <w:r w:rsidRPr="00611EFC">
        <w:t>, I voluntarily and with full knowledge and consent pass on my rights to</w:t>
      </w:r>
      <w:r w:rsidR="00C25311" w:rsidRPr="00611EFC">
        <w:t xml:space="preserve"> A6.4ERs</w:t>
      </w:r>
      <w:r w:rsidR="00844A71" w:rsidRPr="00611EFC">
        <w:t xml:space="preserve"> (carbon credits) </w:t>
      </w:r>
      <w:r w:rsidR="00844A71" w:rsidRPr="0020480D">
        <w:t>to</w:t>
      </w:r>
      <w:r w:rsidRPr="0020480D">
        <w:t xml:space="preserve"> the activity </w:t>
      </w:r>
      <w:r w:rsidR="00844A71" w:rsidRPr="0020480D">
        <w:t>participant</w:t>
      </w:r>
      <w:r w:rsidRPr="0020480D">
        <w:t xml:space="preserve"> </w:t>
      </w:r>
      <w:r w:rsidR="00844A71" w:rsidRPr="0020480D">
        <w:t>[</w:t>
      </w:r>
      <w:r w:rsidRPr="0020480D">
        <w:t>name of the proponent</w:t>
      </w:r>
      <w:r w:rsidR="00844A71" w:rsidRPr="0020480D">
        <w:t>]</w:t>
      </w:r>
      <w:r w:rsidRPr="0020480D">
        <w:t>.</w:t>
      </w:r>
    </w:p>
    <w:p w14:paraId="60E5AC9D" w14:textId="058FD1B5" w:rsidR="00DA3763" w:rsidRPr="0020480D" w:rsidRDefault="00DA3763" w:rsidP="00BC2904">
      <w:pPr>
        <w:pStyle w:val="SDMPara"/>
      </w:pPr>
      <w:r w:rsidRPr="0020480D">
        <w:t xml:space="preserve">By signing this waiver, I voluntarily and with full knowledge and consent </w:t>
      </w:r>
      <w:r w:rsidR="0097535C" w:rsidRPr="0020480D">
        <w:t>agree</w:t>
      </w:r>
      <w:r w:rsidRPr="0020480D">
        <w:t xml:space="preserve"> not to claim </w:t>
      </w:r>
      <w:r w:rsidR="00915743" w:rsidRPr="0020480D">
        <w:t>A6.4ERs (</w:t>
      </w:r>
      <w:r w:rsidRPr="0020480D">
        <w:t>carbon credits</w:t>
      </w:r>
      <w:r w:rsidR="00915743" w:rsidRPr="0020480D">
        <w:t>)</w:t>
      </w:r>
      <w:r w:rsidRPr="0020480D">
        <w:t xml:space="preserve"> from any other carbon crediting programme</w:t>
      </w:r>
      <w:r w:rsidR="00C2087F" w:rsidRPr="0020480D">
        <w:t xml:space="preserve"> or other Article 6.4 activities</w:t>
      </w:r>
      <w:r w:rsidR="0035447A" w:rsidRPr="0020480D">
        <w:t xml:space="preserve"> related to the use of </w:t>
      </w:r>
      <w:r w:rsidR="004625DB" w:rsidRPr="0020480D">
        <w:t>the above</w:t>
      </w:r>
      <w:r w:rsidR="00D95801" w:rsidRPr="0020480D">
        <w:t>-</w:t>
      </w:r>
      <w:r w:rsidR="004625DB" w:rsidRPr="0020480D">
        <w:t>mentioned stove.</w:t>
      </w:r>
    </w:p>
    <w:p w14:paraId="03DA09F0" w14:textId="77777777" w:rsidR="006D2932" w:rsidRPr="00611EFC" w:rsidRDefault="00F12D18" w:rsidP="00BC2904">
      <w:pPr>
        <w:pStyle w:val="SDMPara"/>
      </w:pPr>
      <w:r w:rsidRPr="0020480D">
        <w:t xml:space="preserve">By signing this </w:t>
      </w:r>
      <w:r w:rsidR="00844A71" w:rsidRPr="0020480D">
        <w:t>waiver</w:t>
      </w:r>
      <w:r w:rsidRPr="0020480D">
        <w:t xml:space="preserve">, I confirm my intention to adhere to any and all </w:t>
      </w:r>
      <w:r w:rsidR="00BC6D0C" w:rsidRPr="0020480D">
        <w:t xml:space="preserve">relevant </w:t>
      </w:r>
      <w:r w:rsidRPr="0020480D">
        <w:t xml:space="preserve">rules, requirements and procedures established </w:t>
      </w:r>
      <w:r w:rsidR="00A7624F" w:rsidRPr="0020480D">
        <w:t>for the Article 6.4</w:t>
      </w:r>
      <w:r w:rsidR="00A7624F" w:rsidRPr="00611EFC">
        <w:t xml:space="preserve"> activity</w:t>
      </w:r>
      <w:r w:rsidRPr="00611EFC">
        <w:t xml:space="preserve"> and its methodolog</w:t>
      </w:r>
      <w:r w:rsidR="00A7624F" w:rsidRPr="00611EFC">
        <w:t>ies, tools, and standards</w:t>
      </w:r>
      <w:r w:rsidRPr="00611EFC">
        <w:t>.</w:t>
      </w:r>
    </w:p>
    <w:p w14:paraId="5C8E8D2E" w14:textId="0DB0EA94" w:rsidR="009D2355" w:rsidRDefault="00F12D18" w:rsidP="00BC2904">
      <w:pPr>
        <w:pStyle w:val="SDMPara"/>
      </w:pPr>
      <w:r w:rsidRPr="00611EFC">
        <w:t>I confirm that I have read and understood the contents of th</w:t>
      </w:r>
      <w:r w:rsidR="00BC6D0C" w:rsidRPr="00611EFC">
        <w:t>is</w:t>
      </w:r>
      <w:r w:rsidRPr="00611EFC">
        <w:t xml:space="preserve"> </w:t>
      </w:r>
      <w:r w:rsidR="00BC6D0C" w:rsidRPr="00611EFC">
        <w:t>waiver</w:t>
      </w:r>
      <w:r w:rsidRPr="00611EFC">
        <w:t xml:space="preserve"> and </w:t>
      </w:r>
      <w:r w:rsidR="00FC31FA" w:rsidRPr="00611EFC">
        <w:t>its contents have been</w:t>
      </w:r>
      <w:r w:rsidRPr="00611EFC">
        <w:t xml:space="preserve"> explained adequately and appropriately by the activity </w:t>
      </w:r>
      <w:r w:rsidR="00FC31FA" w:rsidRPr="00611EFC">
        <w:t>participant.</w:t>
      </w:r>
    </w:p>
    <w:p w14:paraId="22D05948" w14:textId="77777777" w:rsidR="00825A01" w:rsidRDefault="00F12D18" w:rsidP="00BC2904">
      <w:pPr>
        <w:pStyle w:val="SDMPara"/>
        <w:sectPr w:rsidR="00825A01" w:rsidSect="00C54CA0">
          <w:headerReference w:type="even" r:id="rId21"/>
          <w:headerReference w:type="default" r:id="rId22"/>
          <w:footerReference w:type="default" r:id="rId23"/>
          <w:headerReference w:type="first" r:id="rId24"/>
          <w:pgSz w:w="11907" w:h="16840" w:code="9"/>
          <w:pgMar w:top="2410" w:right="1134" w:bottom="1418" w:left="1418" w:header="851" w:footer="567" w:gutter="0"/>
          <w:cols w:space="720"/>
          <w:formProt w:val="0"/>
          <w:docGrid w:linePitch="299"/>
        </w:sectPr>
      </w:pPr>
      <w:r w:rsidRPr="00611EFC">
        <w:t xml:space="preserve">Signature </w:t>
      </w:r>
      <w:r w:rsidRPr="00611EFC">
        <w:tab/>
      </w:r>
      <w:r w:rsidRPr="00611EFC">
        <w:tab/>
      </w:r>
      <w:r w:rsidRPr="00611EFC">
        <w:tab/>
      </w:r>
      <w:r w:rsidRPr="00611EFC">
        <w:tab/>
      </w:r>
      <w:r w:rsidRPr="00611EFC">
        <w:tab/>
      </w:r>
      <w:r w:rsidRPr="00611EFC">
        <w:tab/>
      </w:r>
      <w:r w:rsidRPr="00611EFC">
        <w:tab/>
      </w:r>
      <w:r w:rsidRPr="00611EFC">
        <w:tab/>
        <w:t>Date (DD/MM/YYYY)</w:t>
      </w:r>
    </w:p>
    <w:p w14:paraId="3EC3EE2E" w14:textId="2DC3BDA8" w:rsidR="001C2394" w:rsidRPr="001C2394" w:rsidRDefault="001C2394" w:rsidP="009E7040">
      <w:pPr>
        <w:pStyle w:val="SDMAppTitle"/>
      </w:pPr>
      <w:bookmarkStart w:id="845" w:name="_Ref227236808"/>
      <w:bookmarkStart w:id="846" w:name="_Toc227677307"/>
      <w:bookmarkStart w:id="847" w:name="_Toc227694829"/>
      <w:bookmarkStart w:id="848" w:name="_Toc227920943"/>
      <w:bookmarkStart w:id="849" w:name="_Toc227938844"/>
      <w:bookmarkStart w:id="850" w:name="_Toc227948095"/>
      <w:bookmarkStart w:id="851" w:name="_Toc233388654"/>
      <w:bookmarkStart w:id="852" w:name="_Toc233961461"/>
      <w:bookmarkStart w:id="853" w:name="_Toc233970270"/>
      <w:bookmarkStart w:id="854" w:name="_Toc240546600"/>
      <w:bookmarkStart w:id="855" w:name="_Toc240632001"/>
      <w:bookmarkStart w:id="856" w:name="_Toc242471186"/>
      <w:r w:rsidRPr="001C2394">
        <w:t xml:space="preserve">Activity-specific survey requirements for </w:t>
      </w:r>
      <w:bookmarkEnd w:id="841"/>
      <w:bookmarkEnd w:id="842"/>
      <w:bookmarkEnd w:id="843"/>
      <w:bookmarkEnd w:id="844"/>
      <w:r w:rsidR="003C5149">
        <w:t>energy efficiency measures in household cooking</w:t>
      </w:r>
      <w:bookmarkEnd w:id="845"/>
      <w:bookmarkEnd w:id="846"/>
      <w:bookmarkEnd w:id="847"/>
      <w:bookmarkEnd w:id="848"/>
      <w:bookmarkEnd w:id="849"/>
      <w:bookmarkEnd w:id="850"/>
      <w:bookmarkEnd w:id="851"/>
      <w:bookmarkEnd w:id="852"/>
      <w:bookmarkEnd w:id="853"/>
      <w:bookmarkEnd w:id="854"/>
      <w:bookmarkEnd w:id="855"/>
      <w:bookmarkEnd w:id="856"/>
    </w:p>
    <w:p w14:paraId="6BA5CC4E" w14:textId="056E57F8" w:rsidR="00C368C3" w:rsidRPr="001C2394" w:rsidRDefault="001C2394" w:rsidP="009E7040">
      <w:pPr>
        <w:pStyle w:val="SDMApp1"/>
      </w:pPr>
      <w:r w:rsidRPr="001C2394">
        <w:t>Scope and Application</w:t>
      </w:r>
    </w:p>
    <w:p w14:paraId="5CBAFD2C" w14:textId="0F65E358" w:rsidR="001C2394" w:rsidRPr="00FE58F0" w:rsidRDefault="001C2394" w:rsidP="00AF1AC1">
      <w:pPr>
        <w:pStyle w:val="SDMPara"/>
        <w:numPr>
          <w:ilvl w:val="0"/>
          <w:numId w:val="40"/>
        </w:numPr>
      </w:pPr>
      <w:r w:rsidRPr="00FE58F0">
        <w:t>This appendix specifies activity-specific survey requirements for the design and implementation of surveys for efficient cooking activities under th</w:t>
      </w:r>
      <w:r w:rsidR="00F24FF8" w:rsidRPr="00FE58F0">
        <w:t xml:space="preserve">is </w:t>
      </w:r>
      <w:r w:rsidRPr="00FE58F0">
        <w:t>mechanism</w:t>
      </w:r>
      <w:r w:rsidR="00F24FF8" w:rsidRPr="00FE58F0">
        <w:t xml:space="preserve"> methodology</w:t>
      </w:r>
      <w:r w:rsidRPr="00FE58F0">
        <w:t>.</w:t>
      </w:r>
    </w:p>
    <w:p w14:paraId="0C8F7919" w14:textId="5D715100" w:rsidR="001C2394" w:rsidRPr="008F24EC" w:rsidRDefault="001C2394" w:rsidP="00FE58F0">
      <w:pPr>
        <w:pStyle w:val="SDMPara"/>
        <w:rPr>
          <w:rFonts w:eastAsia="Arial"/>
        </w:rPr>
      </w:pPr>
      <w:r w:rsidRPr="44027283">
        <w:rPr>
          <w:color w:val="000000" w:themeColor="text2"/>
        </w:rPr>
        <w:t>General requirements for surveys, including data collection and quality assurance/quality control (QA/QC), as well as requirements for sampling design, sample size determination, and reliability, shall be applied in accordance with the</w:t>
      </w:r>
      <w:r w:rsidR="6736C449" w:rsidRPr="44027283">
        <w:rPr>
          <w:color w:val="000000" w:themeColor="text2"/>
        </w:rPr>
        <w:t xml:space="preserve"> </w:t>
      </w:r>
      <w:r w:rsidR="004D0CA0" w:rsidRPr="004D0CA0">
        <w:rPr>
          <w:color w:val="000000" w:themeColor="text2"/>
        </w:rPr>
        <w:t>“Methodologic</w:t>
      </w:r>
      <w:r w:rsidR="003E7FDA">
        <w:rPr>
          <w:color w:val="000000" w:themeColor="text2"/>
        </w:rPr>
        <w:t>al</w:t>
      </w:r>
      <w:r w:rsidR="004D0CA0" w:rsidRPr="004D0CA0">
        <w:rPr>
          <w:color w:val="000000" w:themeColor="text2"/>
        </w:rPr>
        <w:t xml:space="preserve"> </w:t>
      </w:r>
      <w:r w:rsidR="00964927">
        <w:rPr>
          <w:color w:val="000000" w:themeColor="text2"/>
        </w:rPr>
        <w:t>t</w:t>
      </w:r>
      <w:r w:rsidR="004D0CA0" w:rsidRPr="004D0CA0">
        <w:rPr>
          <w:color w:val="000000" w:themeColor="text2"/>
        </w:rPr>
        <w:t>ool: Sampling</w:t>
      </w:r>
      <w:r w:rsidR="00B967A6" w:rsidRPr="004D0CA0">
        <w:rPr>
          <w:color w:val="000000" w:themeColor="text2"/>
        </w:rPr>
        <w:t xml:space="preserve"> and surveys</w:t>
      </w:r>
      <w:r w:rsidR="004D0CA0" w:rsidRPr="004D0CA0">
        <w:rPr>
          <w:color w:val="000000" w:themeColor="text2"/>
        </w:rPr>
        <w:t>”</w:t>
      </w:r>
      <w:r w:rsidR="2DB78181">
        <w:rPr>
          <w:color w:val="000000" w:themeColor="text2"/>
        </w:rPr>
        <w:t xml:space="preserve"> </w:t>
      </w:r>
      <w:r w:rsidR="00E06946">
        <w:rPr>
          <w:color w:val="000000" w:themeColor="text2"/>
        </w:rPr>
        <w:t>(A6.4-AMT-0</w:t>
      </w:r>
      <w:r w:rsidR="00376ED2">
        <w:rPr>
          <w:color w:val="000000" w:themeColor="text2"/>
        </w:rPr>
        <w:t>10</w:t>
      </w:r>
      <w:r w:rsidR="00E06946">
        <w:rPr>
          <w:color w:val="000000" w:themeColor="text2"/>
        </w:rPr>
        <w:t>)</w:t>
      </w:r>
      <w:r w:rsidRPr="00CD7A9E">
        <w:rPr>
          <w:i/>
          <w:iCs/>
          <w:color w:val="000000" w:themeColor="text2"/>
        </w:rPr>
        <w:t>.</w:t>
      </w:r>
    </w:p>
    <w:p w14:paraId="77256E13" w14:textId="3E2BCF79" w:rsidR="001C2394" w:rsidRPr="008F24EC" w:rsidRDefault="001C2394" w:rsidP="00655F47">
      <w:pPr>
        <w:pStyle w:val="SDMPara"/>
        <w:keepNext/>
        <w:rPr>
          <w:rFonts w:eastAsia="Arial"/>
        </w:rPr>
      </w:pPr>
      <w:r w:rsidRPr="001C2394">
        <w:t xml:space="preserve">The provisions in this appendix supplement the </w:t>
      </w:r>
      <w:r w:rsidR="003E7FDA" w:rsidRPr="004D0CA0">
        <w:rPr>
          <w:color w:val="000000" w:themeColor="text2"/>
        </w:rPr>
        <w:t>“Methodologic</w:t>
      </w:r>
      <w:r w:rsidR="003E7FDA">
        <w:rPr>
          <w:color w:val="000000" w:themeColor="text2"/>
        </w:rPr>
        <w:t>al</w:t>
      </w:r>
      <w:r w:rsidR="003E7FDA" w:rsidRPr="004D0CA0">
        <w:rPr>
          <w:color w:val="000000" w:themeColor="text2"/>
        </w:rPr>
        <w:t xml:space="preserve"> </w:t>
      </w:r>
      <w:r w:rsidR="00964927">
        <w:rPr>
          <w:color w:val="000000" w:themeColor="text2"/>
        </w:rPr>
        <w:t>t</w:t>
      </w:r>
      <w:r w:rsidR="003E7FDA" w:rsidRPr="004D0CA0">
        <w:rPr>
          <w:color w:val="000000" w:themeColor="text2"/>
        </w:rPr>
        <w:t>ool: Sampling</w:t>
      </w:r>
      <w:r w:rsidR="00F92E79" w:rsidRPr="004D0CA0">
        <w:rPr>
          <w:color w:val="000000" w:themeColor="text2"/>
        </w:rPr>
        <w:t xml:space="preserve"> and surveys</w:t>
      </w:r>
      <w:r w:rsidR="003E7FDA" w:rsidRPr="004D0CA0">
        <w:rPr>
          <w:color w:val="000000" w:themeColor="text2"/>
        </w:rPr>
        <w:t>”</w:t>
      </w:r>
      <w:r w:rsidR="00991E6C">
        <w:rPr>
          <w:color w:val="000000" w:themeColor="text2"/>
        </w:rPr>
        <w:t xml:space="preserve"> </w:t>
      </w:r>
      <w:r w:rsidR="00991E6C">
        <w:t>by</w:t>
      </w:r>
      <w:r w:rsidRPr="001C2394">
        <w:t xml:space="preserve"> providing:</w:t>
      </w:r>
    </w:p>
    <w:p w14:paraId="71FCBF5E" w14:textId="77777777" w:rsidR="001C2394" w:rsidRPr="00FE58F0" w:rsidRDefault="001C2394" w:rsidP="00FE58F0">
      <w:pPr>
        <w:pStyle w:val="SDMSubPara1"/>
      </w:pPr>
      <w:r w:rsidRPr="00FE58F0">
        <w:t>Survey types and their objectives;</w:t>
      </w:r>
    </w:p>
    <w:p w14:paraId="08466BB8" w14:textId="77777777" w:rsidR="001C2394" w:rsidRPr="001C2394" w:rsidRDefault="001C2394" w:rsidP="009D2355">
      <w:pPr>
        <w:pStyle w:val="SDMSubPara1"/>
      </w:pPr>
      <w:r w:rsidRPr="001C2394">
        <w:t>Key parameters to be assessed; and</w:t>
      </w:r>
    </w:p>
    <w:p w14:paraId="109F1AFC" w14:textId="69D20356" w:rsidR="001C2394" w:rsidRPr="001C2394" w:rsidRDefault="001C2394" w:rsidP="009D2355">
      <w:pPr>
        <w:pStyle w:val="SDMSubPara1"/>
      </w:pPr>
      <w:r w:rsidRPr="001C2394">
        <w:t>Activity-specific data collection and verification procedures</w:t>
      </w:r>
      <w:r w:rsidR="001B6E0D">
        <w:t>.</w:t>
      </w:r>
    </w:p>
    <w:p w14:paraId="42DADE4F" w14:textId="272072F4" w:rsidR="001C2394" w:rsidRPr="008F24EC" w:rsidRDefault="001C2394" w:rsidP="00FE58F0">
      <w:pPr>
        <w:pStyle w:val="SDMPara"/>
        <w:rPr>
          <w:rFonts w:eastAsia="Arial"/>
        </w:rPr>
      </w:pPr>
      <w:r w:rsidRPr="001C2394">
        <w:t xml:space="preserve">Requirements and guidance for selecting samples of appropriate size and representativeness can be found in </w:t>
      </w:r>
      <w:r w:rsidR="00B23C12" w:rsidRPr="008213A8">
        <w:fldChar w:fldCharType="begin"/>
      </w:r>
      <w:r w:rsidR="00B23C12" w:rsidRPr="008213A8">
        <w:instrText xml:space="preserve"> REF _Ref226983170 \r \h </w:instrText>
      </w:r>
      <w:r w:rsidR="006A2901" w:rsidRPr="008213A8">
        <w:instrText xml:space="preserve"> \* MERGEFORMAT </w:instrText>
      </w:r>
      <w:r w:rsidR="00B23C12" w:rsidRPr="008213A8">
        <w:fldChar w:fldCharType="separate"/>
      </w:r>
      <w:r w:rsidR="00831DAE">
        <w:rPr>
          <w:cs/>
        </w:rPr>
        <w:t>‎</w:t>
      </w:r>
      <w:r w:rsidR="00831DAE">
        <w:t>Appendix 4</w:t>
      </w:r>
      <w:r w:rsidR="00B23C12" w:rsidRPr="008213A8">
        <w:fldChar w:fldCharType="end"/>
      </w:r>
      <w:r w:rsidRPr="008213A8">
        <w:t>.</w:t>
      </w:r>
    </w:p>
    <w:p w14:paraId="0E7F5320" w14:textId="77777777" w:rsidR="006D2932" w:rsidRDefault="001C2394" w:rsidP="009E7040">
      <w:pPr>
        <w:pStyle w:val="SDMApp1"/>
      </w:pPr>
      <w:r w:rsidRPr="006A2901">
        <w:t>General survey requirements</w:t>
      </w:r>
    </w:p>
    <w:p w14:paraId="51E3CA38" w14:textId="0B77D050" w:rsidR="001C2394" w:rsidRPr="001C2394" w:rsidRDefault="001C2394" w:rsidP="009E7040">
      <w:pPr>
        <w:pStyle w:val="SDMApp2"/>
      </w:pPr>
      <w:r w:rsidRPr="001C2394">
        <w:t>Survey Administration</w:t>
      </w:r>
    </w:p>
    <w:p w14:paraId="2AD1ABB9" w14:textId="27606793" w:rsidR="001C2394" w:rsidRPr="008F24EC" w:rsidRDefault="001C2394" w:rsidP="00FE58F0">
      <w:pPr>
        <w:pStyle w:val="SDMPara"/>
        <w:rPr>
          <w:rFonts w:eastAsia="Arial"/>
        </w:rPr>
      </w:pPr>
      <w:r w:rsidRPr="006A2901">
        <w:t xml:space="preserve">Surveys shall be conducted by trained enumerators in accordance with the sampling plan and QA/QC procedures. </w:t>
      </w:r>
      <w:r w:rsidR="008846C1">
        <w:t>E</w:t>
      </w:r>
      <w:r w:rsidRPr="001C2394">
        <w:t>numerators</w:t>
      </w:r>
      <w:r w:rsidRPr="001C2394" w:rsidDel="008846C1">
        <w:t xml:space="preserve"> </w:t>
      </w:r>
      <w:r w:rsidR="008846C1">
        <w:t>shall</w:t>
      </w:r>
      <w:r w:rsidR="008846C1" w:rsidRPr="001C2394">
        <w:t xml:space="preserve"> </w:t>
      </w:r>
      <w:r w:rsidRPr="001C2394">
        <w:t xml:space="preserve">be independent of the </w:t>
      </w:r>
      <w:r w:rsidR="00F76EDA">
        <w:t>activity</w:t>
      </w:r>
      <w:r w:rsidR="00F76EDA" w:rsidRPr="001C2394">
        <w:t xml:space="preserve"> </w:t>
      </w:r>
      <w:r w:rsidR="00180890">
        <w:t>participant</w:t>
      </w:r>
      <w:r w:rsidRPr="001C2394">
        <w:t xml:space="preserve">’s organization. </w:t>
      </w:r>
      <w:r w:rsidR="007D4D1F">
        <w:t>Where applicable, t</w:t>
      </w:r>
      <w:r w:rsidR="007D4D1F" w:rsidRPr="001C2394">
        <w:t xml:space="preserve">he independence of the entity </w:t>
      </w:r>
      <w:r w:rsidR="007D4D1F">
        <w:t>shall</w:t>
      </w:r>
      <w:r w:rsidR="007D4D1F" w:rsidRPr="001C2394">
        <w:t xml:space="preserve"> be demonstrated through a signed conflict of interest form in which all conflicts are disclosed (including relational, financial, competitive, and others)</w:t>
      </w:r>
      <w:r w:rsidR="0091098F">
        <w:t xml:space="preserve">. </w:t>
      </w:r>
      <w:r w:rsidRPr="001C2394">
        <w:t xml:space="preserve">At a minimum, enumerators shall not be engaged in a customer-facing role for the </w:t>
      </w:r>
      <w:r w:rsidR="002C5CD0">
        <w:t>activity</w:t>
      </w:r>
      <w:r w:rsidR="002C5CD0" w:rsidRPr="001C2394">
        <w:t xml:space="preserve"> </w:t>
      </w:r>
      <w:r w:rsidR="007D16C7">
        <w:t>participant</w:t>
      </w:r>
      <w:r w:rsidRPr="001C2394">
        <w:t xml:space="preserve"> or its implementation partners, such as selling, marketing, distributing, or providing customer service for project </w:t>
      </w:r>
      <w:r w:rsidR="0091098F" w:rsidRPr="006A2901">
        <w:t>cookstoves</w:t>
      </w:r>
      <w:r w:rsidRPr="001C2394">
        <w:t>.</w:t>
      </w:r>
    </w:p>
    <w:p w14:paraId="48B5A8D4" w14:textId="3482BD7C" w:rsidR="001C2394" w:rsidRPr="008F24EC" w:rsidRDefault="001C2394" w:rsidP="008F24EC">
      <w:pPr>
        <w:pStyle w:val="SDMPara"/>
        <w:rPr>
          <w:rFonts w:eastAsia="Arial"/>
        </w:rPr>
      </w:pPr>
      <w:r w:rsidRPr="006A2901">
        <w:t>Data collection shall be carried out using methods that ensure accuracy, consistency and traceability. W</w:t>
      </w:r>
      <w:r w:rsidRPr="001C2394">
        <w:rPr>
          <w:color w:val="000000" w:themeColor="text1"/>
        </w:rPr>
        <w:t>here feasible, surveys shall be conducted using electronic data collection systems with built-in validation checks</w:t>
      </w:r>
      <w:r w:rsidR="0091098F">
        <w:rPr>
          <w:color w:val="000000" w:themeColor="text1"/>
        </w:rPr>
        <w:t>.</w:t>
      </w:r>
    </w:p>
    <w:p w14:paraId="7C1AB7EF" w14:textId="77777777" w:rsidR="001C2394" w:rsidRPr="001C2394" w:rsidRDefault="001C2394" w:rsidP="009E7040">
      <w:pPr>
        <w:pStyle w:val="SDMApp2"/>
      </w:pPr>
      <w:r w:rsidRPr="001C2394">
        <w:t>Respondent selection and consent</w:t>
      </w:r>
    </w:p>
    <w:p w14:paraId="280F53BF" w14:textId="120C2D7F" w:rsidR="001C2394" w:rsidRPr="008F24EC" w:rsidRDefault="001C2394" w:rsidP="008F24EC">
      <w:pPr>
        <w:pStyle w:val="SDMPara"/>
        <w:rPr>
          <w:rFonts w:eastAsia="Arial"/>
        </w:rPr>
      </w:pPr>
      <w:r w:rsidRPr="006A2901">
        <w:t xml:space="preserve">Surveys </w:t>
      </w:r>
      <w:r w:rsidR="00B40139" w:rsidRPr="006A2901">
        <w:t xml:space="preserve">should </w:t>
      </w:r>
      <w:r w:rsidRPr="006A2901">
        <w:t>be conducted with the main household cook, who must give her informed consent prior to the start of the interview. Consent shall be documented as part of the survey record.</w:t>
      </w:r>
    </w:p>
    <w:p w14:paraId="6F0C8D0B" w14:textId="77777777" w:rsidR="001C2394" w:rsidRPr="008F24EC" w:rsidRDefault="001C2394" w:rsidP="00FE58F0">
      <w:pPr>
        <w:pStyle w:val="SDMPara"/>
        <w:rPr>
          <w:rFonts w:eastAsia="Arial"/>
        </w:rPr>
      </w:pPr>
      <w:r w:rsidRPr="001C2394">
        <w:rPr>
          <w:color w:val="000000" w:themeColor="text1"/>
        </w:rPr>
        <w:t>Where the main cook is unavailable, the interview may be conducted with another knowledgeable household member, provided that reasonable efforts are made to validate responses. Where the main cook is a dependent child, both the child and their guardian shall provide consent and be present.</w:t>
      </w:r>
    </w:p>
    <w:p w14:paraId="4F8BC3D9" w14:textId="70FE4C18" w:rsidR="001C2394" w:rsidRPr="001C2394" w:rsidRDefault="001C2394" w:rsidP="009E7040">
      <w:pPr>
        <w:pStyle w:val="SDMApp2"/>
      </w:pPr>
      <w:r w:rsidRPr="001C2394">
        <w:t>Language and cultural considerations</w:t>
      </w:r>
    </w:p>
    <w:p w14:paraId="3FE5488E" w14:textId="5AC7E9A5" w:rsidR="001C2394" w:rsidRPr="008F24EC" w:rsidRDefault="001C2394" w:rsidP="00FE58F0">
      <w:pPr>
        <w:pStyle w:val="SDMPara"/>
        <w:rPr>
          <w:rFonts w:eastAsia="Arial"/>
        </w:rPr>
      </w:pPr>
      <w:r w:rsidRPr="001C2394">
        <w:rPr>
          <w:color w:val="000000" w:themeColor="text1"/>
        </w:rPr>
        <w:t>Surveys shall be conducted in a language understood by the respondent. Where</w:t>
      </w:r>
      <w:r w:rsidRPr="006A2901">
        <w:t xml:space="preserve"> the enumerators do not speak the local language fluently, a qualified</w:t>
      </w:r>
      <w:r w:rsidR="00B40139" w:rsidRPr="006A2901">
        <w:t xml:space="preserve"> </w:t>
      </w:r>
      <w:r w:rsidRPr="006A2901">
        <w:t>interpreter shall be used in the exercise.</w:t>
      </w:r>
    </w:p>
    <w:p w14:paraId="5A1D3891" w14:textId="53488981" w:rsidR="001C2394" w:rsidRPr="008F24EC" w:rsidRDefault="001C2394" w:rsidP="00FE58F0">
      <w:pPr>
        <w:pStyle w:val="SDMPara"/>
        <w:rPr>
          <w:rFonts w:eastAsia="Arial"/>
        </w:rPr>
      </w:pPr>
      <w:r w:rsidRPr="006A2901">
        <w:t>Surveys should be as concise as possible. Enumerators shall provide a realistic estimate of the time needed to complete the survey.</w:t>
      </w:r>
    </w:p>
    <w:p w14:paraId="2E0FE95F" w14:textId="3421490E" w:rsidR="001C2394" w:rsidRPr="008F24EC" w:rsidRDefault="001C2394" w:rsidP="00FE58F0">
      <w:pPr>
        <w:pStyle w:val="SDMPara"/>
        <w:rPr>
          <w:rFonts w:eastAsia="Arial"/>
        </w:rPr>
      </w:pPr>
      <w:r w:rsidRPr="006A2901">
        <w:t>The s</w:t>
      </w:r>
      <w:r w:rsidRPr="001C2394">
        <w:rPr>
          <w:color w:val="000000" w:themeColor="text1"/>
        </w:rPr>
        <w:t>urvey implementation shall respect applicable national regulations, as well as local customs and practices. Hence, b</w:t>
      </w:r>
      <w:r w:rsidRPr="006A2901">
        <w:t xml:space="preserve">efore conducting surveys, the </w:t>
      </w:r>
      <w:r w:rsidR="004719D6">
        <w:t>activity participants</w:t>
      </w:r>
      <w:r w:rsidRPr="006A2901">
        <w:t xml:space="preserve"> shall ensure that relevant local authorities and community leaders have been consulted.</w:t>
      </w:r>
    </w:p>
    <w:p w14:paraId="33789B0F" w14:textId="6580B05D" w:rsidR="001C2394" w:rsidRPr="008F24EC" w:rsidRDefault="001C2394" w:rsidP="00FE58F0">
      <w:pPr>
        <w:pStyle w:val="SDMPara"/>
        <w:rPr>
          <w:rFonts w:eastAsia="Arial"/>
        </w:rPr>
      </w:pPr>
      <w:r w:rsidRPr="001C2394">
        <w:rPr>
          <w:color w:val="000000" w:themeColor="text1"/>
        </w:rPr>
        <w:t>Survey instruments shall be designed to minimize respondent burden and reduce bias. Where retrospective information is required, questions should refer to recent and specific time periods (e.g. “yesterday”) to improve recall accuracy.</w:t>
      </w:r>
      <w:r w:rsidRPr="006A2901">
        <w:t xml:space="preserve"> </w:t>
      </w:r>
      <w:r w:rsidR="000B6446" w:rsidRPr="006A2901">
        <w:t>This</w:t>
      </w:r>
      <w:r w:rsidRPr="006A2901">
        <w:t xml:space="preserve"> approach has been shown to be more accurate than asking interviewees to aggregate or approximate their activities over a longer period of time, such as “last week.”</w:t>
      </w:r>
    </w:p>
    <w:p w14:paraId="34E1551C" w14:textId="77777777" w:rsidR="001C2394" w:rsidRPr="001C2394" w:rsidRDefault="001C2394" w:rsidP="00DA41C0">
      <w:pPr>
        <w:pStyle w:val="SDMApp2"/>
      </w:pPr>
      <w:r w:rsidRPr="001C2394">
        <w:t>Definition of cooking events</w:t>
      </w:r>
    </w:p>
    <w:p w14:paraId="438AD1AA" w14:textId="661B0ED5" w:rsidR="001C2394" w:rsidRPr="008F24EC" w:rsidRDefault="001C2394" w:rsidP="00FE58F0">
      <w:pPr>
        <w:pStyle w:val="SDMPara"/>
        <w:rPr>
          <w:rFonts w:eastAsia="Arial"/>
        </w:rPr>
      </w:pPr>
      <w:r w:rsidRPr="001C2394">
        <w:rPr>
          <w:color w:val="000000" w:themeColor="text1"/>
        </w:rPr>
        <w:t xml:space="preserve">For the purposes of this methodology, a </w:t>
      </w:r>
      <w:r w:rsidRPr="001C2394">
        <w:rPr>
          <w:i/>
          <w:iCs/>
          <w:color w:val="000000" w:themeColor="text1"/>
        </w:rPr>
        <w:t>cooking event</w:t>
      </w:r>
      <w:r w:rsidRPr="001C2394">
        <w:rPr>
          <w:color w:val="000000" w:themeColor="text1"/>
        </w:rPr>
        <w:t xml:space="preserve"> refers to any instance in which useful energy is delivered from a cookstove to perform a discrete task or set of tasks (e.g.</w:t>
      </w:r>
      <w:r w:rsidR="00535D22">
        <w:rPr>
          <w:color w:val="000000" w:themeColor="text1"/>
        </w:rPr>
        <w:t> </w:t>
      </w:r>
      <w:r w:rsidRPr="001C2394">
        <w:rPr>
          <w:color w:val="000000" w:themeColor="text1"/>
        </w:rPr>
        <w:t>cooking a meal, preparing beverages, or heating water).</w:t>
      </w:r>
    </w:p>
    <w:p w14:paraId="3F9A2CF7" w14:textId="77777777" w:rsidR="001C2394" w:rsidRPr="008F24EC" w:rsidRDefault="001C2394" w:rsidP="00FE58F0">
      <w:pPr>
        <w:pStyle w:val="SDMPara"/>
        <w:rPr>
          <w:rFonts w:eastAsia="Arial"/>
        </w:rPr>
      </w:pPr>
      <w:r w:rsidRPr="001C2394">
        <w:rPr>
          <w:color w:val="000000" w:themeColor="text1"/>
        </w:rPr>
        <w:t>Survey instruments shall ensure that all relevant cooking events are captured consistently across respondents.</w:t>
      </w:r>
    </w:p>
    <w:p w14:paraId="18BBE124" w14:textId="77777777" w:rsidR="001C2394" w:rsidRPr="001C2394" w:rsidRDefault="001C2394" w:rsidP="00655F47">
      <w:pPr>
        <w:pStyle w:val="SDMApp2"/>
      </w:pPr>
      <w:r w:rsidRPr="001C2394">
        <w:t>Additional guidance on survey design and implementation:</w:t>
      </w:r>
    </w:p>
    <w:p w14:paraId="7AB8DAA5" w14:textId="77777777" w:rsidR="001C2394" w:rsidRPr="008F24EC" w:rsidRDefault="001C2394" w:rsidP="00655F47">
      <w:pPr>
        <w:pStyle w:val="SDMPara"/>
        <w:keepNext/>
        <w:rPr>
          <w:rFonts w:eastAsia="Arial"/>
        </w:rPr>
      </w:pPr>
      <w:r w:rsidRPr="006A2901">
        <w:t>Additional general guidance on conducting high-quality surveys in the low- and middle-income country (LMIC) context can be found in the following documents:</w:t>
      </w:r>
    </w:p>
    <w:p w14:paraId="20A8F177" w14:textId="1D112B1E" w:rsidR="001C2394" w:rsidRPr="001C2394" w:rsidRDefault="001C2394" w:rsidP="00FE58F0">
      <w:pPr>
        <w:pStyle w:val="SDMSubPara1"/>
      </w:pPr>
      <w:hyperlink r:id="rId25">
        <w:r w:rsidRPr="006A2901">
          <w:rPr>
            <w:color w:val="1155CC"/>
            <w:u w:val="single"/>
          </w:rPr>
          <w:t>Household Sample Surveys in Developing and Transition Countries</w:t>
        </w:r>
      </w:hyperlink>
      <w:r w:rsidRPr="006A2901">
        <w:rPr>
          <w:color w:val="1155CC"/>
          <w:u w:val="single"/>
        </w:rPr>
        <w:t>;</w:t>
      </w:r>
    </w:p>
    <w:p w14:paraId="0C443016" w14:textId="4BD6ABB4" w:rsidR="001C2394" w:rsidRPr="001C2394" w:rsidRDefault="001C2394" w:rsidP="00FE58F0">
      <w:pPr>
        <w:pStyle w:val="SDMSubPara1"/>
      </w:pPr>
      <w:hyperlink r:id="rId26">
        <w:r w:rsidRPr="006A2901">
          <w:rPr>
            <w:color w:val="1155CC"/>
            <w:u w:val="single"/>
          </w:rPr>
          <w:t>Designing Household Survey Samples: Practical Guidelines</w:t>
        </w:r>
      </w:hyperlink>
      <w:r w:rsidRPr="006A2901">
        <w:rPr>
          <w:color w:val="1155CC"/>
          <w:u w:val="single"/>
        </w:rPr>
        <w:t>;</w:t>
      </w:r>
    </w:p>
    <w:p w14:paraId="172CD281" w14:textId="0EA115BE" w:rsidR="001C2394" w:rsidRPr="001C2394" w:rsidRDefault="001C2394" w:rsidP="00FE58F0">
      <w:pPr>
        <w:pStyle w:val="SDMSubPara1"/>
      </w:pPr>
      <w:r w:rsidRPr="001C695C">
        <w:rPr>
          <w:color w:val="181F25"/>
        </w:rPr>
        <w:t xml:space="preserve">Siwatu,Gbemisola Oseni; Palacios-Lopez,Amparo; Mugera,Harriet Kasidi; Durazo,Josefine. </w:t>
      </w:r>
      <w:r w:rsidRPr="006A2901">
        <w:rPr>
          <w:i/>
          <w:color w:val="181F25"/>
        </w:rPr>
        <w:t xml:space="preserve">Capturing What Matters: Essential Guidelines for Designing Household Surveys (English). </w:t>
      </w:r>
      <w:r w:rsidRPr="006A2901">
        <w:rPr>
          <w:color w:val="181F25"/>
        </w:rPr>
        <w:t xml:space="preserve">LSMS Guidebook Washington, D.C.: World Bank Group. </w:t>
      </w:r>
      <w:hyperlink r:id="rId27">
        <w:r w:rsidRPr="006A2901">
          <w:rPr>
            <w:color w:val="0000FF"/>
            <w:u w:val="single"/>
          </w:rPr>
          <w:t>http://documents.worldbank.org/curated/en/381751639456530686</w:t>
        </w:r>
      </w:hyperlink>
      <w:r w:rsidR="001B6E0D">
        <w:t>.</w:t>
      </w:r>
    </w:p>
    <w:p w14:paraId="2D945783" w14:textId="4B08B663" w:rsidR="001C2394" w:rsidRPr="008F24EC" w:rsidRDefault="001C2394" w:rsidP="00655F47">
      <w:pPr>
        <w:pStyle w:val="SDMPara"/>
        <w:keepNext/>
        <w:rPr>
          <w:rFonts w:eastAsia="Arial"/>
        </w:rPr>
      </w:pPr>
      <w:r w:rsidRPr="006A2901">
        <w:t>Specific survey guidance and tested questions relating to various aspects of household energy patterns and transitions, including cooking carbon projects, can be found in the following resources</w:t>
      </w:r>
      <w:r w:rsidR="001B6E0D">
        <w:t>:</w:t>
      </w:r>
    </w:p>
    <w:p w14:paraId="2EEDFC5B" w14:textId="02CA25FB" w:rsidR="001C2394" w:rsidRPr="001C2394" w:rsidRDefault="001C2394" w:rsidP="009D2355">
      <w:pPr>
        <w:pStyle w:val="SDMSubPara1"/>
      </w:pPr>
      <w:hyperlink r:id="rId28">
        <w:r w:rsidRPr="006A2901">
          <w:rPr>
            <w:color w:val="1155CC"/>
            <w:u w:val="single"/>
          </w:rPr>
          <w:t>Guidance on survey design</w:t>
        </w:r>
      </w:hyperlink>
      <w:r w:rsidRPr="006A2901">
        <w:rPr>
          <w:color w:val="181F25"/>
        </w:rPr>
        <w:t xml:space="preserve"> from the authors of Gill-Wiehl, A., Kammen, D.M. &amp; Haya, B.K. Pervasive over-crediting from cookstove offset methodologies. Nat Sustain 7, 191–202 (2024). </w:t>
      </w:r>
      <w:hyperlink r:id="rId29">
        <w:r w:rsidRPr="006A2901">
          <w:rPr>
            <w:color w:val="1155CC"/>
            <w:u w:val="single"/>
          </w:rPr>
          <w:t>https://doi.org/10.1038/s41893-023-01259-6</w:t>
        </w:r>
      </w:hyperlink>
      <w:r w:rsidRPr="006A2901">
        <w:rPr>
          <w:color w:val="1155CC"/>
          <w:u w:val="single"/>
        </w:rPr>
        <w:t>;</w:t>
      </w:r>
    </w:p>
    <w:p w14:paraId="7AF6F8A3" w14:textId="7BF971B7" w:rsidR="001C2394" w:rsidRPr="001C2394" w:rsidRDefault="001C2394" w:rsidP="009D2355">
      <w:pPr>
        <w:pStyle w:val="SDMSubPara1"/>
      </w:pPr>
      <w:r w:rsidRPr="006A2901">
        <w:rPr>
          <w:color w:val="181F25"/>
        </w:rPr>
        <w:t xml:space="preserve">Clean Cooking Alliance’s </w:t>
      </w:r>
      <w:hyperlink r:id="rId30">
        <w:r w:rsidRPr="006A2901">
          <w:rPr>
            <w:color w:val="1155CC"/>
            <w:u w:val="single"/>
          </w:rPr>
          <w:t>Fuel Stacking Toolkit</w:t>
        </w:r>
      </w:hyperlink>
      <w:r w:rsidRPr="006A2901">
        <w:rPr>
          <w:color w:val="1155CC"/>
          <w:u w:val="single"/>
        </w:rPr>
        <w:t>.</w:t>
      </w:r>
    </w:p>
    <w:p w14:paraId="6FAD6D4A" w14:textId="2EBDBCB4" w:rsidR="001C2394" w:rsidRPr="001C2394" w:rsidRDefault="001C2394" w:rsidP="009E7040">
      <w:pPr>
        <w:pStyle w:val="SDMApp1"/>
      </w:pPr>
      <w:r w:rsidRPr="001C2394">
        <w:t>Pre-</w:t>
      </w:r>
      <w:r w:rsidR="00BD48F5">
        <w:t>activity</w:t>
      </w:r>
      <w:r w:rsidRPr="001C2394">
        <w:t xml:space="preserve"> survey</w:t>
      </w:r>
    </w:p>
    <w:p w14:paraId="6B469542" w14:textId="77777777" w:rsidR="001C2394" w:rsidRPr="001C2394" w:rsidRDefault="001C2394" w:rsidP="00655F47">
      <w:pPr>
        <w:pStyle w:val="SDMApp2"/>
      </w:pPr>
      <w:r w:rsidRPr="001C2394">
        <w:t>Purpose:</w:t>
      </w:r>
    </w:p>
    <w:p w14:paraId="0DD8FC0A" w14:textId="7045005F" w:rsidR="001C2394" w:rsidRPr="008F24EC" w:rsidRDefault="001C2394" w:rsidP="00655F47">
      <w:pPr>
        <w:pStyle w:val="SDMPara"/>
        <w:keepNext/>
        <w:rPr>
          <w:rFonts w:eastAsia="Arial"/>
        </w:rPr>
      </w:pPr>
      <w:r w:rsidRPr="00CC2D49">
        <w:rPr>
          <w:color w:val="000000" w:themeColor="text1"/>
        </w:rPr>
        <w:t>The pre-</w:t>
      </w:r>
      <w:r w:rsidR="00BD48F5">
        <w:rPr>
          <w:color w:val="000000" w:themeColor="text1"/>
        </w:rPr>
        <w:t>activity</w:t>
      </w:r>
      <w:r w:rsidRPr="00CC2D49">
        <w:rPr>
          <w:color w:val="000000" w:themeColor="text1"/>
        </w:rPr>
        <w:t xml:space="preserve"> survey shall be conducted to:</w:t>
      </w:r>
    </w:p>
    <w:p w14:paraId="5849D73C" w14:textId="1C1D1103" w:rsidR="001C2394" w:rsidRPr="001C2394" w:rsidRDefault="001C2394" w:rsidP="009D2355">
      <w:pPr>
        <w:pStyle w:val="SDMSubPara1"/>
      </w:pPr>
      <w:r w:rsidRPr="001C2394">
        <w:t>Establish the household size</w:t>
      </w:r>
      <w:r w:rsidR="002A7C3F">
        <w:t xml:space="preserve"> (number of persons per household)</w:t>
      </w:r>
      <w:r w:rsidRPr="001C2394">
        <w:t>;</w:t>
      </w:r>
    </w:p>
    <w:p w14:paraId="23D2FD34" w14:textId="77777777" w:rsidR="001C2394" w:rsidRPr="001C2394" w:rsidRDefault="001C2394" w:rsidP="009D2355">
      <w:pPr>
        <w:pStyle w:val="SDMSubPara1"/>
      </w:pPr>
      <w:r w:rsidRPr="001C2394">
        <w:t>Identify cooking fuels and technologies used;</w:t>
      </w:r>
    </w:p>
    <w:p w14:paraId="26FCB871" w14:textId="14CF905C" w:rsidR="001C2394" w:rsidRPr="001C2394" w:rsidRDefault="008D59C1" w:rsidP="009D2355">
      <w:pPr>
        <w:pStyle w:val="SDMSubPara1"/>
      </w:pPr>
      <w:r>
        <w:t>Q</w:t>
      </w:r>
      <w:r w:rsidR="001C2394" w:rsidRPr="001C2394">
        <w:t>uantify the proportion of cooking events associated with each fuel-technology combination;</w:t>
      </w:r>
      <w:r w:rsidR="001B6E0D">
        <w:t xml:space="preserve"> </w:t>
      </w:r>
      <w:r w:rsidR="001B1644">
        <w:t>and</w:t>
      </w:r>
    </w:p>
    <w:p w14:paraId="1AC6C79F" w14:textId="65CB702D" w:rsidR="00C52D74" w:rsidRPr="00DE0650" w:rsidRDefault="008D59C1" w:rsidP="009D2355">
      <w:pPr>
        <w:pStyle w:val="SDMSubPara1"/>
      </w:pPr>
      <w:r>
        <w:t>A</w:t>
      </w:r>
      <w:r w:rsidR="001C2394" w:rsidRPr="001C2394">
        <w:t xml:space="preserve">ssess whether space heating </w:t>
      </w:r>
      <w:r w:rsidR="009B7118">
        <w:t>affects</w:t>
      </w:r>
      <w:r w:rsidR="009B7118" w:rsidRPr="001C2394">
        <w:t xml:space="preserve"> </w:t>
      </w:r>
      <w:r w:rsidR="001C2394" w:rsidRPr="001C2394">
        <w:t>fuel consumption, where relevant</w:t>
      </w:r>
      <w:r w:rsidR="00DE0650">
        <w:t>.</w:t>
      </w:r>
    </w:p>
    <w:p w14:paraId="53A8598A" w14:textId="77777777" w:rsidR="001C2394" w:rsidRPr="001C2394" w:rsidRDefault="001C2394" w:rsidP="009E7040">
      <w:pPr>
        <w:pStyle w:val="SDMApp2"/>
      </w:pPr>
      <w:r w:rsidRPr="001C2394">
        <w:t>Application of results</w:t>
      </w:r>
    </w:p>
    <w:p w14:paraId="7C7FF77E" w14:textId="244E6649" w:rsidR="001C2394" w:rsidRPr="008F24EC" w:rsidRDefault="001C2394" w:rsidP="00FE58F0">
      <w:pPr>
        <w:pStyle w:val="SDMPara"/>
        <w:rPr>
          <w:rFonts w:eastAsia="Arial"/>
        </w:rPr>
      </w:pPr>
      <w:r w:rsidRPr="001C2394">
        <w:rPr>
          <w:color w:val="000000" w:themeColor="text1"/>
        </w:rPr>
        <w:t>The results of the pre-</w:t>
      </w:r>
      <w:r w:rsidR="00BD48F5">
        <w:rPr>
          <w:color w:val="000000" w:themeColor="text1"/>
        </w:rPr>
        <w:t>activity</w:t>
      </w:r>
      <w:r w:rsidRPr="001C2394">
        <w:rPr>
          <w:color w:val="000000" w:themeColor="text1"/>
        </w:rPr>
        <w:t xml:space="preserve"> survey shall be used to inform the design of the monitoring approach, including the treatment of seasonal variation and any additional uses of fuel (e.g. space heating).</w:t>
      </w:r>
    </w:p>
    <w:p w14:paraId="5446A059" w14:textId="77777777" w:rsidR="001C2394" w:rsidRPr="008F24EC" w:rsidRDefault="001C2394" w:rsidP="00FE58F0">
      <w:pPr>
        <w:pStyle w:val="SDMPara"/>
        <w:rPr>
          <w:rFonts w:eastAsia="Arial"/>
        </w:rPr>
      </w:pPr>
      <w:r w:rsidRPr="001C2394">
        <w:rPr>
          <w:color w:val="000000" w:themeColor="text1"/>
        </w:rPr>
        <w:t>Where significant variation is identified, activity participants shall demonstrate how such variation is accounted for in the monitoring plan or apply conservative assumptions, as appropriate.</w:t>
      </w:r>
    </w:p>
    <w:p w14:paraId="34824EAC" w14:textId="29212965" w:rsidR="001C2394" w:rsidRPr="008F24EC" w:rsidRDefault="001C2394" w:rsidP="00FE58F0">
      <w:pPr>
        <w:pStyle w:val="SDMPara"/>
        <w:rPr>
          <w:rFonts w:eastAsia="Arial"/>
        </w:rPr>
      </w:pPr>
      <w:r w:rsidRPr="001C2394">
        <w:rPr>
          <w:color w:val="000000" w:themeColor="text1"/>
        </w:rPr>
        <w:t>Activity participants shall justify, in</w:t>
      </w:r>
      <w:r w:rsidRPr="001C2394">
        <w:t xml:space="preserve"> the </w:t>
      </w:r>
      <w:r w:rsidR="00140654">
        <w:t>a</w:t>
      </w:r>
      <w:r w:rsidR="00460434">
        <w:t>ctivity</w:t>
      </w:r>
      <w:r w:rsidR="00460434" w:rsidRPr="001C2394">
        <w:t xml:space="preserve"> </w:t>
      </w:r>
      <w:r w:rsidR="00DD7D95">
        <w:t>i</w:t>
      </w:r>
      <w:r w:rsidRPr="001C2394">
        <w:t xml:space="preserve">nformation </w:t>
      </w:r>
      <w:r w:rsidR="00DD7D95">
        <w:t>c</w:t>
      </w:r>
      <w:r w:rsidRPr="001C2394">
        <w:t xml:space="preserve">over Sheet, how the selected approach ensures accurate estimation of </w:t>
      </w:r>
      <w:r w:rsidR="00460434">
        <w:t>activity</w:t>
      </w:r>
      <w:r w:rsidR="00460434" w:rsidRPr="001C2394">
        <w:t xml:space="preserve"> </w:t>
      </w:r>
      <w:r w:rsidRPr="001C2394">
        <w:t>fuel use.</w:t>
      </w:r>
    </w:p>
    <w:p w14:paraId="0610FC3F" w14:textId="2210018C" w:rsidR="001C2394" w:rsidRPr="008F24EC" w:rsidRDefault="001C2394" w:rsidP="00FE58F0">
      <w:pPr>
        <w:pStyle w:val="SDMPara"/>
        <w:rPr>
          <w:rFonts w:eastAsia="Arial"/>
        </w:rPr>
      </w:pPr>
      <w:r w:rsidRPr="001C2394">
        <w:t xml:space="preserve">If space heating is common in the </w:t>
      </w:r>
      <w:r w:rsidR="00460434">
        <w:t>activity</w:t>
      </w:r>
      <w:r w:rsidR="00460434" w:rsidRPr="001C2394">
        <w:t xml:space="preserve"> </w:t>
      </w:r>
      <w:r w:rsidRPr="001C2394">
        <w:t xml:space="preserve">area, the justification must include an explanation of how space heating has been addressed in the </w:t>
      </w:r>
      <w:r w:rsidR="003A6C98">
        <w:t>activity</w:t>
      </w:r>
      <w:r w:rsidRPr="001C2394">
        <w:t xml:space="preserve"> design</w:t>
      </w:r>
      <w:r w:rsidR="003A6C98">
        <w:t xml:space="preserve"> to focus the activity quantification on cooking</w:t>
      </w:r>
      <w:r w:rsidRPr="001C2394">
        <w:t xml:space="preserve">. Where an accurate approach cannot be taken, then the </w:t>
      </w:r>
      <w:r w:rsidR="004719D6">
        <w:t>activity participants</w:t>
      </w:r>
      <w:r w:rsidRPr="001C2394">
        <w:t xml:space="preserve"> must instead select and justify a conservative approach.</w:t>
      </w:r>
    </w:p>
    <w:p w14:paraId="783A7721" w14:textId="7025ECAB" w:rsidR="00B14035" w:rsidRPr="001C2394" w:rsidRDefault="00B14035" w:rsidP="00B14035">
      <w:pPr>
        <w:pStyle w:val="SDMApp2"/>
      </w:pPr>
      <w:r w:rsidRPr="001C2394">
        <w:t>Examples of common cookstove types</w:t>
      </w:r>
    </w:p>
    <w:p w14:paraId="2041E51D" w14:textId="71A32469" w:rsidR="00B75766" w:rsidRPr="008F24EC" w:rsidRDefault="00B75766" w:rsidP="00FE58F0">
      <w:pPr>
        <w:pStyle w:val="SDMPara"/>
        <w:rPr>
          <w:rFonts w:eastAsia="Arial"/>
        </w:rPr>
      </w:pPr>
      <w:r w:rsidRPr="02CF717E">
        <w:rPr>
          <w:color w:val="000000" w:themeColor="text2"/>
        </w:rPr>
        <w:t>To support consistent identification and classification of baseline technologies during surveys, the following non-exhaustive list of commonly observed cookstove types is provided.</w:t>
      </w:r>
    </w:p>
    <w:p w14:paraId="742A7949" w14:textId="7AC0E5BF" w:rsidR="130F94BB" w:rsidRPr="0084497A" w:rsidRDefault="67BA0C2C" w:rsidP="00504213">
      <w:pPr>
        <w:pStyle w:val="SDMApp3"/>
        <w:keepNext w:val="0"/>
        <w:keepLines w:val="0"/>
      </w:pPr>
      <w:r>
        <w:t>Wood-based cookstoves</w:t>
      </w:r>
    </w:p>
    <w:p w14:paraId="75F928B1" w14:textId="0197180D" w:rsidR="00B14035" w:rsidRPr="008F24EC" w:rsidRDefault="00B14035" w:rsidP="00655F47">
      <w:pPr>
        <w:pStyle w:val="SDMPara"/>
        <w:keepNext/>
        <w:rPr>
          <w:rFonts w:eastAsia="Arial"/>
        </w:rPr>
      </w:pPr>
      <w:r w:rsidRPr="001C2394">
        <w:t>Three-</w:t>
      </w:r>
      <w:r>
        <w:t>s</w:t>
      </w:r>
      <w:r w:rsidRPr="001C2394">
        <w:t xml:space="preserve">tone </w:t>
      </w:r>
      <w:r w:rsidR="000D59E0">
        <w:t>f</w:t>
      </w:r>
      <w:r w:rsidRPr="001C2394">
        <w:t>ire:</w:t>
      </w:r>
    </w:p>
    <w:p w14:paraId="729B0A4E" w14:textId="453015E5" w:rsidR="00B14035" w:rsidRPr="001C2394" w:rsidRDefault="00B14035" w:rsidP="009D2355">
      <w:pPr>
        <w:pStyle w:val="SDMSubPara1"/>
      </w:pPr>
      <w:r w:rsidRPr="001C2394">
        <w:t>A setup using three stones or bricks arranged in a triangular shape to support a cooking pot, with an open fire in the centr</w:t>
      </w:r>
      <w:r>
        <w:t>e</w:t>
      </w:r>
      <w:r w:rsidRPr="001C2394">
        <w:t>;</w:t>
      </w:r>
      <w:r w:rsidR="00505E45">
        <w:t xml:space="preserve"> and</w:t>
      </w:r>
    </w:p>
    <w:p w14:paraId="40E743DA" w14:textId="77777777" w:rsidR="00B14035" w:rsidRPr="001C2394" w:rsidRDefault="00B14035" w:rsidP="009D2355">
      <w:pPr>
        <w:pStyle w:val="SDMSubPara1"/>
      </w:pPr>
      <w:r w:rsidRPr="001C2394">
        <w:t xml:space="preserve">Materials: </w:t>
      </w:r>
      <w:r>
        <w:t>n</w:t>
      </w:r>
      <w:r w:rsidRPr="001C2394">
        <w:t>atural stones, bricks, or compacted earth.</w:t>
      </w:r>
    </w:p>
    <w:p w14:paraId="0322E33B" w14:textId="77777777" w:rsidR="00B14035" w:rsidRPr="008F24EC" w:rsidRDefault="00B14035" w:rsidP="00655F47">
      <w:pPr>
        <w:pStyle w:val="SDMPara"/>
        <w:keepNext/>
        <w:rPr>
          <w:rFonts w:eastAsia="Arial"/>
        </w:rPr>
      </w:pPr>
      <w:r w:rsidRPr="001C2394">
        <w:t xml:space="preserve">Sunken </w:t>
      </w:r>
      <w:r>
        <w:t>p</w:t>
      </w:r>
      <w:r w:rsidRPr="001C2394">
        <w:t xml:space="preserve">it </w:t>
      </w:r>
      <w:r>
        <w:t>c</w:t>
      </w:r>
      <w:r w:rsidRPr="001C2394">
        <w:t>ookstove:</w:t>
      </w:r>
    </w:p>
    <w:p w14:paraId="6C740A86" w14:textId="62422CA3" w:rsidR="00B14035" w:rsidRPr="001C2394" w:rsidRDefault="00B14035" w:rsidP="009D2355">
      <w:pPr>
        <w:pStyle w:val="SDMSubPara1"/>
      </w:pPr>
      <w:r w:rsidRPr="001C2394">
        <w:t>A shallow pit dug into the ground where wood is burned;</w:t>
      </w:r>
      <w:r w:rsidR="00505E45">
        <w:t xml:space="preserve"> and</w:t>
      </w:r>
    </w:p>
    <w:p w14:paraId="3AC4AA72" w14:textId="77777777" w:rsidR="00B14035" w:rsidRPr="001C2394" w:rsidRDefault="00B14035" w:rsidP="009D2355">
      <w:pPr>
        <w:pStyle w:val="SDMSubPara1"/>
      </w:pPr>
      <w:r w:rsidRPr="001C2394">
        <w:t xml:space="preserve">Materials: </w:t>
      </w:r>
      <w:r>
        <w:t>b</w:t>
      </w:r>
      <w:r w:rsidRPr="001C2394">
        <w:t>are earth or reinforced with clay.</w:t>
      </w:r>
    </w:p>
    <w:p w14:paraId="25CBBA3F" w14:textId="77777777" w:rsidR="00B14035" w:rsidRPr="008F24EC" w:rsidRDefault="00B14035" w:rsidP="00655F47">
      <w:pPr>
        <w:pStyle w:val="SDMPara"/>
        <w:keepNext/>
        <w:rPr>
          <w:rFonts w:eastAsia="Arial"/>
        </w:rPr>
      </w:pPr>
      <w:r w:rsidRPr="001C2394">
        <w:t>U-</w:t>
      </w:r>
      <w:r>
        <w:t>s</w:t>
      </w:r>
      <w:r w:rsidRPr="001C2394">
        <w:t xml:space="preserve">haped </w:t>
      </w:r>
      <w:r>
        <w:t>m</w:t>
      </w:r>
      <w:r w:rsidRPr="001C2394">
        <w:t xml:space="preserve">ud </w:t>
      </w:r>
      <w:r>
        <w:t>c</w:t>
      </w:r>
      <w:r w:rsidRPr="001C2394">
        <w:t>ookstove:</w:t>
      </w:r>
    </w:p>
    <w:p w14:paraId="13B4CCC5" w14:textId="684321FB" w:rsidR="00B14035" w:rsidRPr="001C2394" w:rsidRDefault="00B14035" w:rsidP="009D2355">
      <w:pPr>
        <w:pStyle w:val="SDMSubPara1"/>
      </w:pPr>
      <w:r w:rsidRPr="001C2394">
        <w:t>A simple mud or clay structure in a U-shape, designed to hold a pot over an open fire;</w:t>
      </w:r>
      <w:r w:rsidR="00505E45">
        <w:t xml:space="preserve"> and</w:t>
      </w:r>
    </w:p>
    <w:p w14:paraId="1A2058CB" w14:textId="77777777" w:rsidR="00B14035" w:rsidRPr="001C2394" w:rsidRDefault="00B14035" w:rsidP="009D2355">
      <w:pPr>
        <w:pStyle w:val="SDMSubPara1"/>
      </w:pPr>
      <w:r w:rsidRPr="001C2394">
        <w:t xml:space="preserve">Materials: </w:t>
      </w:r>
      <w:r>
        <w:t>l</w:t>
      </w:r>
      <w:r w:rsidRPr="001C2394">
        <w:t>ocally sourced mud or clay, sometimes reinforced with straw.</w:t>
      </w:r>
    </w:p>
    <w:p w14:paraId="65FB1233" w14:textId="77777777" w:rsidR="00B14035" w:rsidRPr="008F24EC" w:rsidRDefault="00B14035" w:rsidP="00655F47">
      <w:pPr>
        <w:pStyle w:val="SDMPara"/>
        <w:keepNext/>
        <w:rPr>
          <w:rFonts w:eastAsia="Arial"/>
        </w:rPr>
      </w:pPr>
      <w:r w:rsidRPr="001C2394">
        <w:t xml:space="preserve">Traditional </w:t>
      </w:r>
      <w:r>
        <w:t>c</w:t>
      </w:r>
      <w:r w:rsidRPr="001C2394">
        <w:t>hulha/</w:t>
      </w:r>
      <w:r>
        <w:t>c</w:t>
      </w:r>
      <w:r w:rsidRPr="001C2394">
        <w:t>hulho:</w:t>
      </w:r>
    </w:p>
    <w:p w14:paraId="6BF6200B" w14:textId="77777777" w:rsidR="00B14035" w:rsidRPr="001C2394" w:rsidRDefault="00B14035" w:rsidP="009D2355">
      <w:pPr>
        <w:pStyle w:val="SDMSubPara1"/>
      </w:pPr>
      <w:r w:rsidRPr="001C2394">
        <w:t>A raised, built-in clay or brick cookstove with one or more burner holes for pots;</w:t>
      </w:r>
    </w:p>
    <w:p w14:paraId="5C3826F4" w14:textId="77777777" w:rsidR="00B14035" w:rsidRPr="001C2394" w:rsidRDefault="00B14035" w:rsidP="009D2355">
      <w:pPr>
        <w:pStyle w:val="SDMSubPara1"/>
      </w:pPr>
      <w:r w:rsidRPr="001C2394">
        <w:t xml:space="preserve">Materials: </w:t>
      </w:r>
      <w:r>
        <w:t>c</w:t>
      </w:r>
      <w:r w:rsidRPr="001C2394">
        <w:t>lay, bricks, or mud, sometimes with cow dung.</w:t>
      </w:r>
    </w:p>
    <w:p w14:paraId="713B3A20" w14:textId="1C826DA3" w:rsidR="00B14035" w:rsidRPr="008F24EC" w:rsidRDefault="00B14035" w:rsidP="00655F47">
      <w:pPr>
        <w:pStyle w:val="SDMPara"/>
        <w:keepNext/>
        <w:rPr>
          <w:rFonts w:eastAsia="Arial"/>
        </w:rPr>
      </w:pPr>
      <w:r w:rsidRPr="001C2394">
        <w:t xml:space="preserve">Plancha </w:t>
      </w:r>
      <w:r>
        <w:t>c</w:t>
      </w:r>
      <w:r w:rsidRPr="001C2394">
        <w:t>ookstove (</w:t>
      </w:r>
      <w:r w:rsidR="00333FEF">
        <w:t>t</w:t>
      </w:r>
      <w:r w:rsidRPr="001C2394">
        <w:t>raditional):</w:t>
      </w:r>
    </w:p>
    <w:p w14:paraId="0831D584" w14:textId="77777777" w:rsidR="00B14035" w:rsidRPr="001C2394" w:rsidRDefault="00B14035" w:rsidP="009D2355">
      <w:pPr>
        <w:pStyle w:val="SDMSubPara1"/>
      </w:pPr>
      <w:r w:rsidRPr="001C2394">
        <w:t>A raised clay or metal cookstove with a flat griddle (plancha) for cooking tortillas or flatbreads;</w:t>
      </w:r>
    </w:p>
    <w:p w14:paraId="7AD8CE0A" w14:textId="77777777" w:rsidR="00B14035" w:rsidRPr="001C2394" w:rsidRDefault="00B14035" w:rsidP="009D2355">
      <w:pPr>
        <w:pStyle w:val="SDMSubPara1"/>
      </w:pPr>
      <w:r w:rsidRPr="001C2394">
        <w:t xml:space="preserve">Materials: </w:t>
      </w:r>
      <w:r>
        <w:t>c</w:t>
      </w:r>
      <w:r w:rsidRPr="001C2394">
        <w:t>lay, bricks, metal griddle.</w:t>
      </w:r>
    </w:p>
    <w:p w14:paraId="5B4028DF" w14:textId="77777777" w:rsidR="006D2932" w:rsidRDefault="6BA94B51" w:rsidP="0084497A">
      <w:pPr>
        <w:pStyle w:val="SDMApp3"/>
      </w:pPr>
      <w:r>
        <w:t>Ch</w:t>
      </w:r>
      <w:r w:rsidR="00B14035">
        <w:t>arcoal</w:t>
      </w:r>
      <w:r w:rsidR="47B372A5">
        <w:t>-based</w:t>
      </w:r>
      <w:r w:rsidR="00B14035" w:rsidRPr="001C2394">
        <w:t xml:space="preserve"> </w:t>
      </w:r>
      <w:r w:rsidR="00B14035">
        <w:t>cookstove</w:t>
      </w:r>
      <w:r w:rsidR="6D87FFFF">
        <w:t>s</w:t>
      </w:r>
    </w:p>
    <w:p w14:paraId="4C196A3C" w14:textId="64C10094" w:rsidR="00B14035" w:rsidRPr="008F24EC" w:rsidRDefault="00B14035" w:rsidP="00655F47">
      <w:pPr>
        <w:pStyle w:val="SDMPara"/>
        <w:keepNext/>
        <w:rPr>
          <w:rFonts w:eastAsia="Arial"/>
        </w:rPr>
      </w:pPr>
      <w:r w:rsidRPr="001C2394">
        <w:t xml:space="preserve">Metal </w:t>
      </w:r>
      <w:r>
        <w:t>b</w:t>
      </w:r>
      <w:r w:rsidRPr="001C2394">
        <w:t xml:space="preserve">ucket </w:t>
      </w:r>
      <w:r>
        <w:t>c</w:t>
      </w:r>
      <w:r w:rsidRPr="001C2394">
        <w:t>ookstove:</w:t>
      </w:r>
    </w:p>
    <w:p w14:paraId="060D52D2" w14:textId="77777777" w:rsidR="00B14035" w:rsidRPr="001C2394" w:rsidRDefault="00B14035" w:rsidP="009D2355">
      <w:pPr>
        <w:pStyle w:val="SDMSubPara1"/>
      </w:pPr>
      <w:r w:rsidRPr="001C2394">
        <w:t>A metal bucket or shallow metal bowl with ventilation holes at the bottom and a top grate for placing charcoal;</w:t>
      </w:r>
    </w:p>
    <w:p w14:paraId="482EFFA8" w14:textId="77777777" w:rsidR="00B14035" w:rsidRPr="001C2394" w:rsidRDefault="00B14035" w:rsidP="009D2355">
      <w:pPr>
        <w:pStyle w:val="SDMSubPara1"/>
      </w:pPr>
      <w:r w:rsidRPr="001C2394">
        <w:t xml:space="preserve">Materials: </w:t>
      </w:r>
      <w:r>
        <w:t>s</w:t>
      </w:r>
      <w:r w:rsidRPr="001C2394">
        <w:t>heet metal, iron, steel.</w:t>
      </w:r>
    </w:p>
    <w:p w14:paraId="4E12A0CE" w14:textId="2CBE8553" w:rsidR="00B14035" w:rsidRPr="008F24EC" w:rsidRDefault="00B14035" w:rsidP="00655F47">
      <w:pPr>
        <w:pStyle w:val="SDMPara"/>
        <w:keepNext/>
        <w:rPr>
          <w:rFonts w:eastAsia="Arial"/>
        </w:rPr>
      </w:pPr>
      <w:r w:rsidRPr="001C2394">
        <w:t>Ceramic-</w:t>
      </w:r>
      <w:r>
        <w:t>l</w:t>
      </w:r>
      <w:r w:rsidRPr="001C2394">
        <w:t xml:space="preserve">ined </w:t>
      </w:r>
      <w:r w:rsidR="00140654">
        <w:t>c</w:t>
      </w:r>
      <w:r w:rsidRPr="001C2394">
        <w:t xml:space="preserve">harcoal </w:t>
      </w:r>
      <w:r w:rsidR="00140654">
        <w:t>c</w:t>
      </w:r>
      <w:r w:rsidRPr="001C2394">
        <w:t>ookstove</w:t>
      </w:r>
      <w:r w:rsidRPr="008F24EC">
        <w:rPr>
          <w:rFonts w:eastAsia="Arial"/>
        </w:rPr>
        <w:t>:</w:t>
      </w:r>
    </w:p>
    <w:p w14:paraId="3BAFD155" w14:textId="77777777" w:rsidR="00B14035" w:rsidRPr="001C2394" w:rsidRDefault="00B14035" w:rsidP="00FE58F0">
      <w:pPr>
        <w:pStyle w:val="SDMSubPara1"/>
      </w:pPr>
      <w:r w:rsidRPr="001C2394">
        <w:t>A metal bucket cookstove with a ceramic liner inside for heat retention and insulation;</w:t>
      </w:r>
    </w:p>
    <w:p w14:paraId="62FE8331" w14:textId="77777777" w:rsidR="00B14035" w:rsidRPr="001C2394" w:rsidRDefault="00B14035" w:rsidP="00FE58F0">
      <w:pPr>
        <w:pStyle w:val="SDMSubPara1"/>
      </w:pPr>
      <w:r w:rsidRPr="001C2394">
        <w:t xml:space="preserve">Materials: </w:t>
      </w:r>
      <w:r>
        <w:t>s</w:t>
      </w:r>
      <w:r w:rsidRPr="001C2394">
        <w:t>heet metal exterior with a ceramic inner lining.</w:t>
      </w:r>
    </w:p>
    <w:p w14:paraId="58FBDC6B" w14:textId="77777777" w:rsidR="00B14035" w:rsidRPr="008F24EC" w:rsidRDefault="00B14035" w:rsidP="00655F47">
      <w:pPr>
        <w:pStyle w:val="SDMPara"/>
        <w:keepNext/>
        <w:rPr>
          <w:rFonts w:eastAsia="Arial"/>
        </w:rPr>
      </w:pPr>
      <w:r w:rsidRPr="001C2394">
        <w:t xml:space="preserve">Clay </w:t>
      </w:r>
      <w:r>
        <w:t>p</w:t>
      </w:r>
      <w:r w:rsidRPr="001C2394">
        <w:t>ot Cookstove:</w:t>
      </w:r>
    </w:p>
    <w:p w14:paraId="5143EB1B" w14:textId="77777777" w:rsidR="00B14035" w:rsidRPr="001C2394" w:rsidRDefault="00B14035" w:rsidP="00FE58F0">
      <w:pPr>
        <w:pStyle w:val="SDMSubPara1"/>
      </w:pPr>
      <w:r w:rsidRPr="001C2394">
        <w:t>A clay vessel with an opening for airflow and a flat surface for a cooking pot;</w:t>
      </w:r>
    </w:p>
    <w:p w14:paraId="6D70CA10" w14:textId="639935B1" w:rsidR="00B14035" w:rsidRPr="001C2394" w:rsidRDefault="00B14035" w:rsidP="009D2355">
      <w:pPr>
        <w:pStyle w:val="SDMSubPara1"/>
      </w:pPr>
      <w:r w:rsidRPr="001C2394">
        <w:t xml:space="preserve">Materials: </w:t>
      </w:r>
      <w:r>
        <w:t>f</w:t>
      </w:r>
      <w:r w:rsidRPr="001C2394">
        <w:t>ired clay or terracotta.</w:t>
      </w:r>
    </w:p>
    <w:p w14:paraId="54A9B59B" w14:textId="3AEE3957" w:rsidR="001C2394" w:rsidRPr="00ED2483" w:rsidRDefault="009421DD" w:rsidP="008D0147">
      <w:pPr>
        <w:pStyle w:val="SDMApp1"/>
        <w:keepNext w:val="0"/>
        <w:keepLines w:val="0"/>
      </w:pPr>
      <w:r w:rsidRPr="00ED2483">
        <w:t>Activity</w:t>
      </w:r>
      <w:r w:rsidR="001C2394" w:rsidRPr="00ED2483">
        <w:t xml:space="preserve"> </w:t>
      </w:r>
      <w:r w:rsidR="00555C0E">
        <w:t>kitchen performance test (</w:t>
      </w:r>
      <w:r w:rsidR="001C2394" w:rsidRPr="00ED2483">
        <w:t>KPT</w:t>
      </w:r>
      <w:r w:rsidR="00555C0E">
        <w:t>)</w:t>
      </w:r>
      <w:r w:rsidR="001C2394" w:rsidRPr="00ED2483">
        <w:t xml:space="preserve"> surveys (simultaneous to KPTs)</w:t>
      </w:r>
    </w:p>
    <w:p w14:paraId="0DA8E868" w14:textId="77777777" w:rsidR="001C2394" w:rsidRPr="001C2394" w:rsidRDefault="001C2394" w:rsidP="00655F47">
      <w:pPr>
        <w:pStyle w:val="SDMApp2"/>
        <w:keepLines w:val="0"/>
      </w:pPr>
      <w:r w:rsidRPr="001C2394">
        <w:t>Purpose:</w:t>
      </w:r>
    </w:p>
    <w:p w14:paraId="23E8A33E" w14:textId="77777777" w:rsidR="001C2394" w:rsidRPr="008F24EC" w:rsidRDefault="001C2394" w:rsidP="008F24EC">
      <w:pPr>
        <w:pStyle w:val="SDMPara"/>
        <w:rPr>
          <w:rFonts w:eastAsia="Arial"/>
        </w:rPr>
      </w:pPr>
      <w:r w:rsidRPr="001C2394">
        <w:t>Surveys conducted in conjunction with kitchen performance tests (KPTs) shall be used to</w:t>
      </w:r>
    </w:p>
    <w:p w14:paraId="2ECB439D" w14:textId="03D0F640" w:rsidR="001C2394" w:rsidRPr="001C2394" w:rsidRDefault="004D5E34" w:rsidP="00FE58F0">
      <w:pPr>
        <w:pStyle w:val="SDMSubPara1"/>
      </w:pPr>
      <w:r w:rsidRPr="001C2394">
        <w:t>D</w:t>
      </w:r>
      <w:r w:rsidR="001C2394" w:rsidRPr="001C2394">
        <w:t>etermine</w:t>
      </w:r>
      <w:r>
        <w:t>,</w:t>
      </w:r>
      <w:r w:rsidR="001C2394" w:rsidRPr="001C2394">
        <w:t xml:space="preserve"> per cooking event</w:t>
      </w:r>
      <w:r>
        <w:t xml:space="preserve">, </w:t>
      </w:r>
      <w:r w:rsidRPr="001C2394">
        <w:t xml:space="preserve">the number of people </w:t>
      </w:r>
      <w:r>
        <w:t>for whom cooking was performed</w:t>
      </w:r>
      <w:r w:rsidR="001C2394" w:rsidRPr="001C2394">
        <w:t>; and</w:t>
      </w:r>
    </w:p>
    <w:p w14:paraId="46ED9974" w14:textId="77777777" w:rsidR="001C2394" w:rsidRPr="001C2394" w:rsidRDefault="001C2394" w:rsidP="00FE58F0">
      <w:pPr>
        <w:pStyle w:val="SDMSubPara1"/>
      </w:pPr>
      <w:r w:rsidRPr="001C2394">
        <w:t>document any unusual cooking practices that may influence energy consumption.</w:t>
      </w:r>
    </w:p>
    <w:p w14:paraId="2424D28E" w14:textId="77777777" w:rsidR="001C2394" w:rsidRPr="001C2394" w:rsidRDefault="001C2394" w:rsidP="00DA41C0">
      <w:pPr>
        <w:pStyle w:val="SDMApp1"/>
      </w:pPr>
      <w:r w:rsidRPr="001C2394">
        <w:t>Usage survey</w:t>
      </w:r>
    </w:p>
    <w:p w14:paraId="33AE5C24" w14:textId="77777777" w:rsidR="001C2394" w:rsidRPr="001C2394" w:rsidRDefault="001C2394" w:rsidP="009E7040">
      <w:pPr>
        <w:pStyle w:val="SDMApp2"/>
      </w:pPr>
      <w:r w:rsidRPr="001C2394">
        <w:t>Purpose</w:t>
      </w:r>
    </w:p>
    <w:p w14:paraId="4311A0A7" w14:textId="77777777" w:rsidR="001C2394" w:rsidRPr="008F24EC" w:rsidRDefault="001C2394" w:rsidP="00655F47">
      <w:pPr>
        <w:pStyle w:val="SDMPara"/>
        <w:keepNext/>
        <w:rPr>
          <w:rFonts w:eastAsia="Arial"/>
        </w:rPr>
      </w:pPr>
      <w:r w:rsidRPr="001C2394">
        <w:t>Usage surveys shall be conducted to</w:t>
      </w:r>
      <w:r w:rsidRPr="008F24EC">
        <w:rPr>
          <w:rFonts w:eastAsia="Arial"/>
        </w:rPr>
        <w:t>:</w:t>
      </w:r>
    </w:p>
    <w:p w14:paraId="164CFCC3" w14:textId="6983D2B7" w:rsidR="001C2394" w:rsidRPr="001C2394" w:rsidRDefault="001C2394" w:rsidP="00FE58F0">
      <w:pPr>
        <w:pStyle w:val="SDMSubPara1"/>
      </w:pPr>
      <w:r w:rsidRPr="001C2394">
        <w:t>Determine whether the activity</w:t>
      </w:r>
      <w:r w:rsidR="00604C78">
        <w:t xml:space="preserve"> cookstove</w:t>
      </w:r>
      <w:r w:rsidRPr="001C2394">
        <w:t xml:space="preserve"> is present and in use within the household;</w:t>
      </w:r>
    </w:p>
    <w:p w14:paraId="2289935E" w14:textId="66DE05FB" w:rsidR="001C2394" w:rsidRPr="001C2394" w:rsidRDefault="001C2394" w:rsidP="00FE58F0">
      <w:pPr>
        <w:pStyle w:val="SDMSubPara1"/>
      </w:pPr>
      <w:r w:rsidRPr="001C2394">
        <w:t>Assess the frequency of use of the activity</w:t>
      </w:r>
      <w:r w:rsidR="00604C78">
        <w:t xml:space="preserve"> cookstove</w:t>
      </w:r>
      <w:r w:rsidRPr="001C2394">
        <w:t xml:space="preserve"> to determine if the household may be counted as a user household;</w:t>
      </w:r>
    </w:p>
    <w:p w14:paraId="12E73E6A" w14:textId="5C738149" w:rsidR="001C2394" w:rsidRPr="001C2394" w:rsidRDefault="00FE58F0" w:rsidP="00FE58F0">
      <w:pPr>
        <w:pStyle w:val="SDMSubPara1"/>
      </w:pPr>
      <w:r>
        <w:t>I</w:t>
      </w:r>
      <w:r w:rsidR="001C2394" w:rsidRPr="009D2355">
        <w:t xml:space="preserve">dentify any seasonal or other variations that may affect the </w:t>
      </w:r>
      <w:r w:rsidR="00604C78" w:rsidRPr="009D2355">
        <w:t>project cookstove</w:t>
      </w:r>
      <w:r w:rsidR="001C2394" w:rsidRPr="009D2355">
        <w:t xml:space="preserve"> usage patterns and hence affect the project’s emission reductions.</w:t>
      </w:r>
    </w:p>
    <w:p w14:paraId="4C522400" w14:textId="64DC8F7F" w:rsidR="001C2394" w:rsidRPr="008F24EC" w:rsidRDefault="001C2394" w:rsidP="00FE58F0">
      <w:pPr>
        <w:pStyle w:val="SDMPara"/>
        <w:rPr>
          <w:rFonts w:eastAsia="Arial"/>
        </w:rPr>
      </w:pPr>
      <w:r w:rsidRPr="001C2394">
        <w:rPr>
          <w:color w:val="000000" w:themeColor="text1"/>
        </w:rPr>
        <w:t xml:space="preserve">Where stove use </w:t>
      </w:r>
      <w:r w:rsidR="007A0DF9" w:rsidRPr="001C2394">
        <w:rPr>
          <w:color w:val="000000" w:themeColor="text1"/>
        </w:rPr>
        <w:t>monitor</w:t>
      </w:r>
      <w:r w:rsidR="007A0DF9">
        <w:rPr>
          <w:color w:val="000000" w:themeColor="text1"/>
        </w:rPr>
        <w:t>s</w:t>
      </w:r>
      <w:r w:rsidRPr="001C2394">
        <w:rPr>
          <w:color w:val="000000" w:themeColor="text1"/>
        </w:rPr>
        <w:t xml:space="preserve"> (SUMs) are applied, surveys shall still be conducted to confirm the presence of the technology and support interpretation of usage data.</w:t>
      </w:r>
    </w:p>
    <w:p w14:paraId="063BF662" w14:textId="77777777" w:rsidR="001C2394" w:rsidRPr="001C2394" w:rsidRDefault="001C2394" w:rsidP="009E7040">
      <w:pPr>
        <w:pStyle w:val="SDMApp2"/>
      </w:pPr>
      <w:r w:rsidRPr="001C2394">
        <w:rPr>
          <w:bCs/>
          <w:szCs w:val="22"/>
        </w:rPr>
        <w:t>Visual verification requirements</w:t>
      </w:r>
    </w:p>
    <w:p w14:paraId="4567D409" w14:textId="444E30CB" w:rsidR="001C2394" w:rsidRPr="008F24EC" w:rsidRDefault="001C2394" w:rsidP="00FE58F0">
      <w:pPr>
        <w:pStyle w:val="SDMPara"/>
        <w:rPr>
          <w:rFonts w:eastAsia="Arial"/>
        </w:rPr>
      </w:pPr>
      <w:r w:rsidRPr="001C2394">
        <w:t xml:space="preserve">Results from the usage survey shall be corroborated through visual inspection using a standardized checklist to assess if the </w:t>
      </w:r>
      <w:r w:rsidR="009421DD">
        <w:t>activity</w:t>
      </w:r>
      <w:r w:rsidRPr="001C2394">
        <w:t xml:space="preserve"> technology is present in the kitchen and shows evidence of recent use</w:t>
      </w:r>
      <w:r w:rsidRPr="008F24EC">
        <w:rPr>
          <w:rFonts w:eastAsia="Arial"/>
        </w:rPr>
        <w:t>.</w:t>
      </w:r>
    </w:p>
    <w:p w14:paraId="3B3E2D38" w14:textId="656A71A4" w:rsidR="001C2394" w:rsidRPr="008F24EC" w:rsidRDefault="001C2394" w:rsidP="00FE58F0">
      <w:pPr>
        <w:pStyle w:val="SDMPara"/>
        <w:rPr>
          <w:rFonts w:eastAsia="Arial"/>
        </w:rPr>
      </w:pPr>
      <w:r w:rsidRPr="001C2394">
        <w:t>Enumerators shall capture digital images of all cookstoves present in the household, as well as the associated cooking area(s), using data collection devices capable of automatically recording the geolocation (e.g. GNSS/GPS), timestamp, and device metadata. The photographs must include both close-ups of each technology and its fuel (if present) and wider-angle images showing the position of the cookstoves within or in proximity to the household.</w:t>
      </w:r>
    </w:p>
    <w:p w14:paraId="5B598FEA" w14:textId="69C18125" w:rsidR="001C2394" w:rsidRPr="008F24EC" w:rsidRDefault="001C2394" w:rsidP="00FE58F0">
      <w:pPr>
        <w:pStyle w:val="SDMPara"/>
        <w:rPr>
          <w:rFonts w:eastAsia="Arial"/>
        </w:rPr>
      </w:pPr>
      <w:r w:rsidRPr="001C2394">
        <w:rPr>
          <w:color w:val="000000" w:themeColor="text1"/>
        </w:rPr>
        <w:t>All images shall be geotagged and time-stamped at the point of capture. Where connectivity is limited, metadata shall be stored locally and synchronized upon data upload. The data collection system shall include validation checks (e.g. mandatory fields, metadata completeness, and duplicate detection) to ensure data integrity</w:t>
      </w:r>
      <w:r w:rsidR="007A0DF9">
        <w:rPr>
          <w:color w:val="000000" w:themeColor="text1"/>
        </w:rPr>
        <w:t>.</w:t>
      </w:r>
    </w:p>
    <w:p w14:paraId="15F2E44B" w14:textId="77777777" w:rsidR="001C2394" w:rsidRPr="001C2394" w:rsidRDefault="001C2394" w:rsidP="009E7040">
      <w:pPr>
        <w:pStyle w:val="SDMApp2"/>
      </w:pPr>
      <w:r w:rsidRPr="001C2394">
        <w:t>Supplemental purpose of first usage survey administered in any given household</w:t>
      </w:r>
    </w:p>
    <w:p w14:paraId="551BA330" w14:textId="53E72E15" w:rsidR="00175029" w:rsidRPr="008F24EC" w:rsidRDefault="00175029" w:rsidP="00FE58F0">
      <w:pPr>
        <w:pStyle w:val="SDMPara"/>
        <w:rPr>
          <w:rFonts w:eastAsia="Arial"/>
        </w:rPr>
      </w:pPr>
      <w:r w:rsidRPr="00CF0D96">
        <w:t xml:space="preserve">This supplemental usage survey activity is used to check how well the </w:t>
      </w:r>
      <w:r w:rsidR="009421DD">
        <w:t>activity</w:t>
      </w:r>
      <w:r w:rsidRPr="00CF0D96">
        <w:t xml:space="preserve"> household characteristics match the ex-ante baseline scenario. Retrospective questions are added to the first usage survey conducted in any given household. To the extent possible, these retrospective questions should be identical to the questions in the pre-</w:t>
      </w:r>
      <w:r w:rsidR="00BD48F5">
        <w:t>activity</w:t>
      </w:r>
      <w:r w:rsidRPr="00CF0D96">
        <w:t xml:space="preserve"> survey, just asked retrospectively. Activity participants shall identify any mismatch between the primary fuel type and household size documented during the pre-</w:t>
      </w:r>
      <w:r w:rsidR="00BD48F5">
        <w:t>activity</w:t>
      </w:r>
      <w:r w:rsidRPr="00CF0D96">
        <w:t xml:space="preserve"> survey and those reported by actual </w:t>
      </w:r>
      <w:r w:rsidR="009421DD">
        <w:t>activity</w:t>
      </w:r>
      <w:r w:rsidRPr="00CF0D96">
        <w:t xml:space="preserve"> households during the </w:t>
      </w:r>
      <w:r w:rsidR="009421DD">
        <w:t>activity</w:t>
      </w:r>
      <w:r w:rsidRPr="00CF0D96">
        <w:t xml:space="preserve"> roll-out.</w:t>
      </w:r>
    </w:p>
    <w:p w14:paraId="222CD462" w14:textId="33C0861B" w:rsidR="001C2394" w:rsidRPr="008F24EC" w:rsidRDefault="001C2394" w:rsidP="005A4B4B">
      <w:pPr>
        <w:pStyle w:val="SDMPara"/>
        <w:rPr>
          <w:rFonts w:eastAsia="Arial"/>
        </w:rPr>
      </w:pPr>
      <w:r w:rsidRPr="001C2394">
        <w:rPr>
          <w:color w:val="000000" w:themeColor="text1"/>
        </w:rPr>
        <w:t>The</w:t>
      </w:r>
      <w:r w:rsidR="00175029">
        <w:rPr>
          <w:color w:val="000000" w:themeColor="text1"/>
        </w:rPr>
        <w:t>refore, the</w:t>
      </w:r>
      <w:r w:rsidRPr="001C2394">
        <w:rPr>
          <w:color w:val="000000" w:themeColor="text1"/>
        </w:rPr>
        <w:t xml:space="preserve"> first usage survey administered in any given household shall additionally serve to:</w:t>
      </w:r>
    </w:p>
    <w:p w14:paraId="2CDC83DA" w14:textId="3F96861B" w:rsidR="001C2394" w:rsidRPr="001C2394" w:rsidRDefault="001C2394" w:rsidP="00FE58F0">
      <w:pPr>
        <w:pStyle w:val="SDMSubPara1"/>
      </w:pPr>
      <w:r w:rsidRPr="001C2394">
        <w:t>Establish household size;</w:t>
      </w:r>
    </w:p>
    <w:p w14:paraId="22BB0A47" w14:textId="0A9506FD" w:rsidR="001C2394" w:rsidRPr="001C2394" w:rsidRDefault="001C2394" w:rsidP="00FE58F0">
      <w:pPr>
        <w:pStyle w:val="SDMSubPara1"/>
      </w:pPr>
      <w:r w:rsidRPr="001C2394">
        <w:t xml:space="preserve">Identify cooking fuels and technologies used prior to acquisition of </w:t>
      </w:r>
      <w:r>
        <w:t>project</w:t>
      </w:r>
      <w:r w:rsidRPr="001C2394">
        <w:t xml:space="preserve"> </w:t>
      </w:r>
      <w:r w:rsidR="00496F95">
        <w:t>cookstove</w:t>
      </w:r>
      <w:r w:rsidRPr="001C2394">
        <w:t xml:space="preserve"> (retrospective baseline);</w:t>
      </w:r>
    </w:p>
    <w:p w14:paraId="3EA7EF5D" w14:textId="10731753" w:rsidR="008F24EC" w:rsidRDefault="001C2394" w:rsidP="00FE58F0">
      <w:pPr>
        <w:pStyle w:val="SDMSubPara1"/>
        <w:sectPr w:rsidR="008F24EC" w:rsidSect="00E171DA">
          <w:headerReference w:type="default" r:id="rId31"/>
          <w:footnotePr>
            <w:numRestart w:val="eachSect"/>
          </w:footnotePr>
          <w:pgSz w:w="11907" w:h="16840" w:code="9"/>
          <w:pgMar w:top="2552" w:right="1134" w:bottom="1418" w:left="1418" w:header="851" w:footer="567" w:gutter="0"/>
          <w:cols w:space="720"/>
          <w:formProt w:val="0"/>
          <w:docGrid w:linePitch="299"/>
        </w:sectPr>
      </w:pPr>
      <w:r w:rsidRPr="001C2394">
        <w:t xml:space="preserve">Document the proportion of cooking events carried out on each fuel-technology combination used prior to acquisition of </w:t>
      </w:r>
      <w:r w:rsidRPr="00CF0D96">
        <w:t>project</w:t>
      </w:r>
      <w:r w:rsidRPr="001C2394">
        <w:t xml:space="preserve"> </w:t>
      </w:r>
      <w:r w:rsidR="00496F95">
        <w:t>cookstove</w:t>
      </w:r>
      <w:r w:rsidR="00496F95" w:rsidRPr="001C2394">
        <w:t xml:space="preserve"> </w:t>
      </w:r>
      <w:r w:rsidRPr="001C2394">
        <w:t xml:space="preserve">(retrospective </w:t>
      </w:r>
      <w:r w:rsidR="004D5E34">
        <w:t xml:space="preserve">cross-check of </w:t>
      </w:r>
      <w:r w:rsidRPr="001C2394">
        <w:t>baseline)</w:t>
      </w:r>
      <w:r w:rsidR="001B6E0D">
        <w:t>.</w:t>
      </w:r>
    </w:p>
    <w:p w14:paraId="2A7F6914" w14:textId="77777777" w:rsidR="006D2932" w:rsidRDefault="001C2394" w:rsidP="009E7040">
      <w:pPr>
        <w:pStyle w:val="SDMAppTitle"/>
      </w:pPr>
      <w:bookmarkStart w:id="857" w:name="_Ref227250289"/>
      <w:bookmarkStart w:id="858" w:name="_Toc227677308"/>
      <w:bookmarkStart w:id="859" w:name="_Ref227197681"/>
      <w:bookmarkStart w:id="860" w:name="_Ref227197687"/>
      <w:bookmarkStart w:id="861" w:name="_Toc226502305"/>
      <w:bookmarkStart w:id="862" w:name="_Toc226983107"/>
      <w:bookmarkStart w:id="863" w:name="_Ref226983170"/>
      <w:bookmarkStart w:id="864" w:name="_Ref226983810"/>
      <w:bookmarkStart w:id="865" w:name="_Ref226983815"/>
      <w:bookmarkStart w:id="866" w:name="_Ref227097490"/>
      <w:bookmarkStart w:id="867" w:name="_Toc193924653"/>
      <w:bookmarkStart w:id="868" w:name="_Toc219446964"/>
      <w:bookmarkStart w:id="869" w:name="_Toc219711099"/>
      <w:bookmarkStart w:id="870" w:name="_Toc219711202"/>
      <w:bookmarkStart w:id="871" w:name="_Toc219711379"/>
      <w:bookmarkStart w:id="872" w:name="_Toc226576258"/>
      <w:bookmarkStart w:id="873" w:name="_Toc227694830"/>
      <w:bookmarkStart w:id="874" w:name="_Toc227920944"/>
      <w:bookmarkStart w:id="875" w:name="_Toc227938845"/>
      <w:bookmarkStart w:id="876" w:name="_Toc227948096"/>
      <w:bookmarkStart w:id="877" w:name="_Toc233388655"/>
      <w:bookmarkStart w:id="878" w:name="_Toc233961462"/>
      <w:bookmarkStart w:id="879" w:name="_Toc233970271"/>
      <w:bookmarkStart w:id="880" w:name="_Toc240546601"/>
      <w:bookmarkStart w:id="881" w:name="_Toc240632002"/>
      <w:bookmarkStart w:id="882" w:name="_Toc242471187"/>
      <w:r w:rsidRPr="001C2394">
        <w:t xml:space="preserve">Activity-specific sampling provisions for </w:t>
      </w:r>
      <w:r w:rsidR="00D80A2B">
        <w:t>energy efficiency measures in household cooking</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14:paraId="7E166E97" w14:textId="657A93A7" w:rsidR="001C2394" w:rsidRPr="001C2394" w:rsidRDefault="001C2394" w:rsidP="009E7040">
      <w:pPr>
        <w:pStyle w:val="SDMApp1"/>
      </w:pPr>
      <w:r w:rsidRPr="001C2394">
        <w:t>Scope and application</w:t>
      </w:r>
    </w:p>
    <w:p w14:paraId="3D9D9483" w14:textId="4AF823B0" w:rsidR="001C2394" w:rsidRPr="005E6582" w:rsidRDefault="001C2394" w:rsidP="00AF1AC1">
      <w:pPr>
        <w:pStyle w:val="SDMPara"/>
        <w:numPr>
          <w:ilvl w:val="0"/>
          <w:numId w:val="41"/>
        </w:numPr>
      </w:pPr>
      <w:r w:rsidRPr="005E6582">
        <w:t xml:space="preserve">This appendix specifies activity-specific provisions for the application of sampling in activities under </w:t>
      </w:r>
      <w:r w:rsidR="007D0261" w:rsidRPr="005E6582">
        <w:t>this</w:t>
      </w:r>
      <w:r w:rsidRPr="005E6582">
        <w:t xml:space="preserve"> mechanism</w:t>
      </w:r>
      <w:r w:rsidR="007D0261" w:rsidRPr="005E6582">
        <w:t xml:space="preserve"> methodology</w:t>
      </w:r>
      <w:r w:rsidRPr="005E6582">
        <w:t>.</w:t>
      </w:r>
    </w:p>
    <w:p w14:paraId="61573097" w14:textId="107167C6" w:rsidR="001C2394" w:rsidRPr="00F368FC" w:rsidRDefault="001C2394" w:rsidP="005E6582">
      <w:pPr>
        <w:pStyle w:val="SDMPara"/>
      </w:pPr>
      <w:r w:rsidRPr="001C2394">
        <w:rPr>
          <w:color w:val="000000" w:themeColor="text1"/>
        </w:rPr>
        <w:t xml:space="preserve">General requirements for sampling design, sample size determination, reliability, data collection, and quality assurance/quality control (QA/QC) shall be applied in accordance with the </w:t>
      </w:r>
      <w:r w:rsidR="003D7DCD" w:rsidRPr="004D0CA0">
        <w:rPr>
          <w:color w:val="000000" w:themeColor="text2"/>
        </w:rPr>
        <w:t>“Methodologic</w:t>
      </w:r>
      <w:r w:rsidR="003D7DCD">
        <w:rPr>
          <w:color w:val="000000" w:themeColor="text2"/>
        </w:rPr>
        <w:t>al</w:t>
      </w:r>
      <w:r w:rsidR="003D7DCD" w:rsidRPr="004D0CA0">
        <w:rPr>
          <w:color w:val="000000" w:themeColor="text2"/>
        </w:rPr>
        <w:t xml:space="preserve"> </w:t>
      </w:r>
      <w:r w:rsidR="00D76378">
        <w:rPr>
          <w:color w:val="000000" w:themeColor="text2"/>
        </w:rPr>
        <w:t>t</w:t>
      </w:r>
      <w:r w:rsidR="003D7DCD" w:rsidRPr="004D0CA0">
        <w:rPr>
          <w:color w:val="000000" w:themeColor="text2"/>
        </w:rPr>
        <w:t>ool: Sampling</w:t>
      </w:r>
      <w:r w:rsidR="00B967A6" w:rsidRPr="004D0CA0">
        <w:rPr>
          <w:color w:val="000000" w:themeColor="text2"/>
        </w:rPr>
        <w:t xml:space="preserve"> and surveys</w:t>
      </w:r>
      <w:r w:rsidR="003D7DCD" w:rsidRPr="004D0CA0">
        <w:rPr>
          <w:color w:val="000000" w:themeColor="text2"/>
        </w:rPr>
        <w:t>”</w:t>
      </w:r>
      <w:r w:rsidR="003D7DCD">
        <w:rPr>
          <w:color w:val="000000" w:themeColor="text2"/>
        </w:rPr>
        <w:t xml:space="preserve"> (A6.4-AMT-0</w:t>
      </w:r>
      <w:r w:rsidR="00376ED2">
        <w:rPr>
          <w:color w:val="000000" w:themeColor="text2"/>
        </w:rPr>
        <w:t>10</w:t>
      </w:r>
      <w:r w:rsidR="003D7DCD">
        <w:rPr>
          <w:color w:val="000000" w:themeColor="text2"/>
        </w:rPr>
        <w:t>)</w:t>
      </w:r>
      <w:r w:rsidR="00DA41C0">
        <w:rPr>
          <w:color w:val="000000" w:themeColor="text2"/>
        </w:rPr>
        <w:t>.</w:t>
      </w:r>
    </w:p>
    <w:p w14:paraId="68F00A3D" w14:textId="03795A45" w:rsidR="001C2394" w:rsidRPr="00F368FC" w:rsidRDefault="001C2394" w:rsidP="005E6582">
      <w:pPr>
        <w:pStyle w:val="SDMPara"/>
      </w:pPr>
      <w:r w:rsidRPr="001C2394">
        <w:rPr>
          <w:color w:val="000000" w:themeColor="text1"/>
        </w:rPr>
        <w:t>The appendix supplements the tool by defining: the parameters requiring sampling under this methodology; activity-specific stratification requirements; and provisions for the use and integration of data sources, including surveys, kitchen performance tests (KPTs), and stove use monitor</w:t>
      </w:r>
      <w:r w:rsidR="007D0261">
        <w:rPr>
          <w:color w:val="000000" w:themeColor="text1"/>
        </w:rPr>
        <w:t>s</w:t>
      </w:r>
      <w:r w:rsidRPr="001C2394">
        <w:rPr>
          <w:color w:val="000000" w:themeColor="text1"/>
        </w:rPr>
        <w:t xml:space="preserve"> (SUMs)</w:t>
      </w:r>
      <w:r w:rsidR="007D0261">
        <w:rPr>
          <w:color w:val="000000" w:themeColor="text1"/>
        </w:rPr>
        <w:t>.</w:t>
      </w:r>
    </w:p>
    <w:p w14:paraId="4AD2BCC9" w14:textId="77777777" w:rsidR="001C2394" w:rsidRPr="001C2394" w:rsidRDefault="001C2394" w:rsidP="009E7040">
      <w:pPr>
        <w:pStyle w:val="SDMApp1"/>
      </w:pPr>
      <w:r w:rsidRPr="001C2394">
        <w:t>Parameters requiring sampling</w:t>
      </w:r>
    </w:p>
    <w:p w14:paraId="11A13700" w14:textId="1AC79247" w:rsidR="001C2394" w:rsidRPr="00DA41C0" w:rsidRDefault="001C2394" w:rsidP="005E6582">
      <w:pPr>
        <w:pStyle w:val="SDMPara"/>
      </w:pPr>
      <w:r w:rsidRPr="00DA41C0">
        <w:t xml:space="preserve">Sampling shall be applied to parameters identified in this methodology where direct measurement of the full population is not feasible. Parameters expected to be sampled are listed in </w:t>
      </w:r>
      <w:r w:rsidR="00ED4B0B" w:rsidRPr="00371B44">
        <w:fldChar w:fldCharType="begin"/>
      </w:r>
      <w:r w:rsidR="00ED4B0B" w:rsidRPr="00371B44">
        <w:instrText xml:space="preserve"> REF _Ref233232055 \h </w:instrText>
      </w:r>
      <w:r w:rsidR="00DA41C0" w:rsidRPr="00371B44">
        <w:instrText xml:space="preserve"> \* MERGEFORMAT </w:instrText>
      </w:r>
      <w:r w:rsidR="00ED4B0B" w:rsidRPr="00371B44">
        <w:fldChar w:fldCharType="separate"/>
      </w:r>
      <w:r w:rsidR="00831DAE">
        <w:t>Table 1</w:t>
      </w:r>
      <w:r w:rsidR="00ED4B0B" w:rsidRPr="00371B44">
        <w:fldChar w:fldCharType="end"/>
      </w:r>
      <w:r w:rsidR="004C7A22" w:rsidRPr="00DA41C0">
        <w:t>.</w:t>
      </w:r>
    </w:p>
    <w:p w14:paraId="70C7B584" w14:textId="178E8E67" w:rsidR="001C2394" w:rsidRPr="00F368FC" w:rsidRDefault="001C2394" w:rsidP="00655F47">
      <w:pPr>
        <w:pStyle w:val="SDMPara"/>
        <w:keepNext/>
      </w:pPr>
      <w:r w:rsidRPr="001C2394">
        <w:rPr>
          <w:color w:val="000000" w:themeColor="text1"/>
        </w:rPr>
        <w:t>Activity participants shall ensure that:</w:t>
      </w:r>
    </w:p>
    <w:p w14:paraId="388B83D6" w14:textId="3F0C162D" w:rsidR="001C2394" w:rsidRPr="005E6582" w:rsidRDefault="005E6582" w:rsidP="005E6582">
      <w:pPr>
        <w:pStyle w:val="SDMSubPara1"/>
      </w:pPr>
      <w:r>
        <w:t>E</w:t>
      </w:r>
      <w:r w:rsidR="001C2394" w:rsidRPr="005E6582">
        <w:t>ach parameter is clearly defined and linked to an appropriate data source (e.g.</w:t>
      </w:r>
      <w:r w:rsidR="00DA41C0" w:rsidRPr="005E6582">
        <w:t xml:space="preserve"> </w:t>
      </w:r>
      <w:r w:rsidR="001C2394" w:rsidRPr="005E6582">
        <w:t>surveys, KPTs, SUMs);</w:t>
      </w:r>
    </w:p>
    <w:p w14:paraId="7DF57D31" w14:textId="6AF8D177" w:rsidR="00615311" w:rsidRDefault="005E6582" w:rsidP="005E6582">
      <w:pPr>
        <w:pStyle w:val="SDMSubPara1"/>
        <w:rPr>
          <w:color w:val="000000" w:themeColor="text1"/>
        </w:rPr>
      </w:pPr>
      <w:r>
        <w:rPr>
          <w:color w:val="000000" w:themeColor="text1"/>
        </w:rPr>
        <w:t>S</w:t>
      </w:r>
      <w:r w:rsidR="001C2394" w:rsidRPr="001C2394">
        <w:rPr>
          <w:color w:val="000000" w:themeColor="text1"/>
        </w:rPr>
        <w:t>ampling approaches are applied consistently across parameters where feasible;</w:t>
      </w:r>
    </w:p>
    <w:p w14:paraId="75DB53E4" w14:textId="1FB46A79" w:rsidR="0083704A" w:rsidRPr="001C2394" w:rsidRDefault="005E6582" w:rsidP="005E6582">
      <w:pPr>
        <w:pStyle w:val="SDMSubPara1"/>
      </w:pPr>
      <w:r>
        <w:rPr>
          <w:color w:val="000000" w:themeColor="text1"/>
        </w:rPr>
        <w:t>C</w:t>
      </w:r>
      <w:r w:rsidR="0083704A">
        <w:rPr>
          <w:color w:val="000000" w:themeColor="text1"/>
        </w:rPr>
        <w:t>luster sampling shall not be applied; and</w:t>
      </w:r>
    </w:p>
    <w:p w14:paraId="46F6670B" w14:textId="1CFBD55C" w:rsidR="001C2394" w:rsidRPr="001C2394" w:rsidRDefault="005E6582" w:rsidP="005E6582">
      <w:pPr>
        <w:pStyle w:val="SDMSubPara1"/>
      </w:pPr>
      <w:r w:rsidRPr="005E6582">
        <w:t>T</w:t>
      </w:r>
      <w:r w:rsidR="001C2394" w:rsidRPr="005E6582">
        <w:t>he</w:t>
      </w:r>
      <w:r w:rsidR="001C2394" w:rsidRPr="001C2394">
        <w:rPr>
          <w:color w:val="000000" w:themeColor="text1"/>
        </w:rPr>
        <w:t xml:space="preserve"> required reliability levels are achieved for each parameter, in accordance with the </w:t>
      </w:r>
      <w:r w:rsidR="00B967A6">
        <w:rPr>
          <w:color w:val="000000" w:themeColor="text1"/>
        </w:rPr>
        <w:t>sampling and surveys tool</w:t>
      </w:r>
      <w:r w:rsidR="00693BB7">
        <w:rPr>
          <w:color w:val="000000" w:themeColor="text1"/>
        </w:rPr>
        <w:t>.</w:t>
      </w:r>
      <w:r w:rsidR="00F17281" w:rsidRPr="00F17281">
        <w:rPr>
          <w:color w:val="000000" w:themeColor="text1"/>
          <w:vertAlign w:val="superscript"/>
        </w:rPr>
        <w:t>1</w:t>
      </w:r>
    </w:p>
    <w:p w14:paraId="75DBEAFB" w14:textId="5EE9C1DB" w:rsidR="001C2394" w:rsidRPr="00F368FC" w:rsidRDefault="001C2394" w:rsidP="005E6582">
      <w:pPr>
        <w:pStyle w:val="SDMPara"/>
      </w:pPr>
      <w:r w:rsidRPr="001C2394">
        <w:rPr>
          <w:color w:val="000000" w:themeColor="text1"/>
        </w:rPr>
        <w:t xml:space="preserve">Where multiple parameters are estimated using a single sampling effort, activity </w:t>
      </w:r>
      <w:r w:rsidR="00D07B7B">
        <w:rPr>
          <w:color w:val="000000" w:themeColor="text1"/>
        </w:rPr>
        <w:t>participants</w:t>
      </w:r>
      <w:r w:rsidRPr="001C2394">
        <w:rPr>
          <w:color w:val="000000" w:themeColor="text1"/>
        </w:rPr>
        <w:t xml:space="preserve"> shall demonstrate that the sampling design is appropriate for all parameters and meets the required reliability for each</w:t>
      </w:r>
      <w:r w:rsidR="00703492">
        <w:rPr>
          <w:color w:val="000000" w:themeColor="text1"/>
        </w:rPr>
        <w:t>.</w:t>
      </w:r>
    </w:p>
    <w:p w14:paraId="6B597FFB" w14:textId="6C876DC7" w:rsidR="002041AC" w:rsidRDefault="00245751" w:rsidP="005A4B4B">
      <w:pPr>
        <w:pStyle w:val="Caption"/>
        <w:keepNext w:val="0"/>
        <w:keepLines w:val="0"/>
      </w:pPr>
      <w:bookmarkStart w:id="883" w:name="_Ref233232055"/>
      <w:r>
        <w:t>Table</w:t>
      </w:r>
      <w:r w:rsidR="00DA41C0">
        <w:t> </w:t>
      </w:r>
      <w:r>
        <w:fldChar w:fldCharType="begin"/>
      </w:r>
      <w:r>
        <w:instrText>SEQ Table \</w:instrText>
      </w:r>
      <w:r w:rsidR="00DA41C0">
        <w:instrText>r1\</w:instrText>
      </w:r>
      <w:r>
        <w:instrText>* ARABIC</w:instrText>
      </w:r>
      <w:r>
        <w:fldChar w:fldCharType="separate"/>
      </w:r>
      <w:r w:rsidR="00831DAE">
        <w:rPr>
          <w:noProof/>
        </w:rPr>
        <w:t>1</w:t>
      </w:r>
      <w:r>
        <w:fldChar w:fldCharType="end"/>
      </w:r>
      <w:bookmarkEnd w:id="883"/>
      <w:r w:rsidR="00DA41C0">
        <w:t>.</w:t>
      </w:r>
      <w:r w:rsidR="00DA41C0">
        <w:tab/>
      </w:r>
      <w:r w:rsidRPr="00245751">
        <w:t>Parameters requiring sampling and applicable data sources</w:t>
      </w:r>
    </w:p>
    <w:tbl>
      <w:tblPr>
        <w:tblStyle w:val="SDMTable"/>
        <w:tblW w:w="8618" w:type="dxa"/>
        <w:tblLayout w:type="fixed"/>
        <w:tblLook w:val="04A0" w:firstRow="1" w:lastRow="0" w:firstColumn="1" w:lastColumn="0" w:noHBand="0" w:noVBand="1"/>
      </w:tblPr>
      <w:tblGrid>
        <w:gridCol w:w="1336"/>
        <w:gridCol w:w="1893"/>
        <w:gridCol w:w="1311"/>
        <w:gridCol w:w="1457"/>
        <w:gridCol w:w="1165"/>
        <w:gridCol w:w="1456"/>
      </w:tblGrid>
      <w:tr w:rsidR="001C2394" w:rsidRPr="001C2394" w14:paraId="67E25F36" w14:textId="77777777" w:rsidTr="005A4B4B">
        <w:trPr>
          <w:cnfStyle w:val="100000000000" w:firstRow="1" w:lastRow="0" w:firstColumn="0" w:lastColumn="0" w:oddVBand="0" w:evenVBand="0" w:oddHBand="0"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00" w:type="dxa"/>
            <w:tcBorders>
              <w:bottom w:val="single" w:sz="4" w:space="0" w:color="auto"/>
              <w:right w:val="single" w:sz="4" w:space="0" w:color="auto"/>
            </w:tcBorders>
            <w:hideMark/>
          </w:tcPr>
          <w:p w14:paraId="7C16C0AD" w14:textId="77777777" w:rsidR="001C2394" w:rsidRPr="001C2394" w:rsidRDefault="001C2394" w:rsidP="00464BF6">
            <w:pPr>
              <w:keepNext w:val="0"/>
              <w:keepLines w:val="0"/>
              <w:suppressAutoHyphens/>
              <w:jc w:val="left"/>
              <w:rPr>
                <w:sz w:val="20"/>
              </w:rPr>
            </w:pPr>
            <w:r w:rsidRPr="001C2394">
              <w:rPr>
                <w:sz w:val="20"/>
              </w:rPr>
              <w:t>Parameter</w:t>
            </w:r>
          </w:p>
        </w:tc>
        <w:tc>
          <w:tcPr>
            <w:tcW w:w="1842" w:type="dxa"/>
            <w:tcBorders>
              <w:left w:val="single" w:sz="4" w:space="0" w:color="auto"/>
              <w:bottom w:val="single" w:sz="4" w:space="0" w:color="auto"/>
              <w:right w:val="single" w:sz="4" w:space="0" w:color="auto"/>
            </w:tcBorders>
            <w:hideMark/>
          </w:tcPr>
          <w:p w14:paraId="0FEAA230" w14:textId="77777777" w:rsidR="001C2394" w:rsidRPr="001C2394" w:rsidRDefault="001C2394" w:rsidP="00464BF6">
            <w:pPr>
              <w:keepNext w:val="0"/>
              <w:keepLines w:val="0"/>
              <w:suppressAutoHyphens/>
              <w:jc w:val="left"/>
              <w:cnfStyle w:val="100000000000" w:firstRow="1" w:lastRow="0" w:firstColumn="0" w:lastColumn="0" w:oddVBand="0" w:evenVBand="0" w:oddHBand="0" w:evenHBand="0" w:firstRowFirstColumn="0" w:firstRowLastColumn="0" w:lastRowFirstColumn="0" w:lastRowLastColumn="0"/>
              <w:rPr>
                <w:sz w:val="20"/>
              </w:rPr>
            </w:pPr>
            <w:r w:rsidRPr="001C2394">
              <w:rPr>
                <w:sz w:val="20"/>
              </w:rPr>
              <w:t>Description</w:t>
            </w:r>
          </w:p>
        </w:tc>
        <w:tc>
          <w:tcPr>
            <w:tcW w:w="1276" w:type="dxa"/>
            <w:tcBorders>
              <w:left w:val="single" w:sz="4" w:space="0" w:color="auto"/>
              <w:bottom w:val="single" w:sz="4" w:space="0" w:color="auto"/>
              <w:right w:val="single" w:sz="4" w:space="0" w:color="auto"/>
            </w:tcBorders>
            <w:hideMark/>
          </w:tcPr>
          <w:p w14:paraId="375CD04C" w14:textId="77777777" w:rsidR="001C2394" w:rsidRPr="001C2394" w:rsidRDefault="001C2394" w:rsidP="00464BF6">
            <w:pPr>
              <w:keepNext w:val="0"/>
              <w:keepLines w:val="0"/>
              <w:suppressAutoHyphens/>
              <w:jc w:val="left"/>
              <w:cnfStyle w:val="100000000000" w:firstRow="1" w:lastRow="0" w:firstColumn="0" w:lastColumn="0" w:oddVBand="0" w:evenVBand="0" w:oddHBand="0" w:evenHBand="0" w:firstRowFirstColumn="0" w:firstRowLastColumn="0" w:lastRowFirstColumn="0" w:lastRowLastColumn="0"/>
              <w:rPr>
                <w:sz w:val="20"/>
              </w:rPr>
            </w:pPr>
            <w:r w:rsidRPr="001C2394">
              <w:rPr>
                <w:sz w:val="20"/>
              </w:rPr>
              <w:t>Unit</w:t>
            </w:r>
          </w:p>
        </w:tc>
        <w:tc>
          <w:tcPr>
            <w:tcW w:w="1418" w:type="dxa"/>
            <w:tcBorders>
              <w:left w:val="single" w:sz="4" w:space="0" w:color="auto"/>
              <w:bottom w:val="single" w:sz="4" w:space="0" w:color="auto"/>
              <w:right w:val="single" w:sz="4" w:space="0" w:color="auto"/>
            </w:tcBorders>
            <w:hideMark/>
          </w:tcPr>
          <w:p w14:paraId="7EAFCAAC" w14:textId="77777777" w:rsidR="001C2394" w:rsidRPr="001C2394" w:rsidRDefault="001C2394" w:rsidP="00464BF6">
            <w:pPr>
              <w:keepNext w:val="0"/>
              <w:keepLines w:val="0"/>
              <w:suppressAutoHyphens/>
              <w:jc w:val="left"/>
              <w:cnfStyle w:val="100000000000" w:firstRow="1" w:lastRow="0" w:firstColumn="0" w:lastColumn="0" w:oddVBand="0" w:evenVBand="0" w:oddHBand="0" w:evenHBand="0" w:firstRowFirstColumn="0" w:firstRowLastColumn="0" w:lastRowFirstColumn="0" w:lastRowLastColumn="0"/>
              <w:rPr>
                <w:sz w:val="20"/>
              </w:rPr>
            </w:pPr>
            <w:r w:rsidRPr="001C2394">
              <w:rPr>
                <w:sz w:val="20"/>
              </w:rPr>
              <w:t>Data source</w:t>
            </w:r>
          </w:p>
        </w:tc>
        <w:tc>
          <w:tcPr>
            <w:tcW w:w="1134" w:type="dxa"/>
            <w:tcBorders>
              <w:left w:val="single" w:sz="4" w:space="0" w:color="auto"/>
              <w:bottom w:val="single" w:sz="4" w:space="0" w:color="auto"/>
              <w:right w:val="single" w:sz="4" w:space="0" w:color="auto"/>
            </w:tcBorders>
            <w:hideMark/>
          </w:tcPr>
          <w:p w14:paraId="38FF2B3C" w14:textId="77777777" w:rsidR="001C2394" w:rsidRPr="001C2394" w:rsidRDefault="001C2394" w:rsidP="00464BF6">
            <w:pPr>
              <w:keepNext w:val="0"/>
              <w:keepLines w:val="0"/>
              <w:suppressAutoHyphens/>
              <w:jc w:val="left"/>
              <w:cnfStyle w:val="100000000000" w:firstRow="1" w:lastRow="0" w:firstColumn="0" w:lastColumn="0" w:oddVBand="0" w:evenVBand="0" w:oddHBand="0" w:evenHBand="0" w:firstRowFirstColumn="0" w:firstRowLastColumn="0" w:lastRowFirstColumn="0" w:lastRowLastColumn="0"/>
              <w:rPr>
                <w:sz w:val="20"/>
              </w:rPr>
            </w:pPr>
            <w:r w:rsidRPr="001C2394">
              <w:rPr>
                <w:sz w:val="20"/>
              </w:rPr>
              <w:t>Rule and guidance</w:t>
            </w:r>
          </w:p>
        </w:tc>
        <w:tc>
          <w:tcPr>
            <w:tcW w:w="1417" w:type="dxa"/>
            <w:tcBorders>
              <w:left w:val="single" w:sz="4" w:space="0" w:color="auto"/>
              <w:bottom w:val="single" w:sz="4" w:space="0" w:color="auto"/>
            </w:tcBorders>
            <w:hideMark/>
          </w:tcPr>
          <w:p w14:paraId="302A754A" w14:textId="77777777" w:rsidR="001C2394" w:rsidRPr="001C2394" w:rsidRDefault="001C2394" w:rsidP="00464BF6">
            <w:pPr>
              <w:keepNext w:val="0"/>
              <w:keepLines w:val="0"/>
              <w:suppressAutoHyphens/>
              <w:jc w:val="left"/>
              <w:cnfStyle w:val="100000000000" w:firstRow="1" w:lastRow="0" w:firstColumn="0" w:lastColumn="0" w:oddVBand="0" w:evenVBand="0" w:oddHBand="0" w:evenHBand="0" w:firstRowFirstColumn="0" w:firstRowLastColumn="0" w:lastRowFirstColumn="0" w:lastRowLastColumn="0"/>
              <w:rPr>
                <w:sz w:val="20"/>
              </w:rPr>
            </w:pPr>
            <w:r w:rsidRPr="001C2394">
              <w:rPr>
                <w:sz w:val="20"/>
              </w:rPr>
              <w:t>Reference section for guidance</w:t>
            </w:r>
          </w:p>
        </w:tc>
      </w:tr>
      <w:tr w:rsidR="001C2394" w:rsidRPr="001C2394" w14:paraId="244199A1" w14:textId="77777777" w:rsidTr="005A4B4B">
        <w:trPr>
          <w:cantSplit w:val="0"/>
        </w:trPr>
        <w:tc>
          <w:tcPr>
            <w:cnfStyle w:val="001000000000" w:firstRow="0" w:lastRow="0" w:firstColumn="1" w:lastColumn="0" w:oddVBand="0" w:evenVBand="0" w:oddHBand="0" w:evenHBand="0" w:firstRowFirstColumn="0" w:firstRowLastColumn="0" w:lastRowFirstColumn="0" w:lastRowLastColumn="0"/>
            <w:tcW w:w="1300" w:type="dxa"/>
            <w:hideMark/>
          </w:tcPr>
          <w:p w14:paraId="726B97D2" w14:textId="437465F7" w:rsidR="001C2394" w:rsidRPr="00693BB7" w:rsidRDefault="001549D8" w:rsidP="00464BF6">
            <w:pPr>
              <w:suppressAutoHyphens/>
              <w:jc w:val="left"/>
              <w:rPr>
                <w:sz w:val="20"/>
              </w:rPr>
            </w:pPr>
            <m:oMathPara>
              <m:oMathParaPr>
                <m:jc m:val="left"/>
              </m:oMathParaPr>
              <m:oMath>
                <m:sSub>
                  <m:sSubPr>
                    <m:ctrlPr>
                      <w:rPr>
                        <w:rFonts w:ascii="Cambria Math" w:eastAsia="Cambria Math" w:hAnsi="Cambria Math" w:cs="Cambria Math"/>
                        <w:sz w:val="20"/>
                      </w:rPr>
                    </m:ctrlPr>
                  </m:sSubPr>
                  <m:e>
                    <m:r>
                      <m:rPr>
                        <m:sty m:val="bi"/>
                      </m:rPr>
                      <w:rPr>
                        <w:rFonts w:ascii="Cambria Math" w:eastAsia="Cambria Math" w:hAnsi="Cambria Math" w:cs="Cambria Math"/>
                        <w:sz w:val="20"/>
                      </w:rPr>
                      <m:t>H</m:t>
                    </m:r>
                  </m:e>
                  <m:sub>
                    <m:r>
                      <m:rPr>
                        <m:sty m:val="bi"/>
                      </m:rPr>
                      <w:rPr>
                        <w:rFonts w:ascii="Cambria Math" w:eastAsia="Cambria Math" w:hAnsi="Cambria Math" w:cs="Cambria Math"/>
                        <w:sz w:val="20"/>
                      </w:rPr>
                      <m:t>y</m:t>
                    </m:r>
                  </m:sub>
                </m:sSub>
              </m:oMath>
            </m:oMathPara>
          </w:p>
        </w:tc>
        <w:tc>
          <w:tcPr>
            <w:tcW w:w="1842" w:type="dxa"/>
            <w:hideMark/>
          </w:tcPr>
          <w:p w14:paraId="24AC4123"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Average household size</w:t>
            </w:r>
          </w:p>
        </w:tc>
        <w:tc>
          <w:tcPr>
            <w:tcW w:w="1276" w:type="dxa"/>
            <w:hideMark/>
          </w:tcPr>
          <w:p w14:paraId="7F4B9A47" w14:textId="6046F056" w:rsidR="001C2394" w:rsidRPr="001C2394" w:rsidRDefault="006C4126"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Number of p</w:t>
            </w:r>
            <w:r w:rsidR="001C2394" w:rsidRPr="001C2394">
              <w:rPr>
                <w:sz w:val="20"/>
              </w:rPr>
              <w:t>ersons per household (Number)</w:t>
            </w:r>
          </w:p>
        </w:tc>
        <w:tc>
          <w:tcPr>
            <w:tcW w:w="1418" w:type="dxa"/>
            <w:hideMark/>
          </w:tcPr>
          <w:p w14:paraId="126A8956" w14:textId="1CAE87DB" w:rsidR="001C2394" w:rsidRPr="001C2394" w:rsidRDefault="00D03A47"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Pre-activity survey</w:t>
            </w:r>
            <w:r w:rsidR="001C2394" w:rsidRPr="001C2394">
              <w:rPr>
                <w:sz w:val="20"/>
              </w:rPr>
              <w:t xml:space="preserve"> and </w:t>
            </w:r>
            <w:r w:rsidR="005133F2">
              <w:rPr>
                <w:sz w:val="20"/>
              </w:rPr>
              <w:t>U</w:t>
            </w:r>
            <w:r w:rsidR="001C2394" w:rsidRPr="001C2394">
              <w:rPr>
                <w:sz w:val="20"/>
              </w:rPr>
              <w:t>sage surveys</w:t>
            </w:r>
          </w:p>
        </w:tc>
        <w:tc>
          <w:tcPr>
            <w:tcW w:w="1134" w:type="dxa"/>
            <w:hideMark/>
          </w:tcPr>
          <w:p w14:paraId="3BCA4318" w14:textId="1F7848B1"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95/10</w:t>
            </w:r>
          </w:p>
        </w:tc>
        <w:tc>
          <w:tcPr>
            <w:tcW w:w="1417" w:type="dxa"/>
            <w:hideMark/>
          </w:tcPr>
          <w:p w14:paraId="597CCFED"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Continuous distribution</w:t>
            </w:r>
          </w:p>
        </w:tc>
      </w:tr>
      <w:tr w:rsidR="001C2394" w:rsidRPr="001C2394" w14:paraId="07A2030C" w14:textId="77777777" w:rsidTr="005A4B4B">
        <w:trPr>
          <w:cantSplit w:val="0"/>
        </w:trPr>
        <w:tc>
          <w:tcPr>
            <w:cnfStyle w:val="001000000000" w:firstRow="0" w:lastRow="0" w:firstColumn="1" w:lastColumn="0" w:oddVBand="0" w:evenVBand="0" w:oddHBand="0" w:evenHBand="0" w:firstRowFirstColumn="0" w:firstRowLastColumn="0" w:lastRowFirstColumn="0" w:lastRowLastColumn="0"/>
            <w:tcW w:w="1300" w:type="dxa"/>
            <w:hideMark/>
          </w:tcPr>
          <w:p w14:paraId="5E54CEDA" w14:textId="77777777" w:rsidR="001C2394" w:rsidRDefault="001549D8" w:rsidP="00464BF6">
            <w:pPr>
              <w:suppressAutoHyphens/>
              <w:jc w:val="left"/>
              <w:rPr>
                <w:b w:val="0"/>
                <w:sz w:val="20"/>
              </w:rPr>
            </w:pPr>
            <m:oMath>
              <m:sSub>
                <m:sSubPr>
                  <m:ctrlPr>
                    <w:rPr>
                      <w:rFonts w:ascii="Cambria Math" w:eastAsia="Cambria Math" w:hAnsi="Cambria Math" w:cs="Cambria Math"/>
                      <w:sz w:val="20"/>
                    </w:rPr>
                  </m:ctrlPr>
                </m:sSubPr>
                <m:e>
                  <m:r>
                    <m:rPr>
                      <m:sty m:val="bi"/>
                    </m:rPr>
                    <w:rPr>
                      <w:rFonts w:ascii="Cambria Math" w:eastAsia="Cambria Math" w:hAnsi="Cambria Math" w:cs="Cambria Math"/>
                      <w:sz w:val="20"/>
                    </w:rPr>
                    <m:t>FEC</m:t>
                  </m:r>
                </m:e>
                <m:sub>
                  <m:r>
                    <m:rPr>
                      <m:sty m:val="bi"/>
                    </m:rPr>
                    <w:rPr>
                      <w:rFonts w:ascii="Cambria Math" w:eastAsia="Cambria Math" w:hAnsi="Cambria Math" w:cs="Cambria Math"/>
                      <w:sz w:val="20"/>
                    </w:rPr>
                    <m:t>proj,i,y</m:t>
                  </m:r>
                </m:sub>
              </m:sSub>
            </m:oMath>
            <w:r w:rsidR="00FD6DD6">
              <w:rPr>
                <w:sz w:val="20"/>
              </w:rPr>
              <w:t xml:space="preserve"> </w:t>
            </w:r>
            <w:r w:rsidR="00FD6DD6" w:rsidRPr="00EC2E19">
              <w:rPr>
                <w:b w:val="0"/>
                <w:bCs/>
                <w:sz w:val="20"/>
              </w:rPr>
              <w:t>and</w:t>
            </w:r>
          </w:p>
          <w:p w14:paraId="03AF89DD" w14:textId="51D4FC42" w:rsidR="00FD6DD6" w:rsidRPr="00693BB7" w:rsidRDefault="001549D8" w:rsidP="00464BF6">
            <w:pPr>
              <w:suppressAutoHyphens/>
              <w:jc w:val="left"/>
              <w:rPr>
                <w:sz w:val="20"/>
              </w:rPr>
            </w:pPr>
            <m:oMathPara>
              <m:oMathParaPr>
                <m:jc m:val="left"/>
              </m:oMathParaPr>
              <m:oMath>
                <m:sSub>
                  <m:sSubPr>
                    <m:ctrlPr>
                      <w:rPr>
                        <w:rFonts w:ascii="Cambria Math" w:eastAsia="Cambria Math" w:hAnsi="Cambria Math" w:cs="Cambria Math"/>
                        <w:sz w:val="20"/>
                      </w:rPr>
                    </m:ctrlPr>
                  </m:sSubPr>
                  <m:e>
                    <m:r>
                      <m:rPr>
                        <m:sty m:val="bi"/>
                      </m:rPr>
                      <w:rPr>
                        <w:rFonts w:ascii="Cambria Math" w:eastAsia="Cambria Math" w:hAnsi="Cambria Math" w:cs="Cambria Math"/>
                        <w:sz w:val="20"/>
                      </w:rPr>
                      <m:t>FEC</m:t>
                    </m:r>
                  </m:e>
                  <m:sub>
                    <m:r>
                      <m:rPr>
                        <m:sty m:val="bi"/>
                      </m:rPr>
                      <w:rPr>
                        <w:rFonts w:ascii="Cambria Math" w:eastAsia="Cambria Math" w:hAnsi="Cambria Math" w:cs="Cambria Math"/>
                        <w:sz w:val="20"/>
                      </w:rPr>
                      <m:t>proj,j,y</m:t>
                    </m:r>
                  </m:sub>
                </m:sSub>
              </m:oMath>
            </m:oMathPara>
          </w:p>
        </w:tc>
        <w:tc>
          <w:tcPr>
            <w:tcW w:w="1842" w:type="dxa"/>
            <w:hideMark/>
          </w:tcPr>
          <w:p w14:paraId="004884A2" w14:textId="2681C76C"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 xml:space="preserve">Total energy consumption of </w:t>
            </w:r>
            <w:r w:rsidR="00FD6DD6">
              <w:rPr>
                <w:sz w:val="20"/>
              </w:rPr>
              <w:t>activity</w:t>
            </w:r>
            <w:r w:rsidRPr="001C2394">
              <w:rPr>
                <w:sz w:val="20"/>
              </w:rPr>
              <w:t xml:space="preserve"> fuels (</w:t>
            </w:r>
            <w:r w:rsidR="00FD6DD6">
              <w:rPr>
                <w:i/>
                <w:iCs/>
                <w:sz w:val="20"/>
              </w:rPr>
              <w:t xml:space="preserve">i </w:t>
            </w:r>
            <w:r w:rsidR="00FD6DD6" w:rsidRPr="00FD6DD6">
              <w:rPr>
                <w:sz w:val="20"/>
              </w:rPr>
              <w:t>and</w:t>
            </w:r>
            <w:r w:rsidR="00FD6DD6">
              <w:rPr>
                <w:i/>
                <w:iCs/>
                <w:sz w:val="20"/>
              </w:rPr>
              <w:t xml:space="preserve"> j</w:t>
            </w:r>
            <w:r w:rsidRPr="001C2394">
              <w:rPr>
                <w:sz w:val="20"/>
              </w:rPr>
              <w:t xml:space="preserve">) </w:t>
            </w:r>
            <w:r w:rsidR="00F71F30">
              <w:rPr>
                <w:sz w:val="20"/>
              </w:rPr>
              <w:t>in activity</w:t>
            </w:r>
          </w:p>
        </w:tc>
        <w:tc>
          <w:tcPr>
            <w:tcW w:w="1276" w:type="dxa"/>
            <w:hideMark/>
          </w:tcPr>
          <w:p w14:paraId="7914E7CE" w14:textId="00B851A3"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TJ</w:t>
            </w:r>
            <w:r w:rsidR="008F30EE">
              <w:rPr>
                <w:sz w:val="20"/>
              </w:rPr>
              <w:t xml:space="preserve"> </w:t>
            </w:r>
            <w:r w:rsidRPr="001C2394">
              <w:rPr>
                <w:sz w:val="20"/>
              </w:rPr>
              <w:t>/</w:t>
            </w:r>
            <w:r w:rsidR="008F30EE">
              <w:rPr>
                <w:sz w:val="20"/>
              </w:rPr>
              <w:t xml:space="preserve"> </w:t>
            </w:r>
            <w:r w:rsidRPr="001C2394">
              <w:rPr>
                <w:sz w:val="20"/>
              </w:rPr>
              <w:t>(person</w:t>
            </w:r>
            <w:r w:rsidR="008F30EE">
              <w:rPr>
                <w:sz w:val="20"/>
              </w:rPr>
              <w:t xml:space="preserve"> x </w:t>
            </w:r>
            <w:r w:rsidRPr="001C2394">
              <w:rPr>
                <w:sz w:val="20"/>
              </w:rPr>
              <w:t>year)</w:t>
            </w:r>
          </w:p>
        </w:tc>
        <w:tc>
          <w:tcPr>
            <w:tcW w:w="1418" w:type="dxa"/>
            <w:hideMark/>
          </w:tcPr>
          <w:p w14:paraId="320DC971" w14:textId="5C791B79" w:rsidR="001C2394" w:rsidRPr="001C2394" w:rsidRDefault="00FD6DD6"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Activity </w:t>
            </w:r>
            <w:r w:rsidR="001C2394" w:rsidRPr="001C2394">
              <w:rPr>
                <w:sz w:val="20"/>
              </w:rPr>
              <w:t>KPT</w:t>
            </w:r>
            <w:r>
              <w:rPr>
                <w:sz w:val="20"/>
              </w:rPr>
              <w:t>s</w:t>
            </w:r>
          </w:p>
        </w:tc>
        <w:tc>
          <w:tcPr>
            <w:tcW w:w="1134" w:type="dxa"/>
            <w:hideMark/>
          </w:tcPr>
          <w:p w14:paraId="503F08A4" w14:textId="2B70C87A"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95/10</w:t>
            </w:r>
          </w:p>
        </w:tc>
        <w:tc>
          <w:tcPr>
            <w:tcW w:w="1417" w:type="dxa"/>
            <w:hideMark/>
          </w:tcPr>
          <w:p w14:paraId="1D3B5113"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Continuous distribution</w:t>
            </w:r>
          </w:p>
        </w:tc>
      </w:tr>
      <w:tr w:rsidR="002B6A6D" w:rsidRPr="001C2394" w14:paraId="38881DA6" w14:textId="77777777" w:rsidTr="005A4B4B">
        <w:trPr>
          <w:cantSplit w:val="0"/>
        </w:trPr>
        <w:tc>
          <w:tcPr>
            <w:cnfStyle w:val="001000000000" w:firstRow="0" w:lastRow="0" w:firstColumn="1" w:lastColumn="0" w:oddVBand="0" w:evenVBand="0" w:oddHBand="0" w:evenHBand="0" w:firstRowFirstColumn="0" w:firstRowLastColumn="0" w:lastRowFirstColumn="0" w:lastRowLastColumn="0"/>
            <w:tcW w:w="1300" w:type="dxa"/>
          </w:tcPr>
          <w:p w14:paraId="2FB8ECDA" w14:textId="5B44CC3F" w:rsidR="002B6A6D" w:rsidRDefault="00BC1454" w:rsidP="00464BF6">
            <w:pPr>
              <w:suppressAutoHyphens/>
              <w:jc w:val="left"/>
              <w:rPr>
                <w:sz w:val="20"/>
              </w:rPr>
            </w:pPr>
            <w:r>
              <w:rPr>
                <w:sz w:val="20"/>
              </w:rPr>
              <w:t>PC</w:t>
            </w:r>
            <w:r>
              <w:rPr>
                <w:sz w:val="20"/>
                <w:vertAlign w:val="subscript"/>
              </w:rPr>
              <w:t>b,</w:t>
            </w:r>
            <w:r w:rsidR="00F30D2B">
              <w:rPr>
                <w:sz w:val="20"/>
                <w:vertAlign w:val="subscript"/>
              </w:rPr>
              <w:t>i</w:t>
            </w:r>
            <w:r>
              <w:rPr>
                <w:sz w:val="20"/>
                <w:vertAlign w:val="subscript"/>
              </w:rPr>
              <w:t xml:space="preserve"> </w:t>
            </w:r>
          </w:p>
        </w:tc>
        <w:tc>
          <w:tcPr>
            <w:tcW w:w="1842" w:type="dxa"/>
          </w:tcPr>
          <w:p w14:paraId="64633FFC" w14:textId="44534D65" w:rsidR="002B6A6D" w:rsidRPr="001C2394" w:rsidRDefault="00393E0D"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rFonts w:eastAsia="Montserrat" w:cs="Arial"/>
                <w:sz w:val="20"/>
              </w:rPr>
              <w:t xml:space="preserve">Proportion of </w:t>
            </w:r>
            <w:r>
              <w:rPr>
                <w:rFonts w:eastAsia="Montserrat" w:cs="Arial"/>
                <w:sz w:val="20"/>
              </w:rPr>
              <w:t>pre-activity</w:t>
            </w:r>
            <w:r w:rsidRPr="001C2394">
              <w:rPr>
                <w:rFonts w:eastAsia="Montserrat" w:cs="Arial"/>
                <w:sz w:val="20"/>
              </w:rPr>
              <w:t xml:space="preserve"> cooking events conducted using fuel </w:t>
            </w:r>
            <w:r w:rsidRPr="001C2394">
              <w:rPr>
                <w:rFonts w:eastAsia="Montserrat" w:cs="Arial"/>
                <w:i/>
                <w:sz w:val="20"/>
              </w:rPr>
              <w:t>i</w:t>
            </w:r>
          </w:p>
        </w:tc>
        <w:tc>
          <w:tcPr>
            <w:tcW w:w="1276" w:type="dxa"/>
          </w:tcPr>
          <w:p w14:paraId="4E9A89C0" w14:textId="7581A968" w:rsidR="002B6A6D" w:rsidRPr="001C2394" w:rsidRDefault="000E38A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Percent</w:t>
            </w:r>
          </w:p>
        </w:tc>
        <w:tc>
          <w:tcPr>
            <w:tcW w:w="1418" w:type="dxa"/>
          </w:tcPr>
          <w:p w14:paraId="19A37779" w14:textId="361EFB1E" w:rsidR="002B6A6D" w:rsidRPr="001C2394" w:rsidRDefault="000E38A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Pre-activity survey</w:t>
            </w:r>
          </w:p>
        </w:tc>
        <w:tc>
          <w:tcPr>
            <w:tcW w:w="1134" w:type="dxa"/>
          </w:tcPr>
          <w:p w14:paraId="2F2B25F0" w14:textId="4613244C" w:rsidR="002B6A6D" w:rsidRPr="001C2394" w:rsidRDefault="000E38A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95/10</w:t>
            </w:r>
          </w:p>
        </w:tc>
        <w:tc>
          <w:tcPr>
            <w:tcW w:w="1417" w:type="dxa"/>
          </w:tcPr>
          <w:p w14:paraId="255B3EE2" w14:textId="0AF3823C" w:rsidR="002B6A6D" w:rsidRPr="001C2394" w:rsidRDefault="003E1343"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Proportional</w:t>
            </w:r>
            <w:r w:rsidR="000E38A4">
              <w:rPr>
                <w:sz w:val="20"/>
              </w:rPr>
              <w:t xml:space="preserve"> distribution</w:t>
            </w:r>
          </w:p>
        </w:tc>
      </w:tr>
      <w:tr w:rsidR="00F30D2B" w:rsidRPr="001C2394" w14:paraId="10F39891" w14:textId="77777777" w:rsidTr="005A4B4B">
        <w:trPr>
          <w:cantSplit w:val="0"/>
        </w:trPr>
        <w:tc>
          <w:tcPr>
            <w:cnfStyle w:val="001000000000" w:firstRow="0" w:lastRow="0" w:firstColumn="1" w:lastColumn="0" w:oddVBand="0" w:evenVBand="0" w:oddHBand="0" w:evenHBand="0" w:firstRowFirstColumn="0" w:firstRowLastColumn="0" w:lastRowFirstColumn="0" w:lastRowLastColumn="0"/>
            <w:tcW w:w="1300" w:type="dxa"/>
          </w:tcPr>
          <w:p w14:paraId="13A72280" w14:textId="5CB4D8F2" w:rsidR="00F30D2B" w:rsidRDefault="00F30D2B" w:rsidP="00464BF6">
            <w:pPr>
              <w:suppressAutoHyphens/>
              <w:jc w:val="left"/>
              <w:rPr>
                <w:sz w:val="20"/>
              </w:rPr>
            </w:pPr>
            <w:r>
              <w:rPr>
                <w:sz w:val="20"/>
              </w:rPr>
              <w:t>PC</w:t>
            </w:r>
            <w:r w:rsidRPr="00E87663">
              <w:rPr>
                <w:sz w:val="20"/>
                <w:vertAlign w:val="subscript"/>
              </w:rPr>
              <w:t>p,</w:t>
            </w:r>
            <w:r w:rsidR="00393E0D">
              <w:rPr>
                <w:sz w:val="20"/>
                <w:vertAlign w:val="subscript"/>
              </w:rPr>
              <w:t>i</w:t>
            </w:r>
          </w:p>
        </w:tc>
        <w:tc>
          <w:tcPr>
            <w:tcW w:w="1842" w:type="dxa"/>
          </w:tcPr>
          <w:p w14:paraId="0DE34FE9" w14:textId="1A6D2DF0" w:rsidR="00F30D2B" w:rsidRPr="001C2394" w:rsidRDefault="00393E0D"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rFonts w:eastAsia="Montserrat" w:cs="Arial"/>
                <w:sz w:val="20"/>
              </w:rPr>
              <w:t xml:space="preserve">Proportion of cooking events conducted using fuel </w:t>
            </w:r>
            <w:r w:rsidRPr="0003157B">
              <w:rPr>
                <w:rFonts w:eastAsia="Montserrat" w:cs="Arial"/>
                <w:i/>
                <w:sz w:val="20"/>
              </w:rPr>
              <w:t>i</w:t>
            </w:r>
            <w:r>
              <w:rPr>
                <w:rFonts w:eastAsia="Montserrat" w:cs="Arial"/>
                <w:iCs/>
                <w:sz w:val="20"/>
              </w:rPr>
              <w:t xml:space="preserve"> during the Article 6.4 activity</w:t>
            </w:r>
          </w:p>
        </w:tc>
        <w:tc>
          <w:tcPr>
            <w:tcW w:w="1276" w:type="dxa"/>
          </w:tcPr>
          <w:p w14:paraId="647D5517" w14:textId="36CE48E7" w:rsidR="00F30D2B" w:rsidRPr="001C2394" w:rsidRDefault="00F30D2B"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Percent</w:t>
            </w:r>
          </w:p>
        </w:tc>
        <w:tc>
          <w:tcPr>
            <w:tcW w:w="1418" w:type="dxa"/>
          </w:tcPr>
          <w:p w14:paraId="37363D15" w14:textId="54DA5180" w:rsidR="00F30D2B" w:rsidRPr="001C2394" w:rsidRDefault="005133F2"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U</w:t>
            </w:r>
            <w:r w:rsidR="008442D3">
              <w:rPr>
                <w:sz w:val="20"/>
              </w:rPr>
              <w:t>sage survey</w:t>
            </w:r>
          </w:p>
        </w:tc>
        <w:tc>
          <w:tcPr>
            <w:tcW w:w="1134" w:type="dxa"/>
          </w:tcPr>
          <w:p w14:paraId="36D20D6B" w14:textId="12A961B8" w:rsidR="00F30D2B" w:rsidRPr="001C2394" w:rsidRDefault="00F30D2B"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sz w:val="20"/>
              </w:rPr>
              <w:t>95/10</w:t>
            </w:r>
          </w:p>
        </w:tc>
        <w:tc>
          <w:tcPr>
            <w:tcW w:w="1417" w:type="dxa"/>
          </w:tcPr>
          <w:p w14:paraId="3359A3F4" w14:textId="066FC4DE" w:rsidR="00F30D2B" w:rsidRPr="001C2394" w:rsidRDefault="003E1343"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Proportional</w:t>
            </w:r>
            <w:r w:rsidR="00F30D2B">
              <w:rPr>
                <w:sz w:val="20"/>
              </w:rPr>
              <w:t xml:space="preserve"> distribution</w:t>
            </w:r>
          </w:p>
        </w:tc>
      </w:tr>
      <w:tr w:rsidR="001C2394" w:rsidRPr="001C2394" w14:paraId="35489B88" w14:textId="77777777" w:rsidTr="005A4B4B">
        <w:trPr>
          <w:cantSplit w:val="0"/>
        </w:trPr>
        <w:tc>
          <w:tcPr>
            <w:cnfStyle w:val="001000000000" w:firstRow="0" w:lastRow="0" w:firstColumn="1" w:lastColumn="0" w:oddVBand="0" w:evenVBand="0" w:oddHBand="0" w:evenHBand="0" w:firstRowFirstColumn="0" w:firstRowLastColumn="0" w:lastRowFirstColumn="0" w:lastRowLastColumn="0"/>
            <w:tcW w:w="1300" w:type="dxa"/>
            <w:hideMark/>
          </w:tcPr>
          <w:p w14:paraId="6D5B9F3A" w14:textId="20BB9A71" w:rsidR="001C2394" w:rsidRPr="00693BB7" w:rsidRDefault="001549D8" w:rsidP="00464BF6">
            <w:pPr>
              <w:suppressAutoHyphens/>
              <w:jc w:val="left"/>
              <w:rPr>
                <w:sz w:val="20"/>
              </w:rPr>
            </w:pPr>
            <m:oMathPara>
              <m:oMathParaPr>
                <m:jc m:val="left"/>
              </m:oMathParaPr>
              <m:oMath>
                <m:sSub>
                  <m:sSubPr>
                    <m:ctrlPr>
                      <w:rPr>
                        <w:rFonts w:ascii="Cambria Math" w:eastAsia="Cambria Math" w:hAnsi="Cambria Math" w:cs="Cambria Math"/>
                        <w:sz w:val="20"/>
                      </w:rPr>
                    </m:ctrlPr>
                  </m:sSubPr>
                  <m:e>
                    <m:r>
                      <m:rPr>
                        <m:sty m:val="bi"/>
                      </m:rPr>
                      <w:rPr>
                        <w:rFonts w:ascii="Cambria Math" w:eastAsia="Cambria Math" w:hAnsi="Cambria Math" w:cs="Cambria Math"/>
                        <w:sz w:val="20"/>
                      </w:rPr>
                      <m:t>PCE</m:t>
                    </m:r>
                  </m:e>
                  <m:sub>
                    <m:r>
                      <m:rPr>
                        <m:sty m:val="bi"/>
                      </m:rPr>
                      <w:rPr>
                        <w:rFonts w:ascii="Cambria Math" w:eastAsia="Cambria Math" w:hAnsi="Cambria Math" w:cs="Cambria Math"/>
                        <w:sz w:val="20"/>
                      </w:rPr>
                      <m:t>m</m:t>
                    </m:r>
                  </m:sub>
                </m:sSub>
              </m:oMath>
            </m:oMathPara>
          </w:p>
        </w:tc>
        <w:tc>
          <w:tcPr>
            <w:tcW w:w="1842" w:type="dxa"/>
            <w:hideMark/>
          </w:tcPr>
          <w:p w14:paraId="6EF852ED" w14:textId="37C74AD4"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 xml:space="preserve">Average project </w:t>
            </w:r>
            <w:r w:rsidR="008442D3">
              <w:rPr>
                <w:sz w:val="20"/>
              </w:rPr>
              <w:t>cooksto</w:t>
            </w:r>
            <w:r w:rsidR="00A66D28">
              <w:rPr>
                <w:sz w:val="20"/>
              </w:rPr>
              <w:t>v</w:t>
            </w:r>
            <w:r w:rsidR="008442D3">
              <w:rPr>
                <w:sz w:val="20"/>
              </w:rPr>
              <w:t>e</w:t>
            </w:r>
            <w:r w:rsidRPr="001C2394">
              <w:rPr>
                <w:sz w:val="20"/>
              </w:rPr>
              <w:t xml:space="preserve"> cooking events per day over 1 month from SUMs measurements</w:t>
            </w:r>
          </w:p>
        </w:tc>
        <w:tc>
          <w:tcPr>
            <w:tcW w:w="1276" w:type="dxa"/>
            <w:hideMark/>
          </w:tcPr>
          <w:p w14:paraId="47924CCD"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Cooking events/day</w:t>
            </w:r>
          </w:p>
        </w:tc>
        <w:tc>
          <w:tcPr>
            <w:tcW w:w="1418" w:type="dxa"/>
            <w:hideMark/>
          </w:tcPr>
          <w:p w14:paraId="5299344E"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SUMs</w:t>
            </w:r>
          </w:p>
        </w:tc>
        <w:tc>
          <w:tcPr>
            <w:tcW w:w="1134" w:type="dxa"/>
            <w:hideMark/>
          </w:tcPr>
          <w:p w14:paraId="5AFC10F0" w14:textId="212F1931"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95/10</w:t>
            </w:r>
          </w:p>
        </w:tc>
        <w:tc>
          <w:tcPr>
            <w:tcW w:w="1417" w:type="dxa"/>
            <w:hideMark/>
          </w:tcPr>
          <w:p w14:paraId="1322B363"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Continuous distribution</w:t>
            </w:r>
          </w:p>
        </w:tc>
      </w:tr>
      <w:tr w:rsidR="001C2394" w:rsidRPr="001C2394" w14:paraId="268ACD92" w14:textId="77777777" w:rsidTr="005A4B4B">
        <w:trPr>
          <w:cantSplit w:val="0"/>
        </w:trPr>
        <w:tc>
          <w:tcPr>
            <w:cnfStyle w:val="001000000000" w:firstRow="0" w:lastRow="0" w:firstColumn="1" w:lastColumn="0" w:oddVBand="0" w:evenVBand="0" w:oddHBand="0" w:evenHBand="0" w:firstRowFirstColumn="0" w:firstRowLastColumn="0" w:lastRowFirstColumn="0" w:lastRowLastColumn="0"/>
            <w:tcW w:w="1300" w:type="dxa"/>
            <w:hideMark/>
          </w:tcPr>
          <w:p w14:paraId="3D837D95" w14:textId="74D7D1BF" w:rsidR="001C2394" w:rsidRPr="00693BB7" w:rsidRDefault="001549D8" w:rsidP="00464BF6">
            <w:pPr>
              <w:suppressAutoHyphens/>
              <w:jc w:val="left"/>
              <w:rPr>
                <w:sz w:val="20"/>
              </w:rPr>
            </w:pPr>
            <m:oMathPara>
              <m:oMathParaPr>
                <m:jc m:val="left"/>
              </m:oMathParaPr>
              <m:oMath>
                <m:sSub>
                  <m:sSubPr>
                    <m:ctrlPr>
                      <w:rPr>
                        <w:rFonts w:ascii="Cambria Math" w:eastAsia="Cambria Math" w:hAnsi="Cambria Math" w:cs="Cambria Math"/>
                        <w:sz w:val="20"/>
                      </w:rPr>
                    </m:ctrlPr>
                  </m:sSubPr>
                  <m:e>
                    <m:r>
                      <m:rPr>
                        <m:sty m:val="bi"/>
                      </m:rPr>
                      <w:rPr>
                        <w:rFonts w:ascii="Cambria Math" w:eastAsia="Cambria Math" w:hAnsi="Cambria Math" w:cs="Cambria Math"/>
                        <w:sz w:val="20"/>
                      </w:rPr>
                      <m:t>PCE</m:t>
                    </m:r>
                  </m:e>
                  <m:sub>
                    <m:r>
                      <m:rPr>
                        <m:sty m:val="bi"/>
                      </m:rPr>
                      <w:rPr>
                        <w:rFonts w:ascii="Cambria Math" w:eastAsia="Cambria Math" w:hAnsi="Cambria Math" w:cs="Cambria Math"/>
                        <w:sz w:val="20"/>
                      </w:rPr>
                      <m:t>KPT</m:t>
                    </m:r>
                  </m:sub>
                </m:sSub>
              </m:oMath>
            </m:oMathPara>
          </w:p>
        </w:tc>
        <w:tc>
          <w:tcPr>
            <w:tcW w:w="1842" w:type="dxa"/>
            <w:hideMark/>
          </w:tcPr>
          <w:p w14:paraId="78759A69" w14:textId="660D4BEF"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 xml:space="preserve">Average project </w:t>
            </w:r>
            <w:r w:rsidR="008442D3">
              <w:rPr>
                <w:sz w:val="20"/>
              </w:rPr>
              <w:t>cookstove</w:t>
            </w:r>
            <w:r w:rsidRPr="001C2394">
              <w:rPr>
                <w:sz w:val="20"/>
              </w:rPr>
              <w:t xml:space="preserve"> cooking events per day over the project KPT from SUMs measurements</w:t>
            </w:r>
          </w:p>
        </w:tc>
        <w:tc>
          <w:tcPr>
            <w:tcW w:w="1276" w:type="dxa"/>
            <w:hideMark/>
          </w:tcPr>
          <w:p w14:paraId="52B1B3D1"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Cooking events/day</w:t>
            </w:r>
          </w:p>
        </w:tc>
        <w:tc>
          <w:tcPr>
            <w:tcW w:w="1418" w:type="dxa"/>
            <w:hideMark/>
          </w:tcPr>
          <w:p w14:paraId="064C3491"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SUMs</w:t>
            </w:r>
          </w:p>
        </w:tc>
        <w:tc>
          <w:tcPr>
            <w:tcW w:w="1134" w:type="dxa"/>
            <w:hideMark/>
          </w:tcPr>
          <w:p w14:paraId="13F90A25" w14:textId="0EE442A1"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95/10</w:t>
            </w:r>
          </w:p>
        </w:tc>
        <w:tc>
          <w:tcPr>
            <w:tcW w:w="1417" w:type="dxa"/>
            <w:hideMark/>
          </w:tcPr>
          <w:p w14:paraId="5406DE4B"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Continuous distribution</w:t>
            </w:r>
          </w:p>
        </w:tc>
      </w:tr>
      <w:tr w:rsidR="001C2394" w:rsidRPr="001C2394" w14:paraId="1151BAC9" w14:textId="77777777" w:rsidTr="005A4B4B">
        <w:trPr>
          <w:cantSplit w:val="0"/>
        </w:trPr>
        <w:tc>
          <w:tcPr>
            <w:cnfStyle w:val="001000000000" w:firstRow="0" w:lastRow="0" w:firstColumn="1" w:lastColumn="0" w:oddVBand="0" w:evenVBand="0" w:oddHBand="0" w:evenHBand="0" w:firstRowFirstColumn="0" w:firstRowLastColumn="0" w:lastRowFirstColumn="0" w:lastRowLastColumn="0"/>
            <w:tcW w:w="1300" w:type="dxa"/>
            <w:hideMark/>
          </w:tcPr>
          <w:p w14:paraId="35FD2A37" w14:textId="620BC1AC" w:rsidR="001C2394" w:rsidRPr="00693BB7" w:rsidRDefault="001549D8" w:rsidP="00464BF6">
            <w:pPr>
              <w:suppressAutoHyphens/>
              <w:jc w:val="left"/>
              <w:rPr>
                <w:sz w:val="20"/>
              </w:rPr>
            </w:pPr>
            <m:oMathPara>
              <m:oMathParaPr>
                <m:jc m:val="left"/>
              </m:oMathParaPr>
              <m:oMath>
                <m:sSub>
                  <m:sSubPr>
                    <m:ctrlPr>
                      <w:rPr>
                        <w:rFonts w:ascii="Cambria Math" w:eastAsia="Cambria Math" w:hAnsi="Cambria Math" w:cs="Cambria Math"/>
                        <w:sz w:val="20"/>
                      </w:rPr>
                    </m:ctrlPr>
                  </m:sSubPr>
                  <m:e>
                    <m:r>
                      <m:rPr>
                        <m:sty m:val="bi"/>
                      </m:rPr>
                      <w:rPr>
                        <w:rFonts w:ascii="Cambria Math" w:eastAsia="Roboto" w:hAnsi="Cambria Math" w:cs="Roboto"/>
                        <w:color w:val="040C28"/>
                        <w:sz w:val="20"/>
                      </w:rPr>
                      <m:t>Ψ</m:t>
                    </m:r>
                  </m:e>
                  <m:sub>
                    <m:r>
                      <m:rPr>
                        <m:sty m:val="bi"/>
                      </m:rPr>
                      <w:rPr>
                        <w:rFonts w:ascii="Cambria Math" w:eastAsia="Cambria Math" w:hAnsi="Cambria Math" w:cs="Cambria Math"/>
                        <w:sz w:val="20"/>
                      </w:rPr>
                      <m:t>y</m:t>
                    </m:r>
                  </m:sub>
                </m:sSub>
              </m:oMath>
            </m:oMathPara>
          </w:p>
        </w:tc>
        <w:tc>
          <w:tcPr>
            <w:tcW w:w="1842" w:type="dxa"/>
            <w:vAlign w:val="center"/>
            <w:hideMark/>
          </w:tcPr>
          <w:p w14:paraId="4C494118" w14:textId="6FC13499"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 xml:space="preserve">Percent of </w:t>
            </w:r>
            <w:r w:rsidR="00C455EA">
              <w:rPr>
                <w:sz w:val="20"/>
              </w:rPr>
              <w:t>activity</w:t>
            </w:r>
            <w:r w:rsidRPr="001C2394">
              <w:rPr>
                <w:sz w:val="20"/>
              </w:rPr>
              <w:t xml:space="preserve"> households </w:t>
            </w:r>
            <w:r w:rsidR="00C455EA">
              <w:rPr>
                <w:sz w:val="20"/>
              </w:rPr>
              <w:t>that qualify as user households in year y</w:t>
            </w:r>
          </w:p>
        </w:tc>
        <w:tc>
          <w:tcPr>
            <w:tcW w:w="1276" w:type="dxa"/>
            <w:hideMark/>
          </w:tcPr>
          <w:p w14:paraId="315309A4"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Percentage</w:t>
            </w:r>
          </w:p>
        </w:tc>
        <w:tc>
          <w:tcPr>
            <w:tcW w:w="1418" w:type="dxa"/>
            <w:hideMark/>
          </w:tcPr>
          <w:p w14:paraId="59A59CD6" w14:textId="10FFEE24" w:rsidR="001C2394" w:rsidRPr="001C2394" w:rsidRDefault="005133F2"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Pr>
                <w:color w:val="000000" w:themeColor="text1"/>
                <w:sz w:val="20"/>
              </w:rPr>
              <w:t>U</w:t>
            </w:r>
            <w:r w:rsidR="001C2394" w:rsidRPr="001C2394">
              <w:rPr>
                <w:color w:val="000000" w:themeColor="text1"/>
                <w:sz w:val="20"/>
              </w:rPr>
              <w:t>sage survey or SUMs</w:t>
            </w:r>
          </w:p>
        </w:tc>
        <w:tc>
          <w:tcPr>
            <w:tcW w:w="1134" w:type="dxa"/>
            <w:hideMark/>
          </w:tcPr>
          <w:p w14:paraId="33448160" w14:textId="3AD84F66"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95/10</w:t>
            </w:r>
          </w:p>
        </w:tc>
        <w:tc>
          <w:tcPr>
            <w:tcW w:w="1417" w:type="dxa"/>
            <w:hideMark/>
          </w:tcPr>
          <w:p w14:paraId="6624154B" w14:textId="77777777" w:rsidR="001C2394" w:rsidRPr="001C2394" w:rsidRDefault="001C2394" w:rsidP="00464BF6">
            <w:pPr>
              <w:suppressAutoHyphens/>
              <w:jc w:val="left"/>
              <w:cnfStyle w:val="000000000000" w:firstRow="0" w:lastRow="0" w:firstColumn="0" w:lastColumn="0" w:oddVBand="0" w:evenVBand="0" w:oddHBand="0" w:evenHBand="0" w:firstRowFirstColumn="0" w:firstRowLastColumn="0" w:lastRowFirstColumn="0" w:lastRowLastColumn="0"/>
              <w:rPr>
                <w:sz w:val="20"/>
              </w:rPr>
            </w:pPr>
            <w:r w:rsidRPr="001C2394">
              <w:rPr>
                <w:sz w:val="20"/>
              </w:rPr>
              <w:t>Proportional distribution</w:t>
            </w:r>
          </w:p>
        </w:tc>
      </w:tr>
    </w:tbl>
    <w:p w14:paraId="07777103" w14:textId="77777777" w:rsidR="001C2394" w:rsidRPr="009F1716" w:rsidRDefault="001C2394" w:rsidP="009E7040">
      <w:pPr>
        <w:pStyle w:val="SDMApp1"/>
      </w:pPr>
      <w:r w:rsidRPr="009F1716">
        <w:rPr>
          <w:rFonts w:eastAsia="Arial"/>
          <w:bCs/>
          <w:szCs w:val="22"/>
        </w:rPr>
        <w:t>Selection of the sampling approach</w:t>
      </w:r>
    </w:p>
    <w:p w14:paraId="02BEC304" w14:textId="5E68516E" w:rsidR="006D2932" w:rsidRPr="00F368FC" w:rsidRDefault="001C2394" w:rsidP="00F368FC">
      <w:pPr>
        <w:pStyle w:val="SDMPara"/>
      </w:pPr>
      <w:r w:rsidRPr="009F1716">
        <w:rPr>
          <w:rFonts w:eastAsia="Arial"/>
        </w:rPr>
        <w:t xml:space="preserve">Activity participants may apply appropriate </w:t>
      </w:r>
      <w:r w:rsidR="004B7080">
        <w:rPr>
          <w:rFonts w:eastAsia="Arial"/>
        </w:rPr>
        <w:t>probability-based</w:t>
      </w:r>
      <w:r w:rsidR="004B7080" w:rsidRPr="009F1716">
        <w:rPr>
          <w:rFonts w:eastAsia="Arial"/>
        </w:rPr>
        <w:t xml:space="preserve"> </w:t>
      </w:r>
      <w:r w:rsidRPr="009F1716">
        <w:rPr>
          <w:rFonts w:eastAsia="Arial"/>
        </w:rPr>
        <w:t xml:space="preserve">approaches, in accordance with the </w:t>
      </w:r>
      <w:r w:rsidR="00491557" w:rsidRPr="00491557">
        <w:rPr>
          <w:rFonts w:eastAsia="Arial"/>
        </w:rPr>
        <w:t>Methodological tool: Sampling and surveys</w:t>
      </w:r>
      <w:r w:rsidR="00491557">
        <w:rPr>
          <w:rFonts w:eastAsia="Arial"/>
        </w:rPr>
        <w:t xml:space="preserve"> (</w:t>
      </w:r>
      <w:r w:rsidR="00491557" w:rsidRPr="00491557">
        <w:rPr>
          <w:rFonts w:eastAsia="Arial"/>
        </w:rPr>
        <w:t>A6.4-AMT-010</w:t>
      </w:r>
      <w:r w:rsidR="00491557">
        <w:rPr>
          <w:rFonts w:eastAsia="Arial"/>
        </w:rPr>
        <w:t>)</w:t>
      </w:r>
      <w:r w:rsidR="00E32484">
        <w:rPr>
          <w:rFonts w:eastAsia="Arial"/>
        </w:rPr>
        <w:t>.</w:t>
      </w:r>
    </w:p>
    <w:p w14:paraId="5C786AFB" w14:textId="5BAE7942" w:rsidR="001C2394" w:rsidRPr="00F368FC" w:rsidRDefault="007155E3" w:rsidP="00F368FC">
      <w:pPr>
        <w:pStyle w:val="SDMPara"/>
      </w:pPr>
      <w:r>
        <w:rPr>
          <w:rFonts w:eastAsia="Arial"/>
        </w:rPr>
        <w:t>The</w:t>
      </w:r>
      <w:r w:rsidR="001C2394" w:rsidRPr="009F1716">
        <w:rPr>
          <w:rFonts w:eastAsia="Arial"/>
        </w:rPr>
        <w:t xml:space="preserve"> </w:t>
      </w:r>
      <w:r w:rsidR="00495B50">
        <w:rPr>
          <w:rFonts w:eastAsia="Arial"/>
        </w:rPr>
        <w:t>activity participants</w:t>
      </w:r>
      <w:r w:rsidR="001C2394" w:rsidRPr="009F1716">
        <w:rPr>
          <w:rFonts w:eastAsia="Arial"/>
        </w:rPr>
        <w:t xml:space="preserve"> </w:t>
      </w:r>
      <w:r w:rsidR="00EA0577">
        <w:rPr>
          <w:rFonts w:eastAsia="Arial"/>
        </w:rPr>
        <w:t>shall</w:t>
      </w:r>
      <w:r w:rsidR="001C2394" w:rsidRPr="009F1716">
        <w:rPr>
          <w:rFonts w:eastAsia="Arial"/>
        </w:rPr>
        <w:t xml:space="preserve"> document</w:t>
      </w:r>
      <w:r>
        <w:rPr>
          <w:rFonts w:eastAsia="Arial"/>
        </w:rPr>
        <w:t xml:space="preserve"> the sampling design, including the procedure used to ensure </w:t>
      </w:r>
      <w:r w:rsidR="001C2394" w:rsidRPr="009F1716">
        <w:rPr>
          <w:rFonts w:eastAsia="Arial"/>
        </w:rPr>
        <w:t xml:space="preserve">randomization </w:t>
      </w:r>
      <w:r>
        <w:rPr>
          <w:rFonts w:eastAsia="Arial"/>
        </w:rPr>
        <w:t xml:space="preserve">in a manner that enables </w:t>
      </w:r>
      <w:r w:rsidR="001C2394" w:rsidRPr="009F1716">
        <w:rPr>
          <w:rFonts w:eastAsia="Arial"/>
        </w:rPr>
        <w:t>independent verifi</w:t>
      </w:r>
      <w:r w:rsidR="006D3327">
        <w:rPr>
          <w:rFonts w:eastAsia="Arial"/>
        </w:rPr>
        <w:t>cation</w:t>
      </w:r>
      <w:r w:rsidR="001C2394" w:rsidRPr="009F1716">
        <w:rPr>
          <w:rFonts w:eastAsia="Arial"/>
        </w:rPr>
        <w:t xml:space="preserve">. Acceptable documentation may include a record of the random number generator or software used, screenshots of the randomization process, or signed attestations from third parties who witnessed the selection. These materials shall be maintained as part of the </w:t>
      </w:r>
      <w:r w:rsidR="00341B27">
        <w:rPr>
          <w:rFonts w:eastAsia="Arial"/>
        </w:rPr>
        <w:t>activity</w:t>
      </w:r>
      <w:r w:rsidR="001C2394" w:rsidRPr="009F1716">
        <w:rPr>
          <w:rFonts w:eastAsia="Arial"/>
        </w:rPr>
        <w:t xml:space="preserve"> record and made available to the validation and verification body upon request.</w:t>
      </w:r>
    </w:p>
    <w:p w14:paraId="12AD0889" w14:textId="2BB3F121" w:rsidR="001C2394" w:rsidRPr="001C2394" w:rsidRDefault="001C2394" w:rsidP="009E7040">
      <w:pPr>
        <w:pStyle w:val="SDMApp1"/>
      </w:pPr>
      <w:r w:rsidRPr="001C2394">
        <w:rPr>
          <w:szCs w:val="22"/>
        </w:rPr>
        <w:t>Stratification requirements</w:t>
      </w:r>
    </w:p>
    <w:p w14:paraId="132D3216" w14:textId="6B749792" w:rsidR="001C2394" w:rsidRPr="00F368FC" w:rsidRDefault="001C2394" w:rsidP="005E6582">
      <w:pPr>
        <w:pStyle w:val="SDMPara"/>
      </w:pPr>
      <w:r w:rsidRPr="009F1716">
        <w:rPr>
          <w:rFonts w:eastAsia="Arial"/>
        </w:rPr>
        <w:t xml:space="preserve">Where </w:t>
      </w:r>
      <w:r w:rsidR="0021352D">
        <w:rPr>
          <w:rFonts w:eastAsia="Arial"/>
        </w:rPr>
        <w:t xml:space="preserve">stratified random </w:t>
      </w:r>
      <w:r w:rsidRPr="009F1716">
        <w:rPr>
          <w:rFonts w:eastAsia="Arial"/>
        </w:rPr>
        <w:t>sampling is applied, the sampling design shall reflect key characteristics of the population that may influence parameter values.</w:t>
      </w:r>
    </w:p>
    <w:p w14:paraId="47E71FF4" w14:textId="63CB2068" w:rsidR="001C2394" w:rsidRPr="008471D4" w:rsidRDefault="00293C91" w:rsidP="005E6582">
      <w:pPr>
        <w:pStyle w:val="SDMPara"/>
      </w:pPr>
      <w:r w:rsidRPr="00CF45D5">
        <w:rPr>
          <w:rFonts w:eastAsia="Arial"/>
        </w:rPr>
        <w:t>S</w:t>
      </w:r>
      <w:r w:rsidR="002E55D6">
        <w:rPr>
          <w:rFonts w:eastAsia="Arial"/>
        </w:rPr>
        <w:t>uch s</w:t>
      </w:r>
      <w:r w:rsidR="00916D1F" w:rsidRPr="00CF45D5">
        <w:rPr>
          <w:rFonts w:eastAsia="Arial"/>
        </w:rPr>
        <w:t>ampling</w:t>
      </w:r>
      <w:r w:rsidR="00916D1F" w:rsidRPr="009F1716">
        <w:rPr>
          <w:rFonts w:eastAsia="Arial"/>
        </w:rPr>
        <w:t xml:space="preserve"> </w:t>
      </w:r>
      <w:r w:rsidR="001C2394" w:rsidRPr="009F1716">
        <w:rPr>
          <w:rFonts w:eastAsia="Arial"/>
        </w:rPr>
        <w:t>shall be stratified by cookstove age categories</w:t>
      </w:r>
      <w:r w:rsidR="004B551D">
        <w:rPr>
          <w:rFonts w:eastAsia="Arial"/>
        </w:rPr>
        <w:t>, when applicable</w:t>
      </w:r>
      <w:r w:rsidR="001C2394" w:rsidRPr="009F1716">
        <w:rPr>
          <w:rFonts w:eastAsia="Arial"/>
        </w:rPr>
        <w:t>,</w:t>
      </w:r>
      <w:r w:rsidR="00C4449A">
        <w:rPr>
          <w:rFonts w:eastAsia="Arial"/>
        </w:rPr>
        <w:t xml:space="preserve"> </w:t>
      </w:r>
      <w:r w:rsidR="00C4449A" w:rsidRPr="008471D4">
        <w:rPr>
          <w:rFonts w:eastAsia="Arial"/>
        </w:rPr>
        <w:t xml:space="preserve">recognizing its influence on performance, usage and operational status. The following strata shall be applied: </w:t>
      </w:r>
      <w:r w:rsidR="001C2394" w:rsidRPr="008471D4">
        <w:rPr>
          <w:rFonts w:eastAsia="Arial"/>
        </w:rPr>
        <w:t>less than 1 year, 1–2 years, 2–3 years, 3–4 years, and more than 4</w:t>
      </w:r>
      <w:r w:rsidR="009D30B8" w:rsidRPr="008471D4">
        <w:rPr>
          <w:rFonts w:eastAsia="Arial"/>
        </w:rPr>
        <w:t> </w:t>
      </w:r>
      <w:r w:rsidR="001C2394" w:rsidRPr="008471D4">
        <w:rPr>
          <w:rFonts w:eastAsia="Arial"/>
        </w:rPr>
        <w:t>years.</w:t>
      </w:r>
    </w:p>
    <w:p w14:paraId="150C2DB0" w14:textId="3F786C22" w:rsidR="006D2932" w:rsidRPr="007D2FCD" w:rsidRDefault="001C2394" w:rsidP="005E6582">
      <w:pPr>
        <w:pStyle w:val="SDMPara"/>
      </w:pPr>
      <w:r w:rsidRPr="007D2FCD">
        <w:rPr>
          <w:rFonts w:eastAsia="Arial"/>
        </w:rPr>
        <w:t xml:space="preserve">Additional stratification may be applied where relevant (e.g. geographic location, socio-economic characteristics, or technology types), in accordance with </w:t>
      </w:r>
      <w:r w:rsidR="00944AB5" w:rsidRPr="007D2FCD">
        <w:rPr>
          <w:rFonts w:eastAsia="Arial"/>
        </w:rPr>
        <w:t xml:space="preserve">the </w:t>
      </w:r>
      <w:r w:rsidR="00775C4C" w:rsidRPr="007D2FCD">
        <w:rPr>
          <w:rFonts w:eastAsia="Arial"/>
        </w:rPr>
        <w:t>“</w:t>
      </w:r>
      <w:r w:rsidR="005E4065" w:rsidRPr="007D2FCD">
        <w:rPr>
          <w:rFonts w:eastAsia="Arial"/>
        </w:rPr>
        <w:t>Methodological tool</w:t>
      </w:r>
      <w:r w:rsidR="00775C4C" w:rsidRPr="007D2FCD">
        <w:rPr>
          <w:rFonts w:eastAsia="Arial"/>
        </w:rPr>
        <w:t>: Sampling and surveys” (</w:t>
      </w:r>
      <w:r w:rsidR="000D415B" w:rsidRPr="007D2FCD">
        <w:rPr>
          <w:rFonts w:eastAsia="Arial"/>
        </w:rPr>
        <w:t>A6.4-AMT-0</w:t>
      </w:r>
      <w:r w:rsidR="007D2FCD" w:rsidRPr="007D2FCD">
        <w:rPr>
          <w:rFonts w:eastAsia="Arial"/>
        </w:rPr>
        <w:t>10</w:t>
      </w:r>
      <w:r w:rsidR="000D415B" w:rsidRPr="007D2FCD">
        <w:rPr>
          <w:rFonts w:eastAsia="Arial"/>
        </w:rPr>
        <w:t>)</w:t>
      </w:r>
      <w:r w:rsidR="00A67312" w:rsidRPr="007D2FCD">
        <w:rPr>
          <w:rFonts w:eastAsia="Arial"/>
        </w:rPr>
        <w:t>.</w:t>
      </w:r>
    </w:p>
    <w:p w14:paraId="5A877C1A" w14:textId="5E4D9851" w:rsidR="006D2932" w:rsidRDefault="001C2394" w:rsidP="008C332A">
      <w:pPr>
        <w:pStyle w:val="SDMApp1"/>
      </w:pPr>
      <w:r w:rsidRPr="001C2394">
        <w:t>Determination of sample size</w:t>
      </w:r>
    </w:p>
    <w:p w14:paraId="01230132" w14:textId="0AD04729" w:rsidR="001C2394" w:rsidRPr="00F368FC" w:rsidRDefault="001C2394" w:rsidP="005E6582">
      <w:pPr>
        <w:pStyle w:val="SDMPara"/>
      </w:pPr>
      <w:bookmarkStart w:id="884" w:name="_Ref232078901"/>
      <w:r w:rsidRPr="001C2394">
        <w:rPr>
          <w:color w:val="000000" w:themeColor="text1"/>
        </w:rPr>
        <w:t xml:space="preserve">Sample size determination, including for both continuous and proportional variables, shall be conducted in accordance with the </w:t>
      </w:r>
      <w:r w:rsidR="00860E0C">
        <w:rPr>
          <w:color w:val="000000" w:themeColor="text1"/>
        </w:rPr>
        <w:t>sampling and surveys tool</w:t>
      </w:r>
      <w:r w:rsidR="00661F64">
        <w:rPr>
          <w:vertAlign w:val="superscript"/>
        </w:rPr>
        <w:t>2</w:t>
      </w:r>
      <w:r w:rsidRPr="001C2394">
        <w:rPr>
          <w:color w:val="000000" w:themeColor="text1"/>
        </w:rPr>
        <w:t>. This includes the selection of appropriate statistical parameters, treatment of variability, and application of reliability requirements</w:t>
      </w:r>
      <w:r w:rsidR="00961A22">
        <w:rPr>
          <w:color w:val="000000" w:themeColor="text1"/>
        </w:rPr>
        <w:t>.</w:t>
      </w:r>
      <w:bookmarkEnd w:id="884"/>
    </w:p>
    <w:p w14:paraId="2CFBD92E" w14:textId="45C9A29F" w:rsidR="00F368FC" w:rsidRDefault="00EA543F" w:rsidP="005E6582">
      <w:pPr>
        <w:pStyle w:val="SDMPara"/>
      </w:pPr>
      <w:bookmarkStart w:id="885" w:name="_Ref232078904"/>
      <w:r>
        <w:t xml:space="preserve">Where SUMs are used, oversampling </w:t>
      </w:r>
      <w:r w:rsidRPr="00357DCC">
        <w:t>by</w:t>
      </w:r>
      <w:r w:rsidR="0069454A" w:rsidRPr="00357DCC">
        <w:t xml:space="preserve"> 20</w:t>
      </w:r>
      <w:r w:rsidRPr="00357DCC">
        <w:t xml:space="preserve"> </w:t>
      </w:r>
      <w:r w:rsidR="0069454A" w:rsidRPr="00357DCC">
        <w:t>per cent</w:t>
      </w:r>
      <w:r w:rsidRPr="00357DCC">
        <w:t xml:space="preserve"> of</w:t>
      </w:r>
      <w:r>
        <w:t xml:space="preserve"> the </w:t>
      </w:r>
      <w:r w:rsidR="00032149">
        <w:t>calculated</w:t>
      </w:r>
      <w:r>
        <w:t xml:space="preserve"> sample size </w:t>
      </w:r>
      <w:r w:rsidR="000A23F8">
        <w:t xml:space="preserve">shall be applied </w:t>
      </w:r>
      <w:r>
        <w:t>to meet the required reliability.</w:t>
      </w:r>
      <w:r w:rsidR="0069454A">
        <w:t xml:space="preserve"> </w:t>
      </w:r>
      <w:r w:rsidR="0069454A" w:rsidRPr="00EB5EF2">
        <w:rPr>
          <w:lang w:val="en-US"/>
        </w:rPr>
        <w:t>Where field conditions are particularly challenging (remote areas, long monitoring periods, or prior SUM failure rates above 15</w:t>
      </w:r>
      <w:r w:rsidR="00DE7B9B">
        <w:rPr>
          <w:lang w:val="en-US"/>
        </w:rPr>
        <w:t xml:space="preserve"> per cent</w:t>
      </w:r>
      <w:r w:rsidR="0069454A" w:rsidRPr="00EB5EF2">
        <w:rPr>
          <w:lang w:val="en-US"/>
        </w:rPr>
        <w:t>), an oversampling of 25</w:t>
      </w:r>
      <w:r w:rsidR="00DE7B9B">
        <w:rPr>
          <w:lang w:val="en-US"/>
        </w:rPr>
        <w:t xml:space="preserve"> per cent</w:t>
      </w:r>
      <w:r w:rsidR="0069454A" w:rsidRPr="00EB5EF2">
        <w:rPr>
          <w:lang w:val="en-US"/>
        </w:rPr>
        <w:t xml:space="preserve"> is recommended.</w:t>
      </w:r>
      <w:r>
        <w:t xml:space="preserve"> This is to account for SUMs that may be defective or whose readings may be considered outliers.</w:t>
      </w:r>
      <w:bookmarkEnd w:id="885"/>
    </w:p>
    <w:p w14:paraId="319A0D31" w14:textId="1528999F" w:rsidR="00CF77E5" w:rsidRDefault="003879F0" w:rsidP="005E6582">
      <w:pPr>
        <w:pStyle w:val="SDMPara"/>
      </w:pPr>
      <w:r>
        <w:t xml:space="preserve">Notwithstanding </w:t>
      </w:r>
      <w:r w:rsidR="00164FDF">
        <w:t xml:space="preserve">paragraphs </w:t>
      </w:r>
      <w:r w:rsidR="00164FDF">
        <w:fldChar w:fldCharType="begin"/>
      </w:r>
      <w:r w:rsidR="00164FDF">
        <w:instrText xml:space="preserve"> REF _Ref232078901 \r \h </w:instrText>
      </w:r>
      <w:r w:rsidR="00164FDF">
        <w:fldChar w:fldCharType="separate"/>
      </w:r>
      <w:r w:rsidR="00831DAE">
        <w:rPr>
          <w:cs/>
        </w:rPr>
        <w:t>‎</w:t>
      </w:r>
      <w:r w:rsidR="00831DAE">
        <w:t>12</w:t>
      </w:r>
      <w:r w:rsidR="00164FDF">
        <w:fldChar w:fldCharType="end"/>
      </w:r>
      <w:r w:rsidR="005D72FD">
        <w:t xml:space="preserve"> and </w:t>
      </w:r>
      <w:r w:rsidR="00164FDF">
        <w:fldChar w:fldCharType="begin"/>
      </w:r>
      <w:r w:rsidR="00164FDF">
        <w:instrText xml:space="preserve"> REF _Ref232078904 \r \h </w:instrText>
      </w:r>
      <w:r w:rsidR="00164FDF">
        <w:fldChar w:fldCharType="separate"/>
      </w:r>
      <w:r w:rsidR="00831DAE">
        <w:rPr>
          <w:cs/>
        </w:rPr>
        <w:t>‎</w:t>
      </w:r>
      <w:r w:rsidR="00831DAE">
        <w:t>13</w:t>
      </w:r>
      <w:r w:rsidR="00164FDF">
        <w:fldChar w:fldCharType="end"/>
      </w:r>
      <w:r w:rsidR="00164FDF">
        <w:t xml:space="preserve">, </w:t>
      </w:r>
      <w:r w:rsidR="0004443B">
        <w:t>where SUMs are used</w:t>
      </w:r>
      <w:r w:rsidR="0054145C">
        <w:t xml:space="preserve"> for </w:t>
      </w:r>
      <w:r w:rsidR="001A7EF5">
        <w:t xml:space="preserve">measuring </w:t>
      </w:r>
      <w:r w:rsidR="0054145C">
        <w:t>usage</w:t>
      </w:r>
      <w:r w:rsidR="00A61B10">
        <w:t xml:space="preserve"> on a sample basis</w:t>
      </w:r>
      <w:r w:rsidR="0004443B">
        <w:t xml:space="preserve">, </w:t>
      </w:r>
      <w:r w:rsidR="00164FDF">
        <w:t xml:space="preserve">the </w:t>
      </w:r>
      <w:r w:rsidR="003217A0">
        <w:t xml:space="preserve">size of the sample </w:t>
      </w:r>
      <w:r w:rsidR="004023B4">
        <w:t xml:space="preserve">of cookstoves equipped with </w:t>
      </w:r>
      <w:r w:rsidR="006221F1">
        <w:t>SUMs</w:t>
      </w:r>
      <w:r w:rsidR="00BA30CD">
        <w:t xml:space="preserve"> shall be </w:t>
      </w:r>
      <w:r w:rsidR="00022925">
        <w:t>set</w:t>
      </w:r>
      <w:r w:rsidR="00933337">
        <w:t>, at minimum,</w:t>
      </w:r>
      <w:r w:rsidR="00022925">
        <w:t xml:space="preserve"> in accordance with</w:t>
      </w:r>
      <w:r w:rsidR="0080639A">
        <w:t xml:space="preserve"> </w:t>
      </w:r>
      <w:r w:rsidR="0080639A">
        <w:fldChar w:fldCharType="begin"/>
      </w:r>
      <w:r w:rsidR="0080639A">
        <w:instrText xml:space="preserve"> REF _Ref233977179 \h </w:instrText>
      </w:r>
      <w:r w:rsidR="0080639A">
        <w:fldChar w:fldCharType="separate"/>
      </w:r>
      <w:r w:rsidR="00831DAE">
        <w:t>Table </w:t>
      </w:r>
      <w:r w:rsidR="00831DAE">
        <w:rPr>
          <w:noProof/>
        </w:rPr>
        <w:t>2</w:t>
      </w:r>
      <w:r w:rsidR="0080639A">
        <w:fldChar w:fldCharType="end"/>
      </w:r>
      <w:r w:rsidR="00022925">
        <w:t xml:space="preserve"> </w:t>
      </w:r>
      <w:r w:rsidR="00CF77E5" w:rsidRPr="00CF77E5">
        <w:t>or the sample size calculated following the “Methodological tool: Sampling and surveys” (A6.4-AMT-0XX), if higher. Furthermore, the surveys that shall be conducted in parallel shall be located half at households equipped with effective/operating SUMs and half at households without SUMs, also in accordance with</w:t>
      </w:r>
      <w:r w:rsidR="00CF77E5">
        <w:t xml:space="preserve"> </w:t>
      </w:r>
      <w:r w:rsidR="00CF77E5">
        <w:fldChar w:fldCharType="begin"/>
      </w:r>
      <w:r w:rsidR="00CF77E5">
        <w:instrText xml:space="preserve"> REF _Ref233977179 \h </w:instrText>
      </w:r>
      <w:r w:rsidR="00CF77E5">
        <w:fldChar w:fldCharType="separate"/>
      </w:r>
      <w:r w:rsidR="00831DAE">
        <w:t>Table </w:t>
      </w:r>
      <w:r w:rsidR="00831DAE">
        <w:rPr>
          <w:noProof/>
        </w:rPr>
        <w:t>2</w:t>
      </w:r>
      <w:r w:rsidR="00CF77E5">
        <w:fldChar w:fldCharType="end"/>
      </w:r>
      <w:r w:rsidR="00CB7932">
        <w:t>.</w:t>
      </w:r>
    </w:p>
    <w:p w14:paraId="15811E75" w14:textId="04BB1072" w:rsidR="00163AC5" w:rsidRDefault="00163AC5" w:rsidP="00163AC5">
      <w:pPr>
        <w:pStyle w:val="Caption"/>
      </w:pPr>
      <w:bookmarkStart w:id="886" w:name="_Ref233977179"/>
      <w:bookmarkStart w:id="887" w:name="_Ref233363504"/>
      <w:r>
        <w:t>Table </w:t>
      </w:r>
      <w:r>
        <w:fldChar w:fldCharType="begin"/>
      </w:r>
      <w:r>
        <w:instrText>SEQ Table \r2\* ARABIC</w:instrText>
      </w:r>
      <w:r>
        <w:fldChar w:fldCharType="separate"/>
      </w:r>
      <w:r w:rsidR="00831DAE">
        <w:rPr>
          <w:noProof/>
        </w:rPr>
        <w:t>2</w:t>
      </w:r>
      <w:r>
        <w:fldChar w:fldCharType="end"/>
      </w:r>
      <w:bookmarkEnd w:id="886"/>
      <w:r>
        <w:t>.</w:t>
      </w:r>
      <w:r>
        <w:tab/>
      </w:r>
      <w:r w:rsidRPr="00163AC5">
        <w:t>Minimum sample size requirement for SUM-based approach</w:t>
      </w:r>
    </w:p>
    <w:tbl>
      <w:tblPr>
        <w:tblStyle w:val="SDMTable"/>
        <w:tblW w:w="8618" w:type="dxa"/>
        <w:tblLook w:val="04A0" w:firstRow="1" w:lastRow="0" w:firstColumn="1" w:lastColumn="0" w:noHBand="0" w:noVBand="1"/>
      </w:tblPr>
      <w:tblGrid>
        <w:gridCol w:w="1939"/>
        <w:gridCol w:w="1178"/>
        <w:gridCol w:w="1132"/>
        <w:gridCol w:w="1165"/>
        <w:gridCol w:w="1602"/>
        <w:gridCol w:w="1602"/>
      </w:tblGrid>
      <w:tr w:rsidR="00086ED7" w:rsidRPr="00AE502B" w14:paraId="279353A3" w14:textId="4A0C426F" w:rsidTr="00A93E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bookmarkEnd w:id="887"/>
          <w:p w14:paraId="57CAB1F2" w14:textId="071A9C23" w:rsidR="00086ED7" w:rsidRPr="00AE502B" w:rsidRDefault="003433C5" w:rsidP="00163AC5">
            <w:pPr>
              <w:pStyle w:val="SDMTableBoxParaNotNumbered"/>
            </w:pPr>
            <w:r>
              <w:t>Project size</w:t>
            </w:r>
          </w:p>
        </w:tc>
        <w:tc>
          <w:tcPr>
            <w:tcW w:w="1146" w:type="dxa"/>
          </w:tcPr>
          <w:p w14:paraId="161965D9" w14:textId="7EE27196" w:rsidR="00086ED7" w:rsidRPr="00AE502B" w:rsidRDefault="00457A08" w:rsidP="00163AC5">
            <w:pPr>
              <w:pStyle w:val="SDMTableBoxParaNotNumbered"/>
              <w:cnfStyle w:val="100000000000" w:firstRow="1" w:lastRow="0" w:firstColumn="0" w:lastColumn="0" w:oddVBand="0" w:evenVBand="0" w:oddHBand="0" w:evenHBand="0" w:firstRowFirstColumn="0" w:firstRowLastColumn="0" w:lastRowFirstColumn="0" w:lastRowLastColumn="0"/>
            </w:pPr>
            <w:r w:rsidRPr="00B66C75">
              <w:t>Effective SUMs</w:t>
            </w:r>
          </w:p>
        </w:tc>
        <w:tc>
          <w:tcPr>
            <w:tcW w:w="1102" w:type="dxa"/>
          </w:tcPr>
          <w:p w14:paraId="248DB9CE" w14:textId="502C84B2" w:rsidR="008A572B" w:rsidRPr="00AE502B" w:rsidRDefault="00457A08" w:rsidP="00163AC5">
            <w:pPr>
              <w:pStyle w:val="SDMTableBoxParaNotNumbered"/>
              <w:cnfStyle w:val="100000000000" w:firstRow="1" w:lastRow="0" w:firstColumn="0" w:lastColumn="0" w:oddVBand="0" w:evenVBand="0" w:oddHBand="0" w:evenHBand="0" w:firstRowFirstColumn="0" w:firstRowLastColumn="0" w:lastRowFirstColumn="0" w:lastRowLastColumn="0"/>
              <w:rPr>
                <w:b w:val="0"/>
              </w:rPr>
            </w:pPr>
            <w:r w:rsidRPr="00B66C75">
              <w:t>SUMs to deploy</w:t>
            </w:r>
          </w:p>
        </w:tc>
        <w:tc>
          <w:tcPr>
            <w:tcW w:w="1134" w:type="dxa"/>
          </w:tcPr>
          <w:p w14:paraId="6764F837" w14:textId="56EB8E95" w:rsidR="00086ED7" w:rsidRPr="00AE502B" w:rsidRDefault="00457A08" w:rsidP="00163AC5">
            <w:pPr>
              <w:pStyle w:val="SDMTableBoxParaNotNumbered"/>
              <w:cnfStyle w:val="100000000000" w:firstRow="1" w:lastRow="0" w:firstColumn="0" w:lastColumn="0" w:oddVBand="0" w:evenVBand="0" w:oddHBand="0" w:evenHBand="0" w:firstRowFirstColumn="0" w:firstRowLastColumn="0" w:lastRowFirstColumn="0" w:lastRowLastColumn="0"/>
            </w:pPr>
            <w:r w:rsidRPr="00B66C75">
              <w:t>Surveys</w:t>
            </w:r>
          </w:p>
        </w:tc>
        <w:tc>
          <w:tcPr>
            <w:tcW w:w="1559" w:type="dxa"/>
          </w:tcPr>
          <w:p w14:paraId="51C6D9BA" w14:textId="55D95A71" w:rsidR="008A572B" w:rsidRPr="00AE502B" w:rsidRDefault="00EA5260" w:rsidP="00163AC5">
            <w:pPr>
              <w:pStyle w:val="SDMTableBoxParaNotNumbered"/>
              <w:cnfStyle w:val="100000000000" w:firstRow="1" w:lastRow="0" w:firstColumn="0" w:lastColumn="0" w:oddVBand="0" w:evenVBand="0" w:oddHBand="0" w:evenHBand="0" w:firstRowFirstColumn="0" w:firstRowLastColumn="0" w:lastRowFirstColumn="0" w:lastRowLastColumn="0"/>
              <w:rPr>
                <w:b w:val="0"/>
              </w:rPr>
            </w:pPr>
            <w:r>
              <w:t xml:space="preserve">Number of surveys to be </w:t>
            </w:r>
            <w:r w:rsidR="00457A08" w:rsidRPr="00B66C75">
              <w:t>co-located with SUMs</w:t>
            </w:r>
          </w:p>
        </w:tc>
        <w:tc>
          <w:tcPr>
            <w:tcW w:w="1559" w:type="dxa"/>
          </w:tcPr>
          <w:p w14:paraId="022E8E44" w14:textId="58BFF45C" w:rsidR="00EA5260" w:rsidRDefault="00EA5260" w:rsidP="00163AC5">
            <w:pPr>
              <w:pStyle w:val="SDMTableBoxParaNotNumbered"/>
              <w:cnfStyle w:val="100000000000" w:firstRow="1" w:lastRow="0" w:firstColumn="0" w:lastColumn="0" w:oddVBand="0" w:evenVBand="0" w:oddHBand="0" w:evenHBand="0" w:firstRowFirstColumn="0" w:firstRowLastColumn="0" w:lastRowFirstColumn="0" w:lastRowLastColumn="0"/>
            </w:pPr>
            <w:r>
              <w:t>Number of surveys not co-located with SUMs</w:t>
            </w:r>
          </w:p>
        </w:tc>
      </w:tr>
      <w:tr w:rsidR="00086ED7" w:rsidRPr="00AE502B" w14:paraId="1B4DF987" w14:textId="21A87221" w:rsidTr="00A93E8A">
        <w:tc>
          <w:tcPr>
            <w:cnfStyle w:val="001000000000" w:firstRow="0" w:lastRow="0" w:firstColumn="1" w:lastColumn="0" w:oddVBand="0" w:evenVBand="0" w:oddHBand="0" w:evenHBand="0" w:firstRowFirstColumn="0" w:firstRowLastColumn="0" w:lastRowFirstColumn="0" w:lastRowLastColumn="0"/>
            <w:tcW w:w="1887" w:type="dxa"/>
          </w:tcPr>
          <w:p w14:paraId="59FC5F24" w14:textId="3C7C78EC" w:rsidR="00086ED7" w:rsidRPr="00163AC5" w:rsidRDefault="008A572B" w:rsidP="00163AC5">
            <w:pPr>
              <w:pStyle w:val="SDMTableBoxParaNotNumbered"/>
              <w:rPr>
                <w:b w:val="0"/>
              </w:rPr>
            </w:pPr>
            <w:r w:rsidRPr="00163AC5">
              <w:rPr>
                <w:b w:val="0"/>
              </w:rPr>
              <w:t>Up to 2,000</w:t>
            </w:r>
          </w:p>
        </w:tc>
        <w:tc>
          <w:tcPr>
            <w:tcW w:w="1146" w:type="dxa"/>
          </w:tcPr>
          <w:p w14:paraId="41DADA7E" w14:textId="0396FBFC" w:rsidR="00086ED7"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340</w:t>
            </w:r>
          </w:p>
        </w:tc>
        <w:tc>
          <w:tcPr>
            <w:tcW w:w="1102" w:type="dxa"/>
          </w:tcPr>
          <w:p w14:paraId="2F2BDBCA" w14:textId="524DA0B4" w:rsidR="008A572B"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425</w:t>
            </w:r>
          </w:p>
        </w:tc>
        <w:tc>
          <w:tcPr>
            <w:tcW w:w="1134" w:type="dxa"/>
          </w:tcPr>
          <w:p w14:paraId="03FCFBA1" w14:textId="071AEF0A" w:rsidR="00086ED7"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120</w:t>
            </w:r>
          </w:p>
        </w:tc>
        <w:tc>
          <w:tcPr>
            <w:tcW w:w="1559" w:type="dxa"/>
          </w:tcPr>
          <w:p w14:paraId="5A68CFFE" w14:textId="1965E0D3" w:rsidR="008A572B"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60 co-located</w:t>
            </w:r>
          </w:p>
        </w:tc>
        <w:tc>
          <w:tcPr>
            <w:tcW w:w="1559" w:type="dxa"/>
          </w:tcPr>
          <w:p w14:paraId="41045E44" w14:textId="22D90B69" w:rsidR="00EA5260" w:rsidRDefault="00EA5260" w:rsidP="00163AC5">
            <w:pPr>
              <w:pStyle w:val="SDMTableBoxParaNotNumbered"/>
              <w:cnfStyle w:val="000000000000" w:firstRow="0" w:lastRow="0" w:firstColumn="0" w:lastColumn="0" w:oddVBand="0" w:evenVBand="0" w:oddHBand="0" w:evenHBand="0" w:firstRowFirstColumn="0" w:firstRowLastColumn="0" w:lastRowFirstColumn="0" w:lastRowLastColumn="0"/>
            </w:pPr>
            <w:r>
              <w:t>60</w:t>
            </w:r>
          </w:p>
        </w:tc>
      </w:tr>
      <w:tr w:rsidR="00086ED7" w:rsidRPr="00AE502B" w14:paraId="074F2977" w14:textId="6BCFFE19" w:rsidTr="00A93E8A">
        <w:tc>
          <w:tcPr>
            <w:cnfStyle w:val="001000000000" w:firstRow="0" w:lastRow="0" w:firstColumn="1" w:lastColumn="0" w:oddVBand="0" w:evenVBand="0" w:oddHBand="0" w:evenHBand="0" w:firstRowFirstColumn="0" w:firstRowLastColumn="0" w:lastRowFirstColumn="0" w:lastRowLastColumn="0"/>
            <w:tcW w:w="1887" w:type="dxa"/>
          </w:tcPr>
          <w:p w14:paraId="196A5FB3" w14:textId="0E37BC05" w:rsidR="00086ED7" w:rsidRPr="00163AC5" w:rsidRDefault="008A572B" w:rsidP="00163AC5">
            <w:pPr>
              <w:pStyle w:val="SDMTableBoxParaNotNumbered"/>
              <w:rPr>
                <w:b w:val="0"/>
              </w:rPr>
            </w:pPr>
            <w:r w:rsidRPr="00163AC5">
              <w:rPr>
                <w:b w:val="0"/>
              </w:rPr>
              <w:t>2,000 – 20,000</w:t>
            </w:r>
          </w:p>
        </w:tc>
        <w:tc>
          <w:tcPr>
            <w:tcW w:w="1146" w:type="dxa"/>
          </w:tcPr>
          <w:p w14:paraId="3709C8E0" w14:textId="502DEB52" w:rsidR="00086ED7"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390</w:t>
            </w:r>
          </w:p>
        </w:tc>
        <w:tc>
          <w:tcPr>
            <w:tcW w:w="1102" w:type="dxa"/>
          </w:tcPr>
          <w:p w14:paraId="5FE25C9E" w14:textId="0CA98867" w:rsidR="008A572B"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490</w:t>
            </w:r>
          </w:p>
        </w:tc>
        <w:tc>
          <w:tcPr>
            <w:tcW w:w="1134" w:type="dxa"/>
          </w:tcPr>
          <w:p w14:paraId="0D6C1ADC" w14:textId="5EE28233" w:rsidR="00086ED7"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150</w:t>
            </w:r>
          </w:p>
        </w:tc>
        <w:tc>
          <w:tcPr>
            <w:tcW w:w="1559" w:type="dxa"/>
          </w:tcPr>
          <w:p w14:paraId="36A96D39" w14:textId="746EB7E5" w:rsidR="008A572B"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75 co-located</w:t>
            </w:r>
          </w:p>
        </w:tc>
        <w:tc>
          <w:tcPr>
            <w:tcW w:w="1559" w:type="dxa"/>
          </w:tcPr>
          <w:p w14:paraId="6E5A59A6" w14:textId="79C4AB07" w:rsidR="00EA5260" w:rsidRDefault="00EA5260" w:rsidP="00163AC5">
            <w:pPr>
              <w:pStyle w:val="SDMTableBoxParaNotNumbered"/>
              <w:cnfStyle w:val="000000000000" w:firstRow="0" w:lastRow="0" w:firstColumn="0" w:lastColumn="0" w:oddVBand="0" w:evenVBand="0" w:oddHBand="0" w:evenHBand="0" w:firstRowFirstColumn="0" w:firstRowLastColumn="0" w:lastRowFirstColumn="0" w:lastRowLastColumn="0"/>
            </w:pPr>
            <w:r>
              <w:t>75</w:t>
            </w:r>
          </w:p>
        </w:tc>
      </w:tr>
      <w:tr w:rsidR="00086ED7" w:rsidRPr="00AE502B" w14:paraId="07A6E263" w14:textId="31EEEDB1" w:rsidTr="00A93E8A">
        <w:tc>
          <w:tcPr>
            <w:cnfStyle w:val="001000000000" w:firstRow="0" w:lastRow="0" w:firstColumn="1" w:lastColumn="0" w:oddVBand="0" w:evenVBand="0" w:oddHBand="0" w:evenHBand="0" w:firstRowFirstColumn="0" w:firstRowLastColumn="0" w:lastRowFirstColumn="0" w:lastRowLastColumn="0"/>
            <w:tcW w:w="1887" w:type="dxa"/>
          </w:tcPr>
          <w:p w14:paraId="02F66EE9" w14:textId="0B34CDD5" w:rsidR="00086ED7" w:rsidRPr="00163AC5" w:rsidRDefault="008A572B" w:rsidP="00BA5E89">
            <w:pPr>
              <w:pStyle w:val="SDMTableBoxParaNotNumbered"/>
              <w:keepNext/>
              <w:rPr>
                <w:b w:val="0"/>
              </w:rPr>
            </w:pPr>
            <w:r w:rsidRPr="00163AC5">
              <w:rPr>
                <w:b w:val="0"/>
              </w:rPr>
              <w:t>20,000 – 100,000</w:t>
            </w:r>
          </w:p>
        </w:tc>
        <w:tc>
          <w:tcPr>
            <w:tcW w:w="1146" w:type="dxa"/>
          </w:tcPr>
          <w:p w14:paraId="4309885B" w14:textId="3831B05C" w:rsidR="00086ED7" w:rsidRPr="00AE502B" w:rsidRDefault="0006460C" w:rsidP="00BA5E89">
            <w:pPr>
              <w:pStyle w:val="SDMTableBoxParaNotNumbered"/>
              <w:keepNext/>
              <w:cnfStyle w:val="000000000000" w:firstRow="0" w:lastRow="0" w:firstColumn="0" w:lastColumn="0" w:oddVBand="0" w:evenVBand="0" w:oddHBand="0" w:evenHBand="0" w:firstRowFirstColumn="0" w:firstRowLastColumn="0" w:lastRowFirstColumn="0" w:lastRowLastColumn="0"/>
            </w:pPr>
            <w:r w:rsidRPr="00B66C75">
              <w:t>405</w:t>
            </w:r>
          </w:p>
        </w:tc>
        <w:tc>
          <w:tcPr>
            <w:tcW w:w="1102" w:type="dxa"/>
          </w:tcPr>
          <w:p w14:paraId="22E1925F" w14:textId="6547828D" w:rsidR="008A572B" w:rsidRPr="00AE502B" w:rsidRDefault="0006460C" w:rsidP="00BA5E89">
            <w:pPr>
              <w:pStyle w:val="SDMTableBoxParaNotNumbered"/>
              <w:keepNext/>
              <w:cnfStyle w:val="000000000000" w:firstRow="0" w:lastRow="0" w:firstColumn="0" w:lastColumn="0" w:oddVBand="0" w:evenVBand="0" w:oddHBand="0" w:evenHBand="0" w:firstRowFirstColumn="0" w:firstRowLastColumn="0" w:lastRowFirstColumn="0" w:lastRowLastColumn="0"/>
            </w:pPr>
            <w:r w:rsidRPr="00B66C75">
              <w:t>510</w:t>
            </w:r>
          </w:p>
        </w:tc>
        <w:tc>
          <w:tcPr>
            <w:tcW w:w="1134" w:type="dxa"/>
          </w:tcPr>
          <w:p w14:paraId="5FC0EF3D" w14:textId="03683FDB" w:rsidR="00086ED7" w:rsidRPr="00AE502B" w:rsidRDefault="0006460C" w:rsidP="00BA5E89">
            <w:pPr>
              <w:pStyle w:val="SDMTableBoxParaNotNumbered"/>
              <w:keepNext/>
              <w:cnfStyle w:val="000000000000" w:firstRow="0" w:lastRow="0" w:firstColumn="0" w:lastColumn="0" w:oddVBand="0" w:evenVBand="0" w:oddHBand="0" w:evenHBand="0" w:firstRowFirstColumn="0" w:firstRowLastColumn="0" w:lastRowFirstColumn="0" w:lastRowLastColumn="0"/>
            </w:pPr>
            <w:r w:rsidRPr="00B66C75">
              <w:t>180</w:t>
            </w:r>
          </w:p>
        </w:tc>
        <w:tc>
          <w:tcPr>
            <w:tcW w:w="1559" w:type="dxa"/>
          </w:tcPr>
          <w:p w14:paraId="501398D7" w14:textId="5691C3B3" w:rsidR="008A572B" w:rsidRPr="00AE502B" w:rsidRDefault="0006460C" w:rsidP="00BA5E89">
            <w:pPr>
              <w:pStyle w:val="SDMTableBoxParaNotNumbered"/>
              <w:keepNext/>
              <w:cnfStyle w:val="000000000000" w:firstRow="0" w:lastRow="0" w:firstColumn="0" w:lastColumn="0" w:oddVBand="0" w:evenVBand="0" w:oddHBand="0" w:evenHBand="0" w:firstRowFirstColumn="0" w:firstRowLastColumn="0" w:lastRowFirstColumn="0" w:lastRowLastColumn="0"/>
            </w:pPr>
            <w:r w:rsidRPr="00B66C75">
              <w:t>90 co-located</w:t>
            </w:r>
          </w:p>
        </w:tc>
        <w:tc>
          <w:tcPr>
            <w:tcW w:w="1559" w:type="dxa"/>
          </w:tcPr>
          <w:p w14:paraId="149B3509" w14:textId="314804EE" w:rsidR="00EA5260" w:rsidRDefault="00EA5260" w:rsidP="00BA5E89">
            <w:pPr>
              <w:pStyle w:val="SDMTableBoxParaNotNumbered"/>
              <w:keepNext/>
              <w:cnfStyle w:val="000000000000" w:firstRow="0" w:lastRow="0" w:firstColumn="0" w:lastColumn="0" w:oddVBand="0" w:evenVBand="0" w:oddHBand="0" w:evenHBand="0" w:firstRowFirstColumn="0" w:firstRowLastColumn="0" w:lastRowFirstColumn="0" w:lastRowLastColumn="0"/>
            </w:pPr>
            <w:r>
              <w:t>90</w:t>
            </w:r>
          </w:p>
        </w:tc>
      </w:tr>
      <w:tr w:rsidR="00086ED7" w:rsidRPr="00AE502B" w14:paraId="1F5F1D4F" w14:textId="11F353AF" w:rsidTr="00A93E8A">
        <w:tc>
          <w:tcPr>
            <w:cnfStyle w:val="001000000000" w:firstRow="0" w:lastRow="0" w:firstColumn="1" w:lastColumn="0" w:oddVBand="0" w:evenVBand="0" w:oddHBand="0" w:evenHBand="0" w:firstRowFirstColumn="0" w:firstRowLastColumn="0" w:lastRowFirstColumn="0" w:lastRowLastColumn="0"/>
            <w:tcW w:w="1887" w:type="dxa"/>
          </w:tcPr>
          <w:p w14:paraId="2847A0AC" w14:textId="03C918D5" w:rsidR="00086ED7" w:rsidRPr="00163AC5" w:rsidRDefault="008A572B" w:rsidP="00163AC5">
            <w:pPr>
              <w:pStyle w:val="SDMTableBoxParaNotNumbered"/>
              <w:rPr>
                <w:b w:val="0"/>
              </w:rPr>
            </w:pPr>
            <w:r w:rsidRPr="00163AC5">
              <w:rPr>
                <w:b w:val="0"/>
              </w:rPr>
              <w:t>Over 100,000</w:t>
            </w:r>
          </w:p>
        </w:tc>
        <w:tc>
          <w:tcPr>
            <w:tcW w:w="1146" w:type="dxa"/>
          </w:tcPr>
          <w:p w14:paraId="5EEB9C82" w14:textId="605E96B1" w:rsidR="00086ED7"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410</w:t>
            </w:r>
          </w:p>
        </w:tc>
        <w:tc>
          <w:tcPr>
            <w:tcW w:w="1102" w:type="dxa"/>
          </w:tcPr>
          <w:p w14:paraId="2128A813" w14:textId="27C7E21D" w:rsidR="008A572B"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515</w:t>
            </w:r>
          </w:p>
        </w:tc>
        <w:tc>
          <w:tcPr>
            <w:tcW w:w="1134" w:type="dxa"/>
          </w:tcPr>
          <w:p w14:paraId="0FDFFFA5" w14:textId="3A3A35E5" w:rsidR="00086ED7"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200</w:t>
            </w:r>
          </w:p>
        </w:tc>
        <w:tc>
          <w:tcPr>
            <w:tcW w:w="1559" w:type="dxa"/>
          </w:tcPr>
          <w:p w14:paraId="41176831" w14:textId="310D9F71" w:rsidR="008A572B" w:rsidRPr="00AE502B" w:rsidRDefault="0006460C" w:rsidP="00163AC5">
            <w:pPr>
              <w:pStyle w:val="SDMTableBoxParaNotNumbered"/>
              <w:cnfStyle w:val="000000000000" w:firstRow="0" w:lastRow="0" w:firstColumn="0" w:lastColumn="0" w:oddVBand="0" w:evenVBand="0" w:oddHBand="0" w:evenHBand="0" w:firstRowFirstColumn="0" w:firstRowLastColumn="0" w:lastRowFirstColumn="0" w:lastRowLastColumn="0"/>
            </w:pPr>
            <w:r w:rsidRPr="00B66C75">
              <w:t>100 co-located</w:t>
            </w:r>
          </w:p>
        </w:tc>
        <w:tc>
          <w:tcPr>
            <w:tcW w:w="1559" w:type="dxa"/>
          </w:tcPr>
          <w:p w14:paraId="17A932DE" w14:textId="5BE351A3" w:rsidR="00EA5260" w:rsidRDefault="00EA5260" w:rsidP="00163AC5">
            <w:pPr>
              <w:pStyle w:val="SDMTableBoxParaNotNumbered"/>
              <w:cnfStyle w:val="000000000000" w:firstRow="0" w:lastRow="0" w:firstColumn="0" w:lastColumn="0" w:oddVBand="0" w:evenVBand="0" w:oddHBand="0" w:evenHBand="0" w:firstRowFirstColumn="0" w:firstRowLastColumn="0" w:lastRowFirstColumn="0" w:lastRowLastColumn="0"/>
            </w:pPr>
            <w:r>
              <w:t>100</w:t>
            </w:r>
          </w:p>
        </w:tc>
      </w:tr>
    </w:tbl>
    <w:p w14:paraId="40D32860" w14:textId="3951355E" w:rsidR="003879F0" w:rsidRDefault="003879F0" w:rsidP="00707F28">
      <w:pPr>
        <w:pStyle w:val="SDMPara"/>
        <w:numPr>
          <w:ilvl w:val="0"/>
          <w:numId w:val="0"/>
        </w:numPr>
        <w:ind w:left="709" w:hanging="709"/>
        <w:sectPr w:rsidR="003879F0" w:rsidSect="00E171DA">
          <w:headerReference w:type="default" r:id="rId32"/>
          <w:footnotePr>
            <w:numRestart w:val="eachSect"/>
          </w:footnotePr>
          <w:pgSz w:w="11907" w:h="16840" w:code="9"/>
          <w:pgMar w:top="2552" w:right="1134" w:bottom="1418" w:left="1418" w:header="851" w:footer="567" w:gutter="0"/>
          <w:cols w:space="720"/>
          <w:formProt w:val="0"/>
          <w:docGrid w:linePitch="299"/>
        </w:sectPr>
      </w:pPr>
    </w:p>
    <w:p w14:paraId="6DA647FB" w14:textId="77777777" w:rsidR="001C2394" w:rsidRPr="001C2394" w:rsidRDefault="001C2394" w:rsidP="009E7040">
      <w:pPr>
        <w:pStyle w:val="SDMAppTitle"/>
      </w:pPr>
      <w:bookmarkStart w:id="888" w:name="_Toc193924650"/>
      <w:bookmarkStart w:id="889" w:name="_Toc219446961"/>
      <w:bookmarkStart w:id="890" w:name="_Toc219711096"/>
      <w:bookmarkStart w:id="891" w:name="_Toc219711199"/>
      <w:bookmarkStart w:id="892" w:name="_Toc219711376"/>
      <w:bookmarkStart w:id="893" w:name="_Toc226502306"/>
      <w:bookmarkStart w:id="894" w:name="_Toc226576259"/>
      <w:bookmarkStart w:id="895" w:name="_Toc226983108"/>
      <w:bookmarkStart w:id="896" w:name="_Toc227677309"/>
      <w:bookmarkStart w:id="897" w:name="_Toc227694831"/>
      <w:bookmarkStart w:id="898" w:name="_Toc227920945"/>
      <w:bookmarkStart w:id="899" w:name="_Toc227938846"/>
      <w:bookmarkStart w:id="900" w:name="_Toc227948097"/>
      <w:bookmarkStart w:id="901" w:name="_Toc233388656"/>
      <w:bookmarkStart w:id="902" w:name="_Ref233726552"/>
      <w:bookmarkStart w:id="903" w:name="_Toc233961463"/>
      <w:bookmarkStart w:id="904" w:name="_Toc233970272"/>
      <w:bookmarkStart w:id="905" w:name="_Toc240546602"/>
      <w:bookmarkStart w:id="906" w:name="_Toc240632003"/>
      <w:bookmarkStart w:id="907" w:name="_Toc242471188"/>
      <w:r w:rsidRPr="001C2394">
        <w:t>Requirements and Best Practices for Kitchen Performance Tests (KPTs)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14:paraId="1F244CD1" w14:textId="77777777" w:rsidR="001C2394" w:rsidRPr="001C2394" w:rsidRDefault="001C2394" w:rsidP="009E7040">
      <w:pPr>
        <w:pStyle w:val="SDMApp1"/>
      </w:pPr>
      <w:r w:rsidRPr="001C2394">
        <w:t>Overview</w:t>
      </w:r>
    </w:p>
    <w:p w14:paraId="4EA39F4E" w14:textId="77777777" w:rsidR="001C2394" w:rsidRPr="009736D6" w:rsidRDefault="001C2394" w:rsidP="007F2142">
      <w:pPr>
        <w:pStyle w:val="SDMPara"/>
        <w:numPr>
          <w:ilvl w:val="0"/>
          <w:numId w:val="46"/>
        </w:numPr>
      </w:pPr>
      <w:r w:rsidRPr="009736D6">
        <w:t>The KPT is a field-based methodology used to estimate household fuel consumption under real-world conditions. The KPT serves as the primary tool for assessing fuel savings needed to calculate emissions reductions.</w:t>
      </w:r>
    </w:p>
    <w:p w14:paraId="762341B5" w14:textId="6CD65935" w:rsidR="001C2394" w:rsidRPr="00F91B7A" w:rsidRDefault="001C2394" w:rsidP="009736D6">
      <w:pPr>
        <w:pStyle w:val="SDMPara"/>
        <w:rPr>
          <w:color w:val="000000" w:themeColor="text2"/>
        </w:rPr>
      </w:pPr>
      <w:r w:rsidRPr="001C2394">
        <w:t>This document provides</w:t>
      </w:r>
      <w:r w:rsidR="00916D1F">
        <w:t xml:space="preserve"> requirements </w:t>
      </w:r>
      <w:r w:rsidRPr="001C2394">
        <w:t xml:space="preserve">for how the KPT protocol </w:t>
      </w:r>
      <w:r w:rsidR="00916D1F">
        <w:t>shall</w:t>
      </w:r>
      <w:r w:rsidR="00916D1F" w:rsidRPr="001C2394">
        <w:t xml:space="preserve"> </w:t>
      </w:r>
      <w:r w:rsidRPr="001C2394">
        <w:t xml:space="preserve">be applied in the </w:t>
      </w:r>
      <w:r w:rsidR="003B3824">
        <w:t xml:space="preserve">mechanism </w:t>
      </w:r>
      <w:r w:rsidRPr="001C2394">
        <w:t>methodology</w:t>
      </w:r>
      <w:r w:rsidR="00916D1F">
        <w:t>, as well as best practice guidance for undertaking KPTs</w:t>
      </w:r>
      <w:r w:rsidRPr="001C2394">
        <w:t xml:space="preserve">. It refers to the latest version of the KPT protocol available on the </w:t>
      </w:r>
      <w:r w:rsidR="00903805">
        <w:t>Clean Cooking Alliance (</w:t>
      </w:r>
      <w:r w:rsidRPr="001C2394">
        <w:t>CCA</w:t>
      </w:r>
      <w:r w:rsidR="00903805">
        <w:t>)</w:t>
      </w:r>
      <w:r w:rsidRPr="001C2394">
        <w:t xml:space="preserve"> website at </w:t>
      </w:r>
      <w:hyperlink r:id="rId33">
        <w:r w:rsidRPr="001C2394">
          <w:rPr>
            <w:rFonts w:eastAsia="Montserrat"/>
            <w:color w:val="1155CC"/>
            <w:u w:val="single"/>
          </w:rPr>
          <w:t>https://cleancooking.org/protocols</w:t>
        </w:r>
      </w:hyperlink>
      <w:r w:rsidRPr="001C2394">
        <w:t xml:space="preserve">. Where guidance provided here conflicts with the directives of the KPT protocol, guidance </w:t>
      </w:r>
      <w:r w:rsidR="004F0989">
        <w:t>in the</w:t>
      </w:r>
      <w:r w:rsidR="003B3824">
        <w:t xml:space="preserve"> mechanism</w:t>
      </w:r>
      <w:r w:rsidR="004F0989">
        <w:t xml:space="preserve"> </w:t>
      </w:r>
      <w:r w:rsidR="00494160">
        <w:t>methodology</w:t>
      </w:r>
      <w:r w:rsidR="004F0989" w:rsidRPr="001C2394">
        <w:t xml:space="preserve"> </w:t>
      </w:r>
      <w:r w:rsidRPr="001C2394">
        <w:t>should be followed, including the energy consumption estimates on a per capita fuel consumption basis rather than per standard adult basis.</w:t>
      </w:r>
    </w:p>
    <w:p w14:paraId="419CBCCE" w14:textId="77777777" w:rsidR="001C2394" w:rsidRPr="001C2394" w:rsidRDefault="001C2394" w:rsidP="009E7040">
      <w:pPr>
        <w:pStyle w:val="SDMApp1"/>
      </w:pPr>
      <w:r w:rsidRPr="001C2394">
        <w:t>Sampling requirements</w:t>
      </w:r>
    </w:p>
    <w:p w14:paraId="35041503" w14:textId="6FCEDAF9" w:rsidR="001C2394" w:rsidRPr="00F91B7A" w:rsidRDefault="002A34FF" w:rsidP="009736D6">
      <w:pPr>
        <w:pStyle w:val="SDMPara"/>
        <w:rPr>
          <w:color w:val="000000" w:themeColor="text2"/>
        </w:rPr>
      </w:pPr>
      <w:r>
        <w:t>Activities</w:t>
      </w:r>
      <w:r w:rsidRPr="001C2394">
        <w:t xml:space="preserve"> </w:t>
      </w:r>
      <w:r w:rsidR="001C2394" w:rsidRPr="001C2394">
        <w:t xml:space="preserve">shall meet the 95/10 </w:t>
      </w:r>
      <w:r w:rsidR="00D53103">
        <w:t>reliability</w:t>
      </w:r>
      <w:r w:rsidR="001C2394" w:rsidRPr="001C2394">
        <w:t xml:space="preserve"> for the total energy consumption (TJ</w:t>
      </w:r>
      <w:r w:rsidR="008F30EE">
        <w:t xml:space="preserve"> </w:t>
      </w:r>
      <w:r w:rsidR="001C2394" w:rsidRPr="001C2394">
        <w:t>/</w:t>
      </w:r>
      <w:r w:rsidR="008F30EE">
        <w:t xml:space="preserve"> </w:t>
      </w:r>
      <w:r w:rsidR="001C2394" w:rsidRPr="001C2394">
        <w:t>(person</w:t>
      </w:r>
      <w:r w:rsidR="008F30EE">
        <w:t xml:space="preserve"> x </w:t>
      </w:r>
      <w:r w:rsidR="001C2394" w:rsidRPr="001C2394">
        <w:t xml:space="preserve">year)) for </w:t>
      </w:r>
      <w:r w:rsidR="004274A1">
        <w:t xml:space="preserve">each fuel </w:t>
      </w:r>
      <w:r w:rsidR="00B6320F">
        <w:t xml:space="preserve">from </w:t>
      </w:r>
      <w:r w:rsidR="001C2394" w:rsidRPr="001C2394">
        <w:t xml:space="preserve">the </w:t>
      </w:r>
      <w:r w:rsidR="00341B27">
        <w:t>activity</w:t>
      </w:r>
      <w:r w:rsidR="001C2394" w:rsidRPr="001C2394">
        <w:t xml:space="preserve"> KPTs or use the conservative 95</w:t>
      </w:r>
      <w:r w:rsidR="00BE12BC" w:rsidRPr="00BE12BC">
        <w:t xml:space="preserve"> </w:t>
      </w:r>
      <w:r w:rsidR="00BE12BC">
        <w:t>per cent</w:t>
      </w:r>
      <w:r w:rsidR="001C2394" w:rsidRPr="001C2394">
        <w:t xml:space="preserve"> confidence bound that results in the lower emission reduction</w:t>
      </w:r>
      <w:r w:rsidR="00B6320F">
        <w:t>s</w:t>
      </w:r>
      <w:r w:rsidR="001C2394" w:rsidRPr="001C2394">
        <w:t xml:space="preserve"> estimate.</w:t>
      </w:r>
    </w:p>
    <w:p w14:paraId="78A6D653" w14:textId="03123EF8" w:rsidR="001C2394" w:rsidRPr="00F91B7A" w:rsidRDefault="001C2394" w:rsidP="009736D6">
      <w:pPr>
        <w:pStyle w:val="SDMPara"/>
        <w:rPr>
          <w:color w:val="000000" w:themeColor="text2"/>
        </w:rPr>
      </w:pPr>
      <w:r w:rsidRPr="001C2394">
        <w:t>For</w:t>
      </w:r>
      <w:r w:rsidRPr="001C2394" w:rsidDel="002A34FF">
        <w:t xml:space="preserve"> </w:t>
      </w:r>
      <w:r w:rsidR="002A34FF">
        <w:t>activity</w:t>
      </w:r>
      <w:r w:rsidR="002A34FF" w:rsidRPr="001C2394">
        <w:t xml:space="preserve"> </w:t>
      </w:r>
      <w:r w:rsidRPr="001C2394">
        <w:t>KPTs, households shall be selected from the group of households included in the pre-</w:t>
      </w:r>
      <w:r w:rsidR="00BD48F5">
        <w:t>activity</w:t>
      </w:r>
      <w:r w:rsidRPr="001C2394">
        <w:t xml:space="preserve"> survey and </w:t>
      </w:r>
      <w:r w:rsidR="00341B27">
        <w:t>activity</w:t>
      </w:r>
      <w:r w:rsidR="00341B27" w:rsidRPr="001C2394">
        <w:t xml:space="preserve"> </w:t>
      </w:r>
      <w:r w:rsidRPr="001C2394">
        <w:t>usage surveys, respectively</w:t>
      </w:r>
      <w:r w:rsidR="00A5085D">
        <w:t>, and only from th</w:t>
      </w:r>
      <w:r w:rsidR="00C7149D">
        <w:t>ose qualifying as user households</w:t>
      </w:r>
      <w:r w:rsidRPr="001C2394">
        <w:t>. Households are anticipated to be statistically similar to those of the larger surveys and must be within 10</w:t>
      </w:r>
      <w:r w:rsidR="005F1D14">
        <w:t> </w:t>
      </w:r>
      <w:r w:rsidR="00BE12BC">
        <w:t>per</w:t>
      </w:r>
      <w:r w:rsidR="005F1D14">
        <w:t> </w:t>
      </w:r>
      <w:r w:rsidR="00BE12BC">
        <w:t>cent</w:t>
      </w:r>
      <w:r w:rsidRPr="001C2394">
        <w:t xml:space="preserve"> of the household size and proportion of cooking done with the primary fuel for the respective pre-</w:t>
      </w:r>
      <w:r w:rsidR="00BD48F5">
        <w:t>activity</w:t>
      </w:r>
      <w:r w:rsidRPr="001C2394">
        <w:t xml:space="preserve"> and </w:t>
      </w:r>
      <w:r w:rsidR="00582B30">
        <w:t>activity</w:t>
      </w:r>
      <w:r w:rsidR="00582B30" w:rsidRPr="001C2394">
        <w:t xml:space="preserve"> </w:t>
      </w:r>
      <w:r w:rsidRPr="001C2394">
        <w:t xml:space="preserve">scenarios. If either of these conditions are not met, the </w:t>
      </w:r>
      <w:r w:rsidR="00582B30">
        <w:t>activity</w:t>
      </w:r>
      <w:r w:rsidR="00C7149D">
        <w:t xml:space="preserve"> participant</w:t>
      </w:r>
      <w:r w:rsidR="00582B30" w:rsidRPr="001C2394">
        <w:t xml:space="preserve"> </w:t>
      </w:r>
      <w:r w:rsidR="00C7149D">
        <w:t>shall</w:t>
      </w:r>
      <w:r w:rsidR="00C7149D" w:rsidRPr="001C2394">
        <w:t xml:space="preserve"> </w:t>
      </w:r>
      <w:r w:rsidRPr="001C2394">
        <w:t>conduct additional sampling until these conditions are met. This requirement is separate and additional to checking that the pre-</w:t>
      </w:r>
      <w:r w:rsidR="00BD48F5">
        <w:t>activity</w:t>
      </w:r>
      <w:r w:rsidRPr="001C2394">
        <w:t xml:space="preserve"> scenario is representative of the </w:t>
      </w:r>
      <w:r w:rsidR="00341B27">
        <w:t>activity</w:t>
      </w:r>
      <w:r w:rsidRPr="001C2394">
        <w:t xml:space="preserve"> scenario.</w:t>
      </w:r>
    </w:p>
    <w:p w14:paraId="39DCFF04" w14:textId="77777777" w:rsidR="001C2394" w:rsidRPr="001C2394" w:rsidRDefault="001C2394" w:rsidP="009E7040">
      <w:pPr>
        <w:pStyle w:val="SDMApp1"/>
      </w:pPr>
      <w:r w:rsidRPr="001C2394">
        <w:t>Measurements and sample integrity</w:t>
      </w:r>
    </w:p>
    <w:p w14:paraId="6E300B33" w14:textId="300B528F" w:rsidR="001C2394" w:rsidRPr="007D0B52" w:rsidRDefault="001C2394" w:rsidP="001B6E0D">
      <w:pPr>
        <w:pStyle w:val="SDMApp2"/>
      </w:pPr>
      <w:r w:rsidRPr="007D0B52">
        <w:t>Checks</w:t>
      </w:r>
      <w:r w:rsidR="00464ECB" w:rsidRPr="007D0B52">
        <w:t xml:space="preserve"> on scales for measurement of weight of fuel</w:t>
      </w:r>
    </w:p>
    <w:p w14:paraId="442AA00F" w14:textId="6228EB0A" w:rsidR="001C2394" w:rsidRPr="00F91B7A" w:rsidRDefault="001C2394" w:rsidP="009D2355">
      <w:pPr>
        <w:pStyle w:val="SDMPara"/>
        <w:rPr>
          <w:color w:val="000000" w:themeColor="text2"/>
        </w:rPr>
      </w:pPr>
      <w:r w:rsidRPr="001C2394">
        <w:t xml:space="preserve">Scales </w:t>
      </w:r>
      <w:r w:rsidR="00921EE4">
        <w:t>shall</w:t>
      </w:r>
      <w:r w:rsidR="00921EE4" w:rsidRPr="001C2394">
        <w:t xml:space="preserve"> </w:t>
      </w:r>
      <w:r w:rsidRPr="001C2394">
        <w:t xml:space="preserve">be checked with a certified calibration weight (5–20 kg) at least weekly during field campaigns and results of calibration checks clearly recorded to facilitate verification by </w:t>
      </w:r>
      <w:r w:rsidR="00EF753A">
        <w:t>designated operational entities (</w:t>
      </w:r>
      <w:r w:rsidRPr="001C2394">
        <w:t>DOEs</w:t>
      </w:r>
      <w:r w:rsidR="00EF753A">
        <w:t>)</w:t>
      </w:r>
      <w:r w:rsidRPr="001C2394">
        <w:t>.</w:t>
      </w:r>
    </w:p>
    <w:p w14:paraId="324B3518" w14:textId="2466552D" w:rsidR="001C2394" w:rsidRPr="00F91B7A" w:rsidRDefault="001C2394" w:rsidP="009D2355">
      <w:pPr>
        <w:pStyle w:val="SDMPara"/>
        <w:rPr>
          <w:color w:val="000000" w:themeColor="text2"/>
        </w:rPr>
      </w:pPr>
      <w:r w:rsidRPr="001C2394">
        <w:rPr>
          <w:color w:val="000000" w:themeColor="text1"/>
        </w:rPr>
        <w:t xml:space="preserve">The scale </w:t>
      </w:r>
      <w:r w:rsidR="00CE2BB3">
        <w:rPr>
          <w:color w:val="000000" w:themeColor="text1"/>
        </w:rPr>
        <w:t>shall</w:t>
      </w:r>
      <w:r w:rsidR="00CE2BB3" w:rsidRPr="001C2394">
        <w:rPr>
          <w:color w:val="000000" w:themeColor="text1"/>
        </w:rPr>
        <w:t xml:space="preserve"> </w:t>
      </w:r>
      <w:r w:rsidRPr="001C2394">
        <w:rPr>
          <w:color w:val="000000" w:themeColor="text1"/>
        </w:rPr>
        <w:t>be accurate within 1</w:t>
      </w:r>
      <w:r w:rsidR="00921EE4">
        <w:rPr>
          <w:color w:val="000000" w:themeColor="text1"/>
        </w:rPr>
        <w:t xml:space="preserve"> per cent </w:t>
      </w:r>
      <w:r w:rsidRPr="001C2394">
        <w:rPr>
          <w:color w:val="000000" w:themeColor="text1"/>
        </w:rPr>
        <w:t>of the calibration mass.</w:t>
      </w:r>
    </w:p>
    <w:p w14:paraId="0A40A4CD" w14:textId="77777777" w:rsidR="001C2394" w:rsidRPr="00F91B7A" w:rsidRDefault="001C2394" w:rsidP="009D2355">
      <w:pPr>
        <w:pStyle w:val="SDMPara"/>
        <w:rPr>
          <w:color w:val="000000" w:themeColor="text2"/>
        </w:rPr>
      </w:pPr>
      <w:r w:rsidRPr="001C2394">
        <w:rPr>
          <w:color w:val="000000" w:themeColor="text1"/>
        </w:rPr>
        <w:t>If a scale fails a check, any data collected since the last successful check must be excluded from the analysis.</w:t>
      </w:r>
    </w:p>
    <w:p w14:paraId="6CFF0019" w14:textId="5084D952" w:rsidR="001C2394" w:rsidRPr="007D0B52" w:rsidRDefault="001C2394" w:rsidP="00C72230">
      <w:pPr>
        <w:pStyle w:val="SDMApp2"/>
      </w:pPr>
      <w:r w:rsidRPr="007D0B52">
        <w:t>Accounting for Wood Moisture</w:t>
      </w:r>
    </w:p>
    <w:p w14:paraId="0DB39EB2" w14:textId="76975F52" w:rsidR="001C2394" w:rsidRPr="001C2394" w:rsidRDefault="001C2394" w:rsidP="00163AC5">
      <w:pPr>
        <w:pStyle w:val="SDMPara"/>
      </w:pPr>
      <w:r w:rsidRPr="001C2394">
        <w:t>Default energy conversions assume air-dried wood (~20</w:t>
      </w:r>
      <w:r w:rsidR="00414889">
        <w:t xml:space="preserve"> per cent</w:t>
      </w:r>
      <w:r w:rsidRPr="001C2394">
        <w:t xml:space="preserve"> moisture, wet basis) with a </w:t>
      </w:r>
      <w:r w:rsidR="00504D9D">
        <w:t>net calorific value (</w:t>
      </w:r>
      <w:r w:rsidRPr="001C2394">
        <w:t>NCV</w:t>
      </w:r>
      <w:r w:rsidR="00504D9D">
        <w:t>)</w:t>
      </w:r>
      <w:r w:rsidRPr="001C2394">
        <w:t xml:space="preserve"> of 0.0156 TJ</w:t>
      </w:r>
      <w:r w:rsidR="00DD2AE7">
        <w:t xml:space="preserve"> </w:t>
      </w:r>
      <w:r w:rsidRPr="001C2394">
        <w:t>/</w:t>
      </w:r>
      <w:r w:rsidR="00DD2AE7">
        <w:t xml:space="preserve"> </w:t>
      </w:r>
      <w:r w:rsidRPr="001C2394">
        <w:t>tonne</w:t>
      </w:r>
      <w:r w:rsidR="00F51263">
        <w:t>.</w:t>
      </w:r>
    </w:p>
    <w:p w14:paraId="3EDBBD73" w14:textId="77777777" w:rsidR="001C2394" w:rsidRPr="001C2394" w:rsidRDefault="001C2394" w:rsidP="00F51263">
      <w:pPr>
        <w:pStyle w:val="SDMPara"/>
      </w:pPr>
      <w:r w:rsidRPr="001C2394">
        <w:t>This NCV should be applied to wood quantities before making any moisture adjustments;</w:t>
      </w:r>
    </w:p>
    <w:p w14:paraId="0EFFB3C1" w14:textId="77777777" w:rsidR="001C2394" w:rsidRPr="007F2142" w:rsidRDefault="001C2394" w:rsidP="00655F47">
      <w:pPr>
        <w:pStyle w:val="SDMPara"/>
        <w:keepNext/>
      </w:pPr>
      <w:r w:rsidRPr="007F2142">
        <w:t>While NCV assumptions provide a standardized approach, it is best practice to measure actual moisture content, particularly to:</w:t>
      </w:r>
    </w:p>
    <w:p w14:paraId="029FB7D4" w14:textId="77777777" w:rsidR="001C2394" w:rsidRPr="001C2394" w:rsidRDefault="001C2394" w:rsidP="00F51263">
      <w:pPr>
        <w:pStyle w:val="SDMSubPara1"/>
      </w:pPr>
      <w:r w:rsidRPr="001C2394">
        <w:t>Identify potential outliers;</w:t>
      </w:r>
    </w:p>
    <w:p w14:paraId="445BE2C8" w14:textId="77777777" w:rsidR="001C2394" w:rsidRPr="001C2394" w:rsidRDefault="001C2394" w:rsidP="00F51263">
      <w:pPr>
        <w:pStyle w:val="SDMSubPara1"/>
      </w:pPr>
      <w:r w:rsidRPr="001C2394">
        <w:t>Assess seasonal variations in fuel characteristics.</w:t>
      </w:r>
    </w:p>
    <w:p w14:paraId="1417F74A" w14:textId="77777777" w:rsidR="001C2394" w:rsidRPr="001C2394" w:rsidRDefault="001C2394" w:rsidP="009E7040">
      <w:pPr>
        <w:pStyle w:val="SDMApp1"/>
      </w:pPr>
      <w:r w:rsidRPr="001C2394">
        <w:t xml:space="preserve">Fuel </w:t>
      </w:r>
      <w:r w:rsidRPr="001C2394" w:rsidDel="002835F9">
        <w:t>p</w:t>
      </w:r>
      <w:r w:rsidRPr="001C2394">
        <w:t>rovision</w:t>
      </w:r>
    </w:p>
    <w:p w14:paraId="76769A30" w14:textId="738A3739" w:rsidR="001C2394" w:rsidRPr="00F91B7A" w:rsidRDefault="001C2394" w:rsidP="009D2355">
      <w:pPr>
        <w:pStyle w:val="SDMPara"/>
        <w:rPr>
          <w:color w:val="000000" w:themeColor="text2"/>
        </w:rPr>
      </w:pPr>
      <w:r w:rsidRPr="001C2394">
        <w:t>Because providing fuel to households can introduce substantial bias, fuel should not be provided to households for use during the KPT in most cases.</w:t>
      </w:r>
    </w:p>
    <w:p w14:paraId="3F060824" w14:textId="13034AED" w:rsidR="001C2394" w:rsidRPr="00F91B7A" w:rsidRDefault="001C2394" w:rsidP="00655F47">
      <w:pPr>
        <w:pStyle w:val="SDMPara"/>
        <w:keepNext/>
        <w:rPr>
          <w:color w:val="000000" w:themeColor="text2"/>
        </w:rPr>
      </w:pPr>
      <w:r w:rsidRPr="001C2394">
        <w:t xml:space="preserve">In situations where households normally collect their fuel (e.g., </w:t>
      </w:r>
      <w:r w:rsidR="00712176">
        <w:t>fuel</w:t>
      </w:r>
      <w:r w:rsidRPr="001C2394">
        <w:t xml:space="preserve">wood) daily and are not able to collect and store a full day’s fuel in advance, </w:t>
      </w:r>
      <w:r w:rsidR="00B6351D">
        <w:t>activity participants</w:t>
      </w:r>
      <w:r w:rsidRPr="001C2394">
        <w:t xml:space="preserve"> may provide fuel for the KPT under the following conditions:</w:t>
      </w:r>
    </w:p>
    <w:p w14:paraId="65732BB6" w14:textId="17DA8432" w:rsidR="001C2394" w:rsidRPr="001C2394" w:rsidRDefault="001C2394" w:rsidP="009D2355">
      <w:pPr>
        <w:pStyle w:val="SDMSubPara1"/>
      </w:pPr>
      <w:r w:rsidRPr="001C2394">
        <w:t xml:space="preserve">The number of households that are unable to collect and store a full day’s fuel in advance </w:t>
      </w:r>
      <w:r w:rsidR="00496232">
        <w:t>shall</w:t>
      </w:r>
      <w:r w:rsidR="00496232" w:rsidRPr="001C2394">
        <w:t xml:space="preserve"> </w:t>
      </w:r>
      <w:r w:rsidRPr="001C2394">
        <w:t>comprise more than 40</w:t>
      </w:r>
      <w:r w:rsidR="00D25AF6">
        <w:t xml:space="preserve"> per cent</w:t>
      </w:r>
      <w:r w:rsidRPr="001C2394">
        <w:t xml:space="preserve"> of the KPT sample; otherwise, those households should simply be excluded from the sample;</w:t>
      </w:r>
    </w:p>
    <w:p w14:paraId="0E60CEC5" w14:textId="350E3F91" w:rsidR="001C2394" w:rsidRPr="001C2394" w:rsidRDefault="001C2394" w:rsidP="009D2355">
      <w:pPr>
        <w:pStyle w:val="SDMSubPara1"/>
      </w:pPr>
      <w:r w:rsidRPr="001C2394">
        <w:t xml:space="preserve">Where fuel is provided, the household </w:t>
      </w:r>
      <w:r w:rsidR="006701AC">
        <w:t>shall</w:t>
      </w:r>
      <w:r w:rsidR="006701AC" w:rsidRPr="001C2394">
        <w:t xml:space="preserve"> </w:t>
      </w:r>
      <w:r w:rsidRPr="001C2394">
        <w:t>be identified as having been provided fuel;</w:t>
      </w:r>
    </w:p>
    <w:p w14:paraId="32E91364" w14:textId="7AEFF813" w:rsidR="001C2394" w:rsidRPr="001C2394" w:rsidRDefault="001C2394" w:rsidP="005520B9">
      <w:pPr>
        <w:pStyle w:val="SDMSubPara1"/>
        <w:numPr>
          <w:ilvl w:val="1"/>
          <w:numId w:val="4"/>
        </w:numPr>
      </w:pPr>
      <w:r w:rsidRPr="001C2394">
        <w:t xml:space="preserve">The amount of fuel provided </w:t>
      </w:r>
      <w:r w:rsidR="000E5FE3">
        <w:t>shall</w:t>
      </w:r>
      <w:r w:rsidR="000E5FE3" w:rsidRPr="001C2394">
        <w:t xml:space="preserve"> </w:t>
      </w:r>
      <w:r w:rsidRPr="001C2394">
        <w:t>not exceed 30 MJ</w:t>
      </w:r>
      <w:r w:rsidR="00B91C1E">
        <w:t xml:space="preserve"> </w:t>
      </w:r>
      <w:r w:rsidRPr="001C2394">
        <w:t>/</w:t>
      </w:r>
      <w:r w:rsidR="00B91C1E">
        <w:t xml:space="preserve"> </w:t>
      </w:r>
      <w:r w:rsidRPr="001C2394">
        <w:t>(person</w:t>
      </w:r>
      <w:r w:rsidR="00DD2AE7">
        <w:t xml:space="preserve"> x </w:t>
      </w:r>
      <w:r w:rsidRPr="001C2394">
        <w:t xml:space="preserve">day) (approximately </w:t>
      </w:r>
      <w:r w:rsidR="000610E5">
        <w:t>two</w:t>
      </w:r>
      <w:r w:rsidR="000610E5" w:rsidRPr="001C2394">
        <w:t xml:space="preserve"> </w:t>
      </w:r>
      <w:r w:rsidRPr="001C2394">
        <w:t>kg</w:t>
      </w:r>
      <w:r w:rsidR="00B91C1E">
        <w:t xml:space="preserve"> </w:t>
      </w:r>
      <w:r w:rsidRPr="001C2394">
        <w:t>/</w:t>
      </w:r>
      <w:r w:rsidR="00B91C1E">
        <w:t xml:space="preserve"> </w:t>
      </w:r>
      <w:r w:rsidRPr="001C2394">
        <w:t>(person</w:t>
      </w:r>
      <w:r w:rsidR="00DD2AE7">
        <w:t xml:space="preserve"> x </w:t>
      </w:r>
      <w:r w:rsidRPr="001C2394">
        <w:t>day)).</w:t>
      </w:r>
    </w:p>
    <w:p w14:paraId="3299A32B" w14:textId="0989A14C" w:rsidR="001C2394" w:rsidRPr="00F91B7A" w:rsidRDefault="001C2394" w:rsidP="009D2355">
      <w:pPr>
        <w:pStyle w:val="SDMPara"/>
        <w:rPr>
          <w:color w:val="000000" w:themeColor="text2"/>
        </w:rPr>
      </w:pPr>
      <w:r w:rsidRPr="001C2394">
        <w:t xml:space="preserve">For households </w:t>
      </w:r>
      <w:r w:rsidR="00262B6F">
        <w:t>that purchase</w:t>
      </w:r>
      <w:r w:rsidR="00262B6F" w:rsidRPr="001C2394">
        <w:t xml:space="preserve"> </w:t>
      </w:r>
      <w:r w:rsidRPr="001C2394">
        <w:t xml:space="preserve">the primary fuel in discrete quantities, and it is impractical to store three times the amount typically used in a day, </w:t>
      </w:r>
      <w:r w:rsidR="00341B27">
        <w:t>activities</w:t>
      </w:r>
      <w:r w:rsidRPr="001C2394">
        <w:t xml:space="preserve"> </w:t>
      </w:r>
      <w:r w:rsidR="006B2449">
        <w:t>shall</w:t>
      </w:r>
      <w:r w:rsidR="006B2449" w:rsidRPr="001C2394">
        <w:t xml:space="preserve"> </w:t>
      </w:r>
      <w:r w:rsidRPr="001C2394">
        <w:t>follow the KPT protocol guidance for fuel purchases and estimate weights accordingly.</w:t>
      </w:r>
    </w:p>
    <w:p w14:paraId="4B15792B" w14:textId="005E2D22" w:rsidR="001C2394" w:rsidRPr="00F91B7A" w:rsidRDefault="001C2394" w:rsidP="009D2355">
      <w:pPr>
        <w:pStyle w:val="SDMPara"/>
        <w:rPr>
          <w:color w:val="000000" w:themeColor="text2"/>
        </w:rPr>
      </w:pPr>
      <w:r w:rsidRPr="001C2394">
        <w:t xml:space="preserve">Alternatively, rather than providing fuel, </w:t>
      </w:r>
      <w:r w:rsidR="00B6351D">
        <w:t>activity participants</w:t>
      </w:r>
      <w:r w:rsidRPr="001C2394">
        <w:t xml:space="preserve"> may use fuel-weighing sensors that measure fuel consumption in real-time. This </w:t>
      </w:r>
      <w:r w:rsidR="0050732B">
        <w:t>approach</w:t>
      </w:r>
      <w:r w:rsidR="0050732B" w:rsidRPr="001C2394">
        <w:t xml:space="preserve"> </w:t>
      </w:r>
      <w:r w:rsidRPr="001C2394">
        <w:t>may be used for any KPT, regardless of household fuel constraints.</w:t>
      </w:r>
    </w:p>
    <w:p w14:paraId="11D64A94" w14:textId="77777777" w:rsidR="001C2394" w:rsidRPr="001C2394" w:rsidRDefault="001C2394" w:rsidP="009E7040">
      <w:pPr>
        <w:pStyle w:val="SDMApp1"/>
      </w:pPr>
      <w:r w:rsidRPr="001C2394">
        <w:t>Data quality and outlier handling</w:t>
      </w:r>
    </w:p>
    <w:p w14:paraId="64F7CF14" w14:textId="645B8857" w:rsidR="001C2394" w:rsidRPr="001C2394" w:rsidRDefault="001C2394" w:rsidP="009E7040">
      <w:pPr>
        <w:pStyle w:val="SDMApp2"/>
      </w:pPr>
      <w:r w:rsidRPr="001C2394">
        <w:t>Outliers Identification and Exclusion Criteria</w:t>
      </w:r>
    </w:p>
    <w:p w14:paraId="11D01EC4" w14:textId="2C477543" w:rsidR="001C2394" w:rsidRPr="00F91B7A" w:rsidRDefault="001C2394" w:rsidP="00655F47">
      <w:pPr>
        <w:pStyle w:val="SDMPara"/>
        <w:keepNext/>
        <w:rPr>
          <w:color w:val="000000" w:themeColor="text2"/>
        </w:rPr>
      </w:pPr>
      <w:r w:rsidRPr="001C2394">
        <w:t>Outliers shall be defined as data points that fall beyond 1.5 times the interquartile range</w:t>
      </w:r>
      <w:r w:rsidR="00B214EF">
        <w:rPr>
          <w:rStyle w:val="FootnoteReference"/>
        </w:rPr>
        <w:footnoteReference w:id="46"/>
      </w:r>
      <w:r w:rsidRPr="001C2394">
        <w:t xml:space="preserve"> (IQR) from its endpoints. Outliers may only be excluded if there is a clear, documented reason for their removal. Any excluded data </w:t>
      </w:r>
      <w:r w:rsidR="001C720C">
        <w:t xml:space="preserve">shall </w:t>
      </w:r>
      <w:r w:rsidRPr="001C2394">
        <w:t>be retained along with an explanation. Acceptable reasons for exclusion are:</w:t>
      </w:r>
    </w:p>
    <w:p w14:paraId="7838F946" w14:textId="77777777" w:rsidR="001C2394" w:rsidRPr="001C2394" w:rsidRDefault="001C2394" w:rsidP="009D2355">
      <w:pPr>
        <w:pStyle w:val="SDMSubPara1"/>
      </w:pPr>
      <w:r w:rsidRPr="001C2394">
        <w:t>Data entry errors;</w:t>
      </w:r>
    </w:p>
    <w:p w14:paraId="3CBFFBD9" w14:textId="77777777" w:rsidR="001C2394" w:rsidRPr="001C2394" w:rsidRDefault="001C2394" w:rsidP="009D2355">
      <w:pPr>
        <w:pStyle w:val="SDMSubPara1"/>
      </w:pPr>
      <w:r w:rsidRPr="001C2394">
        <w:t>Documented unusual events (e.g., party, non-household members using the cookstove); or</w:t>
      </w:r>
    </w:p>
    <w:p w14:paraId="2C2D92C5" w14:textId="7D77FA2F" w:rsidR="001C2394" w:rsidRPr="001C2394" w:rsidRDefault="001C2394" w:rsidP="009D2355">
      <w:pPr>
        <w:pStyle w:val="SDMSubPara1"/>
      </w:pPr>
      <w:r w:rsidRPr="001C2394">
        <w:t>A per capita fuel consumption &gt;175</w:t>
      </w:r>
      <w:r w:rsidR="00DD2AE7">
        <w:t xml:space="preserve"> </w:t>
      </w:r>
      <w:r w:rsidRPr="001C2394">
        <w:t>MJ</w:t>
      </w:r>
      <w:r w:rsidR="00DD2AE7">
        <w:t xml:space="preserve"> </w:t>
      </w:r>
      <w:r w:rsidRPr="001C2394">
        <w:t>/</w:t>
      </w:r>
      <w:r w:rsidR="00DD2AE7">
        <w:t xml:space="preserve"> </w:t>
      </w:r>
      <w:r w:rsidRPr="001C2394">
        <w:t>(person</w:t>
      </w:r>
      <w:r w:rsidR="00DD2AE7">
        <w:t xml:space="preserve"> x </w:t>
      </w:r>
      <w:r w:rsidRPr="001C2394">
        <w:t>day) for any single day (equivalent to ~10</w:t>
      </w:r>
      <w:r w:rsidR="006B3B16">
        <w:t xml:space="preserve"> </w:t>
      </w:r>
      <w:r w:rsidRPr="001C2394">
        <w:t>kg of wood</w:t>
      </w:r>
      <w:r w:rsidR="00DD2AE7">
        <w:t xml:space="preserve"> </w:t>
      </w:r>
      <w:r w:rsidRPr="001C2394">
        <w:t>/</w:t>
      </w:r>
      <w:r w:rsidR="00DD2AE7">
        <w:t xml:space="preserve"> </w:t>
      </w:r>
      <w:r w:rsidRPr="001C2394">
        <w:t>(person</w:t>
      </w:r>
      <w:r w:rsidR="00DD2AE7">
        <w:t xml:space="preserve"> x </w:t>
      </w:r>
      <w:r w:rsidRPr="001C2394">
        <w:t>day)).</w:t>
      </w:r>
    </w:p>
    <w:p w14:paraId="6B64485C" w14:textId="77777777" w:rsidR="001C2394" w:rsidRPr="001C2394" w:rsidRDefault="001C2394" w:rsidP="009E7040">
      <w:pPr>
        <w:pStyle w:val="SDMApp2"/>
      </w:pPr>
      <w:r w:rsidRPr="001C2394">
        <w:t>Minimum Data Requirements</w:t>
      </w:r>
    </w:p>
    <w:p w14:paraId="0138E57D" w14:textId="77777777" w:rsidR="001C2394" w:rsidRPr="00F91B7A" w:rsidRDefault="001C2394" w:rsidP="009D2355">
      <w:pPr>
        <w:pStyle w:val="SDMPara"/>
        <w:rPr>
          <w:color w:val="000000" w:themeColor="text2"/>
        </w:rPr>
      </w:pPr>
      <w:r w:rsidRPr="001C2394">
        <w:t>Only households with at least three complete days of data may be included in the analysis</w:t>
      </w:r>
      <w:r w:rsidRPr="00F91B7A">
        <w:rPr>
          <w:color w:val="000000" w:themeColor="text2"/>
        </w:rPr>
        <w:t>.</w:t>
      </w:r>
    </w:p>
    <w:p w14:paraId="7EC8ADD2" w14:textId="77777777" w:rsidR="001C2394" w:rsidRPr="00F91B7A" w:rsidRDefault="001C2394" w:rsidP="00655F47">
      <w:pPr>
        <w:pStyle w:val="SDMPara"/>
        <w:keepNext/>
        <w:rPr>
          <w:color w:val="000000" w:themeColor="text2"/>
        </w:rPr>
      </w:pPr>
      <w:r w:rsidRPr="001C2394">
        <w:t>These three days do not need to be consecutive if:</w:t>
      </w:r>
    </w:p>
    <w:p w14:paraId="57EAA84E" w14:textId="43334870" w:rsidR="001C2394" w:rsidRPr="001C2394" w:rsidRDefault="001C2394" w:rsidP="009D2355">
      <w:pPr>
        <w:pStyle w:val="SDMSubPara1"/>
      </w:pPr>
      <w:r w:rsidRPr="001C2394">
        <w:t>Some data are missing due to measurement failures and</w:t>
      </w:r>
      <w:r w:rsidR="00351D61">
        <w:t xml:space="preserve"> a</w:t>
      </w:r>
      <w:r w:rsidRPr="001C2394">
        <w:t>dditional visits were conducted to compensate</w:t>
      </w:r>
      <w:r w:rsidR="00351D61">
        <w:t xml:space="preserve"> and</w:t>
      </w:r>
    </w:p>
    <w:p w14:paraId="2135F38B" w14:textId="77777777" w:rsidR="009139AF" w:rsidRDefault="001C2394" w:rsidP="009D2355">
      <w:pPr>
        <w:pStyle w:val="SDMSubPara1"/>
        <w:sectPr w:rsidR="009139AF" w:rsidSect="00E171DA">
          <w:headerReference w:type="default" r:id="rId34"/>
          <w:footnotePr>
            <w:numRestart w:val="eachSect"/>
          </w:footnotePr>
          <w:pgSz w:w="11907" w:h="16840" w:code="9"/>
          <w:pgMar w:top="2552" w:right="1134" w:bottom="1418" w:left="1418" w:header="851" w:footer="567" w:gutter="0"/>
          <w:cols w:space="720"/>
          <w:formProt w:val="0"/>
          <w:docGrid w:linePitch="299"/>
        </w:sectPr>
      </w:pPr>
      <w:r w:rsidRPr="001C2394">
        <w:t>All data collection must occur within a two-week period.</w:t>
      </w:r>
    </w:p>
    <w:p w14:paraId="705051AF" w14:textId="77777777" w:rsidR="006D2932" w:rsidRDefault="001C2394" w:rsidP="009E7040">
      <w:pPr>
        <w:pStyle w:val="SDMAppTitle"/>
      </w:pPr>
      <w:bookmarkStart w:id="908" w:name="_Ref227250743"/>
      <w:bookmarkStart w:id="909" w:name="_Toc227677310"/>
      <w:bookmarkStart w:id="910" w:name="_Ref227015661"/>
      <w:bookmarkStart w:id="911" w:name="_Toc193924652"/>
      <w:bookmarkStart w:id="912" w:name="_Toc219446963"/>
      <w:bookmarkStart w:id="913" w:name="_Toc219711098"/>
      <w:bookmarkStart w:id="914" w:name="_Toc219711201"/>
      <w:bookmarkStart w:id="915" w:name="_Toc219711378"/>
      <w:bookmarkStart w:id="916" w:name="_Toc226502307"/>
      <w:bookmarkStart w:id="917" w:name="_Toc226576260"/>
      <w:bookmarkStart w:id="918" w:name="_Toc226983109"/>
      <w:bookmarkStart w:id="919" w:name="_Ref227097532"/>
      <w:bookmarkStart w:id="920" w:name="_Ref227234890"/>
      <w:bookmarkStart w:id="921" w:name="_Ref227234895"/>
      <w:bookmarkStart w:id="922" w:name="_Toc227694832"/>
      <w:bookmarkStart w:id="923" w:name="_Toc227920946"/>
      <w:bookmarkStart w:id="924" w:name="_Toc227938847"/>
      <w:bookmarkStart w:id="925" w:name="_Toc227948098"/>
      <w:bookmarkStart w:id="926" w:name="_Toc233388657"/>
      <w:bookmarkStart w:id="927" w:name="_Toc233961464"/>
      <w:bookmarkStart w:id="928" w:name="_Toc233970273"/>
      <w:bookmarkStart w:id="929" w:name="_Toc240546603"/>
      <w:bookmarkStart w:id="930" w:name="_Toc240632004"/>
      <w:bookmarkStart w:id="931" w:name="_Toc242471189"/>
      <w:r w:rsidRPr="001C2394">
        <w:t xml:space="preserve">Requirements and Best Practices for </w:t>
      </w:r>
      <w:r w:rsidR="009308F0">
        <w:t xml:space="preserve">use of </w:t>
      </w:r>
      <w:r w:rsidRPr="001C2394">
        <w:t>Stove Use Monitor</w:t>
      </w:r>
      <w:r w:rsidR="009308F0">
        <w:t>s</w:t>
      </w:r>
      <w:r w:rsidR="00930F4C">
        <w:t xml:space="preserve"> </w:t>
      </w:r>
      <w:r w:rsidR="00930F4C" w:rsidRPr="001C2394">
        <w:t>(SUM)</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14:paraId="4424EECD" w14:textId="126CBB0B" w:rsidR="00BA0956" w:rsidRDefault="00A77789" w:rsidP="00B51A74">
      <w:pPr>
        <w:pStyle w:val="SDMApp1"/>
      </w:pPr>
      <w:r>
        <w:t>General</w:t>
      </w:r>
    </w:p>
    <w:p w14:paraId="622EE981" w14:textId="51D57A01" w:rsidR="001C2394" w:rsidRPr="00410C42" w:rsidRDefault="001C2394" w:rsidP="00AF1AC1">
      <w:pPr>
        <w:pStyle w:val="SDMPara"/>
        <w:numPr>
          <w:ilvl w:val="0"/>
          <w:numId w:val="33"/>
        </w:numPr>
        <w:suppressAutoHyphens/>
      </w:pPr>
      <w:r w:rsidRPr="00410C42">
        <w:t xml:space="preserve">In the context of the methodology, </w:t>
      </w:r>
      <w:r w:rsidR="00D60046" w:rsidRPr="00410C42">
        <w:t xml:space="preserve">activity participants </w:t>
      </w:r>
      <w:r w:rsidRPr="00410C42">
        <w:t xml:space="preserve">may choose from two approaches to </w:t>
      </w:r>
      <w:r w:rsidR="00187D28" w:rsidRPr="00410C42">
        <w:t xml:space="preserve">adjust </w:t>
      </w:r>
      <w:r w:rsidRPr="00410C42">
        <w:t xml:space="preserve">energy consumption in the </w:t>
      </w:r>
      <w:r w:rsidR="00341B27" w:rsidRPr="00410C42">
        <w:t>activity</w:t>
      </w:r>
      <w:r w:rsidRPr="00410C42">
        <w:t xml:space="preserve"> scenario</w:t>
      </w:r>
      <w:r w:rsidR="00187D28" w:rsidRPr="00410C42">
        <w:t xml:space="preserve"> for the Hawthorne effect</w:t>
      </w:r>
      <w:r w:rsidRPr="00410C42">
        <w:t>, differentiated by application (or</w:t>
      </w:r>
      <w:r w:rsidR="005F1D14" w:rsidRPr="00410C42">
        <w:t> </w:t>
      </w:r>
      <w:r w:rsidRPr="00410C42">
        <w:t xml:space="preserve">non-application) of </w:t>
      </w:r>
      <w:r w:rsidR="003E294B" w:rsidRPr="00410C42">
        <w:t xml:space="preserve">stove use </w:t>
      </w:r>
      <w:r w:rsidR="00D60046" w:rsidRPr="00410C42">
        <w:t xml:space="preserve">monitoring </w:t>
      </w:r>
      <w:r w:rsidR="003E294B" w:rsidRPr="00410C42">
        <w:t>(</w:t>
      </w:r>
      <w:r w:rsidR="006471E0" w:rsidRPr="00410C42" w:rsidDel="00C52452">
        <w:t>SUM</w:t>
      </w:r>
      <w:r w:rsidR="003E294B" w:rsidRPr="00410C42">
        <w:t>)</w:t>
      </w:r>
      <w:r w:rsidR="007C7D55" w:rsidRPr="00410C42">
        <w:t>.</w:t>
      </w:r>
      <w:r w:rsidR="0020599B" w:rsidRPr="00410C42">
        <w:t xml:space="preserve"> </w:t>
      </w:r>
      <w:r w:rsidRPr="00410C42">
        <w:t xml:space="preserve">When </w:t>
      </w:r>
      <w:r w:rsidR="00341B27" w:rsidRPr="00410C42">
        <w:t>activities</w:t>
      </w:r>
      <w:r w:rsidRPr="00410C42">
        <w:t xml:space="preserve"> complement KPTs with SUMs measurements, the ratio of </w:t>
      </w:r>
      <w:r w:rsidR="00834003" w:rsidRPr="00410C42">
        <w:t xml:space="preserve">project cookstove </w:t>
      </w:r>
      <w:r w:rsidRPr="00410C42">
        <w:t xml:space="preserve">usage </w:t>
      </w:r>
      <w:r w:rsidR="00134439" w:rsidRPr="00410C42">
        <w:t xml:space="preserve">that is </w:t>
      </w:r>
      <w:r w:rsidR="00EB5976" w:rsidRPr="00410C42">
        <w:t>“</w:t>
      </w:r>
      <w:r w:rsidRPr="00410C42">
        <w:t>cooking events</w:t>
      </w:r>
      <w:r w:rsidR="00727A14" w:rsidRPr="00410C42">
        <w:t xml:space="preserve"> per </w:t>
      </w:r>
      <w:r w:rsidRPr="00410C42">
        <w:t>day</w:t>
      </w:r>
      <w:r w:rsidR="00EB5976" w:rsidRPr="00410C42">
        <w:t>”</w:t>
      </w:r>
      <w:r w:rsidRPr="00410C42">
        <w:t xml:space="preserve"> measured during the KPT to </w:t>
      </w:r>
      <w:r w:rsidR="00834003" w:rsidRPr="00410C42">
        <w:t>project cookstove</w:t>
      </w:r>
      <w:r w:rsidRPr="00410C42">
        <w:t xml:space="preserve"> usage</w:t>
      </w:r>
      <w:r w:rsidR="00134439" w:rsidRPr="00410C42">
        <w:t xml:space="preserve"> that is</w:t>
      </w:r>
      <w:r w:rsidRPr="00410C42">
        <w:t xml:space="preserve"> measured during the month prior to or following the KPT is used as a multiplier in the emission reduction estimate calculation (only when that value is less than </w:t>
      </w:r>
      <w:r w:rsidR="0075068A" w:rsidRPr="00410C42">
        <w:t>one</w:t>
      </w:r>
      <w:r w:rsidRPr="00410C42">
        <w:t>).</w:t>
      </w:r>
    </w:p>
    <w:p w14:paraId="4E07A0BB" w14:textId="63CE354C" w:rsidR="001C2394" w:rsidRPr="00F91B7A" w:rsidRDefault="00B6351D" w:rsidP="00FD4D2D">
      <w:pPr>
        <w:pStyle w:val="SDMPara"/>
        <w:suppressAutoHyphens/>
        <w:rPr>
          <w:color w:val="000000" w:themeColor="text2"/>
        </w:rPr>
      </w:pPr>
      <w:r>
        <w:t>Activity participants</w:t>
      </w:r>
      <w:r w:rsidR="001C2394" w:rsidRPr="001C2394">
        <w:t xml:space="preserve"> </w:t>
      </w:r>
      <w:r w:rsidR="008C412F">
        <w:t>using</w:t>
      </w:r>
      <w:r w:rsidR="001C2394" w:rsidRPr="001C2394">
        <w:t xml:space="preserve"> the SUMs method </w:t>
      </w:r>
      <w:r w:rsidR="008C412F">
        <w:t>shall</w:t>
      </w:r>
      <w:r w:rsidR="001C2394" w:rsidRPr="001C2394">
        <w:t xml:space="preserve"> place SUMs on the project cookstoves for the duration of the KPT, as well as for the conti</w:t>
      </w:r>
      <w:r w:rsidR="007C0420">
        <w:t>n</w:t>
      </w:r>
      <w:r w:rsidR="001C2394" w:rsidRPr="001C2394">
        <w:t>uous 30 days (before, after, or any comb</w:t>
      </w:r>
      <w:r w:rsidR="001C2394" w:rsidRPr="007D0ABA">
        <w:t>ination of before and after</w:t>
      </w:r>
      <w:r w:rsidR="00916D1F" w:rsidRPr="007D0ABA">
        <w:rPr>
          <w:rStyle w:val="FootnoteReference"/>
        </w:rPr>
        <w:footnoteReference w:id="47"/>
      </w:r>
      <w:r w:rsidR="001C2394" w:rsidRPr="007D0ABA">
        <w:t>) to serve as a reference point.</w:t>
      </w:r>
    </w:p>
    <w:p w14:paraId="52A3F949" w14:textId="227EC7B6" w:rsidR="001C2394" w:rsidRPr="00F91B7A" w:rsidRDefault="001C2394" w:rsidP="00FD4D2D">
      <w:pPr>
        <w:pStyle w:val="SDMPara"/>
        <w:suppressAutoHyphens/>
        <w:rPr>
          <w:color w:val="000000" w:themeColor="text2"/>
        </w:rPr>
      </w:pPr>
      <w:r w:rsidRPr="003537E7">
        <w:t xml:space="preserve">SUMs </w:t>
      </w:r>
      <w:r w:rsidR="00D72E6A" w:rsidRPr="00E60489">
        <w:t>are</w:t>
      </w:r>
      <w:r w:rsidRPr="007D0ABA">
        <w:t xml:space="preserve"> used to estimate Ψ, the per</w:t>
      </w:r>
      <w:r w:rsidR="00801887" w:rsidRPr="007D0ABA">
        <w:t xml:space="preserve"> </w:t>
      </w:r>
      <w:r w:rsidRPr="007D0ABA">
        <w:t xml:space="preserve">cent of </w:t>
      </w:r>
      <w:r w:rsidR="00341B27" w:rsidRPr="007D0ABA">
        <w:t>activity</w:t>
      </w:r>
      <w:r w:rsidRPr="007D0ABA">
        <w:t xml:space="preserve"> households with the project cookstove present</w:t>
      </w:r>
      <w:r w:rsidR="009E5FD5" w:rsidRPr="00E60489">
        <w:t xml:space="preserve"> that qualify as user households</w:t>
      </w:r>
      <w:r w:rsidRPr="007D0ABA">
        <w:t xml:space="preserve">. Projects </w:t>
      </w:r>
      <w:r w:rsidR="00D72E6A" w:rsidRPr="00E60489">
        <w:t>shall</w:t>
      </w:r>
      <w:r w:rsidR="00D72E6A" w:rsidRPr="007D0ABA">
        <w:t xml:space="preserve"> </w:t>
      </w:r>
      <w:r w:rsidRPr="007D0ABA">
        <w:t xml:space="preserve">use the same measurement period (at a minimum) as that used for determining a potential Hawthorne effect, and the same sampling requirements for Ψ as those outlined in </w:t>
      </w:r>
      <w:r w:rsidR="001E3B4E" w:rsidRPr="007D0ABA">
        <w:fldChar w:fldCharType="begin"/>
      </w:r>
      <w:r w:rsidR="001E3B4E" w:rsidRPr="001B6560">
        <w:instrText xml:space="preserve"> REF _Ref227197687 \r \h </w:instrText>
      </w:r>
      <w:r w:rsidR="00916D1F" w:rsidRPr="001B6560">
        <w:instrText xml:space="preserve"> \* MERGEFORMAT </w:instrText>
      </w:r>
      <w:r w:rsidR="001E3B4E" w:rsidRPr="007D0ABA">
        <w:fldChar w:fldCharType="separate"/>
      </w:r>
      <w:r w:rsidR="00831DAE">
        <w:rPr>
          <w:cs/>
        </w:rPr>
        <w:t>‎</w:t>
      </w:r>
      <w:r w:rsidR="00831DAE">
        <w:t>Appendix 4</w:t>
      </w:r>
      <w:r w:rsidR="001E3B4E" w:rsidRPr="007D0ABA">
        <w:fldChar w:fldCharType="end"/>
      </w:r>
      <w:r w:rsidRPr="007D0ABA">
        <w:t xml:space="preserve">. If sampling includes </w:t>
      </w:r>
      <w:r w:rsidR="00A726FD" w:rsidRPr="00E60489">
        <w:t>activity households</w:t>
      </w:r>
      <w:r w:rsidR="00A726FD" w:rsidRPr="007D0ABA">
        <w:t xml:space="preserve"> </w:t>
      </w:r>
      <w:r w:rsidRPr="007D0ABA">
        <w:t xml:space="preserve">where KPTs are being conducted, the frequency of use estimates </w:t>
      </w:r>
      <w:r w:rsidR="007D0ABA" w:rsidRPr="00E60489">
        <w:t>shall</w:t>
      </w:r>
      <w:r w:rsidR="007D0ABA" w:rsidRPr="007D0ABA">
        <w:t xml:space="preserve"> </w:t>
      </w:r>
      <w:r w:rsidRPr="007D0ABA">
        <w:t xml:space="preserve">not include data from days when KPTs are occurring. For households where SUMs installation is not possible because the project cookstove is not present, these households </w:t>
      </w:r>
      <w:r w:rsidR="007D0ABA" w:rsidRPr="00E60489">
        <w:t>shall</w:t>
      </w:r>
      <w:r w:rsidR="007D0ABA" w:rsidRPr="007D0ABA">
        <w:t xml:space="preserve"> </w:t>
      </w:r>
      <w:r w:rsidRPr="007D0ABA">
        <w:t>be included as non-users in the estimate Ψ</w:t>
      </w:r>
      <w:r w:rsidRPr="007D0ABA">
        <w:rPr>
          <w:vertAlign w:val="subscript"/>
        </w:rPr>
        <w:t>.</w:t>
      </w:r>
    </w:p>
    <w:p w14:paraId="779F4C18" w14:textId="69D69054" w:rsidR="001C2394" w:rsidRPr="00F91B7A" w:rsidRDefault="001C2394" w:rsidP="00FD4D2D">
      <w:pPr>
        <w:pStyle w:val="SDMPara"/>
        <w:suppressAutoHyphens/>
        <w:rPr>
          <w:color w:val="000000" w:themeColor="text2"/>
        </w:rPr>
      </w:pPr>
      <w:r w:rsidRPr="001C2394">
        <w:t xml:space="preserve">This appendix provides requirements and best practice guidance for using SUMs </w:t>
      </w:r>
      <w:r w:rsidR="007D0ABA">
        <w:t>in the context of</w:t>
      </w:r>
      <w:r w:rsidR="007D0ABA" w:rsidRPr="001C2394">
        <w:t xml:space="preserve"> </w:t>
      </w:r>
      <w:r w:rsidRPr="001C2394">
        <w:t xml:space="preserve">the </w:t>
      </w:r>
      <w:r w:rsidR="007D2BC8">
        <w:t xml:space="preserve">mechanism </w:t>
      </w:r>
      <w:r w:rsidRPr="001C2394">
        <w:t>methodology.</w:t>
      </w:r>
    </w:p>
    <w:p w14:paraId="4ED4CF57" w14:textId="77777777" w:rsidR="001C2394" w:rsidRPr="001C2394" w:rsidRDefault="001C2394" w:rsidP="009E7040">
      <w:pPr>
        <w:pStyle w:val="SDMApp1"/>
      </w:pPr>
      <w:r w:rsidRPr="001C2394">
        <w:t xml:space="preserve">Best practice </w:t>
      </w:r>
      <w:r w:rsidRPr="001C2394" w:rsidDel="0036452C">
        <w:t>g</w:t>
      </w:r>
      <w:r w:rsidRPr="001C2394">
        <w:t xml:space="preserve">uidance for </w:t>
      </w:r>
      <w:r w:rsidRPr="001C2394" w:rsidDel="0036452C">
        <w:t>u</w:t>
      </w:r>
      <w:r w:rsidRPr="001C2394">
        <w:t>sing SUMs</w:t>
      </w:r>
    </w:p>
    <w:p w14:paraId="55231D13" w14:textId="77777777" w:rsidR="001C2394" w:rsidRPr="001C2394" w:rsidRDefault="001C2394" w:rsidP="009E7040">
      <w:pPr>
        <w:pStyle w:val="SDMApp2"/>
      </w:pPr>
      <w:r w:rsidRPr="001C2394">
        <w:t>Installation</w:t>
      </w:r>
    </w:p>
    <w:p w14:paraId="3F1F499A" w14:textId="66AFE754" w:rsidR="001C2394" w:rsidRPr="001C2394" w:rsidRDefault="00B6351D" w:rsidP="00655F47">
      <w:pPr>
        <w:pStyle w:val="SDMPara"/>
        <w:keepNext/>
        <w:suppressAutoHyphens/>
      </w:pPr>
      <w:r>
        <w:t>Activity participants</w:t>
      </w:r>
      <w:r w:rsidR="001C2394" w:rsidRPr="001C2394">
        <w:t xml:space="preserve"> should follow manufacturer installation requirements (if provided) for the SUMs instrumentation being used. Unless specifically indicated otherwise, placement of the device should generally follow these key guidelines:</w:t>
      </w:r>
    </w:p>
    <w:p w14:paraId="2E5781C5" w14:textId="70118476" w:rsidR="001C2394" w:rsidRPr="001C2394" w:rsidRDefault="001C2394" w:rsidP="00FD4D2D">
      <w:pPr>
        <w:pStyle w:val="SDMSubPara1"/>
        <w:suppressAutoHyphens/>
      </w:pPr>
      <w:r w:rsidRPr="001C2394">
        <w:t xml:space="preserve">The project cookstoves’ temperature profiles during cooking events should be </w:t>
      </w:r>
      <w:r w:rsidR="00B82B6B" w:rsidRPr="001C2394">
        <w:t>analysed</w:t>
      </w:r>
      <w:r w:rsidRPr="001C2394">
        <w:t xml:space="preserve"> before the field campaign to determine optimal placement;</w:t>
      </w:r>
    </w:p>
    <w:p w14:paraId="6E1A40D3" w14:textId="77777777" w:rsidR="001C2394" w:rsidRPr="001C2394" w:rsidRDefault="001C2394" w:rsidP="00FD4D2D">
      <w:pPr>
        <w:pStyle w:val="SDMSubPara1"/>
        <w:suppressAutoHyphens/>
      </w:pPr>
      <w:r w:rsidRPr="001C2394">
        <w:t>Temperature sensors and loggers should not be placed in a location where temperatures exceed their maximum operating/sensing temperature specifications;</w:t>
      </w:r>
    </w:p>
    <w:p w14:paraId="0035CBD4" w14:textId="77777777" w:rsidR="001C2394" w:rsidRPr="001C2394" w:rsidRDefault="001C2394" w:rsidP="00FD4D2D">
      <w:pPr>
        <w:pStyle w:val="SDMSubPara1"/>
        <w:suppressAutoHyphens/>
      </w:pPr>
      <w:r w:rsidRPr="001C2394">
        <w:t>Sensor placements should provide a maximum temperature differential between ambient and cookstove temperature (without exceeding maximum operating temperature for the sensor);</w:t>
      </w:r>
    </w:p>
    <w:p w14:paraId="2AD92A28" w14:textId="77777777" w:rsidR="001C2394" w:rsidRPr="001C2394" w:rsidRDefault="001C2394" w:rsidP="00FD4D2D">
      <w:pPr>
        <w:pStyle w:val="SDMSubPara1"/>
        <w:suppressAutoHyphens/>
      </w:pPr>
      <w:r w:rsidRPr="001C2394">
        <w:t>When possible, cookstoves and sensing units (e.g., thermocouple leads) should be kept out of direct sunlight to reduce sensors logging the radiant heat of the sun, which can be confounded with cooking;</w:t>
      </w:r>
    </w:p>
    <w:p w14:paraId="68330577" w14:textId="4FF282CB" w:rsidR="001C2394" w:rsidRPr="001C2394" w:rsidRDefault="001C2394" w:rsidP="00FD4D2D">
      <w:pPr>
        <w:pStyle w:val="SDMSubPara1"/>
        <w:suppressAutoHyphens/>
      </w:pPr>
      <w:r w:rsidRPr="001C2394">
        <w:t xml:space="preserve">Sensor placement </w:t>
      </w:r>
      <w:r w:rsidR="00AB7E38">
        <w:t xml:space="preserve">should </w:t>
      </w:r>
      <w:r w:rsidRPr="001C2394">
        <w:t>be standardized as much as possible across the sample;</w:t>
      </w:r>
    </w:p>
    <w:p w14:paraId="086592A8" w14:textId="77777777" w:rsidR="001C2394" w:rsidRPr="001C2394" w:rsidRDefault="001C2394" w:rsidP="00FD4D2D">
      <w:pPr>
        <w:pStyle w:val="SDMSubPara1"/>
        <w:suppressAutoHyphens/>
      </w:pPr>
      <w:r w:rsidRPr="001C2394">
        <w:t>Sensor placement should not get in the way of the pot, or obstruct or interrupt the cooking, or be located where liquids are likely to collect or boil over;</w:t>
      </w:r>
    </w:p>
    <w:p w14:paraId="3BB7E424" w14:textId="77777777" w:rsidR="001C2394" w:rsidRPr="001C2394" w:rsidRDefault="001C2394" w:rsidP="00FD4D2D">
      <w:pPr>
        <w:pStyle w:val="SDMSubPara1"/>
        <w:suppressAutoHyphens/>
      </w:pPr>
      <w:r w:rsidRPr="001C2394">
        <w:t>Sensor placement should not interfere with participants’ normal activities. Placement should also minimize risk of the sensor being accessed, moved, and/or damaged by participants, other people, or common household features, such as water, insects, or animals;</w:t>
      </w:r>
    </w:p>
    <w:p w14:paraId="18B7F9E5" w14:textId="26F27BBB" w:rsidR="001C2394" w:rsidRPr="001C2394" w:rsidRDefault="00B6351D" w:rsidP="00FD4D2D">
      <w:pPr>
        <w:pStyle w:val="SDMSubPara1"/>
        <w:suppressAutoHyphens/>
      </w:pPr>
      <w:r>
        <w:t>Activity participants</w:t>
      </w:r>
      <w:r w:rsidR="001C2394" w:rsidRPr="001C2394">
        <w:t xml:space="preserve"> should explain to household members that the SUMs are for measuring temperature and should not be tampered with. Household members should not press buttons, move parts, or disconnect or connect the sensors to computers or power.</w:t>
      </w:r>
    </w:p>
    <w:p w14:paraId="64FA7E3C" w14:textId="77777777" w:rsidR="001C2394" w:rsidRPr="001C2394" w:rsidRDefault="001C2394" w:rsidP="009E7040">
      <w:pPr>
        <w:pStyle w:val="SDMApp2"/>
      </w:pPr>
      <w:r w:rsidRPr="001C2394">
        <w:t>Cookstove temperature analysis</w:t>
      </w:r>
    </w:p>
    <w:p w14:paraId="78C9BEE7" w14:textId="66E92761" w:rsidR="001C2394" w:rsidRPr="001C2394" w:rsidRDefault="00B6351D" w:rsidP="00655F47">
      <w:pPr>
        <w:pStyle w:val="SDMPara"/>
        <w:keepNext/>
        <w:suppressAutoHyphens/>
      </w:pPr>
      <w:r>
        <w:t>Activity participants</w:t>
      </w:r>
      <w:r w:rsidR="001C2394" w:rsidRPr="001C2394">
        <w:t xml:space="preserve"> should follow manufacturer guidelines for data analysis</w:t>
      </w:r>
      <w:r w:rsidR="001C2394" w:rsidRPr="001C2394">
        <w:rPr>
          <w:vertAlign w:val="superscript"/>
        </w:rPr>
        <w:footnoteReference w:id="48"/>
      </w:r>
      <w:r w:rsidR="001C2394" w:rsidRPr="001C2394">
        <w:t xml:space="preserve"> where available. Unless specifically indicated otherwise, analysis should generally follow these key guidelines:</w:t>
      </w:r>
    </w:p>
    <w:p w14:paraId="6EAD8E77" w14:textId="77777777" w:rsidR="001C2394" w:rsidRPr="001C2394" w:rsidRDefault="001C2394" w:rsidP="00FD4D2D">
      <w:pPr>
        <w:pStyle w:val="SDMSubPara1"/>
        <w:suppressAutoHyphens/>
      </w:pPr>
      <w:r w:rsidRPr="001C2394">
        <w:t>Subtracting ambient temperature generally improves the ability to resolve a temperature response during cookstove events from normal diurnal and seasonal temperature variation;</w:t>
      </w:r>
    </w:p>
    <w:p w14:paraId="133F5076" w14:textId="3666CD8A" w:rsidR="001C2394" w:rsidRPr="001C2394" w:rsidRDefault="001C2394" w:rsidP="00655F47">
      <w:pPr>
        <w:pStyle w:val="SDMSubPara1"/>
        <w:keepNext/>
        <w:suppressAutoHyphens/>
      </w:pPr>
      <w:r w:rsidRPr="001C2394">
        <w:t>Perform validation or sense checks on the algorithms used to determine cookstove use.</w:t>
      </w:r>
      <w:r w:rsidR="00410C42">
        <w:t xml:space="preserve"> </w:t>
      </w:r>
      <w:r w:rsidRPr="001C2394">
        <w:t>These can include:</w:t>
      </w:r>
    </w:p>
    <w:p w14:paraId="7EFE81A0" w14:textId="799913A3" w:rsidR="001C2394" w:rsidRPr="001C2394" w:rsidRDefault="001C2394" w:rsidP="00FD4D2D">
      <w:pPr>
        <w:pStyle w:val="SDMSubPara2"/>
        <w:suppressAutoHyphens/>
      </w:pPr>
      <w:r w:rsidRPr="001C2394">
        <w:t xml:space="preserve">Having a person with expertise manually inspect at least a subset of </w:t>
      </w:r>
      <w:r w:rsidR="00D17C95" w:rsidRPr="001C2394">
        <w:t>analysed</w:t>
      </w:r>
      <w:r w:rsidRPr="001C2394">
        <w:t xml:space="preserve"> files to check that the algorithm is determining apparent cooking events as intended;</w:t>
      </w:r>
    </w:p>
    <w:p w14:paraId="04BFD143" w14:textId="4F062E74" w:rsidR="001C2394" w:rsidRPr="001C2394" w:rsidRDefault="001C2394" w:rsidP="00FD4D2D">
      <w:pPr>
        <w:pStyle w:val="SDMSubPara2"/>
        <w:suppressAutoHyphens/>
      </w:pPr>
      <w:r w:rsidRPr="001C2394">
        <w:t xml:space="preserve">Cross-referencing observational data on cooking events with the </w:t>
      </w:r>
      <w:r w:rsidR="00A31435" w:rsidRPr="001C2394">
        <w:t>analysed</w:t>
      </w:r>
      <w:r w:rsidRPr="001C2394">
        <w:t xml:space="preserve"> data</w:t>
      </w:r>
      <w:r w:rsidR="005B7286">
        <w:t>;</w:t>
      </w:r>
      <w:r w:rsidR="00B369F8">
        <w:t xml:space="preserve"> or</w:t>
      </w:r>
    </w:p>
    <w:p w14:paraId="4DCBADD0" w14:textId="5888BB89" w:rsidR="001C2394" w:rsidRPr="001C2394" w:rsidRDefault="001C2394" w:rsidP="00FD4D2D">
      <w:pPr>
        <w:pStyle w:val="SDMSubPara2"/>
        <w:suppressAutoHyphens/>
      </w:pPr>
      <w:r w:rsidRPr="001C2394">
        <w:rPr>
          <w:color w:val="000000" w:themeColor="text1"/>
        </w:rPr>
        <w:t xml:space="preserve">Using common sense checks with what is generally known about cooking </w:t>
      </w:r>
      <w:r w:rsidR="00D17C95" w:rsidRPr="001C2394">
        <w:rPr>
          <w:color w:val="000000" w:themeColor="text1"/>
        </w:rPr>
        <w:t>behaviours</w:t>
      </w:r>
      <w:r w:rsidRPr="001C2394">
        <w:rPr>
          <w:color w:val="000000" w:themeColor="text1"/>
        </w:rPr>
        <w:t xml:space="preserve"> in the region. For example, if only one cooking event per week is being estimated when it’s known that people are using several kg of fuel every day, the placement or algorithm are not working properly.</w:t>
      </w:r>
    </w:p>
    <w:p w14:paraId="19D7E06D" w14:textId="77777777" w:rsidR="001C2394" w:rsidRPr="001C2394" w:rsidRDefault="001C2394" w:rsidP="009E7040">
      <w:pPr>
        <w:pStyle w:val="SDMApp2"/>
      </w:pPr>
      <w:r w:rsidRPr="001C2394">
        <w:t>Public presentation of stove use algorithms</w:t>
      </w:r>
    </w:p>
    <w:p w14:paraId="09C9839A" w14:textId="2CCE8742" w:rsidR="001C2394" w:rsidRPr="001C2394" w:rsidRDefault="001C2394" w:rsidP="00FD4D2D">
      <w:pPr>
        <w:pStyle w:val="SDMPara"/>
        <w:suppressAutoHyphens/>
      </w:pPr>
      <w:r w:rsidRPr="001C2394">
        <w:rPr>
          <w:rFonts w:eastAsia="Montserrat"/>
        </w:rPr>
        <w:t>To support transparency and reproducibility in stove use monitoring, all algorithms</w:t>
      </w:r>
      <w:r w:rsidR="00F52362">
        <w:rPr>
          <w:rFonts w:eastAsia="Montserrat"/>
        </w:rPr>
        <w:t xml:space="preserve"> that are</w:t>
      </w:r>
      <w:r w:rsidRPr="001C2394">
        <w:rPr>
          <w:rFonts w:eastAsia="Montserrat"/>
        </w:rPr>
        <w:t xml:space="preserve"> used to convert raw SUM data into cooking events </w:t>
      </w:r>
      <w:r w:rsidR="00C00F76">
        <w:rPr>
          <w:rFonts w:eastAsia="Montserrat"/>
        </w:rPr>
        <w:t>shall</w:t>
      </w:r>
      <w:r w:rsidR="00B82B6B">
        <w:rPr>
          <w:rFonts w:eastAsia="Montserrat"/>
        </w:rPr>
        <w:t xml:space="preserve"> </w:t>
      </w:r>
      <w:r w:rsidRPr="001C2394">
        <w:rPr>
          <w:rFonts w:eastAsia="Montserrat"/>
        </w:rPr>
        <w:t>be publicly available</w:t>
      </w:r>
      <w:r w:rsidR="009B6774">
        <w:rPr>
          <w:rFonts w:eastAsia="Montserrat"/>
        </w:rPr>
        <w:t xml:space="preserve"> </w:t>
      </w:r>
      <w:r w:rsidR="009B6774" w:rsidRPr="009B6774">
        <w:rPr>
          <w:rFonts w:eastAsia="Montserrat"/>
        </w:rPr>
        <w:t>throughout the crediting period and until renewal of the crediting period</w:t>
      </w:r>
      <w:r w:rsidRPr="001C2394">
        <w:rPr>
          <w:rFonts w:eastAsia="Montserrat"/>
        </w:rPr>
        <w:t>, following the requirements below.</w:t>
      </w:r>
    </w:p>
    <w:p w14:paraId="12CA61CC" w14:textId="77777777" w:rsidR="001C2394" w:rsidRPr="001C2394" w:rsidRDefault="001C2394" w:rsidP="009E7040">
      <w:pPr>
        <w:pStyle w:val="SDMApp3"/>
      </w:pPr>
      <w:r w:rsidRPr="001C2394">
        <w:t>Algorithm logic description</w:t>
      </w:r>
    </w:p>
    <w:p w14:paraId="79168115" w14:textId="77777777" w:rsidR="001C2394" w:rsidRPr="001C2394" w:rsidRDefault="001C2394" w:rsidP="00655F47">
      <w:pPr>
        <w:pStyle w:val="SDMPara"/>
        <w:keepNext/>
        <w:suppressAutoHyphens/>
      </w:pPr>
      <w:r w:rsidRPr="001C2394">
        <w:rPr>
          <w:rFonts w:eastAsia="Montserrat"/>
        </w:rPr>
        <w:t>Provide a clear explanation of how the algorithm detects cooking events, including:</w:t>
      </w:r>
    </w:p>
    <w:p w14:paraId="6F6308BF" w14:textId="77777777" w:rsidR="001C2394" w:rsidRPr="009D2355" w:rsidRDefault="001C2394" w:rsidP="00FD4D2D">
      <w:pPr>
        <w:pStyle w:val="SDMSubPara1"/>
        <w:suppressAutoHyphens/>
        <w:rPr>
          <w:rFonts w:eastAsia="Montserrat"/>
        </w:rPr>
      </w:pPr>
      <w:r w:rsidRPr="00624DFE">
        <w:rPr>
          <w:rFonts w:eastAsia="Montserrat"/>
        </w:rPr>
        <w:t>Physical parameter(s) monitored (e.g., temperature, power);</w:t>
      </w:r>
    </w:p>
    <w:p w14:paraId="45538CFC" w14:textId="77777777" w:rsidR="001C2394" w:rsidRPr="009D2355" w:rsidRDefault="001C2394" w:rsidP="00FD4D2D">
      <w:pPr>
        <w:pStyle w:val="SDMSubPara1"/>
        <w:suppressAutoHyphens/>
        <w:rPr>
          <w:rFonts w:eastAsia="Montserrat"/>
        </w:rPr>
      </w:pPr>
      <w:r w:rsidRPr="001C2394">
        <w:rPr>
          <w:rFonts w:eastAsia="Montserrat"/>
        </w:rPr>
        <w:t>Logic for identifying events (e.g., threshold crossings, sustained changes);</w:t>
      </w:r>
    </w:p>
    <w:p w14:paraId="3154744B" w14:textId="77777777" w:rsidR="001C2394" w:rsidRPr="009D2355" w:rsidRDefault="001C2394" w:rsidP="00FD4D2D">
      <w:pPr>
        <w:pStyle w:val="SDMSubPara1"/>
        <w:suppressAutoHyphens/>
        <w:rPr>
          <w:rFonts w:eastAsia="Montserrat"/>
        </w:rPr>
      </w:pPr>
      <w:r w:rsidRPr="001C2394">
        <w:rPr>
          <w:rFonts w:eastAsia="Montserrat"/>
        </w:rPr>
        <w:t>Preprocessing steps (e.g., filtering, smoothing);</w:t>
      </w:r>
    </w:p>
    <w:p w14:paraId="0FFE256F" w14:textId="77777777" w:rsidR="001C2394" w:rsidRPr="009D2355" w:rsidRDefault="001C2394" w:rsidP="00FD4D2D">
      <w:pPr>
        <w:pStyle w:val="SDMSubPara1"/>
        <w:suppressAutoHyphens/>
        <w:rPr>
          <w:rFonts w:eastAsia="Montserrat"/>
        </w:rPr>
      </w:pPr>
      <w:r w:rsidRPr="001C2394">
        <w:rPr>
          <w:rFonts w:eastAsia="Montserrat"/>
        </w:rPr>
        <w:t>Contextual adjustments (e.g., ambient corrections, diurnal patterns).</w:t>
      </w:r>
    </w:p>
    <w:p w14:paraId="23EED20B" w14:textId="77777777" w:rsidR="001C2394" w:rsidRPr="001C2394" w:rsidRDefault="001C2394" w:rsidP="009E7040">
      <w:pPr>
        <w:pStyle w:val="SDMApp3"/>
      </w:pPr>
      <w:r w:rsidRPr="001C2394">
        <w:t>Formal equation or code</w:t>
      </w:r>
    </w:p>
    <w:p w14:paraId="1BFCA4C0" w14:textId="77777777" w:rsidR="001C2394" w:rsidRPr="001C2394" w:rsidRDefault="001C2394" w:rsidP="00655F47">
      <w:pPr>
        <w:pStyle w:val="SDMPara"/>
        <w:keepNext/>
        <w:suppressAutoHyphens/>
      </w:pPr>
      <w:r w:rsidRPr="001C2394">
        <w:rPr>
          <w:rFonts w:eastAsia="Montserrat"/>
        </w:rPr>
        <w:t>Present the algorithm as:</w:t>
      </w:r>
    </w:p>
    <w:p w14:paraId="4649086E" w14:textId="77777777" w:rsidR="001C2394" w:rsidRPr="009D2355" w:rsidRDefault="001C2394" w:rsidP="00FD4D2D">
      <w:pPr>
        <w:pStyle w:val="SDMSubPara1"/>
        <w:suppressAutoHyphens/>
        <w:rPr>
          <w:rFonts w:eastAsia="Montserrat"/>
        </w:rPr>
      </w:pPr>
      <w:r w:rsidRPr="001C2394">
        <w:rPr>
          <w:rFonts w:eastAsia="Montserrat"/>
        </w:rPr>
        <w:t>Equations and logic rules; or</w:t>
      </w:r>
    </w:p>
    <w:p w14:paraId="7AD54404" w14:textId="77777777" w:rsidR="001C2394" w:rsidRPr="009D2355" w:rsidRDefault="001C2394" w:rsidP="00FD4D2D">
      <w:pPr>
        <w:pStyle w:val="SDMSubPara1"/>
        <w:suppressAutoHyphens/>
        <w:rPr>
          <w:rFonts w:eastAsia="Montserrat"/>
        </w:rPr>
      </w:pPr>
      <w:r w:rsidRPr="001C2394">
        <w:rPr>
          <w:rFonts w:eastAsia="Montserrat"/>
        </w:rPr>
        <w:t>Annotated code outlining the decision steps.</w:t>
      </w:r>
    </w:p>
    <w:p w14:paraId="629F4869" w14:textId="77777777" w:rsidR="001C2394" w:rsidRPr="001C2394" w:rsidRDefault="001C2394" w:rsidP="009E7040">
      <w:pPr>
        <w:pStyle w:val="SDMApp3"/>
      </w:pPr>
      <w:r w:rsidRPr="001C2394">
        <w:t>Parameter definitions and units</w:t>
      </w:r>
    </w:p>
    <w:p w14:paraId="13A9C0D5" w14:textId="36F0CA34" w:rsidR="001C2394" w:rsidRPr="001C2394" w:rsidRDefault="001C2394" w:rsidP="00655F47">
      <w:pPr>
        <w:pStyle w:val="SDMPara"/>
        <w:keepNext/>
        <w:suppressAutoHyphens/>
      </w:pPr>
      <w:r w:rsidRPr="001C2394">
        <w:rPr>
          <w:rFonts w:eastAsia="Montserrat"/>
        </w:rPr>
        <w:t xml:space="preserve">All thresholds and time-related values </w:t>
      </w:r>
      <w:r w:rsidR="00706C85">
        <w:rPr>
          <w:rFonts w:eastAsia="Montserrat"/>
        </w:rPr>
        <w:t>shall</w:t>
      </w:r>
      <w:r w:rsidR="00797E2C">
        <w:rPr>
          <w:rFonts w:eastAsia="Montserrat"/>
        </w:rPr>
        <w:t xml:space="preserve"> be</w:t>
      </w:r>
      <w:r w:rsidRPr="001C2394">
        <w:rPr>
          <w:rFonts w:eastAsia="Montserrat"/>
        </w:rPr>
        <w:t>:</w:t>
      </w:r>
    </w:p>
    <w:p w14:paraId="60360CC2" w14:textId="5FF50BAF" w:rsidR="006D2932" w:rsidRDefault="00CF73A9" w:rsidP="00FD4D2D">
      <w:pPr>
        <w:pStyle w:val="SDMSubPara1"/>
        <w:suppressAutoHyphens/>
        <w:rPr>
          <w:rFonts w:eastAsia="Montserrat"/>
        </w:rPr>
      </w:pPr>
      <w:r>
        <w:rPr>
          <w:rFonts w:eastAsia="Montserrat"/>
        </w:rPr>
        <w:t>L</w:t>
      </w:r>
      <w:r w:rsidR="001C2394" w:rsidRPr="003D03C4">
        <w:rPr>
          <w:rFonts w:eastAsia="Montserrat"/>
        </w:rPr>
        <w:t>isted with units (e.g., °C, seconds)</w:t>
      </w:r>
      <w:r w:rsidR="00A93622">
        <w:rPr>
          <w:rFonts w:eastAsia="Montserrat"/>
        </w:rPr>
        <w:t xml:space="preserve"> ;</w:t>
      </w:r>
      <w:r w:rsidR="00F62932" w:rsidRPr="003D03C4">
        <w:rPr>
          <w:rFonts w:eastAsia="Montserrat"/>
        </w:rPr>
        <w:t>and</w:t>
      </w:r>
    </w:p>
    <w:p w14:paraId="20D57B95" w14:textId="56CE126A" w:rsidR="001C2394" w:rsidRPr="009D2355" w:rsidRDefault="00CF73A9" w:rsidP="00FD4D2D">
      <w:pPr>
        <w:pStyle w:val="SDMSubPara1"/>
        <w:suppressAutoHyphens/>
        <w:rPr>
          <w:rFonts w:eastAsia="Montserrat"/>
        </w:rPr>
      </w:pPr>
      <w:r>
        <w:rPr>
          <w:rFonts w:eastAsia="Montserrat"/>
        </w:rPr>
        <w:t>A</w:t>
      </w:r>
      <w:r w:rsidR="001C2394" w:rsidRPr="003D03C4">
        <w:rPr>
          <w:rFonts w:eastAsia="Montserrat"/>
        </w:rPr>
        <w:t>pplied consistently across devices and time.</w:t>
      </w:r>
    </w:p>
    <w:p w14:paraId="38F2B94E" w14:textId="77777777" w:rsidR="001C2394" w:rsidRPr="001C2394" w:rsidRDefault="001C2394" w:rsidP="009E7040">
      <w:pPr>
        <w:pStyle w:val="SDMApp3"/>
      </w:pPr>
      <w:r w:rsidRPr="001C2394">
        <w:t>SUM device specifications</w:t>
      </w:r>
    </w:p>
    <w:p w14:paraId="52BBA553" w14:textId="77777777" w:rsidR="001C2394" w:rsidRPr="001C2394" w:rsidRDefault="001C2394" w:rsidP="00655F47">
      <w:pPr>
        <w:pStyle w:val="SDMPara"/>
        <w:keepNext/>
        <w:suppressAutoHyphens/>
      </w:pPr>
      <w:r w:rsidRPr="001C2394">
        <w:rPr>
          <w:rFonts w:eastAsia="Montserrat"/>
        </w:rPr>
        <w:t>These include:</w:t>
      </w:r>
    </w:p>
    <w:p w14:paraId="03C23FA4" w14:textId="77777777" w:rsidR="001C2394" w:rsidRPr="009D2355" w:rsidRDefault="001C2394" w:rsidP="00FD4D2D">
      <w:pPr>
        <w:pStyle w:val="SDMSubPara1"/>
        <w:suppressAutoHyphens/>
        <w:rPr>
          <w:rFonts w:eastAsia="Montserrat"/>
        </w:rPr>
      </w:pPr>
      <w:r w:rsidRPr="001C2394">
        <w:rPr>
          <w:rFonts w:eastAsia="Montserrat"/>
        </w:rPr>
        <w:t>Manufacturer, model, and firmware version;</w:t>
      </w:r>
    </w:p>
    <w:p w14:paraId="4E102BED" w14:textId="77777777" w:rsidR="001C2394" w:rsidRPr="009D2355" w:rsidRDefault="001C2394" w:rsidP="00FD4D2D">
      <w:pPr>
        <w:pStyle w:val="SDMSubPara1"/>
        <w:suppressAutoHyphens/>
        <w:rPr>
          <w:rFonts w:eastAsia="Montserrat"/>
        </w:rPr>
      </w:pPr>
      <w:r w:rsidRPr="001C2394">
        <w:rPr>
          <w:rFonts w:eastAsia="Montserrat"/>
        </w:rPr>
        <w:t>Sampling rate and sensor types;</w:t>
      </w:r>
    </w:p>
    <w:p w14:paraId="5D720986" w14:textId="08DAACE4" w:rsidR="001C2394" w:rsidRPr="009D2355" w:rsidRDefault="001C2394" w:rsidP="00FD4D2D">
      <w:pPr>
        <w:pStyle w:val="SDMSubPara1"/>
        <w:suppressAutoHyphens/>
        <w:rPr>
          <w:rFonts w:eastAsia="Montserrat"/>
        </w:rPr>
      </w:pPr>
      <w:r w:rsidRPr="001C2394">
        <w:rPr>
          <w:rFonts w:eastAsia="Montserrat"/>
        </w:rPr>
        <w:t>Any known limitations affecting performance</w:t>
      </w:r>
      <w:r w:rsidR="00635D03">
        <w:rPr>
          <w:rFonts w:eastAsia="Montserrat"/>
        </w:rPr>
        <w:t>;</w:t>
      </w:r>
    </w:p>
    <w:p w14:paraId="2B0D797F" w14:textId="568690B5" w:rsidR="00635D03" w:rsidRPr="009D2355" w:rsidRDefault="00635D03" w:rsidP="00FD4D2D">
      <w:pPr>
        <w:pStyle w:val="SDMSubPara1"/>
        <w:suppressAutoHyphens/>
        <w:rPr>
          <w:rFonts w:eastAsia="Montserrat"/>
        </w:rPr>
      </w:pPr>
      <w:r>
        <w:rPr>
          <w:rFonts w:eastAsia="Montserrat"/>
        </w:rPr>
        <w:t>Replacement plan.</w:t>
      </w:r>
    </w:p>
    <w:p w14:paraId="7AE43F21" w14:textId="77777777" w:rsidR="001C2394" w:rsidRPr="001C2394" w:rsidRDefault="001C2394" w:rsidP="009E7040">
      <w:pPr>
        <w:pStyle w:val="SDMApp3"/>
      </w:pPr>
      <w:r w:rsidRPr="001C2394">
        <w:t>Data sample publication</w:t>
      </w:r>
    </w:p>
    <w:p w14:paraId="2156D2F2" w14:textId="113D972A" w:rsidR="001C2394" w:rsidRPr="001C2394" w:rsidRDefault="001C2394" w:rsidP="00655F47">
      <w:pPr>
        <w:pStyle w:val="SDMPara"/>
        <w:keepNext/>
        <w:suppressAutoHyphens/>
      </w:pPr>
      <w:r w:rsidRPr="001C2394">
        <w:rPr>
          <w:rFonts w:eastAsia="Montserrat"/>
        </w:rPr>
        <w:t>Share at least three anonymized raw data files (</w:t>
      </w:r>
      <w:r w:rsidR="00597362">
        <w:rPr>
          <w:rFonts w:eastAsia="Montserrat"/>
        </w:rPr>
        <w:t>two</w:t>
      </w:r>
      <w:r w:rsidR="00597362" w:rsidRPr="001C2394">
        <w:rPr>
          <w:rFonts w:eastAsia="Montserrat"/>
        </w:rPr>
        <w:t xml:space="preserve"> </w:t>
      </w:r>
      <w:r w:rsidRPr="001C2394">
        <w:rPr>
          <w:rFonts w:eastAsia="Montserrat"/>
        </w:rPr>
        <w:t xml:space="preserve">weeks or more of data) for three different project cookstoves with their processed output to demonstrate algorithm performance. Data </w:t>
      </w:r>
      <w:r w:rsidR="00C3390B">
        <w:rPr>
          <w:rFonts w:eastAsia="Montserrat"/>
        </w:rPr>
        <w:t>shall</w:t>
      </w:r>
      <w:r w:rsidRPr="001C2394">
        <w:rPr>
          <w:rFonts w:eastAsia="Montserrat"/>
        </w:rPr>
        <w:t>:</w:t>
      </w:r>
    </w:p>
    <w:p w14:paraId="567699CF" w14:textId="058D9826" w:rsidR="006D2932" w:rsidRDefault="001C2394" w:rsidP="00FD4D2D">
      <w:pPr>
        <w:pStyle w:val="SDMSubPara1"/>
        <w:suppressAutoHyphens/>
        <w:rPr>
          <w:rFonts w:eastAsia="Montserrat"/>
        </w:rPr>
      </w:pPr>
      <w:r w:rsidRPr="001C2394">
        <w:rPr>
          <w:rFonts w:eastAsia="Montserrat"/>
        </w:rPr>
        <w:t>Be in a usable format (e.g., CSV, JSON)</w:t>
      </w:r>
      <w:r w:rsidR="00A93622">
        <w:rPr>
          <w:rFonts w:eastAsia="Montserrat"/>
        </w:rPr>
        <w:t>;</w:t>
      </w:r>
      <w:r w:rsidR="006B3B16">
        <w:rPr>
          <w:rFonts w:eastAsia="Montserrat"/>
        </w:rPr>
        <w:t xml:space="preserve"> </w:t>
      </w:r>
      <w:r w:rsidR="003D03C4">
        <w:rPr>
          <w:rFonts w:eastAsia="Montserrat"/>
        </w:rPr>
        <w:t>and</w:t>
      </w:r>
    </w:p>
    <w:p w14:paraId="36B89480" w14:textId="4D51CEC7" w:rsidR="001C2394" w:rsidRPr="009D2355" w:rsidRDefault="001C2394" w:rsidP="00FD4D2D">
      <w:pPr>
        <w:pStyle w:val="SDMSubPara1"/>
        <w:suppressAutoHyphens/>
        <w:rPr>
          <w:rFonts w:eastAsia="Montserrat"/>
        </w:rPr>
      </w:pPr>
      <w:r w:rsidRPr="001C2394">
        <w:rPr>
          <w:rFonts w:eastAsia="Montserrat"/>
        </w:rPr>
        <w:t>Include clear headers, units, and time zone information</w:t>
      </w:r>
      <w:r w:rsidR="00A31435">
        <w:rPr>
          <w:rFonts w:eastAsia="Montserrat"/>
        </w:rPr>
        <w:t>.</w:t>
      </w:r>
    </w:p>
    <w:p w14:paraId="6225B15D" w14:textId="77777777" w:rsidR="001C2394" w:rsidRPr="001C2394" w:rsidRDefault="001C2394" w:rsidP="009E7040">
      <w:pPr>
        <w:pStyle w:val="SDMApp3"/>
      </w:pPr>
      <w:r w:rsidRPr="001C2394">
        <w:t>Hosting and access</w:t>
      </w:r>
    </w:p>
    <w:p w14:paraId="5B1225D5" w14:textId="2B715406" w:rsidR="001C2394" w:rsidRPr="00410C42" w:rsidRDefault="00C2121B" w:rsidP="00FD4D2D">
      <w:pPr>
        <w:pStyle w:val="SDMPara"/>
        <w:suppressAutoHyphens/>
      </w:pPr>
      <w:r>
        <w:rPr>
          <w:rFonts w:eastAsia="Montserrat"/>
        </w:rPr>
        <w:t>Activity participants s</w:t>
      </w:r>
      <w:r w:rsidR="00093B76">
        <w:rPr>
          <w:rFonts w:eastAsia="Montserrat"/>
        </w:rPr>
        <w:t>hall p</w:t>
      </w:r>
      <w:r w:rsidR="001C2394" w:rsidRPr="001C2394">
        <w:rPr>
          <w:rFonts w:eastAsia="Montserrat"/>
        </w:rPr>
        <w:t xml:space="preserve">ublish the algorithm and sample dataset on a stable public platform (e.g., </w:t>
      </w:r>
      <w:r w:rsidR="007C75A2">
        <w:rPr>
          <w:rFonts w:eastAsia="Montserrat"/>
        </w:rPr>
        <w:t>activity</w:t>
      </w:r>
      <w:r w:rsidR="001C2394" w:rsidRPr="001C2394">
        <w:rPr>
          <w:rFonts w:eastAsia="Montserrat"/>
        </w:rPr>
        <w:t xml:space="preserve"> website, registry, GitHub). Include the link in the </w:t>
      </w:r>
      <w:r w:rsidR="00DA3F46">
        <w:rPr>
          <w:rFonts w:eastAsia="Montserrat"/>
        </w:rPr>
        <w:t>Activity</w:t>
      </w:r>
      <w:r w:rsidR="007C75A2" w:rsidRPr="001C2394">
        <w:rPr>
          <w:rFonts w:eastAsia="Montserrat"/>
        </w:rPr>
        <w:t xml:space="preserve"> </w:t>
      </w:r>
      <w:r w:rsidR="001C43FF">
        <w:rPr>
          <w:rFonts w:eastAsia="Montserrat"/>
        </w:rPr>
        <w:t>i</w:t>
      </w:r>
      <w:r w:rsidR="001C2394" w:rsidRPr="001C2394">
        <w:rPr>
          <w:rFonts w:eastAsia="Montserrat"/>
        </w:rPr>
        <w:t xml:space="preserve">nformation </w:t>
      </w:r>
      <w:r w:rsidR="001C43FF">
        <w:rPr>
          <w:rFonts w:eastAsia="Montserrat"/>
        </w:rPr>
        <w:t>c</w:t>
      </w:r>
      <w:r w:rsidR="001C2394" w:rsidRPr="001C2394">
        <w:rPr>
          <w:rFonts w:eastAsia="Montserrat"/>
        </w:rPr>
        <w:t xml:space="preserve">over </w:t>
      </w:r>
      <w:r w:rsidR="001C43FF">
        <w:rPr>
          <w:rFonts w:eastAsia="Montserrat"/>
        </w:rPr>
        <w:t>s</w:t>
      </w:r>
      <w:r w:rsidR="001C2394" w:rsidRPr="001C2394">
        <w:rPr>
          <w:rFonts w:eastAsia="Montserrat"/>
        </w:rPr>
        <w:t>heet.</w:t>
      </w:r>
    </w:p>
    <w:p w14:paraId="2A28D003" w14:textId="77777777" w:rsidR="008C332A" w:rsidRDefault="00410C42" w:rsidP="00410C42">
      <w:pPr>
        <w:pStyle w:val="Caption"/>
      </w:pPr>
      <w:r w:rsidRPr="00EE6501">
        <w:t>Figure.</w:t>
      </w:r>
      <w:r>
        <w:tab/>
      </w:r>
      <w:r w:rsidR="00EE6501">
        <w:t>Example photos of SUM placement</w:t>
      </w:r>
    </w:p>
    <w:p w14:paraId="24F156A1" w14:textId="77777777" w:rsidR="009B27C3" w:rsidRDefault="001C2394" w:rsidP="00410C42">
      <w:pPr>
        <w:spacing w:before="180"/>
        <w:ind w:left="1418" w:hanging="709"/>
        <w:rPr>
          <w:rFonts w:eastAsia="Montserrat" w:cs="Arial"/>
          <w:sz w:val="24"/>
          <w:szCs w:val="24"/>
          <w:lang w:eastAsia="en-US"/>
        </w:rPr>
        <w:sectPr w:rsidR="009B27C3" w:rsidSect="00E171DA">
          <w:headerReference w:type="default" r:id="rId35"/>
          <w:footnotePr>
            <w:numRestart w:val="eachSect"/>
          </w:footnotePr>
          <w:pgSz w:w="11907" w:h="16840" w:code="9"/>
          <w:pgMar w:top="2552" w:right="1134" w:bottom="1418" w:left="1418" w:header="851" w:footer="567" w:gutter="0"/>
          <w:cols w:space="720"/>
          <w:formProt w:val="0"/>
          <w:docGrid w:linePitch="299"/>
        </w:sectPr>
      </w:pPr>
      <w:r w:rsidRPr="001C2394">
        <w:rPr>
          <w:rFonts w:ascii="Montserrat" w:hAnsi="Montserrat" w:cs="Arial"/>
          <w:noProof/>
          <w:color w:val="000000"/>
          <w:szCs w:val="22"/>
        </w:rPr>
        <w:drawing>
          <wp:inline distT="0" distB="0" distL="0" distR="0" wp14:anchorId="1BBB8D30" wp14:editId="6707D6EE">
            <wp:extent cx="5414962" cy="3353605"/>
            <wp:effectExtent l="0" t="0" r="0" b="0"/>
            <wp:docPr id="1453740793" name="Picture 1" descr="A close up of a barr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40793" name="Picture 1" descr="A close up of a barrel&#10;&#10;Description automatically generated"/>
                    <pic:cNvPicPr/>
                  </pic:nvPicPr>
                  <pic:blipFill>
                    <a:blip r:embed="rId36"/>
                    <a:stretch>
                      <a:fillRect/>
                    </a:stretch>
                  </pic:blipFill>
                  <pic:spPr>
                    <a:xfrm>
                      <a:off x="0" y="0"/>
                      <a:ext cx="5424423" cy="3359464"/>
                    </a:xfrm>
                    <a:prstGeom prst="rect">
                      <a:avLst/>
                    </a:prstGeom>
                  </pic:spPr>
                </pic:pic>
              </a:graphicData>
            </a:graphic>
          </wp:inline>
        </w:drawing>
      </w:r>
      <w:bookmarkStart w:id="932" w:name="_Toc226983110"/>
      <w:bookmarkStart w:id="933" w:name="_Ref227014105"/>
      <w:bookmarkStart w:id="934" w:name="_Ref227072510"/>
      <w:bookmarkStart w:id="935" w:name="_Ref227098660"/>
      <w:bookmarkStart w:id="936" w:name="_Ref227099292"/>
      <w:bookmarkStart w:id="937" w:name="_Ref227141152"/>
      <w:bookmarkStart w:id="938" w:name="_Ref227188572"/>
      <w:bookmarkStart w:id="939" w:name="_Ref227188579"/>
      <w:bookmarkStart w:id="940" w:name="_Ref227193700"/>
      <w:bookmarkStart w:id="941" w:name="_Ref227193707"/>
      <w:bookmarkStart w:id="942" w:name="_Ref227614034"/>
      <w:bookmarkStart w:id="943" w:name="_Toc227677311"/>
      <w:bookmarkStart w:id="944" w:name="_Toc227694833"/>
      <w:bookmarkStart w:id="945" w:name="_Toc227920947"/>
      <w:bookmarkStart w:id="946" w:name="_Toc227938848"/>
      <w:bookmarkStart w:id="947" w:name="_Toc227948099"/>
      <w:bookmarkStart w:id="948" w:name="_Ref232181235"/>
      <w:bookmarkStart w:id="949" w:name="_Ref232181240"/>
      <w:bookmarkStart w:id="950" w:name="_Ref232181245"/>
      <w:bookmarkStart w:id="951" w:name="_Ref232181259"/>
      <w:bookmarkStart w:id="952" w:name="_Ref232406691"/>
      <w:bookmarkStart w:id="953" w:name="_Ref232406708"/>
      <w:bookmarkStart w:id="954" w:name="_Ref232421279"/>
      <w:bookmarkStart w:id="955" w:name="_Ref232437913"/>
      <w:bookmarkStart w:id="956" w:name="_Ref232965654"/>
      <w:bookmarkStart w:id="957" w:name="_Ref233190057"/>
      <w:bookmarkStart w:id="958" w:name="_Toc233388658"/>
      <w:bookmarkStart w:id="959" w:name="_Ref233725920"/>
      <w:bookmarkStart w:id="960" w:name="_Ref233730784"/>
      <w:bookmarkStart w:id="961" w:name="_Ref233731951"/>
      <w:bookmarkStart w:id="962" w:name="_Ref233735528"/>
      <w:bookmarkStart w:id="963" w:name="_Ref233740584"/>
      <w:bookmarkStart w:id="964" w:name="_Ref233741094"/>
      <w:bookmarkStart w:id="965" w:name="_Ref233747692"/>
      <w:bookmarkStart w:id="966" w:name="_Toc233961465"/>
      <w:bookmarkStart w:id="967" w:name="_Toc233970274"/>
      <w:bookmarkStart w:id="968" w:name="_Toc240546604"/>
    </w:p>
    <w:p w14:paraId="26BDEF3B" w14:textId="2505CEB3" w:rsidR="001C2394" w:rsidRPr="001C2394" w:rsidRDefault="0071479B" w:rsidP="00374948">
      <w:pPr>
        <w:pStyle w:val="SDMAppTitle"/>
      </w:pPr>
      <w:bookmarkStart w:id="969" w:name="_Ref240561466"/>
      <w:bookmarkStart w:id="970" w:name="_Ref240561586"/>
      <w:bookmarkStart w:id="971" w:name="_Toc240632005"/>
      <w:bookmarkStart w:id="972" w:name="_Toc242471190"/>
      <w:r w:rsidRPr="0071479B">
        <w:t>Demonstration of requirements at the level of the mechanism methodology</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3721BA7B" w14:textId="46F7E3D8" w:rsidR="00763FB6" w:rsidRDefault="00763FB6" w:rsidP="00F36D0D">
      <w:pPr>
        <w:pStyle w:val="SDMApp1"/>
      </w:pPr>
      <w:r>
        <w:t>Applicability</w:t>
      </w:r>
    </w:p>
    <w:p w14:paraId="1D101203" w14:textId="76F55A37" w:rsidR="00B57298" w:rsidRDefault="00B57298" w:rsidP="00AF1AC1">
      <w:pPr>
        <w:pStyle w:val="SDMPara"/>
        <w:numPr>
          <w:ilvl w:val="0"/>
          <w:numId w:val="28"/>
        </w:numPr>
        <w:suppressAutoHyphens/>
      </w:pPr>
      <w:r w:rsidRPr="00B57298">
        <w:t xml:space="preserve">The Multidimensional Poverty Index (MPI), developed by the </w:t>
      </w:r>
      <w:hyperlink r:id="rId37" w:anchor="/indicies/MPI" w:history="1">
        <w:r w:rsidRPr="006178CE">
          <w:rPr>
            <w:rStyle w:val="Hyperlink"/>
          </w:rPr>
          <w:t>United Nations Development Programme (UNDP)</w:t>
        </w:r>
      </w:hyperlink>
      <w:r w:rsidR="00D24F60">
        <w:rPr>
          <w:rStyle w:val="FootnoteReference"/>
        </w:rPr>
        <w:footnoteReference w:id="49"/>
      </w:r>
      <w:r w:rsidRPr="00B57298">
        <w:t xml:space="preserve"> and the </w:t>
      </w:r>
      <w:hyperlink r:id="rId38" w:history="1">
        <w:r w:rsidRPr="00727C71">
          <w:rPr>
            <w:rStyle w:val="Hyperlink"/>
          </w:rPr>
          <w:t>Oxford Poverty and Human Development Initiative (OPHI)</w:t>
        </w:r>
      </w:hyperlink>
      <w:r w:rsidR="00A6222B">
        <w:rPr>
          <w:rStyle w:val="FootnoteReference"/>
        </w:rPr>
        <w:footnoteReference w:id="50"/>
      </w:r>
      <w:r w:rsidRPr="00B57298">
        <w:t xml:space="preserve">, measures poverty by capturing multiple deprivations across three dimensions: health, education, and living standards. </w:t>
      </w:r>
      <w:r w:rsidR="00162773">
        <w:t>In this approach, e</w:t>
      </w:r>
      <w:r w:rsidR="00162773" w:rsidRPr="00B57298">
        <w:t xml:space="preserve">ach </w:t>
      </w:r>
      <w:r w:rsidRPr="00B57298">
        <w:t xml:space="preserve">household is assigned a deprivation score between 0 and 1 based on weighted indicators (including, inter alia, nutrition, schooling, cooking fuel, electricity, water, and sanitation). A household is classified as multidimensionally poor if its deprivation score is greater than or equal to 0.33, meaning it is deprived in at least one-third of the weighted indicators. </w:t>
      </w:r>
      <w:r w:rsidR="00BA56D1" w:rsidRPr="00BA56D1">
        <w:t xml:space="preserve">At the population level, MPI = H × A, where H is the proportion of people who are poor (who live in a household with deprivation score of ≥ 0.33) and A is the average intensity of their deprivations (average deprivation score of only the population living in households scoring ≥ 0.33). </w:t>
      </w:r>
      <w:r w:rsidR="00782899" w:rsidRPr="00782899">
        <w:t>Although</w:t>
      </w:r>
      <w:r w:rsidR="00BA56D1" w:rsidRPr="00BA56D1">
        <w:t xml:space="preserve"> the </w:t>
      </w:r>
      <w:r w:rsidR="00782899" w:rsidRPr="00782899">
        <w:t>global MPI does not define a formal</w:t>
      </w:r>
      <w:r w:rsidR="00BA56D1" w:rsidRPr="00BA56D1">
        <w:t xml:space="preserve"> population</w:t>
      </w:r>
      <w:r w:rsidR="00782899" w:rsidRPr="00782899">
        <w:t>-</w:t>
      </w:r>
      <w:r w:rsidR="00BA56D1" w:rsidRPr="00BA56D1">
        <w:t xml:space="preserve">level </w:t>
      </w:r>
      <w:r w:rsidR="00782899" w:rsidRPr="00782899">
        <w:t>threshold, values</w:t>
      </w:r>
      <w:r w:rsidR="00BA56D1" w:rsidRPr="00BA56D1">
        <w:t xml:space="preserve"> of 0.</w:t>
      </w:r>
      <w:r w:rsidR="00782899" w:rsidRPr="00782899">
        <w:t xml:space="preserve">20 or higher are widely associated with substantial multidimensional poverty in empirical applications and </w:t>
      </w:r>
      <w:r w:rsidR="00274CA5">
        <w:t>is</w:t>
      </w:r>
      <w:r w:rsidR="00782899" w:rsidRPr="00782899">
        <w:t xml:space="preserve"> therefore used</w:t>
      </w:r>
      <w:r w:rsidR="00BA56D1" w:rsidRPr="00BA56D1">
        <w:t xml:space="preserve"> as </w:t>
      </w:r>
      <w:r w:rsidR="00782899" w:rsidRPr="00782899">
        <w:t>a reasonable benchmark for identifying areas with</w:t>
      </w:r>
      <w:r w:rsidR="00BA56D1" w:rsidRPr="00BA56D1">
        <w:t xml:space="preserve"> significant </w:t>
      </w:r>
      <w:r w:rsidR="00782899" w:rsidRPr="00782899">
        <w:t>deprivation</w:t>
      </w:r>
      <w:r w:rsidR="00BA56D1" w:rsidRPr="00BA56D1">
        <w:t>. For example, H = 0.4 (40</w:t>
      </w:r>
      <w:r w:rsidR="00DE7B9B">
        <w:t xml:space="preserve"> per cent</w:t>
      </w:r>
      <w:r w:rsidR="00BA56D1" w:rsidRPr="00BA56D1">
        <w:t xml:space="preserve"> of people considered poor) and A= 0.5 (average deprivation score of those 40</w:t>
      </w:r>
      <w:r w:rsidR="00DE7B9B">
        <w:t xml:space="preserve"> per cent</w:t>
      </w:r>
      <w:r w:rsidR="00BA56D1" w:rsidRPr="00BA56D1">
        <w:t xml:space="preserve"> people) results in the MPI of 0.2.</w:t>
      </w:r>
    </w:p>
    <w:p w14:paraId="0EA6B1A4" w14:textId="77777777" w:rsidR="00615311" w:rsidRDefault="0067734C" w:rsidP="004E030D">
      <w:pPr>
        <w:pStyle w:val="SDMPara"/>
        <w:suppressAutoHyphens/>
      </w:pPr>
      <w:r w:rsidRPr="0067734C">
        <w:t>To ensure consistency, comparability, and a conservative identification of low-income populations across diverse geographic contexts, the methodology applies the World Bank poverty line expressed in purchasing power parity (PPP) terms</w:t>
      </w:r>
      <w:r w:rsidR="00281C8A" w:rsidRPr="00281C8A">
        <w:t xml:space="preserve"> </w:t>
      </w:r>
      <w:r w:rsidR="00281C8A" w:rsidRPr="0067734C">
        <w:t>for lower-middle income countries</w:t>
      </w:r>
      <w:r w:rsidRPr="0067734C">
        <w:t xml:space="preserve">, </w:t>
      </w:r>
      <w:r w:rsidR="002C1B69">
        <w:t>e.g.</w:t>
      </w:r>
      <w:r w:rsidRPr="0067734C">
        <w:t xml:space="preserve"> US $4.20 per person per day (2021 PPP). This value is derived from the distribution of national poverty lines across countries within the same income category and represents a level of income below which households are typically unable to meet basic consumption needs. Its application provides a standardized and empirically grounded benchmark that reflects equivalent purchasing power across countries, thereby avoiding distortions arising from exchange rate differences or varying price levels. The use of this internationally recognized value ensures that activity </w:t>
      </w:r>
      <w:r w:rsidR="0062246E">
        <w:t>locations</w:t>
      </w:r>
      <w:r w:rsidRPr="0067734C">
        <w:t xml:space="preserve"> are conservatively identified as low-income and supports a transparent and robust assessment of eligibility </w:t>
      </w:r>
      <w:r w:rsidR="00CF1CE4">
        <w:t xml:space="preserve">also </w:t>
      </w:r>
      <w:r w:rsidRPr="0067734C">
        <w:t>in contexts where national or sub-national poverty metrics may not be available</w:t>
      </w:r>
      <w:r w:rsidR="00036799" w:rsidRPr="00036799">
        <w:t>, comparable, or sufficiently robust</w:t>
      </w:r>
      <w:r w:rsidR="00036799">
        <w:t>.</w:t>
      </w:r>
      <w:r w:rsidR="00613409">
        <w:t xml:space="preserve"> T</w:t>
      </w:r>
      <w:r w:rsidR="00DA5ED9">
        <w:t>hese conditions are important for ensuring the adequacy of the performance-based approach for additionality at the mechanism methodology-level.</w:t>
      </w:r>
    </w:p>
    <w:p w14:paraId="49F65AAE" w14:textId="6244CDE2" w:rsidR="004A7061" w:rsidRPr="004B7DD4" w:rsidRDefault="00990672" w:rsidP="00655F47">
      <w:pPr>
        <w:pStyle w:val="SDMPara"/>
        <w:keepNext/>
        <w:numPr>
          <w:ilvl w:val="0"/>
          <w:numId w:val="4"/>
        </w:numPr>
        <w:suppressAutoHyphens/>
      </w:pPr>
      <w:r>
        <w:t xml:space="preserve">The </w:t>
      </w:r>
      <w:r w:rsidRPr="007D2FCD">
        <w:t>applicability conditions require that prior to the implementation of the Article 6.4 activity, the percent</w:t>
      </w:r>
      <w:r w:rsidR="002C339C" w:rsidRPr="007D2FCD">
        <w:t>age</w:t>
      </w:r>
      <w:r w:rsidRPr="007D2FCD">
        <w:t xml:space="preserve"> of households in the target population with a functional cooking technology that is assessed to have the same or a higher efficiency as the project cookstoves is </w:t>
      </w:r>
      <w:r w:rsidR="00E32452" w:rsidRPr="007D2FCD">
        <w:t xml:space="preserve">7.5 </w:t>
      </w:r>
      <w:r w:rsidRPr="007D2FCD">
        <w:t xml:space="preserve">per cent or less. </w:t>
      </w:r>
      <w:r w:rsidR="004A7061" w:rsidRPr="007D2FCD">
        <w:t xml:space="preserve">While </w:t>
      </w:r>
      <w:r w:rsidR="00161009" w:rsidRPr="007D2FCD">
        <w:t>establishing this percentage</w:t>
      </w:r>
      <w:r w:rsidR="004A7061" w:rsidRPr="007D2FCD">
        <w:t xml:space="preserve">, </w:t>
      </w:r>
      <w:r w:rsidR="00161009" w:rsidRPr="007D2FCD">
        <w:t>the mechanism methodology permit</w:t>
      </w:r>
      <w:r w:rsidR="004A7061" w:rsidRPr="007D2FCD">
        <w:t>s the</w:t>
      </w:r>
      <w:r w:rsidR="004A7061">
        <w:t xml:space="preserve"> activity </w:t>
      </w:r>
      <w:r w:rsidR="00161009">
        <w:t>participant</w:t>
      </w:r>
      <w:r w:rsidR="004A7061">
        <w:t xml:space="preserve"> to not consider the high efficiency cookstoves that are part of </w:t>
      </w:r>
      <w:r w:rsidR="00741C90">
        <w:t xml:space="preserve">registered </w:t>
      </w:r>
      <w:r w:rsidR="008F40B8" w:rsidRPr="004B7DD4">
        <w:t xml:space="preserve">mitigation activities under </w:t>
      </w:r>
      <w:r w:rsidR="004A7061" w:rsidRPr="004B7DD4">
        <w:t xml:space="preserve">other </w:t>
      </w:r>
      <w:r w:rsidR="00844CE5" w:rsidRPr="004B7DD4">
        <w:t>greenhouse gas (</w:t>
      </w:r>
      <w:r w:rsidR="004A7061" w:rsidRPr="004B7DD4">
        <w:t>GHG</w:t>
      </w:r>
      <w:r w:rsidR="00844CE5" w:rsidRPr="004B7DD4">
        <w:t>)</w:t>
      </w:r>
      <w:r w:rsidR="004A7061" w:rsidRPr="004B7DD4">
        <w:t xml:space="preserve"> crediting programmes in the applicable geographical area. This is due to the following:</w:t>
      </w:r>
    </w:p>
    <w:p w14:paraId="59CA8702" w14:textId="77777777" w:rsidR="00615311" w:rsidRPr="004B7DD4" w:rsidRDefault="004A7061" w:rsidP="004E030D">
      <w:pPr>
        <w:pStyle w:val="SDMSubPara1"/>
        <w:suppressAutoHyphens/>
      </w:pPr>
      <w:r w:rsidRPr="004B7DD4">
        <w:t>There is high confidence in additionality of such activities,</w:t>
      </w:r>
      <w:r w:rsidR="00BD4CD6" w:rsidRPr="004B7DD4">
        <w:t xml:space="preserve"> due to th</w:t>
      </w:r>
      <w:r w:rsidR="00503E3B" w:rsidRPr="004B7DD4">
        <w:t xml:space="preserve">e reasoning described later in this </w:t>
      </w:r>
      <w:r w:rsidR="007D6A57" w:rsidRPr="004B7DD4">
        <w:t>a</w:t>
      </w:r>
      <w:r w:rsidR="00503E3B" w:rsidRPr="004B7DD4">
        <w:t>ppendix,</w:t>
      </w:r>
      <w:r w:rsidR="00D67148" w:rsidRPr="004B7DD4">
        <w:t xml:space="preserve"> and</w:t>
      </w:r>
    </w:p>
    <w:p w14:paraId="26119C31" w14:textId="7E9FF6C3" w:rsidR="00813F98" w:rsidRPr="004B7DD4" w:rsidRDefault="004A7061" w:rsidP="004E030D">
      <w:pPr>
        <w:pStyle w:val="SDMSubPara1"/>
        <w:suppressAutoHyphens/>
      </w:pPr>
      <w:r w:rsidRPr="004B7DD4">
        <w:t xml:space="preserve">the quantification approaches </w:t>
      </w:r>
      <w:r w:rsidR="00D8123D" w:rsidRPr="004B7DD4">
        <w:t xml:space="preserve">under the other GHG crediting programmes </w:t>
      </w:r>
      <w:r w:rsidR="00D27DF1" w:rsidRPr="004B7DD4">
        <w:t>are not relevant to fulfilling the applicability condition under this mechanism methodology</w:t>
      </w:r>
      <w:r w:rsidR="0009537E" w:rsidRPr="004B7DD4">
        <w:t>.</w:t>
      </w:r>
    </w:p>
    <w:p w14:paraId="3ADCF3EC" w14:textId="77777777" w:rsidR="006D2932" w:rsidRPr="004B7DD4" w:rsidRDefault="001C2394" w:rsidP="00F36D0D">
      <w:pPr>
        <w:pStyle w:val="SDMApp1"/>
      </w:pPr>
      <w:r w:rsidRPr="004B7DD4">
        <w:t>Additionality</w:t>
      </w:r>
    </w:p>
    <w:p w14:paraId="5F8F7523" w14:textId="2E2ACBE6" w:rsidR="001C2394" w:rsidRPr="004B7DD4" w:rsidRDefault="00452D77" w:rsidP="00452D77">
      <w:pPr>
        <w:pStyle w:val="SDMApp2"/>
      </w:pPr>
      <w:r w:rsidRPr="004B7DD4">
        <w:t>Demonstration of lock-in risks</w:t>
      </w:r>
    </w:p>
    <w:p w14:paraId="00C7A3F1" w14:textId="59F6C01B" w:rsidR="006D2932" w:rsidRPr="004B7DD4" w:rsidRDefault="00A9686B" w:rsidP="004E030D">
      <w:pPr>
        <w:pStyle w:val="SDMPara"/>
        <w:suppressAutoHyphens/>
      </w:pPr>
      <w:r w:rsidRPr="004B7DD4">
        <w:t xml:space="preserve">The types of </w:t>
      </w:r>
      <w:r w:rsidR="006B6B39" w:rsidRPr="004B7DD4">
        <w:t>activity</w:t>
      </w:r>
      <w:r w:rsidR="00F94CC1" w:rsidRPr="004B7DD4">
        <w:t xml:space="preserve"> </w:t>
      </w:r>
      <w:r w:rsidR="001C2394" w:rsidRPr="004B7DD4">
        <w:t xml:space="preserve">cookstoves that </w:t>
      </w:r>
      <w:r w:rsidR="004E2D52" w:rsidRPr="004B7DD4">
        <w:t>are expected to</w:t>
      </w:r>
      <w:r w:rsidR="001C2394" w:rsidRPr="004B7DD4">
        <w:t xml:space="preserve"> be </w:t>
      </w:r>
      <w:r w:rsidR="00CC7D58" w:rsidRPr="004B7DD4">
        <w:t xml:space="preserve">distributed </w:t>
      </w:r>
      <w:r w:rsidR="001C2394" w:rsidRPr="004B7DD4">
        <w:t xml:space="preserve">when applying this mechanism methodology </w:t>
      </w:r>
      <w:r w:rsidRPr="004B7DD4">
        <w:t>generally</w:t>
      </w:r>
      <w:r w:rsidR="001C2394" w:rsidRPr="004B7DD4">
        <w:t xml:space="preserve"> have a technical lifetime of 10 years or less</w:t>
      </w:r>
      <w:r w:rsidR="002830E9" w:rsidRPr="004B7DD4">
        <w:rPr>
          <w:rStyle w:val="FootnoteReference"/>
        </w:rPr>
        <w:footnoteReference w:id="51"/>
      </w:r>
      <w:r w:rsidR="001C2394" w:rsidRPr="004B7DD4">
        <w:t xml:space="preserve">. Therefore, </w:t>
      </w:r>
      <w:r w:rsidR="00054B68" w:rsidRPr="004B7DD4">
        <w:t>activities under this mechanism methodology are not deemed to cause a lock-in risk</w:t>
      </w:r>
      <w:r w:rsidR="00CA3198" w:rsidRPr="004B7DD4">
        <w:t>, applying</w:t>
      </w:r>
      <w:r w:rsidR="00054B68" w:rsidRPr="004B7DD4">
        <w:t xml:space="preserve"> </w:t>
      </w:r>
      <w:r w:rsidR="00CA3198" w:rsidRPr="004B7DD4">
        <w:t>t</w:t>
      </w:r>
      <w:r w:rsidR="001C2394" w:rsidRPr="004B7DD4">
        <w:t xml:space="preserve">he </w:t>
      </w:r>
      <w:r w:rsidR="00C4155E" w:rsidRPr="004B7DD4">
        <w:t xml:space="preserve">provisions </w:t>
      </w:r>
      <w:r w:rsidR="00583E37" w:rsidRPr="004B7DD4">
        <w:t>in</w:t>
      </w:r>
      <w:r w:rsidR="00647097" w:rsidRPr="004B7DD4">
        <w:t xml:space="preserve"> paragraph 32 of </w:t>
      </w:r>
      <w:r w:rsidR="006E47C6" w:rsidRPr="004B7DD4">
        <w:t>v</w:t>
      </w:r>
      <w:r w:rsidR="00580641" w:rsidRPr="004B7DD4">
        <w:t>ersion</w:t>
      </w:r>
      <w:r w:rsidR="00F547C4" w:rsidRPr="004B7DD4">
        <w:t xml:space="preserve"> 01.2 of the “Standard: Demonstration of additionality in mechanism methodologies” (A6.4-STAN-METH-003)</w:t>
      </w:r>
      <w:r w:rsidR="00793E89" w:rsidRPr="004B7DD4">
        <w:t xml:space="preserve"> (hereinafter referred to as “additionality standard”)</w:t>
      </w:r>
      <w:r w:rsidR="00F547C4" w:rsidRPr="004B7DD4">
        <w:t xml:space="preserve">. </w:t>
      </w:r>
      <w:r w:rsidR="00250EAF" w:rsidRPr="004B7DD4">
        <w:t>For informational purposes, the</w:t>
      </w:r>
      <w:r w:rsidR="00FB4F5F" w:rsidRPr="004B7DD4">
        <w:t xml:space="preserve"> Article 6.4 activities are required to report the</w:t>
      </w:r>
      <w:r w:rsidR="00250EAF" w:rsidRPr="004B7DD4">
        <w:t xml:space="preserve"> technical lifetime of </w:t>
      </w:r>
      <w:r w:rsidR="00DB3418" w:rsidRPr="004B7DD4">
        <w:t xml:space="preserve">the </w:t>
      </w:r>
      <w:r w:rsidR="006B6B39" w:rsidRPr="004B7DD4">
        <w:t xml:space="preserve">activity </w:t>
      </w:r>
      <w:r w:rsidR="00DB3418" w:rsidRPr="004B7DD4">
        <w:t>cookstoves</w:t>
      </w:r>
      <w:r w:rsidR="00FB4F5F" w:rsidRPr="004B7DD4">
        <w:t>,</w:t>
      </w:r>
      <w:r w:rsidR="00B407BA" w:rsidRPr="004B7DD4">
        <w:t xml:space="preserve"> </w:t>
      </w:r>
      <w:r w:rsidR="00250EAF" w:rsidRPr="004B7DD4">
        <w:t>as determined based on the manufacturer's specifications and operation manuals or, in the absence of these (e.g., in the case of artisanal cookstoves), based on a third-party assessment by a certified or suitably qualified expert</w:t>
      </w:r>
      <w:r w:rsidR="00FB4F5F" w:rsidRPr="004B7DD4">
        <w:t>.</w:t>
      </w:r>
      <w:r w:rsidR="00597749" w:rsidRPr="004B7DD4">
        <w:t xml:space="preserve"> </w:t>
      </w:r>
      <w:r w:rsidR="00F3453E" w:rsidRPr="004B7DD4">
        <w:t>These data</w:t>
      </w:r>
      <w:r w:rsidR="00597749" w:rsidRPr="004B7DD4">
        <w:t xml:space="preserve"> may inform future adjustments to the analysis of lock-in risks</w:t>
      </w:r>
      <w:r w:rsidR="00B936D4" w:rsidRPr="004B7DD4">
        <w:t xml:space="preserve"> under this mechanism methodology.</w:t>
      </w:r>
    </w:p>
    <w:p w14:paraId="60480037" w14:textId="0B456886" w:rsidR="001C2394" w:rsidRPr="004B7DD4" w:rsidRDefault="001C2394" w:rsidP="00FD7E37">
      <w:pPr>
        <w:pStyle w:val="SDMApp2"/>
      </w:pPr>
      <w:bookmarkStart w:id="973" w:name="_Ref233363935"/>
      <w:r w:rsidRPr="004B7DD4">
        <w:t>Performance-based approach</w:t>
      </w:r>
      <w:bookmarkEnd w:id="973"/>
    </w:p>
    <w:p w14:paraId="675CB644" w14:textId="6673A319" w:rsidR="00340696" w:rsidRPr="004B7DD4" w:rsidRDefault="00340696" w:rsidP="00655F47">
      <w:pPr>
        <w:pStyle w:val="SDMPara"/>
        <w:keepNext/>
        <w:numPr>
          <w:ilvl w:val="0"/>
          <w:numId w:val="2"/>
        </w:numPr>
      </w:pPr>
      <w:r w:rsidRPr="004B7DD4">
        <w:t xml:space="preserve">The </w:t>
      </w:r>
      <w:r w:rsidR="0002207C" w:rsidRPr="004B7DD4">
        <w:t>additionality demonstration relies on</w:t>
      </w:r>
      <w:r w:rsidRPr="004B7DD4">
        <w:t xml:space="preserve"> a “Performance-based approach”, which </w:t>
      </w:r>
      <w:r w:rsidR="0002207C" w:rsidRPr="004B7DD4">
        <w:t>is</w:t>
      </w:r>
      <w:r w:rsidRPr="004B7DD4">
        <w:t xml:space="preserve"> explicitly allowed under the </w:t>
      </w:r>
      <w:r w:rsidR="003F7BF8" w:rsidRPr="004B7DD4">
        <w:rPr>
          <w:rFonts w:eastAsia="MS Mincho" w:hint="eastAsia"/>
          <w:lang w:eastAsia="ja-JP"/>
        </w:rPr>
        <w:t>a</w:t>
      </w:r>
      <w:r w:rsidRPr="004B7DD4">
        <w:t xml:space="preserve">dditionality </w:t>
      </w:r>
      <w:r w:rsidR="003F7BF8" w:rsidRPr="004B7DD4">
        <w:rPr>
          <w:rFonts w:eastAsia="MS Mincho" w:hint="eastAsia"/>
          <w:lang w:eastAsia="ja-JP"/>
        </w:rPr>
        <w:t>s</w:t>
      </w:r>
      <w:r w:rsidRPr="004B7DD4">
        <w:t xml:space="preserve">tandard as illustrated in section 6.6 of </w:t>
      </w:r>
      <w:r w:rsidR="0096755F" w:rsidRPr="004B7DD4">
        <w:rPr>
          <w:rFonts w:eastAsia="MS Mincho" w:hint="eastAsia"/>
          <w:lang w:eastAsia="ja-JP"/>
        </w:rPr>
        <w:t>the version</w:t>
      </w:r>
      <w:r w:rsidR="008E25D7" w:rsidRPr="004B7DD4">
        <w:rPr>
          <w:rFonts w:eastAsia="MS Mincho" w:hint="eastAsia"/>
          <w:lang w:eastAsia="ja-JP"/>
        </w:rPr>
        <w:t xml:space="preserve"> </w:t>
      </w:r>
      <w:r w:rsidR="0048547F" w:rsidRPr="004B7DD4">
        <w:rPr>
          <w:rFonts w:eastAsia="MS Mincho" w:hint="eastAsia"/>
          <w:lang w:eastAsia="ja-JP"/>
        </w:rPr>
        <w:t>01.2</w:t>
      </w:r>
      <w:r w:rsidR="008E25D7" w:rsidRPr="004B7DD4">
        <w:rPr>
          <w:rFonts w:eastAsia="MS Mincho" w:hint="eastAsia"/>
          <w:lang w:eastAsia="ja-JP"/>
        </w:rPr>
        <w:t xml:space="preserve"> of</w:t>
      </w:r>
      <w:r w:rsidR="0096755F" w:rsidRPr="004B7DD4">
        <w:rPr>
          <w:rFonts w:eastAsia="MS Mincho" w:hint="eastAsia"/>
          <w:lang w:eastAsia="ja-JP"/>
        </w:rPr>
        <w:t xml:space="preserve"> </w:t>
      </w:r>
      <w:r w:rsidRPr="004B7DD4">
        <w:t xml:space="preserve">that standard. Performance-based approaches can be used instead of a combination of investment or barrier analysis and the subsequent common practice analysis. A </w:t>
      </w:r>
      <w:r w:rsidR="00552692" w:rsidRPr="004B7DD4">
        <w:t>demonstr</w:t>
      </w:r>
      <w:r w:rsidR="00C45396" w:rsidRPr="004B7DD4">
        <w:t>a</w:t>
      </w:r>
      <w:r w:rsidR="00552692" w:rsidRPr="004B7DD4">
        <w:t>tion</w:t>
      </w:r>
      <w:r w:rsidRPr="004B7DD4">
        <w:t xml:space="preserve"> of the compliance with the provisions contained in section 6.6 of</w:t>
      </w:r>
      <w:r w:rsidRPr="004B7DD4" w:rsidDel="006B708F">
        <w:t xml:space="preserve"> </w:t>
      </w:r>
      <w:r w:rsidR="009D3423" w:rsidRPr="004B7DD4">
        <w:rPr>
          <w:rFonts w:eastAsia="MS Mincho" w:hint="eastAsia"/>
          <w:lang w:eastAsia="ja-JP"/>
        </w:rPr>
        <w:t xml:space="preserve">the version </w:t>
      </w:r>
      <w:r w:rsidR="0048547F" w:rsidRPr="004B7DD4">
        <w:rPr>
          <w:rFonts w:eastAsia="MS Mincho" w:hint="eastAsia"/>
          <w:lang w:eastAsia="ja-JP"/>
        </w:rPr>
        <w:t>01.2</w:t>
      </w:r>
      <w:r w:rsidR="009D3423" w:rsidRPr="004B7DD4">
        <w:rPr>
          <w:rFonts w:eastAsia="MS Mincho" w:hint="eastAsia"/>
          <w:lang w:eastAsia="ja-JP"/>
        </w:rPr>
        <w:t xml:space="preserve"> of </w:t>
      </w:r>
      <w:r w:rsidRPr="004B7DD4">
        <w:t xml:space="preserve">the </w:t>
      </w:r>
      <w:r w:rsidR="00580D38" w:rsidRPr="004B7DD4">
        <w:rPr>
          <w:rFonts w:eastAsia="MS Mincho" w:hint="eastAsia"/>
          <w:lang w:eastAsia="ja-JP"/>
        </w:rPr>
        <w:t>a</w:t>
      </w:r>
      <w:r w:rsidRPr="004B7DD4">
        <w:t xml:space="preserve">dditionality </w:t>
      </w:r>
      <w:r w:rsidR="008B2F47" w:rsidRPr="004B7DD4">
        <w:rPr>
          <w:rFonts w:eastAsia="MS Mincho"/>
          <w:lang w:eastAsia="ja-JP"/>
        </w:rPr>
        <w:t>s</w:t>
      </w:r>
      <w:r w:rsidR="008B2F47" w:rsidRPr="004B7DD4">
        <w:t>tandard</w:t>
      </w:r>
      <w:r w:rsidRPr="004B7DD4">
        <w:t xml:space="preserve"> is provided in the </w:t>
      </w:r>
      <w:r w:rsidR="008B2F47" w:rsidRPr="004B7DD4">
        <w:fldChar w:fldCharType="begin"/>
      </w:r>
      <w:r w:rsidR="008B2F47" w:rsidRPr="004B7DD4">
        <w:instrText xml:space="preserve"> REF _Ref240547879 \h </w:instrText>
      </w:r>
      <w:r w:rsidR="004B7DD4">
        <w:instrText xml:space="preserve"> \* MERGEFORMAT </w:instrText>
      </w:r>
      <w:r w:rsidR="008B2F47" w:rsidRPr="004B7DD4">
        <w:fldChar w:fldCharType="separate"/>
      </w:r>
      <w:r w:rsidR="00831DAE" w:rsidRPr="004B7DD4">
        <w:t>Table </w:t>
      </w:r>
      <w:r w:rsidR="00831DAE">
        <w:t>1</w:t>
      </w:r>
      <w:r w:rsidR="008B2F47" w:rsidRPr="004B7DD4">
        <w:fldChar w:fldCharType="end"/>
      </w:r>
      <w:r w:rsidRPr="004B7DD4">
        <w:t xml:space="preserve"> below:</w:t>
      </w:r>
    </w:p>
    <w:p w14:paraId="6AC93893" w14:textId="64F17051" w:rsidR="00340696" w:rsidRPr="004B7DD4" w:rsidRDefault="00340696" w:rsidP="005A4B4B">
      <w:pPr>
        <w:pStyle w:val="Caption"/>
        <w:keepNext w:val="0"/>
        <w:keepLines w:val="0"/>
      </w:pPr>
      <w:bookmarkStart w:id="974" w:name="_Ref240547879"/>
      <w:r w:rsidRPr="004B7DD4">
        <w:t>Table </w:t>
      </w:r>
      <w:r w:rsidRPr="004B7DD4">
        <w:fldChar w:fldCharType="begin"/>
      </w:r>
      <w:r w:rsidRPr="004B7DD4">
        <w:instrText xml:space="preserve"> SEQ Table \</w:instrText>
      </w:r>
      <w:r w:rsidR="008B2F47" w:rsidRPr="004B7DD4">
        <w:instrText>r1\</w:instrText>
      </w:r>
      <w:r w:rsidRPr="004B7DD4">
        <w:instrText xml:space="preserve">* ARABIC </w:instrText>
      </w:r>
      <w:r w:rsidRPr="004B7DD4">
        <w:fldChar w:fldCharType="separate"/>
      </w:r>
      <w:r w:rsidR="00831DAE">
        <w:rPr>
          <w:noProof/>
        </w:rPr>
        <w:t>1</w:t>
      </w:r>
      <w:r w:rsidRPr="004B7DD4">
        <w:fldChar w:fldCharType="end"/>
      </w:r>
      <w:bookmarkEnd w:id="974"/>
      <w:r w:rsidRPr="004B7DD4">
        <w:t>.</w:t>
      </w:r>
      <w:r w:rsidRPr="004B7DD4">
        <w:tab/>
        <w:t xml:space="preserve">Compliance with Section 6.6 of </w:t>
      </w:r>
      <w:r w:rsidR="009D3423" w:rsidRPr="004B7DD4">
        <w:t xml:space="preserve">the version </w:t>
      </w:r>
      <w:r w:rsidR="00580D38" w:rsidRPr="004B7DD4">
        <w:t>01</w:t>
      </w:r>
      <w:r w:rsidR="009D3423" w:rsidRPr="004B7DD4">
        <w:t>.</w:t>
      </w:r>
      <w:r w:rsidR="00580D38" w:rsidRPr="004B7DD4">
        <w:t>2</w:t>
      </w:r>
      <w:r w:rsidR="009D3423" w:rsidRPr="004B7DD4">
        <w:t xml:space="preserve"> of </w:t>
      </w:r>
      <w:r w:rsidRPr="004B7DD4">
        <w:t xml:space="preserve">the </w:t>
      </w:r>
      <w:r w:rsidR="00580D38" w:rsidRPr="004B7DD4">
        <w:t>a</w:t>
      </w:r>
      <w:r w:rsidRPr="004B7DD4">
        <w:t xml:space="preserve">dditionality </w:t>
      </w:r>
      <w:r w:rsidR="00580D38" w:rsidRPr="004B7DD4">
        <w:t>s</w:t>
      </w:r>
      <w:r w:rsidRPr="004B7DD4">
        <w:t>tandard, conditions that shall be met to apply a performance-based approach to additionality demonstration</w:t>
      </w:r>
    </w:p>
    <w:tbl>
      <w:tblPr>
        <w:tblStyle w:val="SDMTable"/>
        <w:tblW w:w="8529" w:type="dxa"/>
        <w:tblLayout w:type="fixed"/>
        <w:tblLook w:val="0620" w:firstRow="1" w:lastRow="0" w:firstColumn="0" w:lastColumn="0" w:noHBand="1" w:noVBand="1"/>
      </w:tblPr>
      <w:tblGrid>
        <w:gridCol w:w="1300"/>
        <w:gridCol w:w="2693"/>
        <w:gridCol w:w="4536"/>
      </w:tblGrid>
      <w:tr w:rsidR="00340696" w:rsidRPr="004B7DD4" w14:paraId="27325E25" w14:textId="77777777" w:rsidTr="005A4B4B">
        <w:trPr>
          <w:cnfStyle w:val="100000000000" w:firstRow="1" w:lastRow="0" w:firstColumn="0" w:lastColumn="0" w:oddVBand="0" w:evenVBand="0" w:oddHBand="0" w:evenHBand="0" w:firstRowFirstColumn="0" w:firstRowLastColumn="0" w:lastRowFirstColumn="0" w:lastRowLastColumn="0"/>
          <w:cantSplit w:val="0"/>
        </w:trPr>
        <w:tc>
          <w:tcPr>
            <w:tcW w:w="13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48C527E" w14:textId="77777777" w:rsidR="00340696" w:rsidRPr="004B7DD4" w:rsidRDefault="00340696" w:rsidP="00B57CF9">
            <w:pPr>
              <w:pStyle w:val="SDMTableBoxParaNumbered"/>
              <w:numPr>
                <w:ilvl w:val="0"/>
                <w:numId w:val="1"/>
              </w:numPr>
              <w:suppressAutoHyphens/>
            </w:pPr>
            <w:r w:rsidRPr="004B7DD4">
              <w:t>Paragraph</w:t>
            </w:r>
          </w:p>
        </w:tc>
        <w:tc>
          <w:tcPr>
            <w:tcW w:w="269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645859D" w14:textId="77777777" w:rsidR="00340696" w:rsidRPr="004B7DD4" w:rsidRDefault="00340696" w:rsidP="00B57CF9">
            <w:pPr>
              <w:pStyle w:val="SDMTableBoxParaNotNumbered"/>
              <w:suppressAutoHyphens/>
            </w:pPr>
            <w:r w:rsidRPr="004B7DD4">
              <w:t>Requirement</w:t>
            </w:r>
          </w:p>
        </w:tc>
        <w:tc>
          <w:tcPr>
            <w:tcW w:w="453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423A9B5" w14:textId="77777777" w:rsidR="00340696" w:rsidRPr="004B7DD4" w:rsidRDefault="00340696" w:rsidP="00B57CF9">
            <w:pPr>
              <w:pStyle w:val="SDMTableBoxParaNotNumbered"/>
              <w:suppressAutoHyphens/>
            </w:pPr>
            <w:r w:rsidRPr="004B7DD4">
              <w:t>Compliance</w:t>
            </w:r>
          </w:p>
        </w:tc>
      </w:tr>
      <w:tr w:rsidR="00340696" w:rsidRPr="004B7DD4" w14:paraId="1BBDA495" w14:textId="77777777" w:rsidTr="005A4B4B">
        <w:trPr>
          <w:cantSplit w:val="0"/>
        </w:trPr>
        <w:tc>
          <w:tcPr>
            <w:tcW w:w="1300" w:type="dxa"/>
          </w:tcPr>
          <w:p w14:paraId="52527FAA" w14:textId="58462E72" w:rsidR="00340696" w:rsidRPr="004B7DD4" w:rsidRDefault="00340696" w:rsidP="00B57CF9">
            <w:pPr>
              <w:pStyle w:val="SDMTableBoxParaNumbered"/>
              <w:numPr>
                <w:ilvl w:val="0"/>
                <w:numId w:val="0"/>
              </w:numPr>
              <w:suppressAutoHyphens/>
            </w:pPr>
            <w:r w:rsidRPr="004B7DD4">
              <w:t>61 and 62</w:t>
            </w:r>
          </w:p>
        </w:tc>
        <w:tc>
          <w:tcPr>
            <w:tcW w:w="2693" w:type="dxa"/>
          </w:tcPr>
          <w:p w14:paraId="41F88EE0" w14:textId="5334A8F1" w:rsidR="00340696" w:rsidRPr="004B7DD4" w:rsidRDefault="00340696" w:rsidP="00B57CF9">
            <w:pPr>
              <w:pStyle w:val="SDMTableBoxParaNotNumbered"/>
              <w:suppressAutoHyphens/>
            </w:pPr>
            <w:r w:rsidRPr="004B7DD4">
              <w:t>Requirements para</w:t>
            </w:r>
            <w:r w:rsidR="00061ABD" w:rsidRPr="004B7DD4">
              <w:rPr>
                <w:rFonts w:eastAsia="MS Mincho" w:hint="eastAsia"/>
                <w:lang w:eastAsia="ja-JP"/>
              </w:rPr>
              <w:t>graph</w:t>
            </w:r>
            <w:r w:rsidRPr="004B7DD4">
              <w:t xml:space="preserve"> 61(a) to (e) and </w:t>
            </w:r>
            <w:r w:rsidR="00CC3E01" w:rsidRPr="004B7DD4">
              <w:t>r</w:t>
            </w:r>
            <w:r w:rsidRPr="004B7DD4">
              <w:t>equirement para</w:t>
            </w:r>
            <w:r w:rsidR="00061ABD" w:rsidRPr="004B7DD4">
              <w:rPr>
                <w:rFonts w:eastAsia="MS Mincho" w:hint="eastAsia"/>
                <w:lang w:eastAsia="ja-JP"/>
              </w:rPr>
              <w:t>graph</w:t>
            </w:r>
            <w:r w:rsidRPr="004B7DD4">
              <w:t xml:space="preserve"> 62, demonstration and justification thereof</w:t>
            </w:r>
          </w:p>
        </w:tc>
        <w:tc>
          <w:tcPr>
            <w:tcW w:w="4536" w:type="dxa"/>
          </w:tcPr>
          <w:p w14:paraId="524CDDA0" w14:textId="4DB8FE79" w:rsidR="00B67872" w:rsidRPr="004B7DD4" w:rsidRDefault="00B67872" w:rsidP="00B57CF9">
            <w:pPr>
              <w:pStyle w:val="SDMTableBoxParaNotNumbered"/>
              <w:numPr>
                <w:ilvl w:val="0"/>
                <w:numId w:val="48"/>
              </w:numPr>
              <w:suppressAutoHyphens/>
            </w:pPr>
            <w:r w:rsidRPr="004B7DD4">
              <w:t xml:space="preserve">In fulfilment of paragraph 61(a), this </w:t>
            </w:r>
            <w:r w:rsidR="00D35EB1" w:rsidRPr="004B7DD4">
              <w:rPr>
                <w:rFonts w:eastAsia="MS Mincho" w:hint="eastAsia"/>
                <w:lang w:eastAsia="ja-JP"/>
              </w:rPr>
              <w:t xml:space="preserve">mechanism </w:t>
            </w:r>
            <w:r w:rsidRPr="004B7DD4">
              <w:t>methodology uses the baseline approach referred to in paragraph 36(ii) of the rules, modalities and procedures of the Article 6.4 mechanism.</w:t>
            </w:r>
          </w:p>
          <w:p w14:paraId="69DF30BE" w14:textId="4D0739B4" w:rsidR="00B67872" w:rsidRPr="004B7DD4" w:rsidRDefault="00B67872" w:rsidP="00B57CF9">
            <w:pPr>
              <w:pStyle w:val="SDMTableBoxParaNotNumbered"/>
              <w:numPr>
                <w:ilvl w:val="0"/>
                <w:numId w:val="48"/>
              </w:numPr>
              <w:suppressAutoHyphens/>
            </w:pPr>
            <w:r w:rsidRPr="004B7DD4">
              <w:t>In fulfilment of paragraph 61(b), the type of activity, i.e. more efficient household cooking using fuelwood or charcoal fuel in rural, low-income households, provides the service of thermal energy for cooking events for residents of the household;</w:t>
            </w:r>
          </w:p>
          <w:p w14:paraId="325DDF43" w14:textId="293D8EC0" w:rsidR="00B67872" w:rsidRPr="004B7DD4" w:rsidRDefault="00B67872" w:rsidP="00B57CF9">
            <w:pPr>
              <w:pStyle w:val="SDMTableBoxParaNotNumbered"/>
              <w:numPr>
                <w:ilvl w:val="0"/>
                <w:numId w:val="48"/>
              </w:numPr>
              <w:suppressAutoHyphens/>
            </w:pPr>
            <w:r w:rsidRPr="004B7DD4">
              <w:t>In fulfilment of paragraph 61(c), the performance of this type of activity can be standardized across households on the basis of thermal efficiency of the cooking technology and practices that are used for providing the thermal energy for cooking events;</w:t>
            </w:r>
          </w:p>
          <w:p w14:paraId="564AD8F1" w14:textId="0FFAF680" w:rsidR="00B67872" w:rsidRPr="004B7DD4" w:rsidRDefault="00B67872" w:rsidP="00B57CF9">
            <w:pPr>
              <w:pStyle w:val="SDMTableBoxParaNotNumbered"/>
              <w:numPr>
                <w:ilvl w:val="0"/>
                <w:numId w:val="48"/>
              </w:numPr>
              <w:suppressAutoHyphens/>
            </w:pPr>
            <w:r w:rsidRPr="004B7DD4">
              <w:t xml:space="preserve">In fulfilment of paragraph 61(d), peer-reviewed </w:t>
            </w:r>
            <w:r w:rsidR="009A03CF" w:rsidRPr="004B7DD4">
              <w:t>literature demonstrates</w:t>
            </w:r>
            <w:r w:rsidRPr="004B7DD4">
              <w:t xml:space="preserve"> that, across broad geographies, activities with a better performance have a higher likelihood of additionality, for example, improved cookstoves where the fuel is fuelwood or charcoal in low-income households in rural areas. Reports by multilateral agencies (e.g., International Energy Agency (IEA et al.</w:t>
            </w:r>
            <w:r w:rsidR="008C332A" w:rsidRPr="004B7DD4">
              <w:t xml:space="preserve"> </w:t>
            </w:r>
            <w:r w:rsidRPr="004B7DD4">
              <w:t>2025) and peer-reviewed literature (Stoner et al. 2021) confirm that there continues to be lack of access to clean cooking and dominance of solid biomass fuels in rural areas, that lack of access to clean cooking correlates with poverty, and that several countries in Sub-Saharan Africa and Southern Asia, in particular, have seen only marginal progress in access to clean cooking and have growing population lacking access;</w:t>
            </w:r>
          </w:p>
          <w:p w14:paraId="778DF359" w14:textId="44F71A8D" w:rsidR="00340696" w:rsidRPr="004B7DD4" w:rsidRDefault="00B67872" w:rsidP="00B57CF9">
            <w:pPr>
              <w:pStyle w:val="SDMTableBoxParaNotNumbered"/>
              <w:numPr>
                <w:ilvl w:val="0"/>
                <w:numId w:val="48"/>
              </w:numPr>
              <w:suppressAutoHyphens/>
            </w:pPr>
            <w:r w:rsidRPr="004B7DD4">
              <w:t xml:space="preserve">In fulfilment of paragraph 61(e), robust and representative data from academic </w:t>
            </w:r>
            <w:r w:rsidR="009A03CF" w:rsidRPr="004B7DD4">
              <w:t>literature are</w:t>
            </w:r>
            <w:r w:rsidRPr="004B7DD4">
              <w:t xml:space="preserve"> available on the performance of household cooking technologies using fuelwood or charcoal fuel in rural, low-income households, providing the service of thermal energy for meal preparation for residents. Lab-based data are also available for improved cookstoves (ICS), e.g., Jetter et al. 2012, Still et al. 2015</w:t>
            </w:r>
          </w:p>
        </w:tc>
      </w:tr>
      <w:tr w:rsidR="00340696" w:rsidRPr="004B7DD4" w14:paraId="507F6F6F" w14:textId="77777777" w:rsidTr="005A4B4B">
        <w:trPr>
          <w:cantSplit w:val="0"/>
        </w:trPr>
        <w:tc>
          <w:tcPr>
            <w:tcW w:w="1300" w:type="dxa"/>
          </w:tcPr>
          <w:p w14:paraId="555F965C" w14:textId="77777777" w:rsidR="00340696" w:rsidRPr="004B7DD4" w:rsidRDefault="00340696" w:rsidP="00B57CF9">
            <w:pPr>
              <w:pStyle w:val="SDMTableBoxParaNumbered"/>
              <w:numPr>
                <w:ilvl w:val="0"/>
                <w:numId w:val="0"/>
              </w:numPr>
              <w:suppressAutoHyphens/>
            </w:pPr>
            <w:r w:rsidRPr="004B7DD4">
              <w:t>63</w:t>
            </w:r>
          </w:p>
        </w:tc>
        <w:tc>
          <w:tcPr>
            <w:tcW w:w="2693" w:type="dxa"/>
          </w:tcPr>
          <w:p w14:paraId="4F182408" w14:textId="77777777" w:rsidR="00340696" w:rsidRPr="004B7DD4" w:rsidRDefault="00340696" w:rsidP="00B57CF9">
            <w:pPr>
              <w:pStyle w:val="SDMTableBoxParaNotNumbered"/>
              <w:suppressAutoHyphens/>
            </w:pPr>
            <w:r w:rsidRPr="004B7DD4">
              <w:t>Mechanism methodologies shall define one or several suitable indicators and thresholds for the performance-based approach and specify the approach to the use or collection of data</w:t>
            </w:r>
          </w:p>
        </w:tc>
        <w:tc>
          <w:tcPr>
            <w:tcW w:w="4536" w:type="dxa"/>
          </w:tcPr>
          <w:p w14:paraId="6C2B3439" w14:textId="06BF27D6" w:rsidR="00340696" w:rsidRPr="004B7DD4" w:rsidRDefault="00340696" w:rsidP="00B57CF9">
            <w:pPr>
              <w:pStyle w:val="SDMTableBoxParaNotNumbered"/>
              <w:suppressAutoHyphens/>
            </w:pPr>
            <w:r w:rsidRPr="004B7DD4">
              <w:t>The indicators are threshold thermal efficiencies of cooking technologies and practices</w:t>
            </w:r>
            <w:r w:rsidRPr="004B7DD4">
              <w:br/>
              <w:t>using fuelwood and charcoal</w:t>
            </w:r>
            <w:r w:rsidRPr="004B7DD4">
              <w:rPr>
                <w:i/>
                <w:iCs/>
              </w:rPr>
              <w:t>.</w:t>
            </w:r>
            <w:r w:rsidRPr="004B7DD4">
              <w:rPr>
                <w:i/>
                <w:iCs/>
              </w:rPr>
              <w:br/>
            </w:r>
            <w:r w:rsidRPr="004B7DD4">
              <w:t xml:space="preserve">The approach for collecting and using the required data is clearly specified in section “7.3.1. Procedure for identification of the baseline scenario” of the </w:t>
            </w:r>
            <w:r w:rsidR="00B9108E" w:rsidRPr="004B7DD4">
              <w:rPr>
                <w:rFonts w:eastAsia="MS Mincho" w:hint="eastAsia"/>
                <w:lang w:eastAsia="ja-JP"/>
              </w:rPr>
              <w:t xml:space="preserve">mechanism </w:t>
            </w:r>
            <w:r w:rsidRPr="004B7DD4">
              <w:t xml:space="preserve">methodology and relies on the thermal efficiencies of the best performing cooking technologies in the activity area, with backstop values that represent the floor for benchmark baseline efficiency (ceiling for baseline emissions level) that may be used under the </w:t>
            </w:r>
            <w:r w:rsidR="00270E01" w:rsidRPr="004B7DD4">
              <w:rPr>
                <w:rFonts w:eastAsia="MS Mincho" w:hint="eastAsia"/>
                <w:lang w:eastAsia="ja-JP"/>
              </w:rPr>
              <w:t xml:space="preserve">mechanism </w:t>
            </w:r>
            <w:r w:rsidRPr="004B7DD4">
              <w:t>methodology</w:t>
            </w:r>
          </w:p>
        </w:tc>
      </w:tr>
      <w:tr w:rsidR="00340696" w:rsidRPr="004B7DD4" w14:paraId="7C9C1DFB" w14:textId="77777777" w:rsidTr="005A4B4B">
        <w:trPr>
          <w:cantSplit w:val="0"/>
        </w:trPr>
        <w:tc>
          <w:tcPr>
            <w:tcW w:w="1300" w:type="dxa"/>
          </w:tcPr>
          <w:p w14:paraId="43E2D190" w14:textId="77777777" w:rsidR="00340696" w:rsidRPr="004B7DD4" w:rsidRDefault="00340696" w:rsidP="00B57CF9">
            <w:pPr>
              <w:pStyle w:val="SDMTableBoxParaNumbered"/>
              <w:numPr>
                <w:ilvl w:val="0"/>
                <w:numId w:val="0"/>
              </w:numPr>
              <w:suppressAutoHyphens/>
            </w:pPr>
            <w:r w:rsidRPr="004B7DD4">
              <w:t>64</w:t>
            </w:r>
          </w:p>
        </w:tc>
        <w:tc>
          <w:tcPr>
            <w:tcW w:w="2693" w:type="dxa"/>
          </w:tcPr>
          <w:p w14:paraId="6F8E4BCA" w14:textId="77777777" w:rsidR="00340696" w:rsidRPr="004B7DD4" w:rsidRDefault="00340696" w:rsidP="00B57CF9">
            <w:pPr>
              <w:pStyle w:val="SDMTableBoxParaNotNumbered"/>
              <w:suppressAutoHyphens/>
            </w:pPr>
            <w:r w:rsidRPr="004B7DD4">
              <w:t>The indicator(s) shall be a good proxy for the likelihood for additionality. This means that activities with a better performance in respect to the indicator(s) shall have a demonstrably higher likelihood of additionality. Indicator(s) may be based on different metrics such as greenhouse gas emissions intensity, market penetration or other unique characteristics of the type of activity</w:t>
            </w:r>
          </w:p>
        </w:tc>
        <w:tc>
          <w:tcPr>
            <w:tcW w:w="4536" w:type="dxa"/>
          </w:tcPr>
          <w:p w14:paraId="40FE735A" w14:textId="0541155B" w:rsidR="00340696" w:rsidRPr="004B7DD4" w:rsidRDefault="00340696" w:rsidP="00B57CF9">
            <w:pPr>
              <w:pStyle w:val="SDMTableBoxParaNotNumbered"/>
              <w:suppressAutoHyphens/>
            </w:pPr>
            <w:r w:rsidRPr="004B7DD4">
              <w:t>Higher thermal efficiency is a good proxy for additionality as supported by the academic literature (Gill-Wiehl et al. 2026, Berkouwer &amp; Dean 2026)</w:t>
            </w:r>
          </w:p>
        </w:tc>
      </w:tr>
      <w:tr w:rsidR="00340696" w:rsidRPr="004B7DD4" w14:paraId="210F96C3" w14:textId="77777777" w:rsidTr="005A4B4B">
        <w:trPr>
          <w:cantSplit w:val="0"/>
        </w:trPr>
        <w:tc>
          <w:tcPr>
            <w:tcW w:w="1300" w:type="dxa"/>
          </w:tcPr>
          <w:p w14:paraId="0C3721AB" w14:textId="77777777" w:rsidR="00340696" w:rsidRPr="004B7DD4" w:rsidRDefault="00340696" w:rsidP="00B57CF9">
            <w:pPr>
              <w:pStyle w:val="SDMTableBoxParaNumbered"/>
              <w:numPr>
                <w:ilvl w:val="0"/>
                <w:numId w:val="0"/>
              </w:numPr>
              <w:suppressAutoHyphens/>
            </w:pPr>
            <w:r w:rsidRPr="004B7DD4">
              <w:t>65</w:t>
            </w:r>
          </w:p>
        </w:tc>
        <w:tc>
          <w:tcPr>
            <w:tcW w:w="2693" w:type="dxa"/>
          </w:tcPr>
          <w:p w14:paraId="3A135DC9" w14:textId="77777777" w:rsidR="00340696" w:rsidRPr="004B7DD4" w:rsidRDefault="00340696" w:rsidP="00B57CF9">
            <w:pPr>
              <w:pStyle w:val="SDMTableBoxParaNotNumbered"/>
              <w:suppressAutoHyphens/>
            </w:pPr>
            <w:r w:rsidRPr="004B7DD4">
              <w:t>Proponents of mechanism methodologies shall demonstrate and justify the suitability and appropriateness of the proposed indicator(s) for the context of the type of activity and geographical areas to which the methodology is applicable. Where possible, the correlation between the indicator(s) and the likelihood of additionality should be quantified</w:t>
            </w:r>
          </w:p>
        </w:tc>
        <w:tc>
          <w:tcPr>
            <w:tcW w:w="4536" w:type="dxa"/>
          </w:tcPr>
          <w:p w14:paraId="1401B87F" w14:textId="45426E72" w:rsidR="00340696" w:rsidRPr="004B7DD4" w:rsidRDefault="00340696" w:rsidP="00B57CF9">
            <w:pPr>
              <w:pStyle w:val="SDMTableBoxParaNotNumbered"/>
              <w:suppressAutoHyphens/>
            </w:pPr>
            <w:r w:rsidRPr="004B7DD4">
              <w:t xml:space="preserve">Reports by multilateral agencies (e.g., </w:t>
            </w:r>
            <w:r w:rsidR="00FA00D0" w:rsidRPr="004B7DD4">
              <w:t>IEA et al. 2025</w:t>
            </w:r>
            <w:r w:rsidRPr="004B7DD4">
              <w:t>) and peer-reviewed literature (Stoner et al. 2021) confirm that there continues to be lack of access to clean cooking and dominance of solid biomass fuels in rural areas, that lack of access to clean cooking correlates with poverty, and that several countries in Sub-Saharan Africa and Southern Asia, in particular, have seen only marginal progress in access to clean cooking and have growing population lacking access. Therefore, the proposed indicator is suitable and appropriate to the context of activity and geographical areas to which the methodology is applicable: improved solid biomass cookstoves in rural areas in “locations where the population is demonstrated to experience low income or poverty level” (as required as per paragraph 13(d) of the mechanism methodology</w:t>
            </w:r>
            <w:r w:rsidR="001816E6" w:rsidRPr="004B7DD4">
              <w:t>)</w:t>
            </w:r>
          </w:p>
        </w:tc>
      </w:tr>
      <w:tr w:rsidR="00340696" w:rsidRPr="004B7DD4" w14:paraId="72F6323D" w14:textId="77777777" w:rsidTr="005A4B4B">
        <w:trPr>
          <w:cantSplit w:val="0"/>
        </w:trPr>
        <w:tc>
          <w:tcPr>
            <w:tcW w:w="1300" w:type="dxa"/>
          </w:tcPr>
          <w:p w14:paraId="6E177A46" w14:textId="77777777" w:rsidR="00340696" w:rsidRPr="004B7DD4" w:rsidRDefault="00340696" w:rsidP="00B57CF9">
            <w:pPr>
              <w:pStyle w:val="SDMTableBoxParaNumbered"/>
              <w:numPr>
                <w:ilvl w:val="0"/>
                <w:numId w:val="0"/>
              </w:numPr>
              <w:suppressAutoHyphens/>
            </w:pPr>
            <w:r w:rsidRPr="004B7DD4">
              <w:t>66</w:t>
            </w:r>
          </w:p>
        </w:tc>
        <w:tc>
          <w:tcPr>
            <w:tcW w:w="2693" w:type="dxa"/>
          </w:tcPr>
          <w:p w14:paraId="15BABB8E" w14:textId="566F360F" w:rsidR="00340696" w:rsidRPr="004B7DD4" w:rsidRDefault="00340696" w:rsidP="00B57CF9">
            <w:pPr>
              <w:pStyle w:val="SDMTableBoxParaNotNumbered"/>
              <w:suppressAutoHyphens/>
            </w:pPr>
            <w:r w:rsidRPr="004B7DD4">
              <w:t xml:space="preserve">The threshold(s) shall be defined such that an Article 6.4 </w:t>
            </w:r>
            <w:r w:rsidR="005143D1" w:rsidRPr="004B7DD4">
              <w:t>[</w:t>
            </w:r>
            <w:r w:rsidR="00A2606A" w:rsidRPr="004B7DD4">
              <w:t>project or CP</w:t>
            </w:r>
            <w:r w:rsidR="005143D1" w:rsidRPr="004B7DD4">
              <w:t>] [</w:t>
            </w:r>
            <w:r w:rsidRPr="004B7DD4">
              <w:t>activity</w:t>
            </w:r>
            <w:r w:rsidR="005143D1" w:rsidRPr="004B7DD4">
              <w:t>]</w:t>
            </w:r>
            <w:r w:rsidRPr="004B7DD4">
              <w:t xml:space="preserve"> is only deemed additional if the indicator(s) pass the threshold(s) (passing may mean being above or below the threshold, depending on the type of indicator).</w:t>
            </w:r>
          </w:p>
        </w:tc>
        <w:tc>
          <w:tcPr>
            <w:tcW w:w="4536" w:type="dxa"/>
          </w:tcPr>
          <w:p w14:paraId="37B9EE42" w14:textId="7455013D" w:rsidR="00340696" w:rsidRPr="004B7DD4" w:rsidRDefault="00340696" w:rsidP="00B57CF9">
            <w:pPr>
              <w:pStyle w:val="SDMTableBoxParaNotNumbered"/>
              <w:suppressAutoHyphens/>
            </w:pPr>
            <w:r w:rsidRPr="004B7DD4">
              <w:t>Compliance with the indicator is ensured through the applicability condition contained in paragraph 13(</w:t>
            </w:r>
            <w:r w:rsidR="00D66505" w:rsidRPr="004B7DD4">
              <w:t>j</w:t>
            </w:r>
            <w:r w:rsidRPr="004B7DD4">
              <w:t>), where the minimum permitted thermal efficiency of project stoves is set at levels higher than the backstop thermal efficiency of the performance benchmark. This applicability condition further serves as part of the “performance based approach” towards additionality demonstration, and is complemented by a regulatory analysis as required in section 6 of the mechanism methodology</w:t>
            </w:r>
          </w:p>
        </w:tc>
      </w:tr>
      <w:tr w:rsidR="00340696" w:rsidRPr="004B7DD4" w14:paraId="67E27277" w14:textId="77777777" w:rsidTr="005A4B4B">
        <w:trPr>
          <w:cantSplit w:val="0"/>
        </w:trPr>
        <w:tc>
          <w:tcPr>
            <w:tcW w:w="1300" w:type="dxa"/>
          </w:tcPr>
          <w:p w14:paraId="69F24D50" w14:textId="77777777" w:rsidR="00340696" w:rsidRPr="004B7DD4" w:rsidRDefault="00340696" w:rsidP="00B57CF9">
            <w:pPr>
              <w:pStyle w:val="SDMTableBoxParaNumbered"/>
              <w:numPr>
                <w:ilvl w:val="0"/>
                <w:numId w:val="0"/>
              </w:numPr>
              <w:suppressAutoHyphens/>
            </w:pPr>
            <w:r w:rsidRPr="004B7DD4">
              <w:t>67</w:t>
            </w:r>
          </w:p>
        </w:tc>
        <w:tc>
          <w:tcPr>
            <w:tcW w:w="2693" w:type="dxa"/>
          </w:tcPr>
          <w:p w14:paraId="0F8CD959" w14:textId="68468BD5" w:rsidR="00340696" w:rsidRPr="004B7DD4" w:rsidRDefault="00340696" w:rsidP="00B57CF9">
            <w:pPr>
              <w:pStyle w:val="SDMTableBoxParaNotNumbered"/>
              <w:keepNext/>
              <w:suppressAutoHyphens/>
            </w:pPr>
            <w:r w:rsidRPr="004B7DD4">
              <w:t>The threshold(s) shall be set ambitiously, by:</w:t>
            </w:r>
            <w:r w:rsidRPr="004B7DD4">
              <w:br/>
              <w:t xml:space="preserve">(a) Ensuring that an Article 6.4 </w:t>
            </w:r>
            <w:r w:rsidR="005143D1" w:rsidRPr="004B7DD4">
              <w:t>project or CP</w:t>
            </w:r>
            <w:r w:rsidR="00B2724A" w:rsidRPr="004B7DD4">
              <w:t xml:space="preserve"> </w:t>
            </w:r>
            <w:r w:rsidRPr="004B7DD4">
              <w:t>activity is very likely (i.e. at least 90</w:t>
            </w:r>
            <w:r w:rsidR="00BB1873" w:rsidRPr="004B7DD4">
              <w:t xml:space="preserve"> per cent</w:t>
            </w:r>
            <w:r w:rsidRPr="004B7DD4">
              <w:t xml:space="preserve"> probability) to be additional; and</w:t>
            </w:r>
            <w:r w:rsidRPr="004B7DD4">
              <w:br/>
              <w:t>(b) Setting the threshold(s) at least at the level referred to in paragraph 36 (ii) of the rules, modalities and procedures of the Article 6.4 mechanism</w:t>
            </w:r>
          </w:p>
        </w:tc>
        <w:tc>
          <w:tcPr>
            <w:tcW w:w="4536" w:type="dxa"/>
          </w:tcPr>
          <w:p w14:paraId="34342DDF" w14:textId="77777777" w:rsidR="008C332A" w:rsidRPr="004B7DD4" w:rsidRDefault="00340696" w:rsidP="00B57CF9">
            <w:pPr>
              <w:pStyle w:val="SDMTableBoxParaNotNumbered"/>
              <w:suppressAutoHyphens/>
            </w:pPr>
            <w:r w:rsidRPr="004B7DD4">
              <w:t>The threshold is set at least at the level referred to in paragraph 36 (ii) of the RMPs by following section “7.3.1. Procedure for identification of the baseline scenario” of the</w:t>
            </w:r>
            <w:r w:rsidR="00A23D71" w:rsidRPr="004B7DD4">
              <w:rPr>
                <w:rFonts w:eastAsia="MS Mincho" w:hint="eastAsia"/>
                <w:lang w:eastAsia="ja-JP"/>
              </w:rPr>
              <w:t xml:space="preserve"> mechanism</w:t>
            </w:r>
            <w:r w:rsidRPr="004B7DD4">
              <w:t xml:space="preserve"> methodology. This ensures that the Article 6.4 </w:t>
            </w:r>
            <w:r w:rsidR="00B2724A" w:rsidRPr="004B7DD4">
              <w:t>project or CP</w:t>
            </w:r>
            <w:r w:rsidR="00B87AD0" w:rsidRPr="004B7DD4">
              <w:t xml:space="preserve"> </w:t>
            </w:r>
            <w:r w:rsidRPr="004B7DD4">
              <w:t>activity is very likely (at least 90 per cent probability) to be additional. The likelihood is based on a combination of the findings of Gill-Wiehl et al. 2026 and the further conditions of the mechanism methodology in the regulatory analysis section of the additionality demonstration, which require that no subsidy is being provided by public sector finance for cleaner cooking, or that any support provided is insufficient to render the activity financially viable. The Gill-Wiehl et al. 2026 paper used a combination of review of published studies and primary data collection and found that 4.2 per cent per year of households in contexts similar to those of the applicability conditions of this mechanism methodology obtained an improved cookstove per year; however, this weighted average value was influenced by one particular case in which a national government implemented a subsidy for liquified petroleum gas (LPG) stoves during the time of the measurements.</w:t>
            </w:r>
          </w:p>
          <w:p w14:paraId="297AD24C" w14:textId="4E62D380" w:rsidR="00340696" w:rsidRPr="004B7DD4" w:rsidRDefault="006D18B8" w:rsidP="00B57CF9">
            <w:pPr>
              <w:pStyle w:val="SDMTableBoxParaNotNumbered"/>
              <w:suppressAutoHyphens/>
            </w:pPr>
            <w:r w:rsidRPr="004B7DD4">
              <w:t>Using that paper as a starting point,</w:t>
            </w:r>
            <w:r w:rsidR="007E09DD" w:rsidRPr="004B7DD4">
              <w:t xml:space="preserve"> </w:t>
            </w:r>
            <w:r w:rsidRPr="004B7DD4">
              <w:t xml:space="preserve">by </w:t>
            </w:r>
            <w:r w:rsidR="00340696" w:rsidRPr="004B7DD4">
              <w:t xml:space="preserve">eliminating that case, the average non-additionality rate per year (autonomous adoption) was closer to 1.5 per cent. Therefore, about 1.5 per cent per year of households in contexts like those complying with the applicability conditions of this mechanism methodology and passing the regulatory analysis test may be expected to adopt an improved cookstove, as a conservative assumption. Assuming </w:t>
            </w:r>
            <w:r w:rsidR="00340696" w:rsidRPr="004B7DD4">
              <w:rPr>
                <w:strike/>
              </w:rPr>
              <w:t>three</w:t>
            </w:r>
            <w:r w:rsidR="00946202" w:rsidRPr="004B7DD4">
              <w:t xml:space="preserve"> five</w:t>
            </w:r>
            <w:r w:rsidR="00340696" w:rsidRPr="004B7DD4">
              <w:t xml:space="preserve"> years prior to the start of the activity as a suitable period to consider, this would mean if over </w:t>
            </w:r>
            <w:r w:rsidR="00E32452" w:rsidRPr="004B7DD4">
              <w:rPr>
                <w:strike/>
              </w:rPr>
              <w:t>4.5</w:t>
            </w:r>
            <w:r w:rsidR="00E32452" w:rsidRPr="004B7DD4">
              <w:t xml:space="preserve"> 7.5 </w:t>
            </w:r>
            <w:r w:rsidR="00BB1873" w:rsidRPr="004B7DD4">
              <w:t>per cent</w:t>
            </w:r>
            <w:r w:rsidR="00340696" w:rsidRPr="004B7DD4">
              <w:t xml:space="preserve"> of homes have autonomously adopted an improved cookstove, then over the course of the activity, more than 10</w:t>
            </w:r>
            <w:r w:rsidR="00BB1873" w:rsidRPr="004B7DD4">
              <w:t xml:space="preserve"> per cent</w:t>
            </w:r>
            <w:r w:rsidR="00340696" w:rsidRPr="004B7DD4">
              <w:t xml:space="preserve"> of households may be expected to adopt a similar technology on their own. Whereas, for pre-activity penetration below that threshold, the likelihood of additionality may be considered at least 90 per cent</w:t>
            </w:r>
            <w:r w:rsidR="00614D14" w:rsidRPr="004B7DD4">
              <w:t>. Therefore, the penetration threshold is a proxy for the likelihood of additionality</w:t>
            </w:r>
          </w:p>
        </w:tc>
      </w:tr>
      <w:tr w:rsidR="00340696" w:rsidRPr="004B7DD4" w14:paraId="44BB7923" w14:textId="77777777" w:rsidTr="005A4B4B">
        <w:trPr>
          <w:cantSplit w:val="0"/>
        </w:trPr>
        <w:tc>
          <w:tcPr>
            <w:tcW w:w="1300" w:type="dxa"/>
          </w:tcPr>
          <w:p w14:paraId="754E3CA8" w14:textId="77777777" w:rsidR="00340696" w:rsidRPr="004B7DD4" w:rsidRDefault="00340696" w:rsidP="00B57CF9">
            <w:pPr>
              <w:pStyle w:val="SDMTableBoxParaNumbered"/>
              <w:numPr>
                <w:ilvl w:val="0"/>
                <w:numId w:val="0"/>
              </w:numPr>
              <w:suppressAutoHyphens/>
            </w:pPr>
            <w:r w:rsidRPr="004B7DD4">
              <w:t>68</w:t>
            </w:r>
          </w:p>
        </w:tc>
        <w:tc>
          <w:tcPr>
            <w:tcW w:w="2693" w:type="dxa"/>
          </w:tcPr>
          <w:p w14:paraId="5579FBC8" w14:textId="2BA43323" w:rsidR="00340696" w:rsidRPr="004B7DD4" w:rsidRDefault="00340696" w:rsidP="00B57CF9">
            <w:pPr>
              <w:pStyle w:val="SDMTableBoxParaNotNumbered"/>
              <w:suppressAutoHyphens/>
            </w:pPr>
            <w:r w:rsidRPr="004B7DD4">
              <w:t>It shall be very unlikely (i.e. less than 10</w:t>
            </w:r>
            <w:r w:rsidR="00D0327E" w:rsidRPr="004B7DD4">
              <w:rPr>
                <w:rFonts w:eastAsia="MS Mincho" w:hint="eastAsia"/>
                <w:lang w:eastAsia="ja-JP"/>
              </w:rPr>
              <w:t xml:space="preserve"> per cent</w:t>
            </w:r>
            <w:r w:rsidRPr="004B7DD4">
              <w:t xml:space="preserve"> probability) that the threshold(s) are exceeded by an Article 6.4</w:t>
            </w:r>
            <w:r w:rsidR="00413876" w:rsidRPr="004B7DD4">
              <w:t xml:space="preserve"> project or CP</w:t>
            </w:r>
            <w:r w:rsidRPr="004B7DD4">
              <w:t xml:space="preserve"> activity due to other influencing factors that are unrelated to the Article 6.4</w:t>
            </w:r>
            <w:r w:rsidR="0053030D" w:rsidRPr="004B7DD4">
              <w:t xml:space="preserve"> project or CP</w:t>
            </w:r>
            <w:r w:rsidRPr="004B7DD4">
              <w:t xml:space="preserve"> activity (e.g. interannual variations in climatic conditions)</w:t>
            </w:r>
          </w:p>
        </w:tc>
        <w:tc>
          <w:tcPr>
            <w:tcW w:w="4536" w:type="dxa"/>
          </w:tcPr>
          <w:p w14:paraId="43BD0026" w14:textId="77777777" w:rsidR="00340696" w:rsidRPr="004B7DD4" w:rsidRDefault="00340696" w:rsidP="00B57CF9">
            <w:pPr>
              <w:pStyle w:val="SDMTableBoxParaNotNumbered"/>
              <w:suppressAutoHyphens/>
            </w:pPr>
            <w:r w:rsidRPr="004B7DD4">
              <w:t>The threshold thermal efficiencies of cooking technologies and practices using fuelwood and charcoal will not be met spontaneously by the population of conventional, three-stone fire cookstoves (fuelwood) or of conventional charcoal cookstoves, based on outcomes of efficiency testing reported in the literature</w:t>
            </w:r>
          </w:p>
        </w:tc>
      </w:tr>
      <w:tr w:rsidR="00340696" w:rsidRPr="004B7DD4" w14:paraId="0C90E744" w14:textId="77777777" w:rsidTr="005A4B4B">
        <w:trPr>
          <w:cantSplit w:val="0"/>
        </w:trPr>
        <w:tc>
          <w:tcPr>
            <w:tcW w:w="1300" w:type="dxa"/>
          </w:tcPr>
          <w:p w14:paraId="67230A8E" w14:textId="77777777" w:rsidR="00340696" w:rsidRPr="004B7DD4" w:rsidRDefault="00340696" w:rsidP="00B57CF9">
            <w:pPr>
              <w:pStyle w:val="SDMTableBoxParaNumbered"/>
              <w:numPr>
                <w:ilvl w:val="0"/>
                <w:numId w:val="0"/>
              </w:numPr>
              <w:suppressAutoHyphens/>
            </w:pPr>
            <w:r w:rsidRPr="004B7DD4">
              <w:t>69</w:t>
            </w:r>
          </w:p>
        </w:tc>
        <w:tc>
          <w:tcPr>
            <w:tcW w:w="2693" w:type="dxa"/>
          </w:tcPr>
          <w:p w14:paraId="4658D76E" w14:textId="77777777" w:rsidR="00340696" w:rsidRPr="004B7DD4" w:rsidRDefault="00340696" w:rsidP="00B57CF9">
            <w:pPr>
              <w:pStyle w:val="SDMTableBoxParaNotNumbered"/>
              <w:suppressAutoHyphens/>
            </w:pPr>
            <w:r w:rsidRPr="004B7DD4">
              <w:t>Mechanism methodologies shall specify the duration of the validity of any threshold(s) provided in the methodology (e.g. three years) and how threshold(s) will be updated</w:t>
            </w:r>
          </w:p>
        </w:tc>
        <w:tc>
          <w:tcPr>
            <w:tcW w:w="4536" w:type="dxa"/>
          </w:tcPr>
          <w:p w14:paraId="594D7BBD" w14:textId="77777777" w:rsidR="00340696" w:rsidRPr="004B7DD4" w:rsidRDefault="00340696" w:rsidP="00B57CF9">
            <w:pPr>
              <w:pStyle w:val="SDMTableBoxParaNotNumbered"/>
              <w:suppressAutoHyphens/>
            </w:pPr>
            <w:r w:rsidRPr="004B7DD4">
              <w:t>The validity of the ambitious benchmarks shall be the same as the validity of this mechanism methodology (31 December 2030), given the slow pace of change in the areas where lack of access to clean cooking is dominant (IEA et al. 2025) and the stability of useful energy required for satisfying basic human needs related to meal preparation. The benchmark will be updated along with the underlying methodology, or phased out, based on a literature review</w:t>
            </w:r>
          </w:p>
        </w:tc>
      </w:tr>
      <w:tr w:rsidR="00340696" w:rsidRPr="004B7DD4" w14:paraId="6B8C1721" w14:textId="77777777" w:rsidTr="005A4B4B">
        <w:trPr>
          <w:cantSplit w:val="0"/>
        </w:trPr>
        <w:tc>
          <w:tcPr>
            <w:tcW w:w="1300" w:type="dxa"/>
          </w:tcPr>
          <w:p w14:paraId="2E04DADE" w14:textId="77777777" w:rsidR="00340696" w:rsidRPr="004B7DD4" w:rsidRDefault="00340696" w:rsidP="00B57CF9">
            <w:pPr>
              <w:pStyle w:val="SDMTableBoxParaNumbered"/>
              <w:numPr>
                <w:ilvl w:val="0"/>
                <w:numId w:val="0"/>
              </w:numPr>
              <w:suppressAutoHyphens/>
            </w:pPr>
            <w:r w:rsidRPr="004B7DD4">
              <w:t>70</w:t>
            </w:r>
          </w:p>
        </w:tc>
        <w:tc>
          <w:tcPr>
            <w:tcW w:w="2693" w:type="dxa"/>
          </w:tcPr>
          <w:p w14:paraId="0B4D5536" w14:textId="77777777" w:rsidR="00340696" w:rsidRPr="004B7DD4" w:rsidRDefault="00340696" w:rsidP="00B57CF9">
            <w:pPr>
              <w:pStyle w:val="SDMTableBoxParaNotNumbered"/>
              <w:suppressAutoHyphens/>
            </w:pPr>
            <w:r w:rsidRPr="004B7DD4">
              <w:t>Proponents of mechanism methodologies shall demonstrate and justify the suitability and appropriateness of the proposed threshold(s) for the context of the type of activity and geographical areas to which the methodology is applicable</w:t>
            </w:r>
          </w:p>
        </w:tc>
        <w:tc>
          <w:tcPr>
            <w:tcW w:w="4536" w:type="dxa"/>
          </w:tcPr>
          <w:p w14:paraId="30CAB4F0" w14:textId="77777777" w:rsidR="00340696" w:rsidRPr="004B7DD4" w:rsidRDefault="00340696" w:rsidP="00B57CF9">
            <w:pPr>
              <w:pStyle w:val="SDMTableBoxParaNotNumbered"/>
              <w:suppressAutoHyphens/>
            </w:pPr>
            <w:r w:rsidRPr="004B7DD4">
              <w:t>The threshold draws from the publication by Gill-Wiehl et al. 2026. This publication consists of a meta-study reviewing the available literature which quantifies the rate at which households would have procured efficient stoves without the offset program (non-additional stove purchases). The study relied only on trials conducted in rural areas in South America (Perú), Sub-Saharan Africa (Senegal, Tanzania, Uganda) and Asia (India) among low-income households</w:t>
            </w:r>
          </w:p>
        </w:tc>
      </w:tr>
      <w:tr w:rsidR="00340696" w:rsidRPr="004B7DD4" w14:paraId="3D1B07F2" w14:textId="77777777" w:rsidTr="005A4B4B">
        <w:trPr>
          <w:cantSplit w:val="0"/>
        </w:trPr>
        <w:tc>
          <w:tcPr>
            <w:tcW w:w="1300" w:type="dxa"/>
          </w:tcPr>
          <w:p w14:paraId="786032D0" w14:textId="77777777" w:rsidR="00340696" w:rsidRPr="004B7DD4" w:rsidRDefault="00340696" w:rsidP="00B57CF9">
            <w:pPr>
              <w:pStyle w:val="SDMTableBoxParaNumbered"/>
              <w:numPr>
                <w:ilvl w:val="0"/>
                <w:numId w:val="0"/>
              </w:numPr>
              <w:suppressAutoHyphens/>
            </w:pPr>
            <w:r w:rsidRPr="004B7DD4">
              <w:t>71</w:t>
            </w:r>
          </w:p>
        </w:tc>
        <w:tc>
          <w:tcPr>
            <w:tcW w:w="2693" w:type="dxa"/>
          </w:tcPr>
          <w:p w14:paraId="1D8A5013" w14:textId="77777777" w:rsidR="00340696" w:rsidRPr="004B7DD4" w:rsidRDefault="00340696" w:rsidP="00B57CF9">
            <w:pPr>
              <w:pStyle w:val="SDMTableBoxParaNotNumbered"/>
              <w:keepNext/>
              <w:suppressAutoHyphens/>
            </w:pPr>
            <w:r w:rsidRPr="004B7DD4">
              <w:t>The mechanism methodology shall specify the approach to data collection, or which existing data shall be used. The data used by the mechanism methodology shall be:</w:t>
            </w:r>
            <w:r w:rsidRPr="004B7DD4">
              <w:br/>
              <w:t>(a) Representative, reliable, accurate, consistent and transparent;</w:t>
            </w:r>
            <w:r w:rsidRPr="004B7DD4">
              <w:br/>
              <w:t>(b) Recent, especially in dynamic technological environments;</w:t>
            </w:r>
            <w:r w:rsidRPr="004B7DD4">
              <w:br/>
              <w:t>(c) Sufficiently disaggregated, taking into account differences in relevant technologies, geographical or climate conditions, and the political, economic and social environment; and</w:t>
            </w:r>
          </w:p>
        </w:tc>
        <w:tc>
          <w:tcPr>
            <w:tcW w:w="4536" w:type="dxa"/>
          </w:tcPr>
          <w:p w14:paraId="5E2E9BC7" w14:textId="77777777" w:rsidR="00340696" w:rsidRPr="004B7DD4" w:rsidRDefault="00340696" w:rsidP="00B57CF9">
            <w:pPr>
              <w:pStyle w:val="SDMTableBoxParaNotNumbered"/>
              <w:suppressAutoHyphens/>
            </w:pPr>
            <w:r w:rsidRPr="004B7DD4">
              <w:t>This is requirement is fulfilled through the application of sections “7.1.1. Assessment of the presence of cooking technologies equivalent to the project cookstoves” and “7.3.1. Procedure for identification of the baseline scenario”</w:t>
            </w:r>
          </w:p>
        </w:tc>
      </w:tr>
      <w:tr w:rsidR="00340696" w:rsidRPr="004B7DD4" w14:paraId="7115DFA0" w14:textId="77777777" w:rsidTr="005A4B4B">
        <w:trPr>
          <w:cantSplit w:val="0"/>
        </w:trPr>
        <w:tc>
          <w:tcPr>
            <w:tcW w:w="1300" w:type="dxa"/>
          </w:tcPr>
          <w:p w14:paraId="510CA2E8" w14:textId="77777777" w:rsidR="00340696" w:rsidRPr="004B7DD4" w:rsidRDefault="00340696" w:rsidP="00B57CF9">
            <w:pPr>
              <w:pStyle w:val="SDMTableBoxParaNumbered"/>
              <w:numPr>
                <w:ilvl w:val="0"/>
                <w:numId w:val="0"/>
              </w:numPr>
              <w:suppressAutoHyphens/>
            </w:pPr>
            <w:r w:rsidRPr="004B7DD4">
              <w:t>72</w:t>
            </w:r>
          </w:p>
        </w:tc>
        <w:tc>
          <w:tcPr>
            <w:tcW w:w="2693" w:type="dxa"/>
          </w:tcPr>
          <w:p w14:paraId="6CD28FDF" w14:textId="77777777" w:rsidR="00340696" w:rsidRPr="004B7DD4" w:rsidRDefault="00340696" w:rsidP="00B57CF9">
            <w:pPr>
              <w:pStyle w:val="SDMTableBoxParaNotNumbered"/>
              <w:suppressAutoHyphens/>
            </w:pPr>
            <w:r w:rsidRPr="004B7DD4">
              <w:t>Uncertainty in the outcome shall be quantified and addressed through conservative approaches (e.g. uncertainty reductions). Where sampling is involved, the sampling approach and any statistical analyses shall be described</w:t>
            </w:r>
          </w:p>
        </w:tc>
        <w:tc>
          <w:tcPr>
            <w:tcW w:w="4536" w:type="dxa"/>
          </w:tcPr>
          <w:p w14:paraId="64E645EF" w14:textId="77777777" w:rsidR="00340696" w:rsidRPr="004B7DD4" w:rsidRDefault="00340696" w:rsidP="00B57CF9">
            <w:pPr>
              <w:pStyle w:val="SDMTableBoxParaNotNumbered"/>
              <w:suppressAutoHyphens/>
            </w:pPr>
            <w:r w:rsidRPr="004B7DD4">
              <w:t>The minimum thresholds for thermal efficiency (performance benchmark backstop values) are set well above the average performance level for unimproved cookstoves (11.8 per cent for fuelwood, 22.1 per cent for charcoal), and the minimum requirements for thermal efficiency of project cookstoves well above the thresholds. This approach is conservative since it ensures the performance of project cookstoves is well above the existing practice</w:t>
            </w:r>
          </w:p>
        </w:tc>
      </w:tr>
      <w:tr w:rsidR="00340696" w:rsidRPr="004B7DD4" w14:paraId="707406C6" w14:textId="77777777" w:rsidTr="005A4B4B">
        <w:trPr>
          <w:cantSplit w:val="0"/>
        </w:trPr>
        <w:tc>
          <w:tcPr>
            <w:tcW w:w="1300" w:type="dxa"/>
          </w:tcPr>
          <w:p w14:paraId="6F30FC5A" w14:textId="77777777" w:rsidR="00340696" w:rsidRPr="004B7DD4" w:rsidRDefault="00340696" w:rsidP="00B57CF9">
            <w:pPr>
              <w:pStyle w:val="SDMTableBoxParaNumbered"/>
              <w:numPr>
                <w:ilvl w:val="0"/>
                <w:numId w:val="0"/>
              </w:numPr>
              <w:suppressAutoHyphens/>
            </w:pPr>
            <w:r w:rsidRPr="004B7DD4">
              <w:t>73</w:t>
            </w:r>
          </w:p>
        </w:tc>
        <w:tc>
          <w:tcPr>
            <w:tcW w:w="2693" w:type="dxa"/>
          </w:tcPr>
          <w:p w14:paraId="454DF305" w14:textId="244D8A9C" w:rsidR="00340696" w:rsidRPr="004B7DD4" w:rsidRDefault="00340696" w:rsidP="00B57CF9">
            <w:pPr>
              <w:pStyle w:val="SDMTableBoxParaNotNumbered"/>
              <w:suppressAutoHyphens/>
            </w:pPr>
            <w:r w:rsidRPr="004B7DD4">
              <w:t xml:space="preserve">Proponents of mechanism methodologies shall demonstrate and justify the suitability and appropriateness of the approach towards using or collecting data in the context of the type of activity and geographical areas to which the </w:t>
            </w:r>
            <w:r w:rsidR="00EB4C18" w:rsidRPr="004B7DD4">
              <w:rPr>
                <w:rFonts w:eastAsia="MS Mincho" w:hint="eastAsia"/>
                <w:lang w:eastAsia="ja-JP"/>
              </w:rPr>
              <w:t xml:space="preserve">mechanism </w:t>
            </w:r>
            <w:r w:rsidRPr="004B7DD4">
              <w:t>methodology is applicable.</w:t>
            </w:r>
          </w:p>
        </w:tc>
        <w:tc>
          <w:tcPr>
            <w:tcW w:w="4536" w:type="dxa"/>
          </w:tcPr>
          <w:p w14:paraId="5A70D710" w14:textId="02656650" w:rsidR="00340696" w:rsidRPr="004B7DD4" w:rsidRDefault="00340696" w:rsidP="00B57CF9">
            <w:pPr>
              <w:pStyle w:val="SDMTableBoxParaNotNumbered"/>
              <w:suppressAutoHyphens/>
              <w:rPr>
                <w:i/>
                <w:iCs/>
              </w:rPr>
            </w:pPr>
            <w:r w:rsidRPr="004B7DD4">
              <w:t>The approach towards using or collecting data in the context of the type of activity and geographical areas to which the methodology is applicable is provided in section 7.1.1 of the mechanism methodology and shall consist in “</w:t>
            </w:r>
            <w:r w:rsidRPr="004B7DD4">
              <w:rPr>
                <w:i/>
                <w:iCs/>
              </w:rPr>
              <w:t>recent (no more than three years old) and credible data sources</w:t>
            </w:r>
            <w:r w:rsidRPr="004B7DD4">
              <w:t>”. Furthermore, the mechanism methodology states: “</w:t>
            </w:r>
            <w:r w:rsidRPr="004B7DD4">
              <w:rPr>
                <w:i/>
                <w:iCs/>
              </w:rPr>
              <w:t>Acceptable data sources may include national household energy surveys, census data, or</w:t>
            </w:r>
          </w:p>
          <w:p w14:paraId="35F76F42" w14:textId="06B6B3AD" w:rsidR="00340696" w:rsidRPr="004B7DD4" w:rsidRDefault="00340696" w:rsidP="00B57CF9">
            <w:pPr>
              <w:pStyle w:val="SDMTableBoxParaNotNumbered"/>
              <w:suppressAutoHyphens/>
            </w:pPr>
            <w:r w:rsidRPr="004B7DD4">
              <w:rPr>
                <w:i/>
                <w:iCs/>
              </w:rPr>
              <w:t>other representative market studies. Where no such sources are available, the pre-activity survey may be used</w:t>
            </w:r>
            <w:r w:rsidRPr="004B7DD4">
              <w:t>”. The pre-activity survey is also used as the basis for the analysis in “7.3.1. Procedure for identification of the baseline scenario”. Pre-activity surveys (previously called “baseline surveys”) are a long-established practice in the development and description of clean cooking mitigation projects, and the methodology provides requirements for carrying out the surveys in an appropriate way in Appendix 3</w:t>
            </w:r>
          </w:p>
        </w:tc>
      </w:tr>
      <w:tr w:rsidR="00340696" w:rsidRPr="004B7DD4" w14:paraId="444964E2" w14:textId="77777777" w:rsidTr="005A4B4B">
        <w:trPr>
          <w:cantSplit w:val="0"/>
        </w:trPr>
        <w:tc>
          <w:tcPr>
            <w:tcW w:w="1300" w:type="dxa"/>
          </w:tcPr>
          <w:p w14:paraId="2E34C4EE" w14:textId="77777777" w:rsidR="00340696" w:rsidRPr="004B7DD4" w:rsidRDefault="00340696" w:rsidP="00B57CF9">
            <w:pPr>
              <w:pStyle w:val="SDMTableBoxParaNumbered"/>
              <w:numPr>
                <w:ilvl w:val="0"/>
                <w:numId w:val="0"/>
              </w:numPr>
              <w:suppressAutoHyphens/>
            </w:pPr>
            <w:r w:rsidRPr="004B7DD4">
              <w:t>74</w:t>
            </w:r>
          </w:p>
        </w:tc>
        <w:tc>
          <w:tcPr>
            <w:tcW w:w="2693" w:type="dxa"/>
          </w:tcPr>
          <w:p w14:paraId="3973A0A0" w14:textId="4C31FBDB" w:rsidR="00340696" w:rsidRPr="004B7DD4" w:rsidRDefault="00340696" w:rsidP="00B57CF9">
            <w:pPr>
              <w:pStyle w:val="SDMTableBoxParaNotNumbered"/>
              <w:suppressAutoHyphens/>
            </w:pPr>
            <w:r w:rsidRPr="004B7DD4">
              <w:t xml:space="preserve">Where a threshold is defined as greenhouse gas emissions per unit of output, it may also be used for determining baseline emissions, as long as the requirements in the </w:t>
            </w:r>
            <w:r w:rsidR="00580D38" w:rsidRPr="004B7DD4">
              <w:rPr>
                <w:rFonts w:eastAsia="MS Mincho" w:hint="eastAsia"/>
                <w:lang w:eastAsia="ja-JP"/>
              </w:rPr>
              <w:t>baseline standard</w:t>
            </w:r>
            <w:r w:rsidRPr="004B7DD4">
              <w:t xml:space="preserve"> are fulfilled</w:t>
            </w:r>
          </w:p>
        </w:tc>
        <w:tc>
          <w:tcPr>
            <w:tcW w:w="4536" w:type="dxa"/>
          </w:tcPr>
          <w:p w14:paraId="23E5DC83" w14:textId="77777777" w:rsidR="00340696" w:rsidRPr="004B7DD4" w:rsidRDefault="00340696" w:rsidP="00B57CF9">
            <w:pPr>
              <w:pStyle w:val="SDMTableBoxParaNotNumbered"/>
              <w:suppressAutoHyphens/>
            </w:pPr>
            <w:r w:rsidRPr="004B7DD4">
              <w:t>The performance threshold is combined with a default baseline energy use for cooking for determining the baseline emissions</w:t>
            </w:r>
          </w:p>
        </w:tc>
      </w:tr>
    </w:tbl>
    <w:p w14:paraId="50AF12AC" w14:textId="77777777" w:rsidR="00E301BB" w:rsidRPr="004B7DD4" w:rsidRDefault="001C2394" w:rsidP="004E030D">
      <w:pPr>
        <w:pStyle w:val="SDMApp1"/>
        <w:keepNext w:val="0"/>
        <w:keepLines w:val="0"/>
        <w:numPr>
          <w:ilvl w:val="0"/>
          <w:numId w:val="4"/>
        </w:numPr>
        <w:rPr>
          <w:b w:val="0"/>
          <w:sz w:val="22"/>
          <w:szCs w:val="22"/>
        </w:rPr>
      </w:pPr>
      <w:r w:rsidRPr="004B7DD4">
        <w:rPr>
          <w:b w:val="0"/>
          <w:sz w:val="22"/>
          <w:szCs w:val="22"/>
        </w:rPr>
        <w:t xml:space="preserve">Following </w:t>
      </w:r>
      <w:r w:rsidR="00C82944" w:rsidRPr="004B7DD4">
        <w:rPr>
          <w:b w:val="0"/>
          <w:sz w:val="22"/>
          <w:szCs w:val="22"/>
        </w:rPr>
        <w:t>an approach modelled on</w:t>
      </w:r>
      <w:r w:rsidR="004253FF" w:rsidRPr="004B7DD4">
        <w:rPr>
          <w:b w:val="0"/>
          <w:sz w:val="22"/>
          <w:szCs w:val="22"/>
        </w:rPr>
        <w:t xml:space="preserve"> </w:t>
      </w:r>
      <w:r w:rsidR="006E47C6" w:rsidRPr="004B7DD4">
        <w:rPr>
          <w:b w:val="0"/>
          <w:sz w:val="22"/>
          <w:szCs w:val="22"/>
        </w:rPr>
        <w:t>v</w:t>
      </w:r>
      <w:r w:rsidR="00F90BF8" w:rsidRPr="004B7DD4">
        <w:rPr>
          <w:b w:val="0"/>
          <w:sz w:val="22"/>
          <w:szCs w:val="22"/>
        </w:rPr>
        <w:t xml:space="preserve">ersion 01.0 </w:t>
      </w:r>
      <w:r w:rsidR="00805A92" w:rsidRPr="004B7DD4">
        <w:rPr>
          <w:b w:val="0"/>
          <w:sz w:val="22"/>
          <w:szCs w:val="22"/>
        </w:rPr>
        <w:t>of</w:t>
      </w:r>
      <w:r w:rsidR="00F90BF8" w:rsidRPr="004B7DD4">
        <w:rPr>
          <w:b w:val="0"/>
          <w:sz w:val="22"/>
          <w:szCs w:val="22"/>
        </w:rPr>
        <w:t xml:space="preserve"> the baseline </w:t>
      </w:r>
      <w:r w:rsidR="00123337" w:rsidRPr="004B7DD4">
        <w:rPr>
          <w:b w:val="0"/>
          <w:sz w:val="22"/>
          <w:szCs w:val="22"/>
        </w:rPr>
        <w:t>standard</w:t>
      </w:r>
      <w:r w:rsidRPr="004B7DD4">
        <w:rPr>
          <w:b w:val="0"/>
          <w:sz w:val="22"/>
          <w:szCs w:val="22"/>
        </w:rPr>
        <w:t xml:space="preserve"> for baseline determination following paragraph 36 (ii)</w:t>
      </w:r>
      <w:r w:rsidR="00C82944" w:rsidRPr="004B7DD4">
        <w:rPr>
          <w:b w:val="0"/>
          <w:sz w:val="22"/>
          <w:szCs w:val="22"/>
        </w:rPr>
        <w:t>,</w:t>
      </w:r>
      <w:r w:rsidRPr="004B7DD4" w:rsidDel="00D00424">
        <w:rPr>
          <w:b w:val="0"/>
          <w:sz w:val="22"/>
          <w:szCs w:val="22"/>
        </w:rPr>
        <w:t xml:space="preserve"> </w:t>
      </w:r>
      <w:r w:rsidR="00D00424" w:rsidRPr="004B7DD4">
        <w:rPr>
          <w:b w:val="0"/>
          <w:sz w:val="22"/>
          <w:szCs w:val="22"/>
        </w:rPr>
        <w:t xml:space="preserve">performance </w:t>
      </w:r>
      <w:r w:rsidR="00FD13E6" w:rsidRPr="004B7DD4">
        <w:rPr>
          <w:b w:val="0"/>
          <w:sz w:val="22"/>
          <w:szCs w:val="22"/>
        </w:rPr>
        <w:t>thresholds</w:t>
      </w:r>
      <w:r w:rsidR="00D00424" w:rsidRPr="004B7DD4">
        <w:rPr>
          <w:b w:val="0"/>
          <w:sz w:val="22"/>
          <w:szCs w:val="22"/>
        </w:rPr>
        <w:t xml:space="preserve"> </w:t>
      </w:r>
      <w:r w:rsidR="00CE2B6D" w:rsidRPr="004B7DD4">
        <w:rPr>
          <w:b w:val="0"/>
          <w:sz w:val="22"/>
          <w:szCs w:val="22"/>
        </w:rPr>
        <w:t>for thermal efficiencies</w:t>
      </w:r>
      <w:r w:rsidR="00BF6062" w:rsidRPr="004B7DD4">
        <w:rPr>
          <w:b w:val="0"/>
          <w:sz w:val="22"/>
          <w:szCs w:val="22"/>
        </w:rPr>
        <w:t xml:space="preserve"> </w:t>
      </w:r>
      <w:r w:rsidRPr="004B7DD4">
        <w:rPr>
          <w:b w:val="0"/>
          <w:sz w:val="22"/>
          <w:szCs w:val="22"/>
        </w:rPr>
        <w:t>of 16.6</w:t>
      </w:r>
      <w:r w:rsidR="00BF193C" w:rsidRPr="004B7DD4">
        <w:rPr>
          <w:b w:val="0"/>
          <w:sz w:val="22"/>
          <w:szCs w:val="22"/>
        </w:rPr>
        <w:t xml:space="preserve"> per cent</w:t>
      </w:r>
      <w:r w:rsidRPr="004B7DD4">
        <w:rPr>
          <w:b w:val="0"/>
          <w:sz w:val="22"/>
          <w:szCs w:val="22"/>
        </w:rPr>
        <w:t xml:space="preserve"> for fuelwood fired stoves and </w:t>
      </w:r>
      <w:r w:rsidR="00167518" w:rsidRPr="004B7DD4">
        <w:rPr>
          <w:b w:val="0"/>
          <w:sz w:val="22"/>
          <w:szCs w:val="22"/>
        </w:rPr>
        <w:t>27.4</w:t>
      </w:r>
      <w:r w:rsidR="00BF193C" w:rsidRPr="004B7DD4">
        <w:rPr>
          <w:b w:val="0"/>
          <w:sz w:val="22"/>
          <w:szCs w:val="22"/>
        </w:rPr>
        <w:t xml:space="preserve"> per cent</w:t>
      </w:r>
      <w:r w:rsidRPr="004B7DD4">
        <w:rPr>
          <w:b w:val="0"/>
          <w:sz w:val="22"/>
          <w:szCs w:val="22"/>
        </w:rPr>
        <w:t xml:space="preserve"> for charcoal fired stoves</w:t>
      </w:r>
      <w:r w:rsidR="00CE2B6D" w:rsidRPr="004B7DD4">
        <w:rPr>
          <w:b w:val="0"/>
          <w:sz w:val="22"/>
          <w:szCs w:val="22"/>
        </w:rPr>
        <w:t xml:space="preserve"> are identified</w:t>
      </w:r>
      <w:r w:rsidRPr="004B7DD4">
        <w:rPr>
          <w:b w:val="0"/>
          <w:sz w:val="22"/>
          <w:szCs w:val="22"/>
        </w:rPr>
        <w:t xml:space="preserve">. </w:t>
      </w:r>
      <w:r w:rsidRPr="004B7DD4">
        <w:rPr>
          <w:b w:val="0"/>
          <w:strike/>
          <w:sz w:val="22"/>
          <w:szCs w:val="22"/>
        </w:rPr>
        <w:t>These efficiencies are applied as the threshold for the performance</w:t>
      </w:r>
      <w:r w:rsidR="00BE291A" w:rsidRPr="004B7DD4">
        <w:rPr>
          <w:b w:val="0"/>
          <w:strike/>
          <w:sz w:val="22"/>
          <w:szCs w:val="22"/>
        </w:rPr>
        <w:t>-</w:t>
      </w:r>
      <w:r w:rsidRPr="004B7DD4">
        <w:rPr>
          <w:b w:val="0"/>
          <w:strike/>
          <w:sz w:val="22"/>
          <w:szCs w:val="22"/>
        </w:rPr>
        <w:t>based approach for additionality</w:t>
      </w:r>
      <w:r w:rsidR="00E37773" w:rsidRPr="004B7DD4">
        <w:rPr>
          <w:b w:val="0"/>
          <w:strike/>
          <w:sz w:val="22"/>
          <w:szCs w:val="22"/>
        </w:rPr>
        <w:t>, in fulfilment of paragraph 63 of the additionality standard</w:t>
      </w:r>
      <w:r w:rsidRPr="004B7DD4">
        <w:rPr>
          <w:b w:val="0"/>
          <w:strike/>
          <w:sz w:val="22"/>
          <w:szCs w:val="22"/>
        </w:rPr>
        <w:t>.</w:t>
      </w:r>
    </w:p>
    <w:p w14:paraId="5FBD10AD" w14:textId="3497D1DB" w:rsidR="001C2394" w:rsidRPr="004B7DD4" w:rsidRDefault="009859C1" w:rsidP="004E030D">
      <w:pPr>
        <w:pStyle w:val="SDMApp1"/>
        <w:keepNext w:val="0"/>
        <w:keepLines w:val="0"/>
        <w:numPr>
          <w:ilvl w:val="0"/>
          <w:numId w:val="4"/>
        </w:numPr>
        <w:rPr>
          <w:b w:val="0"/>
          <w:sz w:val="22"/>
          <w:szCs w:val="22"/>
        </w:rPr>
      </w:pPr>
      <w:r w:rsidRPr="004B7DD4">
        <w:rPr>
          <w:b w:val="0"/>
          <w:sz w:val="22"/>
          <w:szCs w:val="22"/>
        </w:rPr>
        <w:t>The requirements</w:t>
      </w:r>
      <w:r w:rsidR="00982611" w:rsidRPr="004B7DD4">
        <w:rPr>
          <w:b w:val="0"/>
          <w:sz w:val="22"/>
          <w:szCs w:val="22"/>
        </w:rPr>
        <w:t xml:space="preserve"> on</w:t>
      </w:r>
      <w:r w:rsidR="00594303" w:rsidRPr="004B7DD4">
        <w:rPr>
          <w:b w:val="0"/>
          <w:sz w:val="22"/>
          <w:szCs w:val="22"/>
        </w:rPr>
        <w:t xml:space="preserve"> minimum efficiency levels</w:t>
      </w:r>
      <w:r w:rsidRPr="004B7DD4">
        <w:rPr>
          <w:b w:val="0"/>
          <w:sz w:val="22"/>
          <w:szCs w:val="22"/>
        </w:rPr>
        <w:t xml:space="preserve"> </w:t>
      </w:r>
      <w:r w:rsidR="00982611" w:rsidRPr="004B7DD4">
        <w:rPr>
          <w:b w:val="0"/>
          <w:sz w:val="22"/>
          <w:szCs w:val="22"/>
        </w:rPr>
        <w:t xml:space="preserve">set in paragraph 13(i) of this </w:t>
      </w:r>
      <w:r w:rsidR="00183B69" w:rsidRPr="004B7DD4">
        <w:rPr>
          <w:rFonts w:eastAsia="MS Mincho" w:hint="eastAsia"/>
          <w:b w:val="0"/>
          <w:sz w:val="22"/>
          <w:szCs w:val="22"/>
          <w:lang w:eastAsia="ja-JP"/>
        </w:rPr>
        <w:t xml:space="preserve">mechanism </w:t>
      </w:r>
      <w:r w:rsidR="00982611" w:rsidRPr="004B7DD4">
        <w:rPr>
          <w:b w:val="0"/>
          <w:sz w:val="22"/>
          <w:szCs w:val="22"/>
        </w:rPr>
        <w:t xml:space="preserve">methodology </w:t>
      </w:r>
      <w:r w:rsidR="00415969" w:rsidRPr="004B7DD4">
        <w:rPr>
          <w:b w:val="0"/>
          <w:sz w:val="22"/>
          <w:szCs w:val="22"/>
        </w:rPr>
        <w:t>ensure that these performance thresholds are exceeded</w:t>
      </w:r>
      <w:r w:rsidR="00151F78" w:rsidRPr="004B7DD4">
        <w:rPr>
          <w:b w:val="0"/>
          <w:sz w:val="22"/>
          <w:szCs w:val="22"/>
        </w:rPr>
        <w:t xml:space="preserve">, in </w:t>
      </w:r>
      <w:r w:rsidR="00C148C4" w:rsidRPr="004B7DD4">
        <w:rPr>
          <w:b w:val="0"/>
          <w:sz w:val="22"/>
          <w:szCs w:val="22"/>
        </w:rPr>
        <w:t>fulfilment of paragraph 63 of</w:t>
      </w:r>
      <w:r w:rsidR="00454CCF" w:rsidRPr="004B7DD4">
        <w:rPr>
          <w:b w:val="0"/>
          <w:sz w:val="22"/>
          <w:szCs w:val="22"/>
        </w:rPr>
        <w:t xml:space="preserve"> </w:t>
      </w:r>
      <w:r w:rsidR="007F0790" w:rsidRPr="004B7DD4">
        <w:rPr>
          <w:rFonts w:eastAsia="MS Mincho"/>
          <w:b w:val="0"/>
          <w:sz w:val="22"/>
          <w:szCs w:val="22"/>
          <w:lang w:eastAsia="ja-JP"/>
        </w:rPr>
        <w:t>version</w:t>
      </w:r>
      <w:r w:rsidR="007F0790" w:rsidRPr="004B7DD4">
        <w:rPr>
          <w:rFonts w:eastAsia="MS Mincho" w:hint="eastAsia"/>
          <w:b w:val="0"/>
          <w:sz w:val="22"/>
          <w:szCs w:val="22"/>
          <w:lang w:eastAsia="ja-JP"/>
        </w:rPr>
        <w:t xml:space="preserve"> 1.0 of </w:t>
      </w:r>
      <w:r w:rsidR="00454CCF" w:rsidRPr="004B7DD4">
        <w:rPr>
          <w:b w:val="0"/>
          <w:sz w:val="22"/>
          <w:szCs w:val="22"/>
        </w:rPr>
        <w:t xml:space="preserve">the </w:t>
      </w:r>
      <w:r w:rsidR="00C01996" w:rsidRPr="004B7DD4">
        <w:rPr>
          <w:rFonts w:eastAsia="MS Mincho" w:hint="eastAsia"/>
          <w:b w:val="0"/>
          <w:sz w:val="22"/>
          <w:szCs w:val="22"/>
          <w:lang w:eastAsia="ja-JP"/>
        </w:rPr>
        <w:t>baseline standard</w:t>
      </w:r>
      <w:r w:rsidR="00454CCF" w:rsidRPr="004B7DD4">
        <w:rPr>
          <w:b w:val="0"/>
          <w:sz w:val="22"/>
          <w:szCs w:val="22"/>
        </w:rPr>
        <w:t xml:space="preserve"> in mechanism meth</w:t>
      </w:r>
      <w:r w:rsidR="00151F78" w:rsidRPr="004B7DD4">
        <w:rPr>
          <w:b w:val="0"/>
          <w:sz w:val="22"/>
          <w:szCs w:val="22"/>
        </w:rPr>
        <w:t>odologies.</w:t>
      </w:r>
    </w:p>
    <w:p w14:paraId="67D39F4C" w14:textId="157D170B" w:rsidR="001C2394" w:rsidRPr="004B7DD4" w:rsidRDefault="001C2394" w:rsidP="004E030D">
      <w:pPr>
        <w:pStyle w:val="SDMPara"/>
        <w:numPr>
          <w:ilvl w:val="0"/>
          <w:numId w:val="4"/>
        </w:numPr>
        <w:suppressAutoHyphens/>
      </w:pPr>
      <w:r w:rsidRPr="004B7DD4">
        <w:t>Since these conditions are fulfilled, the mechanism methodology defines the performance-based approach as threshold thermal efficiencies of cooking technologies and practices using fuelwood and charcoal (two thresholds).</w:t>
      </w:r>
    </w:p>
    <w:p w14:paraId="47C774A9" w14:textId="3CB7F452" w:rsidR="00131B5E" w:rsidRPr="004B7DD4" w:rsidRDefault="007D5824" w:rsidP="004E030D">
      <w:pPr>
        <w:pStyle w:val="SDMSubPara1"/>
        <w:suppressAutoHyphens/>
      </w:pPr>
      <w:r w:rsidRPr="004B7DD4">
        <w:t>Thresholds</w:t>
      </w:r>
      <w:r w:rsidR="00131B5E" w:rsidRPr="004B7DD4">
        <w:t xml:space="preserve"> can be identified by combining data from academic studies with conservative assumptions that apply to the locations that fulfil the applicability conditions of this mechanism methodology, i.e., rural, low economic development, where the solid biomass fuels fuelwood and charcoal dominate household cooking energy.</w:t>
      </w:r>
    </w:p>
    <w:p w14:paraId="34731AB8" w14:textId="7AA3451C" w:rsidR="00FB631F" w:rsidRPr="006776DF" w:rsidRDefault="00FB631F" w:rsidP="004E030D">
      <w:pPr>
        <w:pStyle w:val="SDMSubPara1"/>
        <w:suppressAutoHyphens/>
      </w:pPr>
      <w:r w:rsidRPr="004B7DD4">
        <w:t>Interpreting Gill-Wiehl et al. 2026, 1.5</w:t>
      </w:r>
      <w:r w:rsidR="00430DFC" w:rsidRPr="004B7DD4">
        <w:t>4</w:t>
      </w:r>
      <w:r w:rsidRPr="004B7DD4">
        <w:t xml:space="preserve"> per cent per year of households in contexts like those complying with the applicability conditions of this mechanism methodology and passing the regulatory analysis test may be expected to adopt an ICS</w:t>
      </w:r>
      <w:r w:rsidR="007C1D61" w:rsidRPr="004B7DD4">
        <w:t>, as a conservative assumption</w:t>
      </w:r>
      <w:r w:rsidRPr="004B7DD4">
        <w:t xml:space="preserve">. </w:t>
      </w:r>
      <w:r w:rsidR="007101DC" w:rsidRPr="004B7DD4">
        <w:t>O</w:t>
      </w:r>
      <w:r w:rsidRPr="004B7DD4">
        <w:t xml:space="preserve">ver a period </w:t>
      </w:r>
      <w:r w:rsidR="007101DC" w:rsidRPr="004B7DD4">
        <w:t xml:space="preserve">of </w:t>
      </w:r>
      <w:r w:rsidR="00756082" w:rsidRPr="004B7DD4">
        <w:t>five</w:t>
      </w:r>
      <w:r w:rsidR="007101DC" w:rsidRPr="004B7DD4">
        <w:t xml:space="preserve"> years</w:t>
      </w:r>
      <w:r w:rsidRPr="004B7DD4">
        <w:t xml:space="preserve">, </w:t>
      </w:r>
      <w:r w:rsidR="001870FD" w:rsidRPr="004B7DD4">
        <w:t xml:space="preserve">7.5 </w:t>
      </w:r>
      <w:r w:rsidRPr="004B7DD4">
        <w:t>per cent of cookstoves may have the performance level of an ICS (</w:t>
      </w:r>
      <w:r w:rsidR="000149D9" w:rsidRPr="004B7DD4">
        <w:t xml:space="preserve">conservatively </w:t>
      </w:r>
      <w:r w:rsidR="00676D94" w:rsidRPr="004B7DD4">
        <w:t xml:space="preserve">assumed as </w:t>
      </w:r>
      <w:r w:rsidRPr="004B7DD4">
        <w:t>32.72 per cent for fuelwood ICS</w:t>
      </w:r>
      <w:r w:rsidR="00676D94" w:rsidRPr="004B7DD4">
        <w:t xml:space="preserve"> based on Jetter et al.</w:t>
      </w:r>
      <w:r w:rsidR="00AF50A4" w:rsidRPr="004B7DD4">
        <w:t xml:space="preserve"> 2012</w:t>
      </w:r>
      <w:r w:rsidRPr="004B7DD4">
        <w:t xml:space="preserve">, </w:t>
      </w:r>
      <w:r w:rsidR="00AF50A4" w:rsidRPr="004B7DD4">
        <w:t>and 45</w:t>
      </w:r>
      <w:r w:rsidRPr="004B7DD4">
        <w:t xml:space="preserve"> per cent for charcoal ICS</w:t>
      </w:r>
      <w:r w:rsidR="00AF50A4" w:rsidRPr="004B7DD4">
        <w:t xml:space="preserve"> based on Still et al. 2015</w:t>
      </w:r>
      <w:r w:rsidRPr="004B7DD4">
        <w:t>), while 95.5 per cent would have average</w:t>
      </w:r>
      <w:r w:rsidRPr="006776DF">
        <w:t xml:space="preserve"> performance level for unimproved cookstoves (11.8 per cent for fuelwood, 22.1 per cent for charcoal</w:t>
      </w:r>
      <w:r w:rsidR="00EA3945" w:rsidRPr="006776DF">
        <w:t xml:space="preserve"> based on </w:t>
      </w:r>
      <w:r w:rsidR="000149D9" w:rsidRPr="006776DF">
        <w:t>Urban et al. 2025</w:t>
      </w:r>
      <w:r w:rsidRPr="006776DF">
        <w:t>). The top 20 per cent of the performance is selected</w:t>
      </w:r>
      <w:r w:rsidRPr="006776DF">
        <w:rPr>
          <w:rStyle w:val="FootnoteReference"/>
        </w:rPr>
        <w:footnoteReference w:id="52"/>
      </w:r>
      <w:r w:rsidRPr="006776DF">
        <w:t xml:space="preserve">, recognizing the wide variability in cookstove performance in the field, and this would give a weighting of </w:t>
      </w:r>
      <w:r w:rsidR="00224E40" w:rsidRPr="006776DF">
        <w:t>76.9</w:t>
      </w:r>
      <w:r w:rsidRPr="006776DF">
        <w:t xml:space="preserve"> per cent with the performance of an unimproved cookstove and </w:t>
      </w:r>
      <w:r w:rsidR="00224E40" w:rsidRPr="006776DF">
        <w:t>23.1</w:t>
      </w:r>
      <w:r w:rsidRPr="006776DF">
        <w:t> per cent with the performance of an ICS.</w:t>
      </w:r>
    </w:p>
    <w:p w14:paraId="3ED4DCA9" w14:textId="39EF2390" w:rsidR="00FB631F" w:rsidRPr="006776DF" w:rsidRDefault="00FB631F" w:rsidP="004E030D">
      <w:pPr>
        <w:pStyle w:val="SDMSubPara1"/>
        <w:suppressAutoHyphens/>
      </w:pPr>
      <w:r w:rsidRPr="006776DF">
        <w:t xml:space="preserve">The Jetter et al. 2012 </w:t>
      </w:r>
      <w:r w:rsidR="00765272" w:rsidRPr="006776DF">
        <w:t xml:space="preserve">and Still et al. 2015 </w:t>
      </w:r>
      <w:r w:rsidRPr="006776DF">
        <w:t>methods are based on lab</w:t>
      </w:r>
      <w:r w:rsidR="007C3643" w:rsidRPr="006776DF">
        <w:t>oratory</w:t>
      </w:r>
      <w:r w:rsidRPr="006776DF">
        <w:t xml:space="preserve"> tests, meaning they likely overestimate the efficiency of the ICS compared to field conditions, which is conservative for the purposes of </w:t>
      </w:r>
      <w:r w:rsidR="007E790D" w:rsidRPr="006776DF">
        <w:t>a performance threshold for additionality</w:t>
      </w:r>
      <w:r w:rsidRPr="006776DF">
        <w:t>.</w:t>
      </w:r>
    </w:p>
    <w:p w14:paraId="072214BE" w14:textId="54683BC6" w:rsidR="00FB631F" w:rsidRPr="00E26E0D" w:rsidRDefault="00FB631F" w:rsidP="004E030D">
      <w:pPr>
        <w:pStyle w:val="SDMPara"/>
        <w:suppressAutoHyphens/>
      </w:pPr>
      <w:r w:rsidRPr="006776DF">
        <w:t xml:space="preserve">Applying the weighting set above, this gives a </w:t>
      </w:r>
      <w:r w:rsidR="00CA04D5" w:rsidRPr="006776DF">
        <w:t>threshold</w:t>
      </w:r>
      <w:r w:rsidRPr="006776DF">
        <w:t xml:space="preserve"> efficiency of 16.6 per cent for fuelwood fired stoves and </w:t>
      </w:r>
      <w:r w:rsidR="00883745" w:rsidRPr="006776DF">
        <w:t>27.4</w:t>
      </w:r>
      <w:r w:rsidRPr="006776DF">
        <w:t xml:space="preserve"> per cent for charcoal fired stoves. These efficiencies are applied as the threshold for the performance-based approach for additionality.</w:t>
      </w:r>
    </w:p>
    <w:p w14:paraId="6EB0F841" w14:textId="04EF7240" w:rsidR="001C2394" w:rsidRPr="006776DF" w:rsidRDefault="001C2394" w:rsidP="004E030D">
      <w:pPr>
        <w:pStyle w:val="SDMPara"/>
        <w:suppressAutoHyphens/>
        <w:rPr>
          <w:rFonts w:eastAsia="Montserrat"/>
        </w:rPr>
      </w:pPr>
      <w:r w:rsidRPr="006776DF">
        <w:t>Each threshold ensures that the Article 6.4 activity is very likely (at least 90</w:t>
      </w:r>
      <w:r w:rsidR="00BF193C" w:rsidRPr="006776DF">
        <w:t xml:space="preserve"> per cent </w:t>
      </w:r>
      <w:r w:rsidRPr="006776DF">
        <w:t>probability) to be additional. The likelihood is based on a combination of the findings of Gill-Wiehl et al. 2026 and the further conditions of this mechanism methodology in the regulatory analysis section of the additionality demonstration, which require that no subsidy is being provided by public sector finance for cleaner cooking</w:t>
      </w:r>
      <w:r w:rsidR="004D49B8" w:rsidRPr="006776DF">
        <w:t>, or that any support provided is insufficient</w:t>
      </w:r>
      <w:r w:rsidR="00C904E6" w:rsidRPr="006776DF">
        <w:t xml:space="preserve"> to render the activity financially viable</w:t>
      </w:r>
      <w:r w:rsidRPr="006776DF">
        <w:t>. The academic study used a combination of review of published studies and primary data collection and found that 4.2</w:t>
      </w:r>
      <w:r w:rsidR="00BF193C" w:rsidRPr="006776DF">
        <w:t xml:space="preserve"> per cent </w:t>
      </w:r>
      <w:r w:rsidRPr="006776DF">
        <w:t xml:space="preserve">per year of households in contexts similar to those of the applicability conditions of this mechanism methodology obtained an improved cookstove; however, this weighted average value was influenced by one particular case in which a national government implemented a subsidy for </w:t>
      </w:r>
      <w:r w:rsidR="00370F59" w:rsidRPr="006776DF">
        <w:t>liquified petroleum gas (</w:t>
      </w:r>
      <w:r w:rsidRPr="006776DF">
        <w:t>LPG</w:t>
      </w:r>
      <w:r w:rsidR="00370F59" w:rsidRPr="006776DF">
        <w:t>)</w:t>
      </w:r>
      <w:r w:rsidRPr="006776DF">
        <w:t xml:space="preserve"> stoves during the time of the measurements. By eliminating cases where subsidies are present th</w:t>
      </w:r>
      <w:r w:rsidR="008B1586" w:rsidRPr="006776DF">
        <w:t>r</w:t>
      </w:r>
      <w:r w:rsidRPr="006776DF">
        <w:t xml:space="preserve">ough the condition in the regulatory analysis of this mechanism methodology, the average non-additionality rate per year </w:t>
      </w:r>
      <w:r w:rsidR="008B1586" w:rsidRPr="006776DF">
        <w:t>(</w:t>
      </w:r>
      <w:r w:rsidR="00D51A3A" w:rsidRPr="006776DF">
        <w:t>autonomous</w:t>
      </w:r>
      <w:r w:rsidR="008B1586" w:rsidRPr="006776DF">
        <w:t xml:space="preserve"> adoption) </w:t>
      </w:r>
      <w:r w:rsidRPr="006776DF">
        <w:t>would be closer to 1.5</w:t>
      </w:r>
      <w:r w:rsidR="00BF193C" w:rsidRPr="006776DF">
        <w:t xml:space="preserve"> per cent </w:t>
      </w:r>
      <w:r w:rsidRPr="006776DF">
        <w:t>and the likelihood of additionality may be considered above 90</w:t>
      </w:r>
      <w:r w:rsidR="00BF193C" w:rsidRPr="006776DF">
        <w:t xml:space="preserve"> per cent</w:t>
      </w:r>
      <w:r w:rsidRPr="006776DF">
        <w:t>.</w:t>
      </w:r>
    </w:p>
    <w:p w14:paraId="1630D66B" w14:textId="7C176376" w:rsidR="001C2394" w:rsidRPr="006776DF" w:rsidRDefault="001C2394" w:rsidP="004E030D">
      <w:pPr>
        <w:pStyle w:val="SDMPara"/>
        <w:suppressAutoHyphens/>
        <w:rPr>
          <w:rFonts w:eastAsia="Montserrat"/>
        </w:rPr>
      </w:pPr>
      <w:r w:rsidRPr="006776DF">
        <w:t>The validity of the thresholds shall be the same as the validity of this mechanism methodology (31 December 2030), given the slow pace of change in the areas where lack of access to clean cooking is dominant (IEA 2025</w:t>
      </w:r>
      <w:r w:rsidR="008D74B0" w:rsidRPr="006776DF">
        <w:t>, Stoner et al. 2021</w:t>
      </w:r>
      <w:r w:rsidRPr="006776DF">
        <w:t xml:space="preserve">), since locations that fulfil the applicability conditions of this mechanism methodology are generally consistent with the characteristics of those areas. Once the validity of these thresholds ends, the thresholds shall be re-evaluated based on up-to-date data and information on the </w:t>
      </w:r>
      <w:r w:rsidR="009C4F83" w:rsidRPr="006776DF">
        <w:t>autonomous adoption</w:t>
      </w:r>
      <w:r w:rsidRPr="006776DF">
        <w:t xml:space="preserve"> of </w:t>
      </w:r>
      <w:r w:rsidR="00132062" w:rsidRPr="006776DF">
        <w:t>improved cook stoves (</w:t>
      </w:r>
      <w:r w:rsidRPr="006776DF">
        <w:t>ICS</w:t>
      </w:r>
      <w:r w:rsidR="00132062" w:rsidRPr="006776DF">
        <w:t>)</w:t>
      </w:r>
      <w:r w:rsidRPr="006776DF">
        <w:t xml:space="preserve"> in locations that fulfil the applicability conditions of this mechanism methodology and on the thermal efficiency of baseline and ICS devices.</w:t>
      </w:r>
    </w:p>
    <w:p w14:paraId="6A9E83A3" w14:textId="527199D6" w:rsidR="001C2394" w:rsidRPr="001C2394" w:rsidRDefault="00AF0551" w:rsidP="00F36D0D">
      <w:pPr>
        <w:pStyle w:val="SDMApp1"/>
      </w:pPr>
      <w:bookmarkStart w:id="975" w:name="_Ref227625584"/>
      <w:r>
        <w:t>Setting an a</w:t>
      </w:r>
      <w:r w:rsidRPr="001C2394">
        <w:t xml:space="preserve">mbitious </w:t>
      </w:r>
      <w:r w:rsidR="001C2394" w:rsidRPr="001C2394">
        <w:t>benchmark</w:t>
      </w:r>
      <w:r>
        <w:t xml:space="preserve"> for the baseline</w:t>
      </w:r>
      <w:bookmarkEnd w:id="975"/>
    </w:p>
    <w:p w14:paraId="24E430A5" w14:textId="2859DDC3" w:rsidR="00E2013B" w:rsidRPr="001C2394" w:rsidRDefault="001C2394" w:rsidP="004E030D">
      <w:pPr>
        <w:pStyle w:val="SDMPara"/>
        <w:numPr>
          <w:ilvl w:val="0"/>
          <w:numId w:val="4"/>
        </w:numPr>
        <w:suppressAutoHyphens/>
      </w:pPr>
      <w:r w:rsidRPr="001C2394">
        <w:t>The ambitious benchmark approach is selected since reliable data on the performance of comparable activities providing similar outputs, as well as on the best performing comparable activities</w:t>
      </w:r>
      <w:r w:rsidR="00972837">
        <w:t>, can be obtained</w:t>
      </w:r>
      <w:r w:rsidRPr="001C2394">
        <w:t>.</w:t>
      </w:r>
      <w:r w:rsidR="00E2013B" w:rsidRPr="00E2013B">
        <w:t xml:space="preserve"> </w:t>
      </w:r>
      <w:r w:rsidR="00E2013B">
        <w:t>An activity-specific procedure is provided for determining the energy efficiency value to input to the ambitious benchmark to determine the indicator in fuel</w:t>
      </w:r>
      <w:r w:rsidR="00E2013B" w:rsidRPr="001C2394">
        <w:t xml:space="preserve"> </w:t>
      </w:r>
      <w:r w:rsidR="00E2013B">
        <w:rPr>
          <w:i/>
          <w:iCs/>
        </w:rPr>
        <w:t>i</w:t>
      </w:r>
      <w:r w:rsidR="00E2013B">
        <w:t xml:space="preserve"> </w:t>
      </w:r>
      <w:r w:rsidR="00E2013B" w:rsidRPr="001C2394">
        <w:t>per person per year</w:t>
      </w:r>
      <w:r w:rsidR="00E2013B">
        <w:t xml:space="preserve"> in units of</w:t>
      </w:r>
      <w:r w:rsidR="00E2013B" w:rsidRPr="001C2394">
        <w:t xml:space="preserve"> TJ</w:t>
      </w:r>
      <w:r w:rsidR="00F22EE1">
        <w:t xml:space="preserve"> </w:t>
      </w:r>
      <w:r w:rsidR="00E2013B">
        <w:t>/</w:t>
      </w:r>
      <w:r w:rsidR="00F22EE1">
        <w:t xml:space="preserve"> </w:t>
      </w:r>
      <w:r w:rsidR="00E2013B">
        <w:t>(p</w:t>
      </w:r>
      <w:r w:rsidR="00E2013B" w:rsidRPr="001C2394">
        <w:t>erson</w:t>
      </w:r>
      <w:r w:rsidR="00F22EE1">
        <w:t xml:space="preserve"> x </w:t>
      </w:r>
      <w:r w:rsidR="00E2013B" w:rsidRPr="001C2394">
        <w:t>year)</w:t>
      </w:r>
      <w:r w:rsidR="00E2013B">
        <w:t>.</w:t>
      </w:r>
    </w:p>
    <w:p w14:paraId="593752EA" w14:textId="77777777" w:rsidR="00615311" w:rsidRDefault="001C2394" w:rsidP="004E030D">
      <w:pPr>
        <w:pStyle w:val="SDMPara"/>
        <w:numPr>
          <w:ilvl w:val="0"/>
          <w:numId w:val="4"/>
        </w:numPr>
        <w:suppressAutoHyphens/>
      </w:pPr>
      <w:r w:rsidRPr="001C2394">
        <w:t xml:space="preserve">The type of activity provides the service of thermal energy for </w:t>
      </w:r>
      <w:r w:rsidR="00B9122A">
        <w:t>cooking events</w:t>
      </w:r>
      <w:r w:rsidRPr="001C2394">
        <w:t xml:space="preserve"> for residents of the household and can be standardized on the basis of the energy demand for the meals for a single person. The emissions per unit output depend on multiple factors including, primarily, the efficiency of the technologies used for cooking, the fuel type(s), and the cooking practices.</w:t>
      </w:r>
    </w:p>
    <w:p w14:paraId="572D007B" w14:textId="0BAF2551" w:rsidR="001C2394" w:rsidRPr="001C2394" w:rsidRDefault="001C2394" w:rsidP="004E030D">
      <w:pPr>
        <w:pStyle w:val="SDMPara"/>
        <w:numPr>
          <w:ilvl w:val="0"/>
          <w:numId w:val="4"/>
        </w:numPr>
        <w:suppressAutoHyphens/>
      </w:pPr>
      <w:r w:rsidRPr="001C2394">
        <w:t xml:space="preserve">The ambitious benchmark is identified as the average emissions or removals level of the best performing comparable activities </w:t>
      </w:r>
      <w:r w:rsidR="0034649C">
        <w:t xml:space="preserve">that </w:t>
      </w:r>
      <w:r w:rsidRPr="001C2394">
        <w:t>provid</w:t>
      </w:r>
      <w:r w:rsidR="0034649C">
        <w:t>e</w:t>
      </w:r>
      <w:r w:rsidRPr="001C2394">
        <w:t xml:space="preserve"> similar outputs in the </w:t>
      </w:r>
      <w:r w:rsidR="007C040E">
        <w:t xml:space="preserve">project activity </w:t>
      </w:r>
      <w:r w:rsidR="00007B2F">
        <w:t xml:space="preserve">or </w:t>
      </w:r>
      <w:r w:rsidR="00BB581B">
        <w:t xml:space="preserve">component project </w:t>
      </w:r>
      <w:r w:rsidRPr="001C2394">
        <w:t>circumstances.</w:t>
      </w:r>
    </w:p>
    <w:p w14:paraId="2F95810D" w14:textId="5E7A84B2" w:rsidR="00E968EF" w:rsidRDefault="001C2394" w:rsidP="004E030D">
      <w:pPr>
        <w:pStyle w:val="SDMPara"/>
        <w:suppressAutoHyphens/>
      </w:pPr>
      <w:r w:rsidRPr="001C2394">
        <w:t xml:space="preserve">The ambitious benchmark is identified </w:t>
      </w:r>
      <w:r w:rsidR="00BB3A5D">
        <w:t xml:space="preserve">using an activity-specific procedure prescribed in the </w:t>
      </w:r>
      <w:r w:rsidR="00717AD5">
        <w:t xml:space="preserve">mechanism </w:t>
      </w:r>
      <w:r w:rsidR="00BB3A5D">
        <w:t>methodology</w:t>
      </w:r>
      <w:r w:rsidR="004C5F3E">
        <w:t xml:space="preserve"> that determines the ambitious benchmark efficiency </w:t>
      </w:r>
      <w:r w:rsidR="00F51A01">
        <w:t xml:space="preserve">for the activity and combines this with </w:t>
      </w:r>
      <w:r w:rsidR="00F51A01" w:rsidRPr="001C2394">
        <w:t>the</w:t>
      </w:r>
      <w:r w:rsidR="00F51A01">
        <w:t xml:space="preserve"> default</w:t>
      </w:r>
      <w:r w:rsidR="00F51A01" w:rsidRPr="001C2394">
        <w:t xml:space="preserve"> useful energy delivered and the average net calorific value of fuelwood </w:t>
      </w:r>
      <w:r w:rsidR="00452454">
        <w:t>or</w:t>
      </w:r>
      <w:r w:rsidR="00F51A01" w:rsidRPr="001C2394">
        <w:t xml:space="preserve"> charcoal</w:t>
      </w:r>
      <w:r w:rsidRPr="001C2394">
        <w:t>.</w:t>
      </w:r>
    </w:p>
    <w:p w14:paraId="72FF5E3D" w14:textId="40A528EB" w:rsidR="001C2394" w:rsidRPr="001C2394" w:rsidRDefault="00452454" w:rsidP="004E030D">
      <w:pPr>
        <w:pStyle w:val="SDMPara"/>
        <w:numPr>
          <w:ilvl w:val="0"/>
          <w:numId w:val="4"/>
        </w:numPr>
        <w:suppressAutoHyphens/>
      </w:pPr>
      <w:bookmarkStart w:id="976" w:name="_Ref232437903"/>
      <w:bookmarkStart w:id="977" w:name="_Ref233389555"/>
      <w:r>
        <w:t xml:space="preserve">A backstop to the </w:t>
      </w:r>
      <w:r w:rsidR="00A45D2F">
        <w:t xml:space="preserve">activity-specific </w:t>
      </w:r>
      <w:r w:rsidR="00CA1F7B">
        <w:t>ambitious benchmark is provided by</w:t>
      </w:r>
      <w:r w:rsidR="00F00D57" w:rsidRPr="001C2394">
        <w:t xml:space="preserve"> combining the </w:t>
      </w:r>
      <w:r w:rsidR="00F02C54">
        <w:t>performance</w:t>
      </w:r>
      <w:r w:rsidR="00AD47C5">
        <w:t xml:space="preserve"> </w:t>
      </w:r>
      <w:r w:rsidR="00354174">
        <w:t>threshold</w:t>
      </w:r>
      <w:r w:rsidR="00F00D57" w:rsidRPr="001C2394">
        <w:t xml:space="preserve"> efficiencies with the </w:t>
      </w:r>
      <w:r w:rsidR="00BB3A5D">
        <w:t>default</w:t>
      </w:r>
      <w:r w:rsidR="00F00D57" w:rsidRPr="001C2394">
        <w:t xml:space="preserve"> useful energy delivered and the average net calorific value of fuelwood and charcoal, </w:t>
      </w:r>
      <w:r w:rsidR="002E6BEB">
        <w:t xml:space="preserve">and </w:t>
      </w:r>
      <w:r w:rsidR="00F00D57" w:rsidRPr="001C2394">
        <w:t xml:space="preserve">this results in </w:t>
      </w:r>
      <w:r w:rsidR="006479B5">
        <w:t>a</w:t>
      </w:r>
      <w:r w:rsidR="00F00D57" w:rsidRPr="001C2394">
        <w:t xml:space="preserve"> </w:t>
      </w:r>
      <w:r w:rsidR="002E6BEB">
        <w:t>backstop</w:t>
      </w:r>
      <w:r w:rsidR="00F00D57" w:rsidRPr="001C2394">
        <w:t xml:space="preserve"> value of 0.</w:t>
      </w:r>
      <w:r w:rsidR="00466123">
        <w:t>49</w:t>
      </w:r>
      <w:r w:rsidR="00F00D57" w:rsidRPr="001C2394">
        <w:t xml:space="preserve"> tonnes </w:t>
      </w:r>
      <w:r w:rsidR="00F00D57">
        <w:t xml:space="preserve">of </w:t>
      </w:r>
      <w:r w:rsidR="00F00D57" w:rsidRPr="001C2394">
        <w:t>fuelwood per person per year (0.</w:t>
      </w:r>
      <w:r w:rsidR="00D61BF2" w:rsidRPr="001C2394">
        <w:t>00</w:t>
      </w:r>
      <w:r w:rsidR="00D61BF2">
        <w:t>7</w:t>
      </w:r>
      <w:r w:rsidR="004C09AA">
        <w:t>7</w:t>
      </w:r>
      <w:r w:rsidR="00F00D57" w:rsidRPr="001C2394">
        <w:t xml:space="preserve"> TJ per person per year) for households using wood as the primary fuel, and 0.</w:t>
      </w:r>
      <w:r w:rsidR="001D2FA3">
        <w:t>14</w:t>
      </w:r>
      <w:r w:rsidR="00F00D57" w:rsidRPr="001C2394">
        <w:t xml:space="preserve"> tonnes</w:t>
      </w:r>
      <w:r w:rsidR="00F00D57">
        <w:t xml:space="preserve"> of</w:t>
      </w:r>
      <w:r w:rsidR="00F00D57" w:rsidRPr="001C2394">
        <w:t xml:space="preserve"> charcoal per person per year (0.</w:t>
      </w:r>
      <w:r w:rsidR="001D2FA3" w:rsidRPr="001C2394">
        <w:t>004</w:t>
      </w:r>
      <w:r w:rsidR="001D2FA3">
        <w:t>0</w:t>
      </w:r>
      <w:r w:rsidR="00F00D57" w:rsidRPr="001C2394">
        <w:t xml:space="preserve"> TJ per person per year) for households using charcoal as the primary fuel</w:t>
      </w:r>
      <w:bookmarkEnd w:id="976"/>
      <w:r w:rsidR="00F00D57">
        <w:t>.</w:t>
      </w:r>
      <w:bookmarkEnd w:id="977"/>
    </w:p>
    <w:p w14:paraId="2C6DF143" w14:textId="2CD820B6" w:rsidR="001C2394" w:rsidRPr="001C2394" w:rsidRDefault="001C2394" w:rsidP="004E030D">
      <w:pPr>
        <w:pStyle w:val="SDMPara"/>
        <w:numPr>
          <w:ilvl w:val="0"/>
          <w:numId w:val="4"/>
        </w:numPr>
        <w:suppressAutoHyphens/>
      </w:pPr>
      <w:r w:rsidRPr="001C2394">
        <w:t>For the baseline emissions determination, the efficiency benchmark is combined with the useful energy required for satisfying basic human needs related to meal preparation. An assumption is applied of 3</w:t>
      </w:r>
      <w:r w:rsidR="001621BD">
        <w:t>.5</w:t>
      </w:r>
      <w:r w:rsidR="001621BD" w:rsidRPr="001C2394">
        <w:t xml:space="preserve"> MJ per person per day</w:t>
      </w:r>
      <w:r w:rsidR="001621BD">
        <w:t xml:space="preserve"> (fuelwood)</w:t>
      </w:r>
      <w:r w:rsidR="001621BD" w:rsidRPr="001C2394">
        <w:t xml:space="preserve"> </w:t>
      </w:r>
      <w:r w:rsidRPr="001C2394">
        <w:t xml:space="preserve">3 MJ per person per day </w:t>
      </w:r>
      <w:r w:rsidR="001621BD">
        <w:t>(charcoal)</w:t>
      </w:r>
      <w:r w:rsidRPr="001C2394">
        <w:t xml:space="preserve"> of delivered energy for cooking. </w:t>
      </w:r>
      <w:r w:rsidR="0056214D" w:rsidRPr="001C2394">
        <w:t>Th</w:t>
      </w:r>
      <w:r w:rsidR="0056214D">
        <w:t>ese</w:t>
      </w:r>
      <w:r w:rsidR="0056214D" w:rsidRPr="001C2394">
        <w:t xml:space="preserve"> </w:t>
      </w:r>
      <w:r w:rsidRPr="001C2394">
        <w:t>value</w:t>
      </w:r>
      <w:r w:rsidR="0056214D">
        <w:t>s</w:t>
      </w:r>
      <w:r w:rsidRPr="001C2394">
        <w:t xml:space="preserve"> </w:t>
      </w:r>
      <w:r w:rsidR="0056214D">
        <w:t>are</w:t>
      </w:r>
      <w:r w:rsidR="0056214D" w:rsidRPr="001C2394">
        <w:t xml:space="preserve"> </w:t>
      </w:r>
      <w:r w:rsidRPr="001C2394">
        <w:t>supported by</w:t>
      </w:r>
      <w:r w:rsidR="00C644DE">
        <w:t xml:space="preserve"> empirical data that households primarily using charcoal tend to </w:t>
      </w:r>
      <w:r w:rsidR="00FB2D90">
        <w:t>have a lower final energy consumption than those primarily using fuelwood, as reflected in the PMM004 submission</w:t>
      </w:r>
      <w:r w:rsidR="0056214D">
        <w:t>. It is also consistent</w:t>
      </w:r>
      <w:r w:rsidRPr="001C2394">
        <w:t xml:space="preserve"> </w:t>
      </w:r>
      <w:r w:rsidR="0056214D">
        <w:t xml:space="preserve">with </w:t>
      </w:r>
      <w:r w:rsidRPr="001C2394">
        <w:t>the review presented in Gill-Wiehl, et al. 2024 that cites a reasonable range of 2</w:t>
      </w:r>
      <w:r w:rsidR="00EB64C3">
        <w:t>–</w:t>
      </w:r>
      <w:r w:rsidRPr="001C2394">
        <w:t xml:space="preserve">4 MJ delivered per person per day and is consistent with the threshold value for useful energy delivered for cooking and heating up to 2.1 GJ per person per year (equivalent to 5.75 MJ per person per day) included in the </w:t>
      </w:r>
      <w:r w:rsidR="00CE5517">
        <w:t>“</w:t>
      </w:r>
      <w:r w:rsidRPr="001C2394">
        <w:t>Standard: Addressing Suppressed Demand in mechanism methodologies</w:t>
      </w:r>
      <w:r w:rsidR="00CE5517">
        <w:t>”</w:t>
      </w:r>
      <w:r w:rsidRPr="001C2394">
        <w:t>.</w:t>
      </w:r>
    </w:p>
    <w:p w14:paraId="10CD553C" w14:textId="77777777" w:rsidR="001C2394" w:rsidRPr="001C2394" w:rsidRDefault="001C2394" w:rsidP="004E030D">
      <w:pPr>
        <w:pStyle w:val="SDMPara"/>
        <w:numPr>
          <w:ilvl w:val="0"/>
          <w:numId w:val="4"/>
        </w:numPr>
        <w:suppressAutoHyphens/>
      </w:pPr>
      <w:r w:rsidRPr="001C2394">
        <w:t>The validity of the ambitious benchmarks shall be the same as the validity of this mechanism methodology (31 December 2030), given the slow pace of change in the areas where lack of access to clean cooking is dominant (</w:t>
      </w:r>
      <w:r w:rsidRPr="00FB291A">
        <w:t>IEA et al. 2025</w:t>
      </w:r>
      <w:r w:rsidRPr="001C2394">
        <w:t>) and the stability of useful energy required for satisfying basic human needs related to meal preparation.</w:t>
      </w:r>
    </w:p>
    <w:p w14:paraId="70CAB782" w14:textId="74B178FB" w:rsidR="00E91E11" w:rsidRDefault="00E91E11" w:rsidP="009A381B">
      <w:pPr>
        <w:pStyle w:val="SDMApp1"/>
      </w:pPr>
      <w:bookmarkStart w:id="978" w:name="_Ref233389561"/>
      <w:r>
        <w:t>Exemption from downward adjustment</w:t>
      </w:r>
      <w:bookmarkEnd w:id="978"/>
    </w:p>
    <w:p w14:paraId="530C9A61" w14:textId="77777777" w:rsidR="001E3EBD" w:rsidRPr="001E3EBD" w:rsidRDefault="001E3EBD" w:rsidP="004E030D">
      <w:pPr>
        <w:pStyle w:val="SDMPara"/>
        <w:suppressAutoHyphens/>
      </w:pPr>
      <w:r w:rsidRPr="001E3EBD">
        <w:t>No downward adjustment is determined in the calendar year of the start date of the first crediting period since the ambitious benchmark approach (paragraph 36(ii) of the RMPs) is applied.</w:t>
      </w:r>
    </w:p>
    <w:p w14:paraId="6ED3BF79" w14:textId="6CA3BB65" w:rsidR="00187337" w:rsidRDefault="00832C1E" w:rsidP="004E030D">
      <w:pPr>
        <w:pStyle w:val="SDMPara"/>
        <w:numPr>
          <w:ilvl w:val="0"/>
          <w:numId w:val="4"/>
        </w:numPr>
        <w:suppressAutoHyphens/>
      </w:pPr>
      <w:r>
        <w:t xml:space="preserve">In line with </w:t>
      </w:r>
      <w:r w:rsidRPr="00832C1E">
        <w:t>paragraph</w:t>
      </w:r>
      <w:r w:rsidR="00782DB2">
        <w:t>s</w:t>
      </w:r>
      <w:r w:rsidRPr="00832C1E">
        <w:t xml:space="preserve"> </w:t>
      </w:r>
      <w:r w:rsidR="00576646">
        <w:t xml:space="preserve">65 and </w:t>
      </w:r>
      <w:r w:rsidRPr="00832C1E">
        <w:t xml:space="preserve">66 of </w:t>
      </w:r>
      <w:r w:rsidR="009D3DE5">
        <w:t xml:space="preserve">version 01.0 of </w:t>
      </w:r>
      <w:r w:rsidRPr="00832C1E">
        <w:t xml:space="preserve">the </w:t>
      </w:r>
      <w:r w:rsidR="0045045C">
        <w:rPr>
          <w:rFonts w:eastAsia="MS Mincho" w:hint="eastAsia"/>
          <w:lang w:eastAsia="ja-JP"/>
        </w:rPr>
        <w:t>baseline standard</w:t>
      </w:r>
      <w:r w:rsidR="0042334F">
        <w:t xml:space="preserve">, the </w:t>
      </w:r>
      <w:r w:rsidR="003C46CF">
        <w:t xml:space="preserve">mechanism </w:t>
      </w:r>
      <w:r w:rsidRPr="00832C1E">
        <w:t xml:space="preserve">methodology </w:t>
      </w:r>
      <w:r w:rsidR="0042334F">
        <w:t>app</w:t>
      </w:r>
      <w:r w:rsidR="00C93265">
        <w:t>lies an exemption</w:t>
      </w:r>
      <w:r w:rsidRPr="00832C1E">
        <w:t xml:space="preserve"> from </w:t>
      </w:r>
      <w:r w:rsidR="00DC3A62">
        <w:t xml:space="preserve">the </w:t>
      </w:r>
      <w:r w:rsidRPr="00832C1E">
        <w:t>downward adjustment in subsequent years</w:t>
      </w:r>
      <w:r w:rsidR="00DC3A62">
        <w:t>.</w:t>
      </w:r>
      <w:r w:rsidRPr="00832C1E">
        <w:t xml:space="preserve"> </w:t>
      </w:r>
      <w:r w:rsidR="00187337">
        <w:t xml:space="preserve">While the standard notes that </w:t>
      </w:r>
      <w:r w:rsidR="00375CF2">
        <w:t>e</w:t>
      </w:r>
      <w:r w:rsidR="00375CF2" w:rsidRPr="00375CF2">
        <w:t>conomic viability could be a consideration for exemptions</w:t>
      </w:r>
      <w:r w:rsidR="00375CF2">
        <w:t>, the standard does not preclude other considerations.</w:t>
      </w:r>
    </w:p>
    <w:p w14:paraId="1345B607" w14:textId="7A45EEA0" w:rsidR="00187337" w:rsidRDefault="00375CF2" w:rsidP="004E030D">
      <w:pPr>
        <w:pStyle w:val="SDMPara"/>
        <w:numPr>
          <w:ilvl w:val="0"/>
          <w:numId w:val="4"/>
        </w:numPr>
        <w:suppressAutoHyphens/>
      </w:pPr>
      <w:r>
        <w:t xml:space="preserve">Here the exemption is provided on the grounds that this </w:t>
      </w:r>
      <w:r w:rsidR="0077016A">
        <w:t xml:space="preserve">mechanism methodology provides significant benefits to communities with the lowest income. </w:t>
      </w:r>
      <w:r w:rsidR="0033246C" w:rsidRPr="0033246C">
        <w:t xml:space="preserve">Efficient cookstoves </w:t>
      </w:r>
      <w:r w:rsidR="00701B8E">
        <w:t>reduce</w:t>
      </w:r>
      <w:r w:rsidR="0033246C" w:rsidRPr="0033246C">
        <w:t xml:space="preserve"> fuel costs and the time spent </w:t>
      </w:r>
      <w:r w:rsidR="00701B8E">
        <w:t xml:space="preserve">for </w:t>
      </w:r>
      <w:r w:rsidR="0033246C" w:rsidRPr="0033246C">
        <w:t>collecting firewood, benefiting low-income households that often devote a large share of their income and labo</w:t>
      </w:r>
      <w:r w:rsidR="00701B8E">
        <w:t>u</w:t>
      </w:r>
      <w:r w:rsidR="0033246C" w:rsidRPr="0033246C">
        <w:t>r to cooking energy</w:t>
      </w:r>
      <w:r w:rsidR="00627B6E">
        <w:t>, in many cases particularly women</w:t>
      </w:r>
      <w:r w:rsidR="0033246C" w:rsidRPr="0033246C">
        <w:t xml:space="preserve">. They also </w:t>
      </w:r>
      <w:r w:rsidR="00627B6E">
        <w:t xml:space="preserve">may </w:t>
      </w:r>
      <w:r w:rsidR="0033246C" w:rsidRPr="0033246C">
        <w:t xml:space="preserve">reduce exposure to </w:t>
      </w:r>
      <w:r w:rsidR="00701B8E">
        <w:t>indoor</w:t>
      </w:r>
      <w:r w:rsidR="0033246C" w:rsidRPr="0033246C">
        <w:t xml:space="preserve"> air pollution, which disproportionately affects women, children, and </w:t>
      </w:r>
      <w:r w:rsidR="0027248A">
        <w:t>vulnerable</w:t>
      </w:r>
      <w:r w:rsidR="0033246C" w:rsidRPr="0033246C">
        <w:t xml:space="preserve"> communities who spend </w:t>
      </w:r>
      <w:r w:rsidR="00701B8E">
        <w:t>significant time</w:t>
      </w:r>
      <w:r w:rsidR="0033246C" w:rsidRPr="0033246C">
        <w:t xml:space="preserve"> near traditional stoves. </w:t>
      </w:r>
      <w:r w:rsidR="001964FE">
        <w:t>These communities are often also particularly affected by the impacts of climate change</w:t>
      </w:r>
      <w:r w:rsidR="00174E95">
        <w:t xml:space="preserve"> and have contributed the least to global greenhouse gas </w:t>
      </w:r>
      <w:r w:rsidR="00FB291A">
        <w:t>(GHG)</w:t>
      </w:r>
      <w:r w:rsidR="00174E95">
        <w:t xml:space="preserve"> emissions</w:t>
      </w:r>
      <w:r w:rsidR="001964FE">
        <w:t xml:space="preserve">. </w:t>
      </w:r>
      <w:r w:rsidR="00E307F7">
        <w:t xml:space="preserve">Based on these </w:t>
      </w:r>
      <w:r w:rsidR="00FD0241">
        <w:t>considerations, t</w:t>
      </w:r>
      <w:r w:rsidR="00174E95">
        <w:t xml:space="preserve">he exemption from a downward adjustment </w:t>
      </w:r>
      <w:r w:rsidR="00AF133E">
        <w:t xml:space="preserve">aims to </w:t>
      </w:r>
      <w:r w:rsidR="00FD0241">
        <w:t>facilitate the implementation of this project type.</w:t>
      </w:r>
    </w:p>
    <w:p w14:paraId="4C90C471" w14:textId="70845A55" w:rsidR="009A381B" w:rsidRPr="001C2394" w:rsidRDefault="009A381B" w:rsidP="009A381B">
      <w:pPr>
        <w:pStyle w:val="SDMApp1"/>
      </w:pPr>
      <w:r>
        <w:t xml:space="preserve">Calculation of baseline </w:t>
      </w:r>
      <w:r w:rsidR="006946EF">
        <w:t xml:space="preserve">and </w:t>
      </w:r>
      <w:r w:rsidR="008413EA">
        <w:t>a</w:t>
      </w:r>
      <w:r w:rsidR="00B42D35">
        <w:t xml:space="preserve">ctivity </w:t>
      </w:r>
      <w:r>
        <w:t>emissions</w:t>
      </w:r>
    </w:p>
    <w:p w14:paraId="68CD0A3A" w14:textId="04BC8CE7" w:rsidR="009A381B" w:rsidRDefault="006946EF" w:rsidP="004E030D">
      <w:pPr>
        <w:pStyle w:val="SDMPara"/>
        <w:numPr>
          <w:ilvl w:val="0"/>
          <w:numId w:val="4"/>
        </w:numPr>
        <w:suppressAutoHyphens/>
      </w:pPr>
      <w:r>
        <w:t>The concept of</w:t>
      </w:r>
      <w:r w:rsidR="00233CC4">
        <w:t xml:space="preserve"> </w:t>
      </w:r>
      <w:r w:rsidR="00233CC4" w:rsidRPr="007D0ABA">
        <w:t>Ψ, the per cent of activity households with the project cookstove present</w:t>
      </w:r>
      <w:r w:rsidR="00233CC4" w:rsidRPr="00033920">
        <w:t xml:space="preserve"> that qualify as </w:t>
      </w:r>
      <w:r w:rsidR="00233CC4" w:rsidRPr="00E60489">
        <w:rPr>
          <w:b/>
          <w:bCs/>
        </w:rPr>
        <w:t>user households</w:t>
      </w:r>
      <w:r w:rsidR="00233CC4">
        <w:t>,</w:t>
      </w:r>
      <w:r>
        <w:t xml:space="preserve"> is applied </w:t>
      </w:r>
      <w:r w:rsidR="003F3620">
        <w:t>to calculate</w:t>
      </w:r>
      <w:r w:rsidR="00F10D41">
        <w:t xml:space="preserve"> baseline and </w:t>
      </w:r>
      <w:r w:rsidR="005D662C">
        <w:t>activity</w:t>
      </w:r>
      <w:r w:rsidR="00F10D41">
        <w:t xml:space="preserve"> emissions</w:t>
      </w:r>
      <w:r w:rsidR="009A381B" w:rsidRPr="001C2394">
        <w:t>.</w:t>
      </w:r>
      <w:r w:rsidR="00F10D41">
        <w:t xml:space="preserve"> </w:t>
      </w:r>
      <w:r w:rsidR="00CA6D73">
        <w:t xml:space="preserve">The </w:t>
      </w:r>
      <w:r w:rsidR="00257C23">
        <w:t xml:space="preserve">mechanism </w:t>
      </w:r>
      <w:r w:rsidR="00CA6D73">
        <w:t xml:space="preserve">methodology includes </w:t>
      </w:r>
      <w:r w:rsidR="003365A7">
        <w:t xml:space="preserve">a tentative </w:t>
      </w:r>
      <w:r w:rsidR="00CA6D73">
        <w:t xml:space="preserve">requirement for what constitutes a user: A user is defined as an activity household with a functioning project cookstove that is in use </w:t>
      </w:r>
      <w:r w:rsidR="00EF6FD0">
        <w:t>five time</w:t>
      </w:r>
      <w:r w:rsidR="00CA6D73">
        <w:t xml:space="preserve"> or more per week during a given monitoring period, confirmed through both self-reporting (annual usage surveys) and visual inspection</w:t>
      </w:r>
      <w:r w:rsidR="00DA0CEE">
        <w:t xml:space="preserve"> and through</w:t>
      </w:r>
      <w:r w:rsidR="00A870EE">
        <w:t xml:space="preserve"> </w:t>
      </w:r>
      <w:r w:rsidR="00DA0CEE">
        <w:t>SUMs measurement (optional</w:t>
      </w:r>
      <w:r w:rsidR="00D4341C">
        <w:t xml:space="preserve"> during a transition period</w:t>
      </w:r>
      <w:r w:rsidR="00DA0CEE">
        <w:t>)</w:t>
      </w:r>
      <w:r w:rsidR="00CA6D73">
        <w:t xml:space="preserve">. This determination indicates whether the household can be included </w:t>
      </w:r>
      <w:r w:rsidR="006B758C">
        <w:t>in the emission reductions calculations</w:t>
      </w:r>
      <w:r w:rsidR="00CA6D73">
        <w:t xml:space="preserve"> and is not used to calculate fuel consumption for that household.</w:t>
      </w:r>
      <w:r w:rsidR="006B758C">
        <w:t xml:space="preserve"> </w:t>
      </w:r>
      <w:r w:rsidR="00D25AE9">
        <w:t xml:space="preserve">This is combined with </w:t>
      </w:r>
      <w:r w:rsidR="00CA6D73">
        <w:t>the</w:t>
      </w:r>
      <w:r w:rsidR="00D25AE9">
        <w:t xml:space="preserve"> sum of the</w:t>
      </w:r>
      <w:r w:rsidR="00CA6D73">
        <w:t xml:space="preserve"> number of days for which </w:t>
      </w:r>
      <w:r w:rsidR="00D25AE9">
        <w:t>project cookstoves</w:t>
      </w:r>
      <w:r w:rsidR="00CA6D73">
        <w:t xml:space="preserve"> are available (at </w:t>
      </w:r>
      <w:r w:rsidR="00D25AE9">
        <w:t>each activity</w:t>
      </w:r>
      <w:r w:rsidR="00CA6D73">
        <w:t xml:space="preserve"> household, within the </w:t>
      </w:r>
      <w:r w:rsidR="005302AA">
        <w:t>activity</w:t>
      </w:r>
      <w:r w:rsidR="00D25AE9">
        <w:t xml:space="preserve"> </w:t>
      </w:r>
      <w:r w:rsidR="00CA6D73">
        <w:t xml:space="preserve">boundary, and </w:t>
      </w:r>
      <w:r w:rsidR="00E60489">
        <w:t>functioning) of</w:t>
      </w:r>
      <w:r w:rsidR="00CA6D73">
        <w:t xml:space="preserve"> a given monitoring period.</w:t>
      </w:r>
    </w:p>
    <w:p w14:paraId="2420D8FC" w14:textId="77777777" w:rsidR="00615311" w:rsidRDefault="004965F6" w:rsidP="004E030D">
      <w:pPr>
        <w:pStyle w:val="SDMPara"/>
        <w:numPr>
          <w:ilvl w:val="0"/>
          <w:numId w:val="4"/>
        </w:numPr>
        <w:suppressAutoHyphens/>
      </w:pPr>
      <w:r w:rsidRPr="004965F6">
        <w:t xml:space="preserve">A minimum threshold requiring cookstoves to be in use </w:t>
      </w:r>
      <w:r w:rsidRPr="004965F6">
        <w:rPr>
          <w:b/>
          <w:bCs/>
        </w:rPr>
        <w:t>at least</w:t>
      </w:r>
      <w:r w:rsidRPr="004965F6">
        <w:t xml:space="preserve"> five times per week is established to indicate regular ongoing use and to provide a consistent minimum definition for all Article 6.4 activities under this</w:t>
      </w:r>
      <w:r w:rsidR="006F19D1">
        <w:t xml:space="preserve"> mechanism</w:t>
      </w:r>
      <w:r w:rsidRPr="004965F6">
        <w:t xml:space="preserve"> methodology.</w:t>
      </w:r>
      <w:r>
        <w:t xml:space="preserve"> </w:t>
      </w:r>
      <w:r w:rsidR="00AA10DE" w:rsidRPr="00AA10DE">
        <w:t xml:space="preserve">This threshold provides a practical criterion for determining whether a household is included in </w:t>
      </w:r>
      <w:r w:rsidR="005B7A3A">
        <w:t>emission reduction</w:t>
      </w:r>
      <w:r w:rsidR="005B7A3A" w:rsidRPr="00AA10DE">
        <w:t xml:space="preserve"> </w:t>
      </w:r>
      <w:r w:rsidR="00AA10DE" w:rsidRPr="00AA10DE">
        <w:t>calculations. Importantly, this “user” designation does not affect how much fuel consumption is attributed to the household</w:t>
      </w:r>
      <w:r w:rsidR="00DC22D0">
        <w:t>, but rather, whether baseline fuel consumption is attributed at all</w:t>
      </w:r>
      <w:r w:rsidR="00AA10DE" w:rsidRPr="00AA10DE">
        <w:t xml:space="preserve">. To calculate </w:t>
      </w:r>
      <w:r w:rsidR="005B7A3A">
        <w:t>emission reductions</w:t>
      </w:r>
      <w:r w:rsidR="00AA10DE" w:rsidRPr="00AA10DE">
        <w:t xml:space="preserve">, </w:t>
      </w:r>
      <w:r w:rsidR="00AA10DE">
        <w:t>activities</w:t>
      </w:r>
      <w:r w:rsidR="00AA10DE" w:rsidRPr="00AA10DE">
        <w:t xml:space="preserve"> also need to measure the actual </w:t>
      </w:r>
      <w:r w:rsidR="00F674FE">
        <w:t>activity</w:t>
      </w:r>
      <w:r w:rsidR="00AA10DE">
        <w:t xml:space="preserve"> </w:t>
      </w:r>
      <w:r w:rsidR="00AA10DE" w:rsidRPr="00AA10DE">
        <w:t>fuel consumption of included households via KPTs</w:t>
      </w:r>
      <w:r w:rsidR="00AA10DE">
        <w:t>.</w:t>
      </w:r>
      <w:r w:rsidR="00494961">
        <w:t xml:space="preserve"> </w:t>
      </w:r>
      <w:r w:rsidR="00494961" w:rsidRPr="00494961">
        <w:t>KPTs directly measure household fuel consumption under real-world usage conditions. Because KPTs reflect actual cookstove use, including the effects of partial adoption and stacking with other technologies, any underutilization of project cookstoves is already accounted for in the fuel consumption estimates.</w:t>
      </w:r>
      <w:r w:rsidR="00DC22D0">
        <w:t xml:space="preserve"> Activity participants thereby have incentives to choose </w:t>
      </w:r>
      <w:r w:rsidR="00AE48B7">
        <w:t>project cookstoves that are highly suitable and desirable for the activity households, so that they will replace the use of their existing cooking devices</w:t>
      </w:r>
      <w:r w:rsidR="00E339A6">
        <w:t xml:space="preserve"> as much as possible</w:t>
      </w:r>
      <w:r w:rsidR="00AE48B7">
        <w:t>.</w:t>
      </w:r>
    </w:p>
    <w:p w14:paraId="2F4216B3" w14:textId="4729A80D" w:rsidR="00142B6E" w:rsidRPr="001C2394" w:rsidRDefault="00D9052C" w:rsidP="004E030D">
      <w:pPr>
        <w:pStyle w:val="SDMPara"/>
        <w:numPr>
          <w:ilvl w:val="0"/>
          <w:numId w:val="4"/>
        </w:numPr>
        <w:suppressAutoHyphens/>
      </w:pPr>
      <w:r>
        <w:t xml:space="preserve">To adjust for any potential </w:t>
      </w:r>
      <w:r w:rsidRPr="00D9052C">
        <w:rPr>
          <w:b/>
          <w:bCs/>
        </w:rPr>
        <w:t>Hawthorne effect</w:t>
      </w:r>
      <w:r>
        <w:t xml:space="preserve"> (i.e. a household may increase their use of the project </w:t>
      </w:r>
      <w:r w:rsidR="00F674FE">
        <w:t>cook</w:t>
      </w:r>
      <w:r>
        <w:t xml:space="preserve">stove when the KPT is being performed due to social desirability bias), the </w:t>
      </w:r>
      <w:r w:rsidR="008C6ED5">
        <w:t xml:space="preserve">mechanism </w:t>
      </w:r>
      <w:r>
        <w:t xml:space="preserve">methodology requires that </w:t>
      </w:r>
      <w:r w:rsidR="00E339A6">
        <w:t xml:space="preserve">activities </w:t>
      </w:r>
      <w:r>
        <w:t xml:space="preserve">either cap their </w:t>
      </w:r>
      <w:r w:rsidR="00BD5D99">
        <w:t xml:space="preserve">emission reductions </w:t>
      </w:r>
      <w:r>
        <w:t>at 75</w:t>
      </w:r>
      <w:r w:rsidR="00DE7B9B">
        <w:t xml:space="preserve"> per cent</w:t>
      </w:r>
      <w:r>
        <w:t xml:space="preserve"> of what the </w:t>
      </w:r>
      <w:r w:rsidR="00274B9F">
        <w:t>activity</w:t>
      </w:r>
      <w:r>
        <w:t xml:space="preserve"> KPT-based estimate would be</w:t>
      </w:r>
      <w:r w:rsidR="00E339A6">
        <w:t xml:space="preserve"> during a transition period</w:t>
      </w:r>
      <w:r>
        <w:t xml:space="preserve">, or measure any effects directly with stove use monitors (SUMs), comparing stove use during the KPT to the month before or after. If a potential Hawthorne </w:t>
      </w:r>
      <w:r w:rsidR="008C6ED5">
        <w:t>e</w:t>
      </w:r>
      <w:r>
        <w:t xml:space="preserve">ffect is measured using SUMs (meaning SUMs don't show sustained project </w:t>
      </w:r>
      <w:r w:rsidR="00274B9F">
        <w:t>cook</w:t>
      </w:r>
      <w:r>
        <w:t xml:space="preserve">stove use), </w:t>
      </w:r>
      <w:r w:rsidR="00E25A74">
        <w:t xml:space="preserve">emission reductions </w:t>
      </w:r>
      <w:r>
        <w:t xml:space="preserve">will be adjusted proportionally downward. </w:t>
      </w:r>
      <w:r w:rsidR="00337443">
        <w:t>Activity participants</w:t>
      </w:r>
      <w:r>
        <w:t xml:space="preserve"> cannot increase </w:t>
      </w:r>
      <w:r w:rsidR="008C6ED5">
        <w:t xml:space="preserve">A6.4 </w:t>
      </w:r>
      <w:r>
        <w:t>ERs based on SUMs data</w:t>
      </w:r>
      <w:r w:rsidR="009B496A">
        <w:t xml:space="preserve"> used to measure the Hawthorne </w:t>
      </w:r>
      <w:r w:rsidR="009C11CA">
        <w:t>e</w:t>
      </w:r>
      <w:r w:rsidR="009B496A">
        <w:t>ffect</w:t>
      </w:r>
      <w:r>
        <w:t>.</w:t>
      </w:r>
      <w:r w:rsidR="006C495F">
        <w:t xml:space="preserve"> The </w:t>
      </w:r>
      <w:r>
        <w:t>75</w:t>
      </w:r>
      <w:r w:rsidR="00DE7B9B">
        <w:t xml:space="preserve"> per cent</w:t>
      </w:r>
      <w:r>
        <w:t xml:space="preserve"> cap on </w:t>
      </w:r>
      <w:r w:rsidR="00E25A74">
        <w:t>emission reductions</w:t>
      </w:r>
      <w:r>
        <w:t xml:space="preserve"> when the Hawthorne effect is not directly measured is conservative based on a review of published and </w:t>
      </w:r>
      <w:r w:rsidR="007E1FA8">
        <w:t>grey</w:t>
      </w:r>
      <w:r>
        <w:t xml:space="preserve"> literature. This review included </w:t>
      </w:r>
      <w:r w:rsidR="00B44BE1">
        <w:t xml:space="preserve">one focused study that found a strong Hawthorne </w:t>
      </w:r>
      <w:r w:rsidR="009C11CA">
        <w:t>e</w:t>
      </w:r>
      <w:r w:rsidR="00B44BE1">
        <w:t xml:space="preserve">ffect (Simons et al. 2017), as well as </w:t>
      </w:r>
      <w:r>
        <w:t xml:space="preserve">recently released findings from a 2012-13 study by Berkeley Air Monitoring Group that did not find evidence of a strong Hawthorne Effect </w:t>
      </w:r>
      <w:r w:rsidR="004C6069">
        <w:t>(BAMG 2025)</w:t>
      </w:r>
      <w:r>
        <w:t xml:space="preserve">, </w:t>
      </w:r>
      <w:r w:rsidR="00B44BE1">
        <w:t>and</w:t>
      </w:r>
      <w:r>
        <w:t xml:space="preserve"> others</w:t>
      </w:r>
      <w:r w:rsidR="00615311">
        <w:t xml:space="preserve"> </w:t>
      </w:r>
      <w:r w:rsidR="00B44BE1">
        <w:t xml:space="preserve">reported in </w:t>
      </w:r>
      <w:r w:rsidR="004C6069">
        <w:t>Gill-Wiehl et al. 2024</w:t>
      </w:r>
      <w:r w:rsidR="00B44BE1">
        <w:t xml:space="preserve"> </w:t>
      </w:r>
      <w:r>
        <w:t xml:space="preserve">that did find evidence of the Hawthorne </w:t>
      </w:r>
      <w:r w:rsidR="00595146">
        <w:t>e</w:t>
      </w:r>
      <w:r>
        <w:t>ffect</w:t>
      </w:r>
      <w:r w:rsidR="00940C23">
        <w:t>.</w:t>
      </w:r>
      <w:r w:rsidR="00B44BE1">
        <w:t xml:space="preserve"> </w:t>
      </w:r>
      <w:r w:rsidR="00940C23">
        <w:t>G</w:t>
      </w:r>
      <w:r w:rsidR="00F81A27">
        <w:t xml:space="preserve">iven the contrasting </w:t>
      </w:r>
      <w:r w:rsidR="00485C8C">
        <w:t xml:space="preserve">results and </w:t>
      </w:r>
      <w:r w:rsidR="00FC2BCE">
        <w:t>lack of multiple results finding a strong effect</w:t>
      </w:r>
      <w:r w:rsidR="00986E21">
        <w:t>, 75 per cent is considered appropriat</w:t>
      </w:r>
      <w:r w:rsidR="00E44A26">
        <w:t>e in the context of the transition period toward direct monitoring</w:t>
      </w:r>
      <w:r>
        <w:t>.</w:t>
      </w:r>
    </w:p>
    <w:p w14:paraId="607CE13F" w14:textId="03BA6828" w:rsidR="001C2394" w:rsidRPr="001C2394" w:rsidRDefault="4B6F73C5" w:rsidP="00F36D0D">
      <w:pPr>
        <w:pStyle w:val="SDMApp1"/>
      </w:pPr>
      <w:r>
        <w:t>Emission factors</w:t>
      </w:r>
    </w:p>
    <w:p w14:paraId="35B96B08" w14:textId="521C2671" w:rsidR="00615311" w:rsidRDefault="00262D49" w:rsidP="004E030D">
      <w:pPr>
        <w:pStyle w:val="SDMPara"/>
        <w:suppressAutoHyphens/>
        <w:spacing w:line="259" w:lineRule="auto"/>
      </w:pPr>
      <w:r w:rsidRPr="008970A1">
        <w:t xml:space="preserve">Default emission factors are set in the </w:t>
      </w:r>
      <w:r w:rsidR="00595146">
        <w:t xml:space="preserve">mechanism </w:t>
      </w:r>
      <w:r w:rsidRPr="008970A1">
        <w:t xml:space="preserve">methodology for </w:t>
      </w:r>
      <w:r w:rsidR="00083D85" w:rsidRPr="008970A1">
        <w:t>direct (point-use) CO</w:t>
      </w:r>
      <w:r w:rsidR="00083D85" w:rsidRPr="008970A1">
        <w:rPr>
          <w:vertAlign w:val="subscript"/>
        </w:rPr>
        <w:t>2</w:t>
      </w:r>
      <w:r w:rsidR="00083D85" w:rsidRPr="008970A1">
        <w:t>, CH</w:t>
      </w:r>
      <w:r w:rsidR="00083D85" w:rsidRPr="008970A1">
        <w:rPr>
          <w:vertAlign w:val="subscript"/>
        </w:rPr>
        <w:t>4</w:t>
      </w:r>
      <w:r w:rsidR="00083D85" w:rsidRPr="008970A1">
        <w:t xml:space="preserve"> and N</w:t>
      </w:r>
      <w:r w:rsidR="00083D85" w:rsidRPr="008970A1">
        <w:rPr>
          <w:vertAlign w:val="subscript"/>
        </w:rPr>
        <w:t>2</w:t>
      </w:r>
      <w:r w:rsidR="00083D85" w:rsidRPr="008970A1">
        <w:t>O emissions from combusting fuelwood and charcoal in cookstoves in households</w:t>
      </w:r>
      <w:r w:rsidR="003403CD" w:rsidRPr="008970A1">
        <w:t xml:space="preserve"> in the </w:t>
      </w:r>
      <w:r w:rsidR="00484390" w:rsidRPr="008970A1">
        <w:t xml:space="preserve">rural, low-income </w:t>
      </w:r>
      <w:r w:rsidR="003403CD" w:rsidRPr="008970A1">
        <w:t xml:space="preserve">contexts eligible </w:t>
      </w:r>
      <w:r w:rsidR="00484390" w:rsidRPr="008970A1">
        <w:t xml:space="preserve">for this </w:t>
      </w:r>
      <w:r w:rsidR="0094160E">
        <w:t xml:space="preserve">mechanism </w:t>
      </w:r>
      <w:r w:rsidR="00484390" w:rsidRPr="008970A1">
        <w:t>methodology</w:t>
      </w:r>
      <w:r w:rsidR="00083D85" w:rsidRPr="008970A1">
        <w:t>.</w:t>
      </w:r>
      <w:r w:rsidR="00484390" w:rsidRPr="008970A1">
        <w:t xml:space="preserve"> </w:t>
      </w:r>
      <w:r w:rsidR="006D3B49" w:rsidRPr="008970A1">
        <w:t>The emission factors for fuelwood combustion</w:t>
      </w:r>
      <w:r w:rsidR="00E42C6E" w:rsidRPr="008970A1">
        <w:t xml:space="preserve"> are the central </w:t>
      </w:r>
      <w:r w:rsidR="007C6E36" w:rsidRPr="008970A1">
        <w:t xml:space="preserve">default </w:t>
      </w:r>
      <w:r w:rsidR="00E42C6E" w:rsidRPr="008970A1">
        <w:t>values</w:t>
      </w:r>
      <w:r w:rsidR="007C6E36" w:rsidRPr="008970A1">
        <w:t xml:space="preserve"> </w:t>
      </w:r>
      <w:r w:rsidR="00081CC6" w:rsidRPr="008970A1">
        <w:t xml:space="preserve">for residential </w:t>
      </w:r>
      <w:r w:rsidR="002350BD" w:rsidRPr="008970A1">
        <w:t xml:space="preserve">categories </w:t>
      </w:r>
      <w:r w:rsidR="007C6E36" w:rsidRPr="008970A1">
        <w:t xml:space="preserve">from </w:t>
      </w:r>
      <w:r w:rsidR="005E080B">
        <w:t>t</w:t>
      </w:r>
      <w:r w:rsidR="00081CC6" w:rsidRPr="008970A1">
        <w:t>ab</w:t>
      </w:r>
      <w:r w:rsidR="002350BD" w:rsidRPr="008970A1">
        <w:t xml:space="preserve">le </w:t>
      </w:r>
      <w:r w:rsidR="00F91053" w:rsidRPr="008970A1">
        <w:t xml:space="preserve">2.5 of </w:t>
      </w:r>
      <w:r w:rsidR="007C6E36" w:rsidRPr="00CB7932">
        <w:t>IPCC 2006</w:t>
      </w:r>
      <w:r w:rsidR="00F91053" w:rsidRPr="008970A1">
        <w:t>.</w:t>
      </w:r>
      <w:r w:rsidR="00B00E31" w:rsidRPr="008970A1">
        <w:t xml:space="preserve"> These are considered average</w:t>
      </w:r>
      <w:r w:rsidR="006F21C8" w:rsidRPr="008970A1">
        <w:t xml:space="preserve"> for the CO</w:t>
      </w:r>
      <w:r w:rsidR="006F21C8" w:rsidRPr="008970A1">
        <w:rPr>
          <w:vertAlign w:val="subscript"/>
        </w:rPr>
        <w:t>2</w:t>
      </w:r>
      <w:r w:rsidR="006F21C8" w:rsidRPr="008970A1">
        <w:t xml:space="preserve"> emission </w:t>
      </w:r>
      <w:r w:rsidR="008D5B08" w:rsidRPr="008970A1">
        <w:t>factor and</w:t>
      </w:r>
      <w:r w:rsidR="006F21C8" w:rsidRPr="008970A1">
        <w:t xml:space="preserve"> tending toward</w:t>
      </w:r>
      <w:r w:rsidR="00B00E31" w:rsidRPr="008970A1">
        <w:t xml:space="preserve"> conservative</w:t>
      </w:r>
      <w:r w:rsidR="007A1CEF" w:rsidRPr="008970A1">
        <w:t xml:space="preserve"> for the CH</w:t>
      </w:r>
      <w:r w:rsidR="007A1CEF" w:rsidRPr="008970A1">
        <w:rPr>
          <w:vertAlign w:val="subscript"/>
        </w:rPr>
        <w:t>4</w:t>
      </w:r>
      <w:r w:rsidR="007A1CEF" w:rsidRPr="008970A1">
        <w:t xml:space="preserve"> and N</w:t>
      </w:r>
      <w:r w:rsidR="007A1CEF" w:rsidRPr="008970A1">
        <w:rPr>
          <w:vertAlign w:val="subscript"/>
        </w:rPr>
        <w:t>2</w:t>
      </w:r>
      <w:r w:rsidR="007A1CEF" w:rsidRPr="008970A1">
        <w:t>O emission factors, since</w:t>
      </w:r>
      <w:r w:rsidR="00B35657" w:rsidRPr="008970A1">
        <w:t xml:space="preserve"> combustion efficiency in traditional stoves tends to be </w:t>
      </w:r>
      <w:r w:rsidR="004954D1" w:rsidRPr="008970A1">
        <w:t>relatively low</w:t>
      </w:r>
      <w:r w:rsidR="001F7FB5" w:rsidRPr="008970A1">
        <w:t>er</w:t>
      </w:r>
      <w:r w:rsidR="00BB4FBD" w:rsidRPr="008970A1">
        <w:t xml:space="preserve"> (MacCarty et al. 2010)</w:t>
      </w:r>
      <w:r w:rsidR="00690490" w:rsidRPr="008970A1">
        <w:t xml:space="preserve">, correlated with higher </w:t>
      </w:r>
      <w:r w:rsidR="00301968" w:rsidRPr="008970A1">
        <w:t>CH</w:t>
      </w:r>
      <w:r w:rsidR="00301968" w:rsidRPr="008970A1">
        <w:rPr>
          <w:vertAlign w:val="subscript"/>
        </w:rPr>
        <w:t>4</w:t>
      </w:r>
      <w:r w:rsidR="00301968" w:rsidRPr="008970A1">
        <w:t xml:space="preserve"> emissions</w:t>
      </w:r>
      <w:r w:rsidR="00F67CB2" w:rsidRPr="008970A1">
        <w:t xml:space="preserve"> (e.g., Jetter </w:t>
      </w:r>
      <w:r w:rsidR="00110045" w:rsidRPr="008970A1">
        <w:t>et al. 2012)</w:t>
      </w:r>
      <w:r w:rsidR="00184FAF" w:rsidRPr="008970A1">
        <w:t>. N</w:t>
      </w:r>
      <w:r w:rsidR="00184FAF" w:rsidRPr="008970A1">
        <w:rPr>
          <w:vertAlign w:val="subscript"/>
        </w:rPr>
        <w:t>2</w:t>
      </w:r>
      <w:r w:rsidR="00184FAF" w:rsidRPr="008970A1">
        <w:t xml:space="preserve">O emissions have been less </w:t>
      </w:r>
      <w:r w:rsidR="00184FAF" w:rsidRPr="00444601">
        <w:t>studied</w:t>
      </w:r>
      <w:r w:rsidR="001E0A66" w:rsidRPr="00444601">
        <w:t xml:space="preserve"> in this context</w:t>
      </w:r>
      <w:r w:rsidR="00902D50" w:rsidRPr="00444601">
        <w:t>,</w:t>
      </w:r>
      <w:r w:rsidR="00184FAF" w:rsidRPr="00444601">
        <w:t xml:space="preserve"> but the </w:t>
      </w:r>
      <w:r w:rsidR="00902D50" w:rsidRPr="00444601">
        <w:t>research on pollutant emissions</w:t>
      </w:r>
      <w:r w:rsidR="00184FAF" w:rsidRPr="00444601">
        <w:t xml:space="preserve"> of</w:t>
      </w:r>
      <w:r w:rsidR="00902D50" w:rsidRPr="00444601">
        <w:t xml:space="preserve"> charcoal stoves </w:t>
      </w:r>
      <w:r w:rsidR="007501CD" w:rsidRPr="00444601">
        <w:t>summarized in 4C</w:t>
      </w:r>
      <w:r w:rsidR="00E0307C" w:rsidRPr="00444601">
        <w:t> </w:t>
      </w:r>
      <w:r w:rsidR="007501CD" w:rsidRPr="00444601">
        <w:t xml:space="preserve">2025b </w:t>
      </w:r>
      <w:r w:rsidR="00902D50" w:rsidRPr="00444601">
        <w:t xml:space="preserve">found </w:t>
      </w:r>
      <w:r w:rsidR="00CF11D3" w:rsidRPr="00444601">
        <w:t xml:space="preserve">much </w:t>
      </w:r>
      <w:r w:rsidR="00902D50" w:rsidRPr="00444601">
        <w:t>higher emissions of N</w:t>
      </w:r>
      <w:r w:rsidR="00902D50" w:rsidRPr="00444601">
        <w:rPr>
          <w:vertAlign w:val="subscript"/>
        </w:rPr>
        <w:t>2</w:t>
      </w:r>
      <w:r w:rsidR="00902D50" w:rsidRPr="00444601">
        <w:t>O from traditional</w:t>
      </w:r>
      <w:r w:rsidR="0086115F" w:rsidRPr="00444601">
        <w:t xml:space="preserve"> cooking technologies</w:t>
      </w:r>
      <w:r w:rsidR="00C62066" w:rsidRPr="00444601">
        <w:t>.</w:t>
      </w:r>
    </w:p>
    <w:p w14:paraId="69C02577" w14:textId="66285E60" w:rsidR="006D2932" w:rsidRPr="00444601" w:rsidRDefault="002848F9" w:rsidP="004E030D">
      <w:pPr>
        <w:pStyle w:val="SDMPara"/>
        <w:suppressAutoHyphens/>
        <w:spacing w:line="259" w:lineRule="auto"/>
      </w:pPr>
      <w:r w:rsidRPr="00444601">
        <w:t xml:space="preserve">The </w:t>
      </w:r>
      <w:r w:rsidR="00436D33" w:rsidRPr="00444601">
        <w:t>CO</w:t>
      </w:r>
      <w:r w:rsidR="00436D33" w:rsidRPr="00444601">
        <w:rPr>
          <w:vertAlign w:val="subscript"/>
        </w:rPr>
        <w:t>2</w:t>
      </w:r>
      <w:r w:rsidR="00436D33" w:rsidRPr="00444601">
        <w:t xml:space="preserve"> </w:t>
      </w:r>
      <w:r w:rsidR="009E5EC1" w:rsidRPr="00444601">
        <w:t>and CH</w:t>
      </w:r>
      <w:r w:rsidR="009E5EC1" w:rsidRPr="00444601">
        <w:rPr>
          <w:vertAlign w:val="subscript"/>
        </w:rPr>
        <w:t>4</w:t>
      </w:r>
      <w:r w:rsidR="009E5EC1" w:rsidRPr="00444601">
        <w:t xml:space="preserve"> </w:t>
      </w:r>
      <w:r w:rsidRPr="00444601">
        <w:t>emission factor</w:t>
      </w:r>
      <w:r w:rsidR="009E5EC1" w:rsidRPr="00444601">
        <w:t>s</w:t>
      </w:r>
      <w:r w:rsidRPr="00444601">
        <w:t xml:space="preserve"> for charcoal combustion </w:t>
      </w:r>
      <w:r w:rsidR="009E5EC1" w:rsidRPr="00444601">
        <w:t xml:space="preserve">are </w:t>
      </w:r>
      <w:r w:rsidR="007E3CE3" w:rsidRPr="00444601">
        <w:t>drawn</w:t>
      </w:r>
      <w:r w:rsidR="00436D33" w:rsidRPr="00444601">
        <w:t xml:space="preserve"> from</w:t>
      </w:r>
      <w:r w:rsidR="00E13A08" w:rsidRPr="00444601">
        <w:t xml:space="preserve"> context-specific</w:t>
      </w:r>
      <w:r w:rsidR="00436D33" w:rsidRPr="00444601">
        <w:t xml:space="preserve"> </w:t>
      </w:r>
      <w:r w:rsidR="007E3CE3" w:rsidRPr="00444601">
        <w:t>research</w:t>
      </w:r>
      <w:r w:rsidR="00E13A08" w:rsidRPr="00444601">
        <w:t xml:space="preserve"> that better reflects activity conditions</w:t>
      </w:r>
      <w:r w:rsidR="009F19BA" w:rsidRPr="00444601">
        <w:t xml:space="preserve"> (Akagi</w:t>
      </w:r>
      <w:r w:rsidR="00CC4B6B" w:rsidRPr="00444601">
        <w:t xml:space="preserve"> et al. 2011</w:t>
      </w:r>
      <w:r w:rsidR="009F19BA" w:rsidRPr="00444601">
        <w:t>, Bertschi</w:t>
      </w:r>
      <w:r w:rsidR="00CC4B6B" w:rsidRPr="00444601">
        <w:t xml:space="preserve"> et al. 2003</w:t>
      </w:r>
      <w:r w:rsidR="009F19BA" w:rsidRPr="00444601">
        <w:t>, Brocard</w:t>
      </w:r>
      <w:r w:rsidR="00CC4B6B" w:rsidRPr="00444601">
        <w:t xml:space="preserve"> et al. 1996</w:t>
      </w:r>
      <w:r w:rsidR="009F19BA" w:rsidRPr="00444601">
        <w:t xml:space="preserve"> and Smith</w:t>
      </w:r>
      <w:r w:rsidR="00944496" w:rsidRPr="00444601">
        <w:t xml:space="preserve"> et al. 2000</w:t>
      </w:r>
      <w:r w:rsidR="009F19BA" w:rsidRPr="00444601">
        <w:t>)</w:t>
      </w:r>
      <w:r w:rsidR="00E13A08" w:rsidRPr="00444601">
        <w:t>. The CO</w:t>
      </w:r>
      <w:r w:rsidR="00E13A08" w:rsidRPr="00444601">
        <w:rPr>
          <w:vertAlign w:val="subscript"/>
        </w:rPr>
        <w:t>2</w:t>
      </w:r>
      <w:r w:rsidR="00E13A08" w:rsidRPr="00444601">
        <w:t xml:space="preserve"> emission factor is lower than the IPCC 2006 factors</w:t>
      </w:r>
      <w:r w:rsidR="003F0188" w:rsidRPr="00444601">
        <w:t xml:space="preserve"> (since a larger per cent of the C in charcoal is emitted as CO</w:t>
      </w:r>
      <w:r w:rsidR="009F19BA" w:rsidRPr="00444601">
        <w:t>- included</w:t>
      </w:r>
      <w:r w:rsidR="00B32BD2" w:rsidRPr="00444601">
        <w:t xml:space="preserve"> in the emission factor due to short life and oxidation in the atmosphere-</w:t>
      </w:r>
      <w:r w:rsidR="003F0188" w:rsidRPr="00444601">
        <w:t>, CH</w:t>
      </w:r>
      <w:r w:rsidR="003F0188" w:rsidRPr="00444601">
        <w:rPr>
          <w:vertAlign w:val="subscript"/>
        </w:rPr>
        <w:t>4</w:t>
      </w:r>
      <w:r w:rsidR="003F0188" w:rsidRPr="00444601">
        <w:t xml:space="preserve"> and </w:t>
      </w:r>
      <w:r w:rsidR="00E748FD" w:rsidRPr="00444601">
        <w:t>n</w:t>
      </w:r>
      <w:r w:rsidR="00DA1C3F" w:rsidRPr="00444601">
        <w:t>on-methane hydrocarbons (</w:t>
      </w:r>
      <w:r w:rsidR="003F0188" w:rsidRPr="00444601">
        <w:t>NMHC</w:t>
      </w:r>
      <w:r w:rsidR="00DA1C3F" w:rsidRPr="00444601">
        <w:t>)</w:t>
      </w:r>
      <w:r w:rsidR="00136943" w:rsidRPr="00444601">
        <w:t>, instead of CO</w:t>
      </w:r>
      <w:r w:rsidR="00136943" w:rsidRPr="00444601">
        <w:rPr>
          <w:vertAlign w:val="subscript"/>
        </w:rPr>
        <w:t>2</w:t>
      </w:r>
      <w:r w:rsidR="00136943" w:rsidRPr="00444601">
        <w:t>, under these combustion conditions)</w:t>
      </w:r>
      <w:r w:rsidR="00E13A08" w:rsidRPr="00444601">
        <w:t xml:space="preserve"> and is considered conservative. The CH</w:t>
      </w:r>
      <w:r w:rsidR="00E13A08" w:rsidRPr="00444601">
        <w:rPr>
          <w:vertAlign w:val="subscript"/>
        </w:rPr>
        <w:t>4</w:t>
      </w:r>
      <w:r w:rsidR="00E0307C" w:rsidRPr="00444601">
        <w:t> </w:t>
      </w:r>
      <w:r w:rsidR="00E13A08" w:rsidRPr="00444601">
        <w:t xml:space="preserve">emission factor </w:t>
      </w:r>
      <w:r w:rsidR="00A72BF3" w:rsidRPr="00444601">
        <w:t xml:space="preserve">is the IPCC 2006 central value, which is </w:t>
      </w:r>
      <w:r w:rsidR="0011293E" w:rsidRPr="00444601">
        <w:t xml:space="preserve">considered </w:t>
      </w:r>
      <w:r w:rsidR="00A53120" w:rsidRPr="00444601">
        <w:t xml:space="preserve">tending toward </w:t>
      </w:r>
      <w:r w:rsidR="0011293E" w:rsidRPr="00444601">
        <w:t xml:space="preserve">conservative for this context based on </w:t>
      </w:r>
      <w:r w:rsidR="00B32BD2" w:rsidRPr="00444601">
        <w:t>the literature</w:t>
      </w:r>
      <w:r w:rsidR="00AA4F8D" w:rsidRPr="00444601">
        <w:t>.</w:t>
      </w:r>
      <w:r w:rsidR="00C61627" w:rsidRPr="00444601">
        <w:t xml:space="preserve"> The N</w:t>
      </w:r>
      <w:r w:rsidR="00C61627" w:rsidRPr="00444601">
        <w:rPr>
          <w:vertAlign w:val="subscript"/>
        </w:rPr>
        <w:t>2</w:t>
      </w:r>
      <w:r w:rsidR="00C61627" w:rsidRPr="00444601">
        <w:t>O emission factor is the IPCC 2006 upper bound, which is considered conservative</w:t>
      </w:r>
      <w:r w:rsidR="00A53120" w:rsidRPr="00444601">
        <w:t xml:space="preserve"> for this context, given that it is still 2.5 times lower </w:t>
      </w:r>
      <w:r w:rsidR="00E53EF4" w:rsidRPr="00444601">
        <w:t>than the values reported in context-specific research summarized in 4C</w:t>
      </w:r>
      <w:r w:rsidR="000568EF" w:rsidRPr="00444601">
        <w:t> </w:t>
      </w:r>
      <w:r w:rsidR="00E53EF4" w:rsidRPr="00444601">
        <w:t>2025b.</w:t>
      </w:r>
    </w:p>
    <w:p w14:paraId="00647496" w14:textId="7F718A2F" w:rsidR="001C2394" w:rsidRPr="00617916" w:rsidRDefault="00484390" w:rsidP="004E030D">
      <w:pPr>
        <w:pStyle w:val="SDMPara"/>
        <w:suppressAutoHyphens/>
        <w:spacing w:line="259" w:lineRule="auto"/>
      </w:pPr>
      <w:r w:rsidRPr="00617916">
        <w:t>Default emission factors also are set for upstream CO</w:t>
      </w:r>
      <w:r w:rsidRPr="00617916">
        <w:rPr>
          <w:vertAlign w:val="subscript"/>
        </w:rPr>
        <w:t>2</w:t>
      </w:r>
      <w:r w:rsidRPr="00617916">
        <w:t>, CH</w:t>
      </w:r>
      <w:r w:rsidRPr="00617916">
        <w:rPr>
          <w:vertAlign w:val="subscript"/>
        </w:rPr>
        <w:t>4</w:t>
      </w:r>
      <w:r w:rsidRPr="00617916">
        <w:t xml:space="preserve"> and N</w:t>
      </w:r>
      <w:r w:rsidRPr="00617916">
        <w:rPr>
          <w:vertAlign w:val="subscript"/>
        </w:rPr>
        <w:t>2</w:t>
      </w:r>
      <w:r w:rsidRPr="00617916">
        <w:t>O emissions from</w:t>
      </w:r>
      <w:r w:rsidR="00A96FE3" w:rsidRPr="00617916">
        <w:t xml:space="preserve"> the production of </w:t>
      </w:r>
      <w:r w:rsidR="0067796E">
        <w:t xml:space="preserve">artisanal </w:t>
      </w:r>
      <w:r w:rsidR="00A96FE3" w:rsidRPr="00617916">
        <w:t>charcoal in kilns</w:t>
      </w:r>
      <w:r w:rsidR="00524533" w:rsidRPr="00617916">
        <w:t>.</w:t>
      </w:r>
      <w:r w:rsidR="009437E3" w:rsidRPr="00617916" w:rsidDel="0067796E">
        <w:t xml:space="preserve"> </w:t>
      </w:r>
      <w:r w:rsidR="0067796E">
        <w:t>Artisanal c</w:t>
      </w:r>
      <w:r w:rsidR="0067796E" w:rsidRPr="00617916">
        <w:t>harcoal</w:t>
      </w:r>
      <w:r w:rsidR="009437E3" w:rsidRPr="00617916">
        <w:t xml:space="preserve"> kiln emissions </w:t>
      </w:r>
      <w:r w:rsidR="00603C46" w:rsidRPr="00617916">
        <w:t xml:space="preserve">are analysed and emission factors derived </w:t>
      </w:r>
      <w:r w:rsidR="00A706CC">
        <w:t>from an analysis of</w:t>
      </w:r>
      <w:r w:rsidR="00626F55" w:rsidRPr="00617916">
        <w:t xml:space="preserve"> </w:t>
      </w:r>
      <w:r w:rsidR="00767FFB" w:rsidRPr="00617916">
        <w:t xml:space="preserve">data from Bertschi et al. </w:t>
      </w:r>
      <w:r w:rsidR="00521873" w:rsidRPr="00617916">
        <w:t xml:space="preserve">2003, Smith et al. 1999, Pennise et al. 2001, </w:t>
      </w:r>
      <w:r w:rsidR="001D1645" w:rsidRPr="00617916">
        <w:t xml:space="preserve">and three other </w:t>
      </w:r>
      <w:r w:rsidR="005E6B94" w:rsidRPr="00617916">
        <w:t xml:space="preserve">peer-reviewed </w:t>
      </w:r>
      <w:r w:rsidR="001D1645" w:rsidRPr="00617916">
        <w:t>studies</w:t>
      </w:r>
      <w:r w:rsidR="00230D3F" w:rsidRPr="00617916">
        <w:t xml:space="preserve"> with measurements from </w:t>
      </w:r>
      <w:r w:rsidR="003E78CF" w:rsidRPr="00617916">
        <w:t xml:space="preserve">low- to middle-income settings in </w:t>
      </w:r>
      <w:r w:rsidR="00086DCB">
        <w:t>S</w:t>
      </w:r>
      <w:r w:rsidR="00230D3F" w:rsidRPr="00617916">
        <w:t>ub-Saharan Africa, Asia, and the Americas</w:t>
      </w:r>
      <w:r w:rsidR="001D1645" w:rsidRPr="00617916">
        <w:t>.</w:t>
      </w:r>
      <w:r w:rsidR="008D3F71" w:rsidRPr="00617916">
        <w:t xml:space="preserve"> The average conversion rate from </w:t>
      </w:r>
      <w:r w:rsidR="0062700B" w:rsidRPr="00617916">
        <w:t>the</w:t>
      </w:r>
      <w:r w:rsidR="008D3F71" w:rsidRPr="00617916">
        <w:t xml:space="preserve"> studies</w:t>
      </w:r>
      <w:r w:rsidR="0062700B" w:rsidRPr="00617916">
        <w:t xml:space="preserve"> </w:t>
      </w:r>
      <w:r w:rsidR="008D3F71" w:rsidRPr="00617916">
        <w:t>is 3.</w:t>
      </w:r>
      <w:r w:rsidR="0067796E">
        <w:t>5</w:t>
      </w:r>
      <w:r w:rsidR="0067796E" w:rsidRPr="00617916">
        <w:t xml:space="preserve"> </w:t>
      </w:r>
      <w:r w:rsidR="008D3F71" w:rsidRPr="00617916">
        <w:t>tonnes of oven-dry wood per tonne of charcoal</w:t>
      </w:r>
      <w:r w:rsidR="005E6B94" w:rsidRPr="00617916">
        <w:t>;</w:t>
      </w:r>
      <w:r w:rsidR="008D3F71" w:rsidRPr="00617916">
        <w:t xml:space="preserve"> </w:t>
      </w:r>
      <w:r w:rsidR="005E6B94" w:rsidRPr="00617916">
        <w:t>h</w:t>
      </w:r>
      <w:r w:rsidR="008D3F71" w:rsidRPr="00617916">
        <w:t>owever, those studies were conducted under controlled conditions</w:t>
      </w:r>
      <w:r w:rsidR="005E6B94" w:rsidRPr="00617916">
        <w:t xml:space="preserve"> that</w:t>
      </w:r>
      <w:r w:rsidR="008D3F71" w:rsidRPr="00617916">
        <w:t xml:space="preserve"> tend to yield higher conversion efficiencies than those typically observed in field conditions. </w:t>
      </w:r>
      <w:r w:rsidR="003D6108" w:rsidRPr="00617916">
        <w:t>Therefore</w:t>
      </w:r>
      <w:r w:rsidR="00421B36" w:rsidRPr="00617916">
        <w:t>,</w:t>
      </w:r>
      <w:r w:rsidR="003D6108" w:rsidRPr="00617916">
        <w:t xml:space="preserve"> the</w:t>
      </w:r>
      <w:r w:rsidR="008D3F71" w:rsidRPr="00617916">
        <w:t xml:space="preserve"> CO</w:t>
      </w:r>
      <w:r w:rsidR="008D3F71" w:rsidRPr="00617916">
        <w:rPr>
          <w:vertAlign w:val="subscript"/>
        </w:rPr>
        <w:t>2</w:t>
      </w:r>
      <w:r w:rsidR="008D3F71" w:rsidRPr="00617916">
        <w:t xml:space="preserve"> and CH</w:t>
      </w:r>
      <w:r w:rsidR="008D3F71" w:rsidRPr="00617916">
        <w:rPr>
          <w:vertAlign w:val="subscript"/>
        </w:rPr>
        <w:t>4</w:t>
      </w:r>
      <w:r w:rsidR="008D3F71" w:rsidRPr="00617916">
        <w:t xml:space="preserve"> emission factors </w:t>
      </w:r>
      <w:r w:rsidR="003D6108" w:rsidRPr="00617916">
        <w:t xml:space="preserve">from the studies are adjusted </w:t>
      </w:r>
      <w:r w:rsidR="008D3F71" w:rsidRPr="00617916">
        <w:t xml:space="preserve">to reflect </w:t>
      </w:r>
      <w:r w:rsidR="003D6108" w:rsidRPr="00617916">
        <w:t>a higher wood-to-charcoal conversion factor</w:t>
      </w:r>
      <w:r w:rsidR="00DB001E" w:rsidRPr="00617916">
        <w:t>. Wood-to-charcoal conversion factors are reported in Urban et al. 2026 and reviewed and discussed in 4C 2025a</w:t>
      </w:r>
      <w:r w:rsidR="008D3F71" w:rsidRPr="00617916">
        <w:t>.</w:t>
      </w:r>
      <w:r w:rsidR="00FD53DA" w:rsidRPr="00617916">
        <w:t xml:space="preserve"> The </w:t>
      </w:r>
      <w:r w:rsidR="002779FA" w:rsidRPr="00617916">
        <w:t>review found that</w:t>
      </w:r>
      <w:r w:rsidR="00BC4A9F" w:rsidRPr="00617916">
        <w:t xml:space="preserve"> the individual measurements in the</w:t>
      </w:r>
      <w:r w:rsidR="002779FA" w:rsidRPr="00617916">
        <w:t xml:space="preserve"> </w:t>
      </w:r>
      <w:r w:rsidR="00803C75" w:rsidRPr="00617916">
        <w:t xml:space="preserve">studies focused on </w:t>
      </w:r>
      <w:r w:rsidR="00E04811" w:rsidRPr="00617916">
        <w:t>conversion efficiency</w:t>
      </w:r>
      <w:r w:rsidR="0099510E" w:rsidRPr="00617916" w:rsidDel="0067796E">
        <w:t xml:space="preserve"> </w:t>
      </w:r>
      <w:r w:rsidR="0099510E" w:rsidRPr="00617916">
        <w:t>have mean and median values around 1</w:t>
      </w:r>
      <w:r w:rsidR="00753933" w:rsidRPr="00617916">
        <w:t>7</w:t>
      </w:r>
      <w:r w:rsidR="00DE7B9B">
        <w:t xml:space="preserve"> per cent</w:t>
      </w:r>
      <w:r w:rsidR="0099510E" w:rsidRPr="00617916">
        <w:t xml:space="preserve"> (</w:t>
      </w:r>
      <w:r w:rsidR="00227A14" w:rsidRPr="00617916">
        <w:t>5.8</w:t>
      </w:r>
      <w:r w:rsidR="0099510E" w:rsidRPr="00617916">
        <w:t>:1).</w:t>
      </w:r>
      <w:r w:rsidR="00E204BE" w:rsidRPr="00617916">
        <w:t xml:space="preserve"> </w:t>
      </w:r>
      <w:r w:rsidR="00E17A2D" w:rsidRPr="00617916">
        <w:t xml:space="preserve">Further, Urban et al. 2026 </w:t>
      </w:r>
      <w:r w:rsidR="00D25096" w:rsidRPr="00617916">
        <w:t xml:space="preserve">undertook field studies of </w:t>
      </w:r>
      <w:r w:rsidR="00214DF5" w:rsidRPr="00617916">
        <w:t xml:space="preserve">earth mound </w:t>
      </w:r>
      <w:r w:rsidR="001C3346" w:rsidRPr="00617916">
        <w:t>kilns prepared, operated</w:t>
      </w:r>
      <w:r w:rsidR="00E204BE" w:rsidRPr="00617916">
        <w:t xml:space="preserve"> and harvested by kiln operators in Ghana and Malawi </w:t>
      </w:r>
      <w:r w:rsidR="0050064D" w:rsidRPr="00617916">
        <w:t>and found an overall weighted average of 7.1:1</w:t>
      </w:r>
      <w:r w:rsidR="00AB0B10" w:rsidRPr="00617916">
        <w:t xml:space="preserve"> and variable performance across kilns</w:t>
      </w:r>
      <w:r w:rsidR="00853209" w:rsidRPr="00617916">
        <w:t xml:space="preserve">. With this, a conversion factor of </w:t>
      </w:r>
      <w:r w:rsidR="001D6219">
        <w:t>5:1</w:t>
      </w:r>
      <w:r w:rsidR="00853209" w:rsidRPr="00617916">
        <w:t xml:space="preserve"> is </w:t>
      </w:r>
      <w:r w:rsidR="00E80E01" w:rsidRPr="00617916">
        <w:t xml:space="preserve">considered </w:t>
      </w:r>
      <w:r w:rsidR="00853209" w:rsidRPr="00617916">
        <w:t>conservative</w:t>
      </w:r>
      <w:r w:rsidR="00D5538B">
        <w:t>,</w:t>
      </w:r>
      <w:r w:rsidR="00E80E01" w:rsidRPr="00617916">
        <w:t xml:space="preserve"> </w:t>
      </w:r>
      <w:r w:rsidR="00381BE8">
        <w:t>as are</w:t>
      </w:r>
      <w:r w:rsidR="00381BE8" w:rsidRPr="00617916">
        <w:t xml:space="preserve"> </w:t>
      </w:r>
      <w:r w:rsidR="00E80E01" w:rsidRPr="00617916">
        <w:t xml:space="preserve">the </w:t>
      </w:r>
      <w:r w:rsidR="002D6794" w:rsidRPr="00617916">
        <w:t>resulting emission factors for CO</w:t>
      </w:r>
      <w:r w:rsidR="002D6794" w:rsidRPr="00D66604">
        <w:rPr>
          <w:vertAlign w:val="subscript"/>
        </w:rPr>
        <w:t>2</w:t>
      </w:r>
      <w:r w:rsidR="00E636FE" w:rsidRPr="00617916">
        <w:t xml:space="preserve"> and CH</w:t>
      </w:r>
      <w:r w:rsidR="00E636FE" w:rsidRPr="00D66604">
        <w:rPr>
          <w:vertAlign w:val="subscript"/>
        </w:rPr>
        <w:t>4</w:t>
      </w:r>
      <w:r w:rsidR="00E636FE" w:rsidRPr="00617916">
        <w:t xml:space="preserve"> applying this conversion factor. The N</w:t>
      </w:r>
      <w:r w:rsidR="00E636FE" w:rsidRPr="00D66604">
        <w:rPr>
          <w:vertAlign w:val="subscript"/>
        </w:rPr>
        <w:t>2</w:t>
      </w:r>
      <w:r w:rsidR="00E636FE" w:rsidRPr="00617916">
        <w:t xml:space="preserve">O </w:t>
      </w:r>
      <w:r w:rsidR="00DC3F30" w:rsidRPr="00617916">
        <w:t>emission factor is also taken from the context-specific research and is considered an average value</w:t>
      </w:r>
      <w:r w:rsidR="00724BE8">
        <w:t xml:space="preserve"> (4C 2025b)</w:t>
      </w:r>
      <w:r w:rsidR="00DC3F30" w:rsidRPr="00617916">
        <w:t>.</w:t>
      </w:r>
      <w:r w:rsidR="0039421D" w:rsidRPr="00617916">
        <w:t xml:space="preserve"> When compared with the emission factors for charcoal production from </w:t>
      </w:r>
      <w:r w:rsidR="005E080B">
        <w:t>t</w:t>
      </w:r>
      <w:r w:rsidR="001319BB" w:rsidRPr="00617916">
        <w:t xml:space="preserve">able 4.3.3 </w:t>
      </w:r>
      <w:r w:rsidR="002F36A2">
        <w:t xml:space="preserve">of </w:t>
      </w:r>
      <w:r w:rsidR="0039421D" w:rsidRPr="00617916">
        <w:t>IPCC 2019</w:t>
      </w:r>
      <w:r w:rsidR="001319BB" w:rsidRPr="00617916">
        <w:t>, the default emission factors</w:t>
      </w:r>
      <w:r w:rsidR="005B3C9E" w:rsidRPr="00617916">
        <w:t xml:space="preserve"> in this methodology fall in the range between the average and upper bound default emission factors</w:t>
      </w:r>
      <w:r w:rsidR="00245EDD" w:rsidRPr="00617916">
        <w:t xml:space="preserve">, </w:t>
      </w:r>
      <w:r w:rsidR="00D66604">
        <w:t>and</w:t>
      </w:r>
      <w:r w:rsidR="00D66604" w:rsidRPr="00617916">
        <w:t xml:space="preserve"> </w:t>
      </w:r>
      <w:r w:rsidR="00D66604">
        <w:t>the IPCC 2019 ranges</w:t>
      </w:r>
      <w:r w:rsidR="00D66604" w:rsidRPr="00617916">
        <w:t xml:space="preserve"> </w:t>
      </w:r>
      <w:r w:rsidR="00245EDD" w:rsidRPr="00617916">
        <w:t>do not consider</w:t>
      </w:r>
      <w:r w:rsidR="00532CE7" w:rsidRPr="00617916">
        <w:t xml:space="preserve"> conversion efficiencies</w:t>
      </w:r>
      <w:r w:rsidR="008A28A3" w:rsidRPr="00617916">
        <w:t xml:space="preserve"> other than those directly reported in the studies</w:t>
      </w:r>
      <w:r w:rsidR="000E5504">
        <w:t xml:space="preserve"> of controlled conditions</w:t>
      </w:r>
      <w:r w:rsidR="00AB0B10" w:rsidRPr="00617916">
        <w:t>.</w:t>
      </w:r>
    </w:p>
    <w:p w14:paraId="304B939F" w14:textId="21AFE7CE" w:rsidR="001C2394" w:rsidRPr="001C2394" w:rsidRDefault="00FB62B0" w:rsidP="00F36D0D">
      <w:pPr>
        <w:pStyle w:val="SDMApp1"/>
      </w:pPr>
      <w:r>
        <w:t xml:space="preserve">Determination of a </w:t>
      </w:r>
      <w:r w:rsidR="004D7CC7">
        <w:t>c</w:t>
      </w:r>
      <w:r w:rsidR="001C2394" w:rsidRPr="001C2394">
        <w:t>onservative BAU</w:t>
      </w:r>
      <w:r w:rsidR="004D7CC7">
        <w:t xml:space="preserve"> scenario</w:t>
      </w:r>
    </w:p>
    <w:p w14:paraId="5E6B16C6" w14:textId="6A39C153" w:rsidR="001C2394" w:rsidRPr="001C2394" w:rsidRDefault="001C2394" w:rsidP="004E030D">
      <w:pPr>
        <w:pStyle w:val="SDMPara"/>
        <w:numPr>
          <w:ilvl w:val="0"/>
          <w:numId w:val="4"/>
        </w:numPr>
        <w:suppressAutoHyphens/>
      </w:pPr>
      <w:r w:rsidRPr="001C2394">
        <w:t xml:space="preserve">The </w:t>
      </w:r>
      <w:r w:rsidR="000C742B">
        <w:t>business as usual (</w:t>
      </w:r>
      <w:r w:rsidRPr="001C2394">
        <w:t>BAU</w:t>
      </w:r>
      <w:r w:rsidR="000C742B">
        <w:t>)</w:t>
      </w:r>
      <w:r w:rsidRPr="001C2394">
        <w:t xml:space="preserve"> scenario is standardized at the methodological level considering that locations that fulfil the applicability conditions of this mechanism methodology are generally consistent with the characteristics of areas where lack of access to clean cooking is dominant and a slow pace of change in access has persisted for decades (IEA et al. 2025</w:t>
      </w:r>
      <w:r w:rsidR="006B512D">
        <w:t>, Stoner et al. 2021</w:t>
      </w:r>
      <w:r w:rsidRPr="001C2394">
        <w:t>). This IEA report confirms that lack of access to clean cooking correlates with poverty, and that several countries in Sub-Saharan Africa and Southern Asia, in particular, have seen only marginal progress in access to clean cooking, and that many in Sub-Saharan Africa have growing population lacking access; in other words, in these contexts, there is a trend toward equal or more people using equally inefficient cooking methods, rather than a trend toward improved cooking methods consistent with clean cooking. Therefore, the BAU scenario is selected as the continuation of the historical situation (pre-</w:t>
      </w:r>
      <w:r w:rsidR="00FC36BF">
        <w:t>activity</w:t>
      </w:r>
      <w:r w:rsidRPr="001C2394">
        <w:t xml:space="preserve"> scenario).</w:t>
      </w:r>
    </w:p>
    <w:p w14:paraId="4D5585DE" w14:textId="57674651" w:rsidR="001C2394" w:rsidRPr="001C2394" w:rsidRDefault="001C2394" w:rsidP="004E030D">
      <w:pPr>
        <w:pStyle w:val="SDMPara"/>
        <w:numPr>
          <w:ilvl w:val="0"/>
          <w:numId w:val="4"/>
        </w:numPr>
        <w:suppressAutoHyphens/>
      </w:pPr>
      <w:r w:rsidRPr="001C2394">
        <w:t>Since the activity is not a greenfield activity, this mechanism methodology considers the historical intensity of use of cooking fuels prior to the implementation of the activity, without any trends toward improving performance, since these are not evidenced for the areas targeted by this mechanism methodology. In the same line of reasoning, the</w:t>
      </w:r>
      <w:r w:rsidR="00CD48CA">
        <w:t xml:space="preserve"> mechanism</w:t>
      </w:r>
      <w:r w:rsidRPr="001C2394">
        <w:t xml:space="preserve"> methodology assumes that if a baseline cookstove reaches the end of its lifetime during the crediting period, the household, in the absence of the </w:t>
      </w:r>
      <w:r w:rsidR="00052780">
        <w:t>activity</w:t>
      </w:r>
      <w:r w:rsidRPr="001C2394">
        <w:t xml:space="preserve">, would replace it with a cookstove of the same type and performance, since without targeted support, households are unlikely to transition to improved or cleaner cookstoves due to persistent affordability and access barriers, in the absence of legal requirements or </w:t>
      </w:r>
      <w:r w:rsidR="00F805A8">
        <w:t xml:space="preserve">comprehensive </w:t>
      </w:r>
      <w:r w:rsidRPr="001C2394">
        <w:t xml:space="preserve">government subsidies, which are addressed in the additionality demonstration and would result in the ineligibility of an activity under this </w:t>
      </w:r>
      <w:r w:rsidR="00D022E9">
        <w:t xml:space="preserve">mechanism </w:t>
      </w:r>
      <w:r w:rsidRPr="001C2394">
        <w:t>methodology.</w:t>
      </w:r>
    </w:p>
    <w:p w14:paraId="64FD6A9D" w14:textId="77777777" w:rsidR="001C2394" w:rsidRPr="001C2394" w:rsidRDefault="001C2394" w:rsidP="004E030D">
      <w:pPr>
        <w:pStyle w:val="SDMPara"/>
        <w:numPr>
          <w:ilvl w:val="0"/>
          <w:numId w:val="4"/>
        </w:numPr>
        <w:suppressAutoHyphens/>
      </w:pPr>
      <w:r w:rsidRPr="001C2394">
        <w:t>The mechanism methodology includes a step to identify and incorporate any policies, legal requirements, or targets relevant to quantifying the BAU in the steps for quantifying the BAU emissions.</w:t>
      </w:r>
    </w:p>
    <w:p w14:paraId="12ACF82D" w14:textId="4FC3C55C" w:rsidR="006D2932" w:rsidRDefault="001C2394" w:rsidP="004E030D">
      <w:pPr>
        <w:pStyle w:val="SDMPara"/>
        <w:numPr>
          <w:ilvl w:val="0"/>
          <w:numId w:val="4"/>
        </w:numPr>
        <w:suppressAutoHyphens/>
      </w:pPr>
      <w:r w:rsidRPr="001C2394">
        <w:t xml:space="preserve">The basis for identifying the conservative BAU baseline is </w:t>
      </w:r>
      <w:r w:rsidR="001E7071" w:rsidRPr="001C2394">
        <w:t>paragraph 77(</w:t>
      </w:r>
      <w:r w:rsidR="001E7071">
        <w:t>b</w:t>
      </w:r>
      <w:r w:rsidR="001E7071" w:rsidRPr="001C2394">
        <w:t xml:space="preserve">) of </w:t>
      </w:r>
      <w:r w:rsidR="006E47C6">
        <w:t>version</w:t>
      </w:r>
      <w:r w:rsidR="00385147">
        <w:t xml:space="preserve"> </w:t>
      </w:r>
      <w:r w:rsidR="00BA2EF4">
        <w:t xml:space="preserve">01.0 of the </w:t>
      </w:r>
      <w:r w:rsidR="003551B4">
        <w:t>b</w:t>
      </w:r>
      <w:r w:rsidR="003551B4" w:rsidRPr="001C2394">
        <w:t xml:space="preserve">aseline </w:t>
      </w:r>
      <w:r w:rsidR="003551B4">
        <w:t>s</w:t>
      </w:r>
      <w:r w:rsidR="001E7071" w:rsidRPr="001C2394">
        <w:t xml:space="preserve">tandard </w:t>
      </w:r>
      <w:r w:rsidR="00433022">
        <w:t>which allows using</w:t>
      </w:r>
      <w:r w:rsidR="00433022" w:rsidRPr="00433022">
        <w:t xml:space="preserve"> another approach </w:t>
      </w:r>
      <w:r w:rsidR="00433022">
        <w:t xml:space="preserve">than the approach set out in paragraph 77(a) provided </w:t>
      </w:r>
      <w:r w:rsidR="00433022" w:rsidRPr="00433022">
        <w:t xml:space="preserve">that </w:t>
      </w:r>
      <w:r w:rsidR="00433022">
        <w:t xml:space="preserve">it </w:t>
      </w:r>
      <w:r w:rsidRPr="001C2394">
        <w:t>ensures that the selected crediting baseline is below BAU,</w:t>
      </w:r>
      <w:r w:rsidR="006D2932">
        <w:t xml:space="preserve"> </w:t>
      </w:r>
      <w:r w:rsidRPr="001C2394">
        <w:t xml:space="preserve">considering the minimum discount described in the method </w:t>
      </w:r>
      <w:r w:rsidR="00302F03">
        <w:t>contained</w:t>
      </w:r>
      <w:r w:rsidRPr="001C2394">
        <w:t xml:space="preserve"> in paragraph 77(a) </w:t>
      </w:r>
      <w:r w:rsidR="006B6703">
        <w:t xml:space="preserve">of </w:t>
      </w:r>
      <w:r w:rsidR="00BA2EF4">
        <w:t>version 01.0 of</w:t>
      </w:r>
      <w:r w:rsidR="00C06D7D" w:rsidDel="00C507EF">
        <w:t xml:space="preserve"> </w:t>
      </w:r>
      <w:r w:rsidR="003551B4">
        <w:t>the baseline standard</w:t>
      </w:r>
      <w:r w:rsidRPr="001C2394">
        <w:t>.</w:t>
      </w:r>
    </w:p>
    <w:p w14:paraId="0B108E21" w14:textId="3DF350AD" w:rsidR="00556B1A" w:rsidRDefault="008342AC" w:rsidP="004E030D">
      <w:pPr>
        <w:pStyle w:val="SDMPara"/>
        <w:numPr>
          <w:ilvl w:val="0"/>
          <w:numId w:val="4"/>
        </w:numPr>
        <w:suppressAutoHyphens/>
      </w:pPr>
      <w:r>
        <w:t xml:space="preserve">The purpose of determining a conservative BAU baseline </w:t>
      </w:r>
      <w:r w:rsidR="002073AB">
        <w:t xml:space="preserve">in the </w:t>
      </w:r>
      <w:r w:rsidR="003551B4">
        <w:t>b</w:t>
      </w:r>
      <w:r w:rsidR="002073AB">
        <w:t xml:space="preserve">aseline </w:t>
      </w:r>
      <w:r w:rsidR="003551B4">
        <w:t>s</w:t>
      </w:r>
      <w:r w:rsidR="002073AB">
        <w:t xml:space="preserve">tandard </w:t>
      </w:r>
      <w:r>
        <w:t xml:space="preserve">is </w:t>
      </w:r>
      <w:r w:rsidR="002073AB">
        <w:t xml:space="preserve">ensuring that the </w:t>
      </w:r>
      <w:r w:rsidR="00F15DA2">
        <w:t>crediting baseline is below BAU</w:t>
      </w:r>
      <w:r w:rsidR="00866977">
        <w:t xml:space="preserve">, considering the </w:t>
      </w:r>
      <w:r w:rsidR="00815669">
        <w:t>minimum discount. I</w:t>
      </w:r>
      <w:r w:rsidR="001C2394" w:rsidRPr="001C2394">
        <w:t xml:space="preserve">n the context of </w:t>
      </w:r>
      <w:r w:rsidR="00766A86">
        <w:t>this mechanism methodology</w:t>
      </w:r>
      <w:r w:rsidR="001C2394" w:rsidRPr="001C2394">
        <w:t xml:space="preserve"> several </w:t>
      </w:r>
      <w:r w:rsidR="00A24402">
        <w:t>parameters used in the calculation of baseline emissions and BAU emissions are identical</w:t>
      </w:r>
      <w:r w:rsidR="001C2394" w:rsidRPr="001C2394">
        <w:t xml:space="preserve">, including </w:t>
      </w:r>
      <w:r w:rsidR="002D252D" w:rsidRPr="001C2394">
        <w:t>delivered energy for cooking</w:t>
      </w:r>
      <w:r w:rsidR="002D252D">
        <w:t xml:space="preserve">, </w:t>
      </w:r>
      <w:r w:rsidR="001C2394" w:rsidRPr="001C2394">
        <w:t xml:space="preserve">net calorific value (NCV) of fuels, emission factors of fuels, and fNRB values of fuels. </w:t>
      </w:r>
      <w:r w:rsidR="00D377D3">
        <w:t xml:space="preserve">Therefore, </w:t>
      </w:r>
      <w:r w:rsidR="00010357">
        <w:t xml:space="preserve">in the specific context of this mechanism methodology, </w:t>
      </w:r>
      <w:r w:rsidR="00D377D3">
        <w:t xml:space="preserve">the uncertainty associated with these parameters does not need to be considered </w:t>
      </w:r>
      <w:r w:rsidR="00FB42AD">
        <w:t xml:space="preserve">when </w:t>
      </w:r>
      <w:r w:rsidR="00E24465">
        <w:t xml:space="preserve">determining the conservative BAU </w:t>
      </w:r>
      <w:r w:rsidR="00010357">
        <w:t>baseline and comparing it to the crediting baseline</w:t>
      </w:r>
      <w:r w:rsidR="005E16DC">
        <w:t xml:space="preserve">. In this mechanism methodology, the crediting baseline is below the BAU baseline if the energy consumption in the </w:t>
      </w:r>
      <w:r w:rsidR="00B66E48">
        <w:t>baseline scenario is below the energy consumption in the BAU baseline. Therefore, this alternative approach focuses on comparing the energy consumption.</w:t>
      </w:r>
    </w:p>
    <w:p w14:paraId="4D82E922" w14:textId="77777777" w:rsidR="00615311" w:rsidRDefault="000F1BCE" w:rsidP="004E030D">
      <w:pPr>
        <w:pStyle w:val="SDMPara"/>
        <w:numPr>
          <w:ilvl w:val="0"/>
          <w:numId w:val="4"/>
        </w:numPr>
        <w:suppressAutoHyphens/>
      </w:pPr>
      <w:r>
        <w:t xml:space="preserve">The energy consumption </w:t>
      </w:r>
      <w:r w:rsidR="00D46A72">
        <w:t>depends on</w:t>
      </w:r>
      <w:r w:rsidR="00A7454C">
        <w:t xml:space="preserve"> the thermal efficiency of the </w:t>
      </w:r>
      <w:r w:rsidR="004B34F0">
        <w:t xml:space="preserve">baseline </w:t>
      </w:r>
      <w:r w:rsidR="00A7454C">
        <w:t>cookstove</w:t>
      </w:r>
      <w:r w:rsidR="00DC16EE">
        <w:t>. For the BAU</w:t>
      </w:r>
      <w:r w:rsidR="000568EF">
        <w:t> </w:t>
      </w:r>
      <w:r w:rsidR="00DC16EE">
        <w:t>scenario</w:t>
      </w:r>
      <w:r w:rsidR="00A7454C">
        <w:t>,</w:t>
      </w:r>
      <w:r w:rsidR="001C2394" w:rsidRPr="001C2394" w:rsidDel="00DC16EE">
        <w:t xml:space="preserve"> </w:t>
      </w:r>
      <w:r w:rsidR="001C2394" w:rsidRPr="001C2394">
        <w:t>data from academic research on the thermal efficiency of baseline cooking</w:t>
      </w:r>
      <w:r w:rsidR="00DC16EE">
        <w:t xml:space="preserve"> is used</w:t>
      </w:r>
      <w:r w:rsidR="00D300AC">
        <w:t>.</w:t>
      </w:r>
    </w:p>
    <w:p w14:paraId="0B94DBCA" w14:textId="55CABBBB" w:rsidR="00A25B05" w:rsidRDefault="00D300AC" w:rsidP="005A4B4B">
      <w:pPr>
        <w:pStyle w:val="SDMPara"/>
        <w:numPr>
          <w:ilvl w:val="0"/>
          <w:numId w:val="4"/>
        </w:numPr>
        <w:suppressAutoHyphens/>
      </w:pPr>
      <w:r>
        <w:t>This research</w:t>
      </w:r>
      <w:r w:rsidR="001C2394" w:rsidRPr="001C2394">
        <w:t xml:space="preserve"> found the mean thermal efficiency for wood-based cooking </w:t>
      </w:r>
      <w:r w:rsidR="00406578">
        <w:t>across all identified studies</w:t>
      </w:r>
      <w:r w:rsidR="001C2394" w:rsidRPr="001C2394">
        <w:t xml:space="preserve"> is 11.8</w:t>
      </w:r>
      <w:r w:rsidR="00F205C9">
        <w:t>7</w:t>
      </w:r>
      <w:r w:rsidR="00C83ECE">
        <w:t xml:space="preserve"> per cent</w:t>
      </w:r>
      <w:r w:rsidR="00BA2381">
        <w:t>,</w:t>
      </w:r>
      <w:r w:rsidR="00636FEB">
        <w:t xml:space="preserve"> as detailed i</w:t>
      </w:r>
      <w:r w:rsidR="00B40828">
        <w:t xml:space="preserve">n </w:t>
      </w:r>
      <w:r w:rsidR="00FE1242">
        <w:fldChar w:fldCharType="begin"/>
      </w:r>
      <w:r w:rsidR="00FE1242">
        <w:instrText xml:space="preserve"> REF _Ref240550935 \h </w:instrText>
      </w:r>
      <w:r w:rsidR="00FE1242">
        <w:fldChar w:fldCharType="separate"/>
      </w:r>
      <w:r w:rsidR="00831DAE">
        <w:t>Table </w:t>
      </w:r>
      <w:r w:rsidR="00831DAE">
        <w:rPr>
          <w:noProof/>
        </w:rPr>
        <w:t>1</w:t>
      </w:r>
      <w:r w:rsidR="00FE1242">
        <w:fldChar w:fldCharType="end"/>
      </w:r>
      <w:r w:rsidR="00A25B05">
        <w:t xml:space="preserve"> </w:t>
      </w:r>
      <w:r w:rsidR="00B40828">
        <w:t>below:</w:t>
      </w:r>
    </w:p>
    <w:p w14:paraId="454AB702" w14:textId="78BD5124" w:rsidR="005D3127" w:rsidRPr="004D7AFF" w:rsidRDefault="005D3127" w:rsidP="00D83A41">
      <w:pPr>
        <w:pStyle w:val="Caption"/>
      </w:pPr>
      <w:bookmarkStart w:id="979" w:name="_Ref240550935"/>
      <w:r>
        <w:t>Table </w:t>
      </w:r>
      <w:r>
        <w:fldChar w:fldCharType="begin"/>
      </w:r>
      <w:r>
        <w:instrText>SEQ Table \r1\* ARABIC</w:instrText>
      </w:r>
      <w:r>
        <w:fldChar w:fldCharType="separate"/>
      </w:r>
      <w:r w:rsidR="00831DAE">
        <w:rPr>
          <w:noProof/>
        </w:rPr>
        <w:t>1</w:t>
      </w:r>
      <w:r>
        <w:fldChar w:fldCharType="end"/>
      </w:r>
      <w:bookmarkEnd w:id="979"/>
      <w:r>
        <w:rPr>
          <w:noProof/>
        </w:rPr>
        <w:t>.</w:t>
      </w:r>
      <w:r>
        <w:tab/>
      </w:r>
      <w:r w:rsidRPr="005D3127">
        <w:t>Thermal efficiency for traditional wood-based stoves</w:t>
      </w:r>
    </w:p>
    <w:tbl>
      <w:tblPr>
        <w:tblStyle w:val="TableGrid"/>
        <w:tblpPr w:leftFromText="180" w:rightFromText="180" w:vertAnchor="text" w:tblpX="822" w:tblpY="1"/>
        <w:tblOverlap w:val="never"/>
        <w:tblW w:w="8529" w:type="dxa"/>
        <w:tblLayout w:type="fixed"/>
        <w:tblLook w:val="04A0" w:firstRow="1" w:lastRow="0" w:firstColumn="1" w:lastColumn="0" w:noHBand="0" w:noVBand="1"/>
      </w:tblPr>
      <w:tblGrid>
        <w:gridCol w:w="4531"/>
        <w:gridCol w:w="1560"/>
        <w:gridCol w:w="2438"/>
      </w:tblGrid>
      <w:tr w:rsidR="00A25B05" w:rsidRPr="00EC0CFD" w14:paraId="14A18824" w14:textId="77777777" w:rsidTr="00741A7D">
        <w:trPr>
          <w:cantSplit/>
        </w:trPr>
        <w:tc>
          <w:tcPr>
            <w:tcW w:w="4531" w:type="dxa"/>
          </w:tcPr>
          <w:p w14:paraId="1AFA8FDB" w14:textId="62092E0F" w:rsidR="00A25B05" w:rsidRPr="00EC0CFD" w:rsidRDefault="00E40592" w:rsidP="00A01560">
            <w:pPr>
              <w:keepNext/>
              <w:keepLines/>
              <w:suppressAutoHyphens/>
              <w:jc w:val="left"/>
              <w:rPr>
                <w:rFonts w:cs="Arial"/>
                <w:b/>
                <w:bCs/>
                <w:sz w:val="20"/>
                <w:szCs w:val="20"/>
              </w:rPr>
            </w:pPr>
            <w:r>
              <w:rPr>
                <w:rFonts w:cs="Arial"/>
                <w:b/>
                <w:bCs/>
                <w:sz w:val="20"/>
                <w:szCs w:val="20"/>
              </w:rPr>
              <w:t>Source</w:t>
            </w:r>
          </w:p>
        </w:tc>
        <w:tc>
          <w:tcPr>
            <w:tcW w:w="1560" w:type="dxa"/>
          </w:tcPr>
          <w:p w14:paraId="196D8E84" w14:textId="14482395" w:rsidR="00A25B05" w:rsidRPr="00EC0CFD" w:rsidRDefault="008C032C" w:rsidP="00A01560">
            <w:pPr>
              <w:keepNext/>
              <w:keepLines/>
              <w:suppressAutoHyphens/>
              <w:jc w:val="left"/>
              <w:rPr>
                <w:rFonts w:cs="Arial"/>
                <w:b/>
                <w:bCs/>
                <w:sz w:val="20"/>
                <w:szCs w:val="20"/>
              </w:rPr>
            </w:pPr>
            <w:r>
              <w:rPr>
                <w:rFonts w:cs="Arial"/>
                <w:b/>
                <w:bCs/>
                <w:sz w:val="20"/>
                <w:szCs w:val="20"/>
              </w:rPr>
              <w:t>Central value</w:t>
            </w:r>
            <w:r w:rsidR="00041316">
              <w:rPr>
                <w:rFonts w:cs="Arial"/>
                <w:b/>
                <w:bCs/>
                <w:sz w:val="20"/>
                <w:szCs w:val="20"/>
              </w:rPr>
              <w:br/>
            </w:r>
            <w:r w:rsidR="00041316" w:rsidRPr="00041316">
              <w:rPr>
                <w:rFonts w:cs="Arial"/>
                <w:sz w:val="20"/>
                <w:szCs w:val="20"/>
              </w:rPr>
              <w:t>(per cent)</w:t>
            </w:r>
          </w:p>
        </w:tc>
        <w:tc>
          <w:tcPr>
            <w:tcW w:w="2438" w:type="dxa"/>
          </w:tcPr>
          <w:p w14:paraId="1B011C25" w14:textId="10A1988A" w:rsidR="00A25B05" w:rsidRPr="00EC0CFD" w:rsidRDefault="005338CC" w:rsidP="00A01560">
            <w:pPr>
              <w:keepNext/>
              <w:keepLines/>
              <w:suppressAutoHyphens/>
              <w:jc w:val="left"/>
              <w:rPr>
                <w:rFonts w:cs="Arial"/>
                <w:b/>
                <w:bCs/>
                <w:sz w:val="20"/>
                <w:szCs w:val="20"/>
              </w:rPr>
            </w:pPr>
            <w:r>
              <w:rPr>
                <w:rFonts w:cs="Arial"/>
                <w:b/>
                <w:bCs/>
                <w:sz w:val="20"/>
                <w:szCs w:val="20"/>
              </w:rPr>
              <w:t>Setting</w:t>
            </w:r>
          </w:p>
        </w:tc>
      </w:tr>
      <w:tr w:rsidR="001F4537" w:rsidRPr="00EC0CFD" w14:paraId="5E093F76" w14:textId="77777777" w:rsidTr="00741A7D">
        <w:trPr>
          <w:cantSplit/>
        </w:trPr>
        <w:tc>
          <w:tcPr>
            <w:tcW w:w="4531" w:type="dxa"/>
          </w:tcPr>
          <w:p w14:paraId="13F0989C" w14:textId="357D5EC8" w:rsidR="001F4537" w:rsidRPr="00011E9C" w:rsidRDefault="001F4537" w:rsidP="00A01560">
            <w:pPr>
              <w:suppressAutoHyphens/>
              <w:jc w:val="left"/>
              <w:rPr>
                <w:rFonts w:asciiTheme="minorBidi" w:hAnsiTheme="minorBidi" w:cstheme="minorBidi"/>
                <w:sz w:val="20"/>
                <w:szCs w:val="20"/>
              </w:rPr>
            </w:pPr>
            <w:r>
              <w:rPr>
                <w:rFonts w:cs="Arial"/>
                <w:sz w:val="20"/>
                <w:szCs w:val="20"/>
              </w:rPr>
              <w:t xml:space="preserve">Urban et al. — </w:t>
            </w:r>
            <w:r>
              <w:rPr>
                <w:rFonts w:cs="Arial"/>
                <w:i/>
                <w:iCs/>
                <w:sz w:val="20"/>
                <w:szCs w:val="20"/>
              </w:rPr>
              <w:t>Quantifying the Efficiency and Fuel Consumption of Cooking Technologies in Carbon Crediting Frameworks</w:t>
            </w:r>
            <w:r w:rsidR="006609DD">
              <w:rPr>
                <w:rFonts w:cs="Arial"/>
                <w:i/>
                <w:iCs/>
                <w:sz w:val="20"/>
                <w:szCs w:val="20"/>
              </w:rPr>
              <w:t xml:space="preserve"> </w:t>
            </w:r>
            <w:r w:rsidR="00243057">
              <w:rPr>
                <w:rFonts w:cs="Arial"/>
                <w:i/>
                <w:iCs/>
                <w:sz w:val="20"/>
                <w:szCs w:val="20"/>
              </w:rPr>
              <w:t>(2025)</w:t>
            </w:r>
          </w:p>
        </w:tc>
        <w:tc>
          <w:tcPr>
            <w:tcW w:w="1560" w:type="dxa"/>
          </w:tcPr>
          <w:p w14:paraId="101B4FBF" w14:textId="2DA2A360" w:rsidR="001F4537" w:rsidRPr="00A01560" w:rsidRDefault="0082761E" w:rsidP="00A01560">
            <w:pPr>
              <w:keepNext/>
              <w:suppressAutoHyphens/>
              <w:jc w:val="left"/>
              <w:rPr>
                <w:rFonts w:cs="Arial"/>
                <w:sz w:val="20"/>
              </w:rPr>
            </w:pPr>
            <w:r w:rsidRPr="00A01560">
              <w:rPr>
                <w:rFonts w:cs="Arial"/>
                <w:sz w:val="20"/>
              </w:rPr>
              <w:t>11.80</w:t>
            </w:r>
          </w:p>
        </w:tc>
        <w:tc>
          <w:tcPr>
            <w:tcW w:w="2438" w:type="dxa"/>
          </w:tcPr>
          <w:p w14:paraId="02CF1946" w14:textId="5EE14934" w:rsidR="001F4537" w:rsidRDefault="005338CC" w:rsidP="00A01560">
            <w:pPr>
              <w:keepNext/>
              <w:suppressAutoHyphens/>
              <w:jc w:val="left"/>
              <w:rPr>
                <w:rFonts w:cs="Arial"/>
                <w:sz w:val="20"/>
              </w:rPr>
            </w:pPr>
            <w:r>
              <w:rPr>
                <w:rFonts w:cs="Arial"/>
                <w:sz w:val="20"/>
              </w:rPr>
              <w:t>Field testing</w:t>
            </w:r>
          </w:p>
        </w:tc>
      </w:tr>
      <w:tr w:rsidR="005338CC" w:rsidRPr="00EC0CFD" w14:paraId="166F5BCF" w14:textId="77777777" w:rsidTr="00741A7D">
        <w:trPr>
          <w:cantSplit/>
        </w:trPr>
        <w:tc>
          <w:tcPr>
            <w:tcW w:w="4531" w:type="dxa"/>
          </w:tcPr>
          <w:p w14:paraId="23D47214" w14:textId="407372C8" w:rsidR="005338CC" w:rsidRPr="00B020E3" w:rsidRDefault="005338CC" w:rsidP="00A01560">
            <w:pPr>
              <w:suppressAutoHyphens/>
              <w:jc w:val="left"/>
              <w:rPr>
                <w:rFonts w:asciiTheme="minorBidi" w:hAnsiTheme="minorBidi" w:cstheme="minorBidi"/>
                <w:i/>
                <w:sz w:val="20"/>
                <w:szCs w:val="20"/>
                <w:lang w:eastAsia="zh-CN"/>
              </w:rPr>
            </w:pPr>
            <w:r>
              <w:rPr>
                <w:rFonts w:cs="Arial"/>
                <w:sz w:val="20"/>
                <w:szCs w:val="20"/>
              </w:rPr>
              <w:t>Destaw et al. (2025)</w:t>
            </w:r>
          </w:p>
        </w:tc>
        <w:tc>
          <w:tcPr>
            <w:tcW w:w="1560" w:type="dxa"/>
          </w:tcPr>
          <w:p w14:paraId="28293C70" w14:textId="53625F7C" w:rsidR="005338CC" w:rsidRPr="00A01560" w:rsidRDefault="005338CC" w:rsidP="00A01560">
            <w:pPr>
              <w:keepNext/>
              <w:suppressAutoHyphens/>
              <w:jc w:val="left"/>
              <w:rPr>
                <w:rFonts w:cs="Arial"/>
                <w:sz w:val="20"/>
                <w:szCs w:val="20"/>
              </w:rPr>
            </w:pPr>
            <w:r w:rsidRPr="00A01560">
              <w:rPr>
                <w:rFonts w:cs="Arial"/>
                <w:sz w:val="20"/>
                <w:szCs w:val="20"/>
              </w:rPr>
              <w:t>13.0</w:t>
            </w:r>
          </w:p>
        </w:tc>
        <w:tc>
          <w:tcPr>
            <w:tcW w:w="2438" w:type="dxa"/>
          </w:tcPr>
          <w:p w14:paraId="51005FFD" w14:textId="5C690F7D" w:rsidR="005338CC" w:rsidRPr="005338CC" w:rsidRDefault="005338CC" w:rsidP="00A01560">
            <w:pPr>
              <w:keepNext/>
              <w:suppressAutoHyphens/>
              <w:jc w:val="left"/>
              <w:rPr>
                <w:rFonts w:cs="Arial"/>
                <w:i/>
                <w:iCs/>
                <w:sz w:val="20"/>
                <w:szCs w:val="20"/>
              </w:rPr>
            </w:pPr>
            <w:r w:rsidRPr="005338CC">
              <w:rPr>
                <w:rFonts w:cs="Arial"/>
                <w:i/>
                <w:iCs/>
                <w:sz w:val="20"/>
                <w:szCs w:val="20"/>
              </w:rPr>
              <w:t>Laboratory (WBT)</w:t>
            </w:r>
          </w:p>
        </w:tc>
      </w:tr>
      <w:tr w:rsidR="005338CC" w:rsidRPr="00EC0CFD" w14:paraId="3530B823" w14:textId="77777777" w:rsidTr="00741A7D">
        <w:trPr>
          <w:cantSplit/>
        </w:trPr>
        <w:tc>
          <w:tcPr>
            <w:tcW w:w="4531" w:type="dxa"/>
          </w:tcPr>
          <w:p w14:paraId="4921C115" w14:textId="0AAB41F9" w:rsidR="005338CC" w:rsidRPr="00B020E3" w:rsidRDefault="005338CC" w:rsidP="00A01560">
            <w:pPr>
              <w:suppressAutoHyphens/>
              <w:jc w:val="left"/>
              <w:rPr>
                <w:rFonts w:asciiTheme="minorBidi" w:hAnsiTheme="minorBidi" w:cstheme="minorBidi"/>
                <w:sz w:val="20"/>
                <w:szCs w:val="20"/>
              </w:rPr>
            </w:pPr>
            <w:r>
              <w:rPr>
                <w:rFonts w:cs="Arial"/>
                <w:sz w:val="20"/>
                <w:szCs w:val="20"/>
              </w:rPr>
              <w:t>Sutar et al. (2018)</w:t>
            </w:r>
          </w:p>
        </w:tc>
        <w:tc>
          <w:tcPr>
            <w:tcW w:w="1560" w:type="dxa"/>
          </w:tcPr>
          <w:p w14:paraId="2EF914E7" w14:textId="0926E44B" w:rsidR="005338CC" w:rsidRPr="00A01560" w:rsidRDefault="005338CC" w:rsidP="00A01560">
            <w:pPr>
              <w:keepNext/>
              <w:suppressAutoHyphens/>
              <w:jc w:val="left"/>
              <w:rPr>
                <w:rFonts w:cs="Arial"/>
                <w:sz w:val="20"/>
                <w:szCs w:val="20"/>
              </w:rPr>
            </w:pPr>
            <w:r w:rsidRPr="00A01560">
              <w:rPr>
                <w:rFonts w:cs="Arial"/>
                <w:sz w:val="20"/>
                <w:szCs w:val="20"/>
              </w:rPr>
              <w:t>10.0</w:t>
            </w:r>
          </w:p>
        </w:tc>
        <w:tc>
          <w:tcPr>
            <w:tcW w:w="2438" w:type="dxa"/>
          </w:tcPr>
          <w:p w14:paraId="24A3A654" w14:textId="458428FE" w:rsidR="005338CC" w:rsidRPr="005338CC" w:rsidRDefault="005338CC" w:rsidP="00A01560">
            <w:pPr>
              <w:keepNext/>
              <w:suppressAutoHyphens/>
              <w:jc w:val="left"/>
              <w:rPr>
                <w:rFonts w:cs="Arial"/>
                <w:i/>
                <w:iCs/>
                <w:sz w:val="20"/>
                <w:szCs w:val="20"/>
              </w:rPr>
            </w:pPr>
            <w:r w:rsidRPr="005338CC">
              <w:rPr>
                <w:rFonts w:cs="Arial"/>
                <w:i/>
                <w:iCs/>
                <w:sz w:val="20"/>
                <w:szCs w:val="20"/>
              </w:rPr>
              <w:t>Laboratory</w:t>
            </w:r>
          </w:p>
        </w:tc>
      </w:tr>
      <w:tr w:rsidR="005338CC" w:rsidRPr="00EC0CFD" w14:paraId="0470805E" w14:textId="77777777" w:rsidTr="00741A7D">
        <w:trPr>
          <w:cantSplit/>
        </w:trPr>
        <w:tc>
          <w:tcPr>
            <w:tcW w:w="4531" w:type="dxa"/>
          </w:tcPr>
          <w:p w14:paraId="2914E577" w14:textId="43AA7E7D" w:rsidR="005338CC" w:rsidRPr="00B020E3" w:rsidRDefault="005338CC" w:rsidP="00A01560">
            <w:pPr>
              <w:keepNext/>
              <w:suppressAutoHyphens/>
              <w:jc w:val="left"/>
              <w:rPr>
                <w:rFonts w:asciiTheme="minorBidi" w:hAnsiTheme="minorBidi" w:cstheme="minorBidi"/>
                <w:sz w:val="20"/>
                <w:szCs w:val="20"/>
              </w:rPr>
            </w:pPr>
            <w:r>
              <w:rPr>
                <w:rFonts w:cs="Arial"/>
                <w:sz w:val="20"/>
                <w:szCs w:val="20"/>
              </w:rPr>
              <w:t>Jagger et al. (2017)</w:t>
            </w:r>
          </w:p>
        </w:tc>
        <w:tc>
          <w:tcPr>
            <w:tcW w:w="1560" w:type="dxa"/>
          </w:tcPr>
          <w:p w14:paraId="21B3DC66" w14:textId="6E20EC03" w:rsidR="005338CC" w:rsidRPr="00A01560" w:rsidRDefault="005338CC" w:rsidP="00A01560">
            <w:pPr>
              <w:keepNext/>
              <w:suppressAutoHyphens/>
              <w:jc w:val="left"/>
              <w:rPr>
                <w:rFonts w:cs="Arial"/>
                <w:sz w:val="20"/>
              </w:rPr>
            </w:pPr>
            <w:r w:rsidRPr="00A01560">
              <w:t>12.0</w:t>
            </w:r>
          </w:p>
        </w:tc>
        <w:tc>
          <w:tcPr>
            <w:tcW w:w="2438" w:type="dxa"/>
          </w:tcPr>
          <w:p w14:paraId="0C1B0A8D" w14:textId="7A257867" w:rsidR="005338CC" w:rsidRPr="005338CC" w:rsidRDefault="005338CC" w:rsidP="00A01560">
            <w:pPr>
              <w:keepNext/>
              <w:suppressAutoHyphens/>
              <w:jc w:val="left"/>
              <w:rPr>
                <w:rFonts w:cs="Arial"/>
                <w:i/>
                <w:iCs/>
                <w:sz w:val="20"/>
                <w:szCs w:val="20"/>
              </w:rPr>
            </w:pPr>
            <w:r w:rsidRPr="005338CC">
              <w:rPr>
                <w:rFonts w:cs="Arial"/>
                <w:i/>
                <w:iCs/>
                <w:sz w:val="20"/>
                <w:szCs w:val="20"/>
              </w:rPr>
              <w:t>Laboratory (WBT)</w:t>
            </w:r>
          </w:p>
        </w:tc>
      </w:tr>
      <w:tr w:rsidR="005338CC" w:rsidRPr="00EC0CFD" w14:paraId="4ED98240" w14:textId="77777777" w:rsidTr="00741A7D">
        <w:trPr>
          <w:cantSplit/>
        </w:trPr>
        <w:tc>
          <w:tcPr>
            <w:tcW w:w="4531" w:type="dxa"/>
          </w:tcPr>
          <w:p w14:paraId="6AF95204" w14:textId="04B7CF0C" w:rsidR="005338CC" w:rsidRPr="00B020E3" w:rsidRDefault="005338CC" w:rsidP="00A01560">
            <w:pPr>
              <w:keepNext/>
              <w:suppressAutoHyphens/>
              <w:jc w:val="left"/>
              <w:rPr>
                <w:rFonts w:asciiTheme="minorBidi" w:hAnsiTheme="minorBidi" w:cstheme="minorBidi"/>
                <w:sz w:val="20"/>
                <w:szCs w:val="20"/>
              </w:rPr>
            </w:pPr>
            <w:r>
              <w:rPr>
                <w:rFonts w:cs="Arial"/>
                <w:sz w:val="20"/>
                <w:szCs w:val="20"/>
              </w:rPr>
              <w:t xml:space="preserve">MacCarty, Still &amp; Ogle – </w:t>
            </w:r>
            <w:r>
              <w:rPr>
                <w:rFonts w:cs="Arial"/>
                <w:i/>
                <w:iCs/>
                <w:sz w:val="20"/>
                <w:szCs w:val="20"/>
              </w:rPr>
              <w:t>Fuel use and emissions performance of 50 cooking stoves (2010)</w:t>
            </w:r>
          </w:p>
        </w:tc>
        <w:tc>
          <w:tcPr>
            <w:tcW w:w="1560" w:type="dxa"/>
          </w:tcPr>
          <w:p w14:paraId="79CC424F" w14:textId="742C3E00" w:rsidR="005338CC" w:rsidRPr="00A01560" w:rsidRDefault="005338CC" w:rsidP="00A01560">
            <w:pPr>
              <w:keepNext/>
              <w:suppressAutoHyphens/>
              <w:jc w:val="left"/>
              <w:rPr>
                <w:rFonts w:cs="Arial"/>
                <w:sz w:val="20"/>
              </w:rPr>
            </w:pPr>
            <w:r w:rsidRPr="00A01560">
              <w:t>12.0</w:t>
            </w:r>
          </w:p>
        </w:tc>
        <w:tc>
          <w:tcPr>
            <w:tcW w:w="2438" w:type="dxa"/>
          </w:tcPr>
          <w:p w14:paraId="2C18CF68" w14:textId="0A890959" w:rsidR="005338CC" w:rsidRPr="005338CC" w:rsidRDefault="005338CC" w:rsidP="00A01560">
            <w:pPr>
              <w:keepNext/>
              <w:suppressAutoHyphens/>
              <w:jc w:val="left"/>
              <w:rPr>
                <w:rFonts w:cs="Arial"/>
                <w:i/>
                <w:iCs/>
                <w:sz w:val="20"/>
                <w:szCs w:val="20"/>
              </w:rPr>
            </w:pPr>
            <w:r w:rsidRPr="005338CC">
              <w:rPr>
                <w:rFonts w:cs="Arial"/>
                <w:i/>
                <w:iCs/>
                <w:sz w:val="20"/>
                <w:szCs w:val="20"/>
              </w:rPr>
              <w:t>Laboratory benchmark testing</w:t>
            </w:r>
          </w:p>
        </w:tc>
      </w:tr>
      <w:tr w:rsidR="005338CC" w:rsidRPr="00EC0CFD" w14:paraId="6C649C19" w14:textId="77777777" w:rsidTr="00741A7D">
        <w:trPr>
          <w:cantSplit/>
        </w:trPr>
        <w:tc>
          <w:tcPr>
            <w:tcW w:w="4531" w:type="dxa"/>
          </w:tcPr>
          <w:p w14:paraId="0966B74E" w14:textId="669FDB6F" w:rsidR="005338CC" w:rsidRPr="00B020E3" w:rsidRDefault="005338CC" w:rsidP="00A01560">
            <w:pPr>
              <w:keepNext/>
              <w:suppressAutoHyphens/>
              <w:jc w:val="left"/>
              <w:rPr>
                <w:rFonts w:asciiTheme="minorBidi" w:hAnsiTheme="minorBidi" w:cstheme="minorBidi"/>
                <w:sz w:val="20"/>
                <w:szCs w:val="20"/>
              </w:rPr>
            </w:pPr>
            <w:r>
              <w:rPr>
                <w:rFonts w:cs="Arial"/>
                <w:sz w:val="20"/>
                <w:szCs w:val="20"/>
              </w:rPr>
              <w:t xml:space="preserve">MacCarty et al. – </w:t>
            </w:r>
            <w:r>
              <w:rPr>
                <w:rFonts w:cs="Arial"/>
                <w:i/>
                <w:iCs/>
                <w:sz w:val="20"/>
                <w:szCs w:val="20"/>
              </w:rPr>
              <w:t>Laboratory comparison of biomass cookstoves (2008)</w:t>
            </w:r>
          </w:p>
        </w:tc>
        <w:tc>
          <w:tcPr>
            <w:tcW w:w="1560" w:type="dxa"/>
          </w:tcPr>
          <w:p w14:paraId="4492EDF2" w14:textId="7D7CD33F" w:rsidR="005338CC" w:rsidRPr="00A01560" w:rsidRDefault="005338CC" w:rsidP="00A01560">
            <w:pPr>
              <w:keepNext/>
              <w:suppressAutoHyphens/>
              <w:jc w:val="left"/>
              <w:rPr>
                <w:rFonts w:cs="Arial"/>
                <w:sz w:val="20"/>
              </w:rPr>
            </w:pPr>
            <w:r w:rsidRPr="00A01560">
              <w:t>13.0</w:t>
            </w:r>
          </w:p>
        </w:tc>
        <w:tc>
          <w:tcPr>
            <w:tcW w:w="2438" w:type="dxa"/>
          </w:tcPr>
          <w:p w14:paraId="53BF491C" w14:textId="46384D9C" w:rsidR="005338CC" w:rsidRPr="005338CC" w:rsidRDefault="005338CC" w:rsidP="00A01560">
            <w:pPr>
              <w:keepNext/>
              <w:suppressAutoHyphens/>
              <w:jc w:val="left"/>
              <w:rPr>
                <w:rFonts w:cs="Arial"/>
                <w:i/>
                <w:iCs/>
                <w:sz w:val="20"/>
                <w:szCs w:val="20"/>
              </w:rPr>
            </w:pPr>
            <w:r w:rsidRPr="005338CC">
              <w:rPr>
                <w:rFonts w:cs="Arial"/>
                <w:i/>
                <w:iCs/>
                <w:sz w:val="20"/>
                <w:szCs w:val="20"/>
              </w:rPr>
              <w:t>Laboratory</w:t>
            </w:r>
          </w:p>
        </w:tc>
      </w:tr>
      <w:tr w:rsidR="005338CC" w:rsidRPr="00EC0CFD" w14:paraId="30331D69" w14:textId="77777777" w:rsidTr="00741A7D">
        <w:trPr>
          <w:cantSplit/>
        </w:trPr>
        <w:tc>
          <w:tcPr>
            <w:tcW w:w="4531" w:type="dxa"/>
          </w:tcPr>
          <w:p w14:paraId="6AC55E9F" w14:textId="257BDFD0" w:rsidR="005338CC" w:rsidRPr="00B020E3" w:rsidRDefault="005338CC" w:rsidP="00A01560">
            <w:pPr>
              <w:keepNext/>
              <w:suppressAutoHyphens/>
              <w:jc w:val="left"/>
              <w:rPr>
                <w:rFonts w:asciiTheme="minorBidi" w:hAnsiTheme="minorBidi" w:cstheme="minorBidi"/>
                <w:sz w:val="20"/>
                <w:szCs w:val="20"/>
              </w:rPr>
            </w:pPr>
            <w:r>
              <w:rPr>
                <w:rFonts w:cs="Arial"/>
                <w:sz w:val="20"/>
                <w:szCs w:val="20"/>
              </w:rPr>
              <w:t>Smith et al. combustion synthesis (2000)</w:t>
            </w:r>
          </w:p>
        </w:tc>
        <w:tc>
          <w:tcPr>
            <w:tcW w:w="1560" w:type="dxa"/>
          </w:tcPr>
          <w:p w14:paraId="30CBD733" w14:textId="491ACD3E" w:rsidR="005338CC" w:rsidRPr="00A01560" w:rsidRDefault="005338CC" w:rsidP="00A01560">
            <w:pPr>
              <w:keepNext/>
              <w:suppressAutoHyphens/>
              <w:jc w:val="left"/>
              <w:rPr>
                <w:rFonts w:cs="Arial"/>
                <w:sz w:val="20"/>
              </w:rPr>
            </w:pPr>
            <w:r w:rsidRPr="00A01560">
              <w:t>12.5</w:t>
            </w:r>
          </w:p>
        </w:tc>
        <w:tc>
          <w:tcPr>
            <w:tcW w:w="2438" w:type="dxa"/>
          </w:tcPr>
          <w:p w14:paraId="170B867D" w14:textId="79062EF0" w:rsidR="005338CC" w:rsidRPr="005338CC" w:rsidRDefault="005338CC" w:rsidP="00A01560">
            <w:pPr>
              <w:keepNext/>
              <w:suppressAutoHyphens/>
              <w:jc w:val="left"/>
              <w:rPr>
                <w:rFonts w:cs="Arial"/>
                <w:i/>
                <w:iCs/>
                <w:sz w:val="20"/>
                <w:szCs w:val="20"/>
              </w:rPr>
            </w:pPr>
            <w:r w:rsidRPr="005338CC">
              <w:rPr>
                <w:rFonts w:cs="Arial"/>
                <w:i/>
                <w:iCs/>
                <w:sz w:val="20"/>
                <w:szCs w:val="20"/>
              </w:rPr>
              <w:t>Laboratory synthesis</w:t>
            </w:r>
          </w:p>
        </w:tc>
      </w:tr>
      <w:tr w:rsidR="005338CC" w:rsidRPr="00EC0CFD" w14:paraId="1104BFC6" w14:textId="77777777" w:rsidTr="00741A7D">
        <w:trPr>
          <w:cantSplit/>
        </w:trPr>
        <w:tc>
          <w:tcPr>
            <w:tcW w:w="4531" w:type="dxa"/>
          </w:tcPr>
          <w:p w14:paraId="45FA3B81" w14:textId="6F331879" w:rsidR="005338CC" w:rsidRPr="00B020E3" w:rsidRDefault="005338CC" w:rsidP="00A01560">
            <w:pPr>
              <w:keepNext/>
              <w:suppressAutoHyphens/>
              <w:jc w:val="left"/>
              <w:rPr>
                <w:rFonts w:asciiTheme="minorBidi" w:hAnsiTheme="minorBidi" w:cstheme="minorBidi"/>
                <w:sz w:val="20"/>
                <w:szCs w:val="20"/>
              </w:rPr>
            </w:pPr>
            <w:r>
              <w:rPr>
                <w:rFonts w:cs="Arial"/>
                <w:sz w:val="20"/>
                <w:szCs w:val="20"/>
              </w:rPr>
              <w:t>Aprovecho Research Center / Dean Still (Various)</w:t>
            </w:r>
          </w:p>
        </w:tc>
        <w:tc>
          <w:tcPr>
            <w:tcW w:w="1560" w:type="dxa"/>
          </w:tcPr>
          <w:p w14:paraId="2BC98B7F" w14:textId="7DEEE5AF" w:rsidR="005338CC" w:rsidRPr="00A01560" w:rsidRDefault="005338CC" w:rsidP="00A01560">
            <w:pPr>
              <w:keepNext/>
              <w:suppressAutoHyphens/>
              <w:jc w:val="left"/>
              <w:rPr>
                <w:rFonts w:cs="Arial"/>
                <w:sz w:val="20"/>
              </w:rPr>
            </w:pPr>
            <w:r w:rsidRPr="00A01560">
              <w:t>12.5</w:t>
            </w:r>
          </w:p>
        </w:tc>
        <w:tc>
          <w:tcPr>
            <w:tcW w:w="2438" w:type="dxa"/>
          </w:tcPr>
          <w:p w14:paraId="6DF9537C" w14:textId="7D43A226" w:rsidR="005338CC" w:rsidRPr="005338CC" w:rsidRDefault="005338CC" w:rsidP="00A01560">
            <w:pPr>
              <w:keepNext/>
              <w:suppressAutoHyphens/>
              <w:jc w:val="left"/>
              <w:rPr>
                <w:rFonts w:cs="Arial"/>
                <w:i/>
                <w:iCs/>
                <w:sz w:val="20"/>
                <w:szCs w:val="20"/>
              </w:rPr>
            </w:pPr>
            <w:r w:rsidRPr="005338CC">
              <w:rPr>
                <w:rFonts w:cs="Arial"/>
                <w:i/>
                <w:iCs/>
                <w:sz w:val="20"/>
                <w:szCs w:val="20"/>
              </w:rPr>
              <w:t>Mixed lab + field experimental</w:t>
            </w:r>
          </w:p>
        </w:tc>
      </w:tr>
      <w:tr w:rsidR="005338CC" w:rsidRPr="00EC0CFD" w14:paraId="5315A970" w14:textId="77777777" w:rsidTr="00741A7D">
        <w:trPr>
          <w:cantSplit/>
        </w:trPr>
        <w:tc>
          <w:tcPr>
            <w:tcW w:w="4531" w:type="dxa"/>
          </w:tcPr>
          <w:p w14:paraId="7E3DCEFD" w14:textId="21350710" w:rsidR="005338CC" w:rsidRPr="00B020E3" w:rsidRDefault="005338CC" w:rsidP="00A01560">
            <w:pPr>
              <w:keepNext/>
              <w:suppressAutoHyphens/>
              <w:jc w:val="left"/>
              <w:rPr>
                <w:rFonts w:asciiTheme="minorBidi" w:hAnsiTheme="minorBidi" w:cstheme="minorBidi"/>
                <w:sz w:val="20"/>
                <w:szCs w:val="20"/>
              </w:rPr>
            </w:pPr>
            <w:r>
              <w:rPr>
                <w:rFonts w:cs="Arial"/>
                <w:sz w:val="20"/>
                <w:szCs w:val="20"/>
              </w:rPr>
              <w:t>Engineering review papers (2025)</w:t>
            </w:r>
          </w:p>
        </w:tc>
        <w:tc>
          <w:tcPr>
            <w:tcW w:w="1560" w:type="dxa"/>
          </w:tcPr>
          <w:p w14:paraId="243ACBBA" w14:textId="59380247" w:rsidR="005338CC" w:rsidRPr="00A01560" w:rsidRDefault="005338CC" w:rsidP="00A01560">
            <w:pPr>
              <w:keepNext/>
              <w:suppressAutoHyphens/>
              <w:jc w:val="left"/>
              <w:rPr>
                <w:rFonts w:cs="Arial"/>
                <w:sz w:val="20"/>
              </w:rPr>
            </w:pPr>
            <w:r w:rsidRPr="00A01560">
              <w:t>10.0</w:t>
            </w:r>
          </w:p>
        </w:tc>
        <w:tc>
          <w:tcPr>
            <w:tcW w:w="2438" w:type="dxa"/>
          </w:tcPr>
          <w:p w14:paraId="7EA6764F" w14:textId="26B07A7A" w:rsidR="005338CC" w:rsidRPr="005338CC" w:rsidRDefault="005338CC" w:rsidP="00A01560">
            <w:pPr>
              <w:keepNext/>
              <w:suppressAutoHyphens/>
              <w:jc w:val="left"/>
              <w:rPr>
                <w:rFonts w:cs="Arial"/>
                <w:i/>
                <w:iCs/>
                <w:sz w:val="20"/>
                <w:szCs w:val="20"/>
              </w:rPr>
            </w:pPr>
            <w:r w:rsidRPr="005338CC">
              <w:rPr>
                <w:rFonts w:cs="Arial"/>
                <w:i/>
                <w:iCs/>
                <w:sz w:val="20"/>
                <w:szCs w:val="20"/>
              </w:rPr>
              <w:t>Literature synthesis</w:t>
            </w:r>
          </w:p>
        </w:tc>
      </w:tr>
      <w:tr w:rsidR="005338CC" w:rsidRPr="00EC0CFD" w14:paraId="79ADE4BC" w14:textId="77777777" w:rsidTr="00741A7D">
        <w:trPr>
          <w:cantSplit/>
          <w:trHeight w:val="160"/>
        </w:trPr>
        <w:tc>
          <w:tcPr>
            <w:tcW w:w="8529" w:type="dxa"/>
            <w:gridSpan w:val="3"/>
          </w:tcPr>
          <w:p w14:paraId="3D4420DF" w14:textId="18A41C49" w:rsidR="005338CC" w:rsidRPr="005338CC" w:rsidRDefault="005338CC" w:rsidP="00A01560">
            <w:pPr>
              <w:keepNext/>
              <w:suppressAutoHyphens/>
              <w:jc w:val="left"/>
              <w:rPr>
                <w:rFonts w:cs="Arial"/>
                <w:b/>
                <w:bCs/>
                <w:sz w:val="20"/>
              </w:rPr>
            </w:pPr>
            <w:r w:rsidRPr="005338CC">
              <w:rPr>
                <w:rFonts w:cs="Arial"/>
                <w:b/>
                <w:bCs/>
                <w:sz w:val="20"/>
              </w:rPr>
              <w:t>- Results -</w:t>
            </w:r>
          </w:p>
        </w:tc>
      </w:tr>
      <w:tr w:rsidR="00A25B05" w:rsidRPr="00EC0CFD" w14:paraId="7795434C" w14:textId="77777777" w:rsidTr="00741A7D">
        <w:trPr>
          <w:cantSplit/>
        </w:trPr>
        <w:tc>
          <w:tcPr>
            <w:tcW w:w="4531" w:type="dxa"/>
          </w:tcPr>
          <w:p w14:paraId="1F2D0107" w14:textId="7538EB93" w:rsidR="00A25B05" w:rsidRPr="00B020E3" w:rsidRDefault="00061A15" w:rsidP="00A01560">
            <w:pPr>
              <w:keepNext/>
              <w:suppressAutoHyphens/>
              <w:jc w:val="left"/>
              <w:rPr>
                <w:rFonts w:asciiTheme="minorBidi" w:hAnsiTheme="minorBidi" w:cstheme="minorBidi"/>
                <w:sz w:val="20"/>
                <w:szCs w:val="20"/>
              </w:rPr>
            </w:pPr>
            <w:r w:rsidRPr="00C333B1">
              <w:rPr>
                <w:rFonts w:asciiTheme="minorBidi" w:hAnsiTheme="minorBidi" w:cstheme="minorBidi"/>
                <w:sz w:val="20"/>
                <w:szCs w:val="20"/>
              </w:rPr>
              <w:t>n</w:t>
            </w:r>
            <w:r>
              <w:rPr>
                <w:rFonts w:asciiTheme="minorBidi" w:hAnsiTheme="minorBidi" w:cstheme="minorBidi"/>
                <w:sz w:val="20"/>
                <w:szCs w:val="20"/>
              </w:rPr>
              <w:t>: Population (number of studies considered)</w:t>
            </w:r>
          </w:p>
        </w:tc>
        <w:tc>
          <w:tcPr>
            <w:tcW w:w="1560" w:type="dxa"/>
          </w:tcPr>
          <w:p w14:paraId="1C8D1F6B" w14:textId="47ECEE2D" w:rsidR="00A25B05" w:rsidRDefault="00C333B1" w:rsidP="00A01560">
            <w:pPr>
              <w:keepNext/>
              <w:suppressAutoHyphens/>
              <w:jc w:val="left"/>
              <w:rPr>
                <w:rFonts w:cs="Arial"/>
                <w:sz w:val="20"/>
              </w:rPr>
            </w:pPr>
            <w:r>
              <w:rPr>
                <w:rFonts w:cs="Arial"/>
                <w:sz w:val="20"/>
              </w:rPr>
              <w:t>9</w:t>
            </w:r>
          </w:p>
        </w:tc>
        <w:tc>
          <w:tcPr>
            <w:tcW w:w="2438" w:type="dxa"/>
          </w:tcPr>
          <w:p w14:paraId="6CFB1659" w14:textId="462944BE" w:rsidR="00A25B05" w:rsidRDefault="00A25B05" w:rsidP="00A01560">
            <w:pPr>
              <w:keepNext/>
              <w:suppressAutoHyphens/>
              <w:jc w:val="left"/>
              <w:rPr>
                <w:rFonts w:cs="Arial"/>
                <w:sz w:val="20"/>
              </w:rPr>
            </w:pPr>
          </w:p>
        </w:tc>
      </w:tr>
      <w:tr w:rsidR="00A25B05" w:rsidRPr="00EC0CFD" w14:paraId="00F2ACC6" w14:textId="77777777" w:rsidTr="00741A7D">
        <w:trPr>
          <w:cantSplit/>
        </w:trPr>
        <w:tc>
          <w:tcPr>
            <w:tcW w:w="4531" w:type="dxa"/>
          </w:tcPr>
          <w:p w14:paraId="3443BB43" w14:textId="703CC23A" w:rsidR="00A25B05" w:rsidRPr="00B020E3" w:rsidRDefault="00C333B1" w:rsidP="00A01560">
            <w:pPr>
              <w:keepNext/>
              <w:suppressAutoHyphens/>
              <w:jc w:val="left"/>
              <w:rPr>
                <w:rFonts w:asciiTheme="minorBidi" w:hAnsiTheme="minorBidi" w:cstheme="minorBidi"/>
                <w:sz w:val="20"/>
                <w:szCs w:val="20"/>
              </w:rPr>
            </w:pPr>
            <w:r>
              <w:rPr>
                <w:rFonts w:asciiTheme="minorBidi" w:hAnsiTheme="minorBidi" w:cstheme="minorBidi"/>
                <w:sz w:val="20"/>
                <w:szCs w:val="20"/>
              </w:rPr>
              <w:t xml:space="preserve">Mean </w:t>
            </w:r>
            <w:r w:rsidR="00760BCB">
              <w:rPr>
                <w:rFonts w:asciiTheme="minorBidi" w:hAnsiTheme="minorBidi" w:cstheme="minorBidi"/>
                <w:sz w:val="20"/>
                <w:szCs w:val="20"/>
              </w:rPr>
              <w:t>(per cent)</w:t>
            </w:r>
          </w:p>
        </w:tc>
        <w:tc>
          <w:tcPr>
            <w:tcW w:w="1560" w:type="dxa"/>
          </w:tcPr>
          <w:p w14:paraId="2573CE89" w14:textId="132DF7E1" w:rsidR="00A25B05" w:rsidRDefault="00041316" w:rsidP="00A01560">
            <w:pPr>
              <w:keepNext/>
              <w:suppressAutoHyphens/>
              <w:jc w:val="left"/>
              <w:rPr>
                <w:rFonts w:cs="Arial"/>
                <w:sz w:val="20"/>
              </w:rPr>
            </w:pPr>
            <w:r>
              <w:rPr>
                <w:rFonts w:cs="Arial"/>
                <w:sz w:val="20"/>
              </w:rPr>
              <w:t>11.87</w:t>
            </w:r>
            <w:r w:rsidR="00760BCB">
              <w:rPr>
                <w:rFonts w:cs="Arial"/>
                <w:sz w:val="20"/>
              </w:rPr>
              <w:t xml:space="preserve"> </w:t>
            </w:r>
          </w:p>
        </w:tc>
        <w:tc>
          <w:tcPr>
            <w:tcW w:w="2438" w:type="dxa"/>
          </w:tcPr>
          <w:p w14:paraId="66C72566" w14:textId="6F8FE887" w:rsidR="00A25B05" w:rsidRDefault="00A25B05" w:rsidP="00A01560">
            <w:pPr>
              <w:keepNext/>
              <w:suppressAutoHyphens/>
              <w:jc w:val="left"/>
              <w:rPr>
                <w:rFonts w:cs="Arial"/>
                <w:sz w:val="20"/>
              </w:rPr>
            </w:pPr>
          </w:p>
        </w:tc>
      </w:tr>
      <w:tr w:rsidR="00A25B05" w:rsidRPr="00EC0CFD" w14:paraId="01550A32" w14:textId="77777777" w:rsidTr="00741A7D">
        <w:trPr>
          <w:cantSplit/>
        </w:trPr>
        <w:tc>
          <w:tcPr>
            <w:tcW w:w="4531" w:type="dxa"/>
          </w:tcPr>
          <w:p w14:paraId="78DADEED" w14:textId="5076C007" w:rsidR="00A25B05" w:rsidRPr="00B020E3" w:rsidRDefault="00990B1F" w:rsidP="00A01560">
            <w:pPr>
              <w:keepNext/>
              <w:suppressAutoHyphens/>
              <w:jc w:val="left"/>
              <w:rPr>
                <w:rFonts w:asciiTheme="minorBidi" w:hAnsiTheme="minorBidi" w:cstheme="minorBidi"/>
                <w:sz w:val="20"/>
                <w:szCs w:val="20"/>
              </w:rPr>
            </w:pPr>
            <w:r>
              <w:rPr>
                <w:rFonts w:asciiTheme="minorBidi" w:hAnsiTheme="minorBidi" w:cstheme="minorBidi"/>
                <w:sz w:val="20"/>
                <w:szCs w:val="20"/>
              </w:rPr>
              <w:t>Median (per cent)</w:t>
            </w:r>
          </w:p>
        </w:tc>
        <w:tc>
          <w:tcPr>
            <w:tcW w:w="1560" w:type="dxa"/>
          </w:tcPr>
          <w:p w14:paraId="7FA7105F" w14:textId="27F09D51" w:rsidR="00A25B05" w:rsidRDefault="00990B1F" w:rsidP="00A01560">
            <w:pPr>
              <w:keepNext/>
              <w:suppressAutoHyphens/>
              <w:jc w:val="left"/>
              <w:rPr>
                <w:rFonts w:cs="Arial"/>
                <w:sz w:val="20"/>
              </w:rPr>
            </w:pPr>
            <w:r>
              <w:rPr>
                <w:rFonts w:cs="Arial"/>
                <w:sz w:val="20"/>
              </w:rPr>
              <w:t>12.00</w:t>
            </w:r>
          </w:p>
        </w:tc>
        <w:tc>
          <w:tcPr>
            <w:tcW w:w="2438" w:type="dxa"/>
          </w:tcPr>
          <w:p w14:paraId="472C1601" w14:textId="1CA1B1D4" w:rsidR="00A25B05" w:rsidRDefault="00A25B05" w:rsidP="00A01560">
            <w:pPr>
              <w:keepNext/>
              <w:suppressAutoHyphens/>
              <w:jc w:val="left"/>
              <w:rPr>
                <w:rFonts w:cs="Arial"/>
                <w:sz w:val="20"/>
              </w:rPr>
            </w:pPr>
          </w:p>
        </w:tc>
      </w:tr>
      <w:tr w:rsidR="000F6D13" w:rsidRPr="00EC0CFD" w14:paraId="3874D722" w14:textId="77777777" w:rsidTr="00741A7D">
        <w:trPr>
          <w:cantSplit/>
        </w:trPr>
        <w:tc>
          <w:tcPr>
            <w:tcW w:w="4531" w:type="dxa"/>
          </w:tcPr>
          <w:p w14:paraId="77076BDE" w14:textId="60598FAA" w:rsidR="000F6D13" w:rsidRDefault="000F6D13" w:rsidP="00A01560">
            <w:pPr>
              <w:keepNext/>
              <w:suppressAutoHyphens/>
              <w:jc w:val="left"/>
              <w:rPr>
                <w:rFonts w:asciiTheme="minorBidi" w:hAnsiTheme="minorBidi" w:cstheme="minorBidi"/>
                <w:sz w:val="20"/>
              </w:rPr>
            </w:pPr>
            <w:r>
              <w:rPr>
                <w:rFonts w:asciiTheme="minorBidi" w:hAnsiTheme="minorBidi" w:cstheme="minorBidi"/>
                <w:sz w:val="20"/>
              </w:rPr>
              <w:t>Maximum</w:t>
            </w:r>
            <w:r w:rsidR="00E4234D">
              <w:rPr>
                <w:rFonts w:asciiTheme="minorBidi" w:hAnsiTheme="minorBidi" w:cstheme="minorBidi"/>
                <w:sz w:val="20"/>
              </w:rPr>
              <w:t xml:space="preserve"> </w:t>
            </w:r>
            <w:r w:rsidR="00E4234D">
              <w:rPr>
                <w:rFonts w:asciiTheme="minorBidi" w:hAnsiTheme="minorBidi" w:cstheme="minorBidi"/>
                <w:sz w:val="20"/>
                <w:szCs w:val="20"/>
              </w:rPr>
              <w:t>(per cent)</w:t>
            </w:r>
          </w:p>
        </w:tc>
        <w:tc>
          <w:tcPr>
            <w:tcW w:w="1560" w:type="dxa"/>
          </w:tcPr>
          <w:p w14:paraId="72C22951" w14:textId="2B07599F" w:rsidR="000F6D13" w:rsidRDefault="000F6D13" w:rsidP="00A01560">
            <w:pPr>
              <w:keepNext/>
              <w:suppressAutoHyphens/>
              <w:jc w:val="left"/>
              <w:rPr>
                <w:rFonts w:cs="Arial"/>
                <w:sz w:val="20"/>
              </w:rPr>
            </w:pPr>
            <w:r>
              <w:rPr>
                <w:rFonts w:cs="Arial"/>
                <w:sz w:val="20"/>
              </w:rPr>
              <w:t>13.0</w:t>
            </w:r>
          </w:p>
        </w:tc>
        <w:tc>
          <w:tcPr>
            <w:tcW w:w="2438" w:type="dxa"/>
          </w:tcPr>
          <w:p w14:paraId="1DB80A6E" w14:textId="77777777" w:rsidR="000F6D13" w:rsidRDefault="000F6D13" w:rsidP="00A01560">
            <w:pPr>
              <w:keepNext/>
              <w:suppressAutoHyphens/>
              <w:jc w:val="left"/>
              <w:rPr>
                <w:rFonts w:cs="Arial"/>
                <w:sz w:val="20"/>
              </w:rPr>
            </w:pPr>
          </w:p>
        </w:tc>
      </w:tr>
    </w:tbl>
    <w:p w14:paraId="09B9FB0C" w14:textId="42EA0D40" w:rsidR="006D2932" w:rsidRDefault="00F205C9" w:rsidP="005520B9">
      <w:pPr>
        <w:pStyle w:val="SDMPara"/>
        <w:numPr>
          <w:ilvl w:val="0"/>
          <w:numId w:val="4"/>
        </w:numPr>
      </w:pPr>
      <w:r>
        <w:t xml:space="preserve">Similarly, </w:t>
      </w:r>
      <w:r w:rsidR="00E4234D">
        <w:t>various</w:t>
      </w:r>
      <w:r w:rsidR="001C2394" w:rsidRPr="001C2394">
        <w:t xml:space="preserve"> authors found the mean thermal efficiency for </w:t>
      </w:r>
      <w:r w:rsidR="00303D1C">
        <w:t xml:space="preserve">traditional </w:t>
      </w:r>
      <w:r w:rsidR="001C2394" w:rsidRPr="001C2394">
        <w:t xml:space="preserve">charcoal-based cooking </w:t>
      </w:r>
      <w:r w:rsidR="00B256D5">
        <w:t>technologies</w:t>
      </w:r>
      <w:r w:rsidR="00303D1C">
        <w:t>.</w:t>
      </w:r>
      <w:r w:rsidR="001C2394" w:rsidRPr="001C2394">
        <w:t xml:space="preserve"> </w:t>
      </w:r>
      <w:r w:rsidR="00303D1C">
        <w:t>T</w:t>
      </w:r>
      <w:r w:rsidR="00303D1C" w:rsidRPr="001C2394">
        <w:t xml:space="preserve">he mean thermal efficiency </w:t>
      </w:r>
      <w:r w:rsidR="00303D1C">
        <w:t xml:space="preserve">across all identified </w:t>
      </w:r>
      <w:r w:rsidR="00303D1C" w:rsidRPr="00303D1C">
        <w:t xml:space="preserve">studies </w:t>
      </w:r>
      <w:r w:rsidR="001C2394" w:rsidRPr="001C2394">
        <w:t xml:space="preserve">is </w:t>
      </w:r>
      <w:r w:rsidR="00303D1C" w:rsidRPr="00303D1C">
        <w:t>21.27 per</w:t>
      </w:r>
      <w:r w:rsidR="00303D1C">
        <w:t xml:space="preserve"> cent,</w:t>
      </w:r>
      <w:r w:rsidR="001C2394" w:rsidRPr="001C2394">
        <w:t xml:space="preserve"> </w:t>
      </w:r>
      <w:r w:rsidR="00CD4659">
        <w:t xml:space="preserve">as detailed in </w:t>
      </w:r>
      <w:r w:rsidR="00BB3662">
        <w:rPr>
          <w:highlight w:val="cyan"/>
        </w:rPr>
        <w:fldChar w:fldCharType="begin"/>
      </w:r>
      <w:r w:rsidR="00BB3662">
        <w:rPr>
          <w:highlight w:val="cyan"/>
        </w:rPr>
        <w:instrText xml:space="preserve"> REF _Ref233978355 \h </w:instrText>
      </w:r>
      <w:r w:rsidR="00BB3662">
        <w:rPr>
          <w:highlight w:val="cyan"/>
        </w:rPr>
      </w:r>
      <w:r w:rsidR="00BB3662">
        <w:rPr>
          <w:highlight w:val="cyan"/>
        </w:rPr>
        <w:fldChar w:fldCharType="separate"/>
      </w:r>
      <w:r w:rsidR="00831DAE">
        <w:t>Table </w:t>
      </w:r>
      <w:r w:rsidR="00831DAE">
        <w:rPr>
          <w:noProof/>
        </w:rPr>
        <w:t>2</w:t>
      </w:r>
      <w:r w:rsidR="00BB3662">
        <w:rPr>
          <w:highlight w:val="cyan"/>
        </w:rPr>
        <w:fldChar w:fldCharType="end"/>
      </w:r>
      <w:r w:rsidR="00BB3662">
        <w:t xml:space="preserve"> below</w:t>
      </w:r>
      <w:r w:rsidR="001C2394" w:rsidRPr="001C2394">
        <w:t>.</w:t>
      </w:r>
    </w:p>
    <w:p w14:paraId="2BE66F1F" w14:textId="0132F4B7" w:rsidR="00CA7275" w:rsidRPr="004D7AFF" w:rsidRDefault="00CA7275" w:rsidP="00ED554C">
      <w:pPr>
        <w:pStyle w:val="Caption"/>
      </w:pPr>
      <w:bookmarkStart w:id="980" w:name="_Ref233978355"/>
      <w:r>
        <w:t>Table </w:t>
      </w:r>
      <w:r>
        <w:fldChar w:fldCharType="begin"/>
      </w:r>
      <w:r>
        <w:instrText>SEQ Table \* ARABIC</w:instrText>
      </w:r>
      <w:r>
        <w:fldChar w:fldCharType="separate"/>
      </w:r>
      <w:r w:rsidR="00831DAE">
        <w:rPr>
          <w:noProof/>
        </w:rPr>
        <w:t>2</w:t>
      </w:r>
      <w:r>
        <w:fldChar w:fldCharType="end"/>
      </w:r>
      <w:bookmarkEnd w:id="980"/>
      <w:r>
        <w:rPr>
          <w:noProof/>
        </w:rPr>
        <w:t>.</w:t>
      </w:r>
      <w:r>
        <w:tab/>
      </w:r>
      <w:r w:rsidRPr="00CA7275">
        <w:t>Thermal efficiency for traditional charcoal stoves</w:t>
      </w:r>
    </w:p>
    <w:tbl>
      <w:tblPr>
        <w:tblStyle w:val="SDMTable"/>
        <w:tblW w:w="8529" w:type="dxa"/>
        <w:tblLayout w:type="fixed"/>
        <w:tblLook w:val="0620" w:firstRow="1" w:lastRow="0" w:firstColumn="0" w:lastColumn="0" w:noHBand="1" w:noVBand="1"/>
      </w:tblPr>
      <w:tblGrid>
        <w:gridCol w:w="4560"/>
        <w:gridCol w:w="1559"/>
        <w:gridCol w:w="2410"/>
      </w:tblGrid>
      <w:tr w:rsidR="00CA7275" w:rsidRPr="00911F51" w14:paraId="52449D21" w14:textId="77777777" w:rsidTr="00741A7D">
        <w:trPr>
          <w:cnfStyle w:val="100000000000" w:firstRow="1" w:lastRow="0" w:firstColumn="0" w:lastColumn="0" w:oddVBand="0" w:evenVBand="0" w:oddHBand="0" w:evenHBand="0" w:firstRowFirstColumn="0" w:firstRowLastColumn="0" w:lastRowFirstColumn="0" w:lastRowLastColumn="0"/>
        </w:trPr>
        <w:tc>
          <w:tcPr>
            <w:tcW w:w="4560"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4241BD0C" w14:textId="0FE0C39C" w:rsidR="00CA7275" w:rsidRPr="004F23C4" w:rsidRDefault="00CA7275" w:rsidP="00E8619E">
            <w:pPr>
              <w:pStyle w:val="SDMTableBoxParaNumbered"/>
              <w:suppressAutoHyphens/>
            </w:pPr>
            <w:r w:rsidRPr="003C2FC5">
              <w:t>Source</w:t>
            </w:r>
          </w:p>
        </w:tc>
        <w:tc>
          <w:tcPr>
            <w:tcW w:w="1559"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6EFE4575" w14:textId="1C8D087A" w:rsidR="00CA7275" w:rsidRPr="00CF6457" w:rsidRDefault="00CA7275" w:rsidP="00E8619E">
            <w:pPr>
              <w:pStyle w:val="SDMTableBoxParaNotNumbered"/>
              <w:suppressAutoHyphens/>
            </w:pPr>
            <w:r w:rsidRPr="003C2FC5">
              <w:t>Central value</w:t>
            </w:r>
            <w:r>
              <w:br/>
            </w:r>
            <w:r w:rsidRPr="00CA7275">
              <w:rPr>
                <w:b w:val="0"/>
                <w:bCs/>
              </w:rPr>
              <w:t>(per cent)</w:t>
            </w:r>
          </w:p>
        </w:tc>
        <w:tc>
          <w:tcPr>
            <w:tcW w:w="2410"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2BBB7A03" w14:textId="4046E8FE" w:rsidR="00CA7275" w:rsidRPr="00CF6457" w:rsidRDefault="00CA7275" w:rsidP="00E8619E">
            <w:pPr>
              <w:pStyle w:val="SDMTableBoxParaNotNumbered"/>
              <w:suppressAutoHyphens/>
            </w:pPr>
            <w:r w:rsidRPr="00CA7275">
              <w:t>Setting</w:t>
            </w:r>
          </w:p>
        </w:tc>
      </w:tr>
      <w:tr w:rsidR="00CA7275" w:rsidRPr="00911F51" w14:paraId="6BF7A025" w14:textId="77777777" w:rsidTr="00741A7D">
        <w:tc>
          <w:tcPr>
            <w:tcW w:w="4560" w:type="dxa"/>
          </w:tcPr>
          <w:p w14:paraId="2D4CE53D" w14:textId="767D18EB" w:rsidR="00CA7275" w:rsidRPr="00CA7275" w:rsidRDefault="00CA7275" w:rsidP="00E8619E">
            <w:pPr>
              <w:pStyle w:val="SDMTableBoxParaNumbered"/>
              <w:numPr>
                <w:ilvl w:val="0"/>
                <w:numId w:val="0"/>
              </w:numPr>
              <w:suppressAutoHyphens/>
              <w:rPr>
                <w:i/>
                <w:iCs/>
              </w:rPr>
            </w:pPr>
            <w:r w:rsidRPr="00E8619E">
              <w:t>Urban et al.</w:t>
            </w:r>
            <w:r w:rsidRPr="00CA7275">
              <w:rPr>
                <w:i/>
                <w:iCs/>
              </w:rPr>
              <w:t xml:space="preserve"> Quantifying the Efficiency and Fuel Consumption of Cooking Technologies in Carbon Crediting Frameworks (2025)</w:t>
            </w:r>
          </w:p>
        </w:tc>
        <w:tc>
          <w:tcPr>
            <w:tcW w:w="1559" w:type="dxa"/>
          </w:tcPr>
          <w:p w14:paraId="7A031E5D" w14:textId="3831EA67" w:rsidR="00CA7275" w:rsidRPr="00CF6457" w:rsidRDefault="00CA7275" w:rsidP="00E8619E">
            <w:pPr>
              <w:pStyle w:val="SDMTableBoxParaNotNumbered"/>
              <w:suppressAutoHyphens/>
            </w:pPr>
            <w:r w:rsidRPr="0082785D">
              <w:t>22.10</w:t>
            </w:r>
          </w:p>
        </w:tc>
        <w:tc>
          <w:tcPr>
            <w:tcW w:w="2410" w:type="dxa"/>
          </w:tcPr>
          <w:p w14:paraId="64B0C161" w14:textId="6DFA5525" w:rsidR="00CA7275" w:rsidRPr="00CA7275" w:rsidRDefault="00CA7275" w:rsidP="00E8619E">
            <w:pPr>
              <w:pStyle w:val="SDMTableBoxParaNotNumbered"/>
              <w:suppressAutoHyphens/>
              <w:rPr>
                <w:i/>
                <w:iCs/>
              </w:rPr>
            </w:pPr>
            <w:r w:rsidRPr="00CA7275">
              <w:rPr>
                <w:i/>
                <w:iCs/>
              </w:rPr>
              <w:t>Field testing</w:t>
            </w:r>
          </w:p>
        </w:tc>
      </w:tr>
      <w:tr w:rsidR="00CA7275" w:rsidRPr="00911F51" w14:paraId="30293708" w14:textId="77777777" w:rsidTr="00741A7D">
        <w:tc>
          <w:tcPr>
            <w:tcW w:w="4560" w:type="dxa"/>
          </w:tcPr>
          <w:p w14:paraId="410C1087" w14:textId="01F869F3" w:rsidR="00CA7275" w:rsidRPr="00CA7275" w:rsidRDefault="00CA7275" w:rsidP="00E8619E">
            <w:pPr>
              <w:pStyle w:val="SDMTableBoxParaNumbered"/>
              <w:numPr>
                <w:ilvl w:val="0"/>
                <w:numId w:val="0"/>
              </w:numPr>
              <w:suppressAutoHyphens/>
              <w:rPr>
                <w:i/>
                <w:iCs/>
              </w:rPr>
            </w:pPr>
            <w:r w:rsidRPr="00E8619E">
              <w:t>MacCarty,</w:t>
            </w:r>
            <w:r w:rsidRPr="00CA7275">
              <w:rPr>
                <w:i/>
                <w:iCs/>
              </w:rPr>
              <w:t xml:space="preserve"> Still &amp; Ogle – Fuel use and emissions performance of 50 cooking stoves (2010)</w:t>
            </w:r>
          </w:p>
        </w:tc>
        <w:tc>
          <w:tcPr>
            <w:tcW w:w="1559" w:type="dxa"/>
          </w:tcPr>
          <w:p w14:paraId="06E2F4D8" w14:textId="32054CF2" w:rsidR="00CA7275" w:rsidRPr="00CF6457" w:rsidRDefault="00CA7275" w:rsidP="00E8619E">
            <w:pPr>
              <w:pStyle w:val="SDMTableBoxParaNotNumbered"/>
              <w:suppressAutoHyphens/>
            </w:pPr>
            <w:r w:rsidRPr="00527F62">
              <w:t>22.50</w:t>
            </w:r>
          </w:p>
        </w:tc>
        <w:tc>
          <w:tcPr>
            <w:tcW w:w="2410" w:type="dxa"/>
          </w:tcPr>
          <w:p w14:paraId="4BD7C83A" w14:textId="1065A634" w:rsidR="00CA7275" w:rsidRPr="00CA7275" w:rsidRDefault="00CA7275" w:rsidP="00E8619E">
            <w:pPr>
              <w:pStyle w:val="SDMTableBoxParaNotNumbered"/>
              <w:suppressAutoHyphens/>
              <w:rPr>
                <w:i/>
                <w:iCs/>
              </w:rPr>
            </w:pPr>
            <w:r w:rsidRPr="00CA7275">
              <w:rPr>
                <w:i/>
                <w:iCs/>
              </w:rPr>
              <w:t>Laboratory benchmark testing</w:t>
            </w:r>
          </w:p>
        </w:tc>
      </w:tr>
      <w:tr w:rsidR="00CA7275" w:rsidRPr="00911F51" w14:paraId="32D7A0CF" w14:textId="77777777" w:rsidTr="00741A7D">
        <w:tc>
          <w:tcPr>
            <w:tcW w:w="4560" w:type="dxa"/>
          </w:tcPr>
          <w:p w14:paraId="6EF425FC" w14:textId="7DAC4BBE" w:rsidR="00CA7275" w:rsidRPr="00CA7275" w:rsidRDefault="00CA7275" w:rsidP="00E8619E">
            <w:pPr>
              <w:pStyle w:val="SDMTableBoxParaNumbered"/>
              <w:numPr>
                <w:ilvl w:val="0"/>
                <w:numId w:val="0"/>
              </w:numPr>
              <w:suppressAutoHyphens/>
              <w:rPr>
                <w:i/>
                <w:iCs/>
              </w:rPr>
            </w:pPr>
            <w:r w:rsidRPr="00E8619E">
              <w:t>Adeyemi et al.</w:t>
            </w:r>
            <w:r w:rsidRPr="00CA7275">
              <w:rPr>
                <w:i/>
                <w:iCs/>
              </w:rPr>
              <w:t xml:space="preserve"> – Thermal Performance of Improved Charcoal Stove…(2017)</w:t>
            </w:r>
          </w:p>
        </w:tc>
        <w:tc>
          <w:tcPr>
            <w:tcW w:w="1559" w:type="dxa"/>
          </w:tcPr>
          <w:p w14:paraId="276233DA" w14:textId="55E2BC6C" w:rsidR="00CA7275" w:rsidRPr="00CF6457" w:rsidRDefault="00CA7275" w:rsidP="00E8619E">
            <w:pPr>
              <w:pStyle w:val="SDMTableBoxParaNotNumbered"/>
              <w:suppressAutoHyphens/>
            </w:pPr>
            <w:r w:rsidRPr="00072840">
              <w:t>15.00</w:t>
            </w:r>
          </w:p>
        </w:tc>
        <w:tc>
          <w:tcPr>
            <w:tcW w:w="2410" w:type="dxa"/>
          </w:tcPr>
          <w:p w14:paraId="7D6BFD0C" w14:textId="76635392" w:rsidR="00CA7275" w:rsidRPr="00CA7275" w:rsidRDefault="00CA7275" w:rsidP="00E8619E">
            <w:pPr>
              <w:pStyle w:val="SDMTableBoxParaNotNumbered"/>
              <w:suppressAutoHyphens/>
              <w:rPr>
                <w:i/>
                <w:iCs/>
              </w:rPr>
            </w:pPr>
            <w:r w:rsidRPr="00CA7275">
              <w:rPr>
                <w:i/>
                <w:iCs/>
              </w:rPr>
              <w:t>Laboratory testing</w:t>
            </w:r>
          </w:p>
        </w:tc>
      </w:tr>
      <w:tr w:rsidR="00CA7275" w:rsidRPr="00911F51" w14:paraId="426C3E19" w14:textId="77777777" w:rsidTr="00741A7D">
        <w:tc>
          <w:tcPr>
            <w:tcW w:w="4560" w:type="dxa"/>
          </w:tcPr>
          <w:p w14:paraId="53131B36" w14:textId="4B7E17C1" w:rsidR="00CA7275" w:rsidRPr="00CA7275" w:rsidRDefault="00CA7275" w:rsidP="00E8619E">
            <w:pPr>
              <w:pStyle w:val="SDMTableBoxParaNumbered"/>
              <w:numPr>
                <w:ilvl w:val="0"/>
                <w:numId w:val="0"/>
              </w:numPr>
              <w:suppressAutoHyphens/>
              <w:rPr>
                <w:i/>
                <w:iCs/>
              </w:rPr>
            </w:pPr>
            <w:r w:rsidRPr="00E8619E">
              <w:t>Zhang et al.</w:t>
            </w:r>
            <w:r w:rsidRPr="00CA7275">
              <w:rPr>
                <w:i/>
                <w:iCs/>
              </w:rPr>
              <w:t xml:space="preserve"> – Assessment of pollutant emissions and energy efficiency of charcoal stoves (2018)</w:t>
            </w:r>
          </w:p>
        </w:tc>
        <w:tc>
          <w:tcPr>
            <w:tcW w:w="1559" w:type="dxa"/>
          </w:tcPr>
          <w:p w14:paraId="1F07C195" w14:textId="3F623209" w:rsidR="00CA7275" w:rsidRPr="00CF6457" w:rsidRDefault="00CA7275" w:rsidP="00E8619E">
            <w:pPr>
              <w:pStyle w:val="SDMTableBoxParaNotNumbered"/>
              <w:suppressAutoHyphens/>
            </w:pPr>
            <w:r w:rsidRPr="00DF1375">
              <w:t>21.00</w:t>
            </w:r>
          </w:p>
        </w:tc>
        <w:tc>
          <w:tcPr>
            <w:tcW w:w="2410" w:type="dxa"/>
          </w:tcPr>
          <w:p w14:paraId="079A383D" w14:textId="352664D4" w:rsidR="00CA7275" w:rsidRPr="00CA7275" w:rsidRDefault="00CA7275" w:rsidP="00E8619E">
            <w:pPr>
              <w:pStyle w:val="SDMTableBoxParaNotNumbered"/>
              <w:suppressAutoHyphens/>
              <w:rPr>
                <w:i/>
                <w:iCs/>
              </w:rPr>
            </w:pPr>
            <w:r w:rsidRPr="00CA7275">
              <w:rPr>
                <w:i/>
                <w:iCs/>
              </w:rPr>
              <w:t>Laboratory testing</w:t>
            </w:r>
          </w:p>
        </w:tc>
      </w:tr>
      <w:tr w:rsidR="00CA7275" w:rsidRPr="00911F51" w14:paraId="4228E3CA" w14:textId="77777777" w:rsidTr="00741A7D">
        <w:tc>
          <w:tcPr>
            <w:tcW w:w="4560" w:type="dxa"/>
          </w:tcPr>
          <w:p w14:paraId="60EFD3FA" w14:textId="43968AE6" w:rsidR="00CA7275" w:rsidRPr="00CA7275" w:rsidRDefault="00CA7275" w:rsidP="00E8619E">
            <w:pPr>
              <w:pStyle w:val="SDMTableBoxParaNumbered"/>
              <w:numPr>
                <w:ilvl w:val="0"/>
                <w:numId w:val="0"/>
              </w:numPr>
              <w:suppressAutoHyphens/>
              <w:rPr>
                <w:i/>
                <w:iCs/>
              </w:rPr>
            </w:pPr>
            <w:r w:rsidRPr="00E8619E">
              <w:t xml:space="preserve">Sultane </w:t>
            </w:r>
            <w:r w:rsidRPr="00CA7275">
              <w:rPr>
                <w:i/>
                <w:iCs/>
              </w:rPr>
              <w:t>– Studies of energy efficiency and market access of domestic charcoal stoves</w:t>
            </w:r>
          </w:p>
        </w:tc>
        <w:tc>
          <w:tcPr>
            <w:tcW w:w="1559" w:type="dxa"/>
          </w:tcPr>
          <w:p w14:paraId="6BA40119" w14:textId="015B7785" w:rsidR="00CA7275" w:rsidRPr="00CF6457" w:rsidRDefault="00CA7275" w:rsidP="00E8619E">
            <w:pPr>
              <w:pStyle w:val="SDMTableBoxParaNotNumbered"/>
              <w:suppressAutoHyphens/>
            </w:pPr>
            <w:r w:rsidRPr="007B37EB">
              <w:t>22.00</w:t>
            </w:r>
          </w:p>
        </w:tc>
        <w:tc>
          <w:tcPr>
            <w:tcW w:w="2410" w:type="dxa"/>
          </w:tcPr>
          <w:p w14:paraId="0DCB0FC6" w14:textId="2D04D440" w:rsidR="00CA7275" w:rsidRPr="00CA7275" w:rsidRDefault="00CA7275" w:rsidP="00E8619E">
            <w:pPr>
              <w:pStyle w:val="SDMTableBoxParaNotNumbered"/>
              <w:suppressAutoHyphens/>
              <w:rPr>
                <w:i/>
                <w:iCs/>
              </w:rPr>
            </w:pPr>
            <w:r w:rsidRPr="00CA7275">
              <w:rPr>
                <w:i/>
                <w:iCs/>
              </w:rPr>
              <w:t>Laboratory testing</w:t>
            </w:r>
          </w:p>
        </w:tc>
      </w:tr>
      <w:tr w:rsidR="00CA7275" w:rsidRPr="00911F51" w14:paraId="67B7AFA5" w14:textId="77777777" w:rsidTr="00741A7D">
        <w:tc>
          <w:tcPr>
            <w:tcW w:w="4560" w:type="dxa"/>
          </w:tcPr>
          <w:p w14:paraId="654F320A" w14:textId="476F7451" w:rsidR="00CA7275" w:rsidRPr="00CA7275" w:rsidRDefault="00CA7275" w:rsidP="00E8619E">
            <w:pPr>
              <w:pStyle w:val="SDMTableBoxParaNumbered"/>
              <w:numPr>
                <w:ilvl w:val="0"/>
                <w:numId w:val="0"/>
              </w:numPr>
              <w:suppressAutoHyphens/>
              <w:rPr>
                <w:i/>
                <w:iCs/>
              </w:rPr>
            </w:pPr>
            <w:r w:rsidRPr="00CA7275">
              <w:rPr>
                <w:i/>
                <w:iCs/>
              </w:rPr>
              <w:t>Clean Cooking Alliance testing databases (various)</w:t>
            </w:r>
          </w:p>
        </w:tc>
        <w:tc>
          <w:tcPr>
            <w:tcW w:w="1559" w:type="dxa"/>
          </w:tcPr>
          <w:p w14:paraId="2A3F87BF" w14:textId="19CE1248" w:rsidR="00CA7275" w:rsidRPr="00CF6457" w:rsidRDefault="00CA7275" w:rsidP="00E8619E">
            <w:pPr>
              <w:pStyle w:val="SDMTableBoxParaNotNumbered"/>
              <w:suppressAutoHyphens/>
            </w:pPr>
            <w:r w:rsidRPr="00973C3C">
              <w:t>25.00</w:t>
            </w:r>
          </w:p>
        </w:tc>
        <w:tc>
          <w:tcPr>
            <w:tcW w:w="2410" w:type="dxa"/>
          </w:tcPr>
          <w:p w14:paraId="62476341" w14:textId="11A0193E" w:rsidR="00CA7275" w:rsidRPr="00CA7275" w:rsidRDefault="00CA7275" w:rsidP="00E8619E">
            <w:pPr>
              <w:pStyle w:val="SDMTableBoxParaNotNumbered"/>
              <w:suppressAutoHyphens/>
              <w:rPr>
                <w:i/>
                <w:iCs/>
              </w:rPr>
            </w:pPr>
            <w:r w:rsidRPr="00CA7275">
              <w:rPr>
                <w:i/>
                <w:iCs/>
              </w:rPr>
              <w:t>Literature synthesis</w:t>
            </w:r>
          </w:p>
        </w:tc>
      </w:tr>
      <w:tr w:rsidR="00CA7275" w:rsidRPr="00CA7275" w14:paraId="0D3345AD" w14:textId="77777777" w:rsidTr="00741A7D">
        <w:tc>
          <w:tcPr>
            <w:tcW w:w="8529" w:type="dxa"/>
            <w:gridSpan w:val="3"/>
          </w:tcPr>
          <w:p w14:paraId="010DE5BD" w14:textId="4A324E08" w:rsidR="00CA7275" w:rsidRPr="00CA7275" w:rsidRDefault="00CA7275" w:rsidP="00E8619E">
            <w:pPr>
              <w:pStyle w:val="SDMTableBoxParaNotNumbered"/>
              <w:suppressAutoHyphens/>
              <w:rPr>
                <w:b/>
                <w:bCs/>
              </w:rPr>
            </w:pPr>
            <w:r w:rsidRPr="00CA7275">
              <w:rPr>
                <w:b/>
                <w:bCs/>
              </w:rPr>
              <w:t>- Results -</w:t>
            </w:r>
          </w:p>
        </w:tc>
      </w:tr>
      <w:tr w:rsidR="00CA7275" w:rsidRPr="00911F51" w14:paraId="39E27D68" w14:textId="77777777" w:rsidTr="00741A7D">
        <w:tc>
          <w:tcPr>
            <w:tcW w:w="4560" w:type="dxa"/>
          </w:tcPr>
          <w:p w14:paraId="7DBAF648" w14:textId="4EA691B1" w:rsidR="00CA7275" w:rsidRPr="00E8619E" w:rsidRDefault="00CA7275" w:rsidP="00E8619E">
            <w:pPr>
              <w:pStyle w:val="SDMTableBoxParaNumbered"/>
              <w:numPr>
                <w:ilvl w:val="0"/>
                <w:numId w:val="0"/>
              </w:numPr>
              <w:suppressAutoHyphens/>
              <w:rPr>
                <w:i/>
                <w:iCs/>
              </w:rPr>
            </w:pPr>
            <w:r w:rsidRPr="00A00E17">
              <w:t>n: Population</w:t>
            </w:r>
            <w:r w:rsidRPr="00E8619E">
              <w:rPr>
                <w:i/>
                <w:iCs/>
              </w:rPr>
              <w:t xml:space="preserve"> (number of studies considered)</w:t>
            </w:r>
          </w:p>
        </w:tc>
        <w:tc>
          <w:tcPr>
            <w:tcW w:w="1559" w:type="dxa"/>
          </w:tcPr>
          <w:p w14:paraId="088714E2" w14:textId="673023C4" w:rsidR="00CA7275" w:rsidRPr="00CF6457" w:rsidRDefault="00CA7275" w:rsidP="00E8619E">
            <w:pPr>
              <w:pStyle w:val="SDMTableBoxParaNotNumbered"/>
              <w:suppressAutoHyphens/>
            </w:pPr>
            <w:r w:rsidRPr="007B0703">
              <w:t>6</w:t>
            </w:r>
          </w:p>
        </w:tc>
        <w:tc>
          <w:tcPr>
            <w:tcW w:w="2410" w:type="dxa"/>
          </w:tcPr>
          <w:p w14:paraId="4138C4CB" w14:textId="77777777" w:rsidR="00CA7275" w:rsidRPr="00CF6457" w:rsidRDefault="00CA7275" w:rsidP="00E8619E">
            <w:pPr>
              <w:pStyle w:val="SDMTableBoxParaNotNumbered"/>
              <w:suppressAutoHyphens/>
            </w:pPr>
          </w:p>
        </w:tc>
      </w:tr>
      <w:tr w:rsidR="00CA7275" w:rsidRPr="00911F51" w14:paraId="55D8A355" w14:textId="77777777" w:rsidTr="00741A7D">
        <w:tc>
          <w:tcPr>
            <w:tcW w:w="4560" w:type="dxa"/>
          </w:tcPr>
          <w:p w14:paraId="4E1569AF" w14:textId="2BCA6FF8" w:rsidR="00CA7275" w:rsidRPr="00E8619E" w:rsidRDefault="00CA7275" w:rsidP="00E8619E">
            <w:pPr>
              <w:pStyle w:val="SDMTableBoxParaNumbered"/>
              <w:numPr>
                <w:ilvl w:val="0"/>
                <w:numId w:val="0"/>
              </w:numPr>
              <w:suppressAutoHyphens/>
              <w:rPr>
                <w:i/>
                <w:iCs/>
              </w:rPr>
            </w:pPr>
            <w:r w:rsidRPr="00A00E17">
              <w:t xml:space="preserve">Mean </w:t>
            </w:r>
            <w:r w:rsidRPr="00E8619E">
              <w:rPr>
                <w:i/>
                <w:iCs/>
              </w:rPr>
              <w:t>(per cent)</w:t>
            </w:r>
          </w:p>
        </w:tc>
        <w:tc>
          <w:tcPr>
            <w:tcW w:w="1559" w:type="dxa"/>
          </w:tcPr>
          <w:p w14:paraId="2684503E" w14:textId="10365882" w:rsidR="00CA7275" w:rsidRPr="00CF6457" w:rsidRDefault="00CA7275" w:rsidP="00E8619E">
            <w:pPr>
              <w:pStyle w:val="SDMTableBoxParaNotNumbered"/>
              <w:suppressAutoHyphens/>
            </w:pPr>
            <w:r w:rsidRPr="002B5252">
              <w:t xml:space="preserve">21.27 </w:t>
            </w:r>
          </w:p>
        </w:tc>
        <w:tc>
          <w:tcPr>
            <w:tcW w:w="2410" w:type="dxa"/>
          </w:tcPr>
          <w:p w14:paraId="3D07230E" w14:textId="77777777" w:rsidR="00CA7275" w:rsidRPr="00CF6457" w:rsidRDefault="00CA7275" w:rsidP="00E8619E">
            <w:pPr>
              <w:pStyle w:val="SDMTableBoxParaNotNumbered"/>
              <w:suppressAutoHyphens/>
            </w:pPr>
          </w:p>
        </w:tc>
      </w:tr>
      <w:tr w:rsidR="00CA7275" w:rsidRPr="00911F51" w14:paraId="58F2A87F" w14:textId="77777777" w:rsidTr="00741A7D">
        <w:tc>
          <w:tcPr>
            <w:tcW w:w="4560" w:type="dxa"/>
          </w:tcPr>
          <w:p w14:paraId="0944AE70" w14:textId="26F7EC48" w:rsidR="00CA7275" w:rsidRPr="00E8619E" w:rsidRDefault="00CA7275" w:rsidP="00E8619E">
            <w:pPr>
              <w:pStyle w:val="SDMTableBoxParaNumbered"/>
              <w:numPr>
                <w:ilvl w:val="0"/>
                <w:numId w:val="0"/>
              </w:numPr>
              <w:suppressAutoHyphens/>
              <w:rPr>
                <w:i/>
                <w:iCs/>
              </w:rPr>
            </w:pPr>
            <w:r w:rsidRPr="00A00E17">
              <w:t>Median</w:t>
            </w:r>
            <w:r w:rsidRPr="00E8619E">
              <w:rPr>
                <w:i/>
                <w:iCs/>
              </w:rPr>
              <w:t xml:space="preserve"> (per cent)</w:t>
            </w:r>
          </w:p>
        </w:tc>
        <w:tc>
          <w:tcPr>
            <w:tcW w:w="1559" w:type="dxa"/>
          </w:tcPr>
          <w:p w14:paraId="2AE4BF6D" w14:textId="10305EE0" w:rsidR="00CA7275" w:rsidRPr="00CF6457" w:rsidRDefault="00CA7275" w:rsidP="00E8619E">
            <w:pPr>
              <w:pStyle w:val="SDMTableBoxParaNotNumbered"/>
              <w:suppressAutoHyphens/>
            </w:pPr>
            <w:r w:rsidRPr="00D8070D">
              <w:t>22.05</w:t>
            </w:r>
          </w:p>
        </w:tc>
        <w:tc>
          <w:tcPr>
            <w:tcW w:w="2410" w:type="dxa"/>
          </w:tcPr>
          <w:p w14:paraId="2490900A" w14:textId="77777777" w:rsidR="00CA7275" w:rsidRPr="00CF6457" w:rsidRDefault="00CA7275" w:rsidP="00E8619E">
            <w:pPr>
              <w:pStyle w:val="SDMTableBoxParaNotNumbered"/>
              <w:suppressAutoHyphens/>
            </w:pPr>
          </w:p>
        </w:tc>
      </w:tr>
      <w:tr w:rsidR="00CA7275" w:rsidRPr="00911F51" w14:paraId="6D382763" w14:textId="77777777" w:rsidTr="00741A7D">
        <w:tc>
          <w:tcPr>
            <w:tcW w:w="4560" w:type="dxa"/>
          </w:tcPr>
          <w:p w14:paraId="1BC03DAB" w14:textId="197452C9" w:rsidR="00CA7275" w:rsidRPr="00E8619E" w:rsidRDefault="00CA7275" w:rsidP="00E8619E">
            <w:pPr>
              <w:pStyle w:val="SDMTableBoxParaNumbered"/>
              <w:numPr>
                <w:ilvl w:val="0"/>
                <w:numId w:val="0"/>
              </w:numPr>
              <w:suppressAutoHyphens/>
              <w:rPr>
                <w:i/>
                <w:iCs/>
              </w:rPr>
            </w:pPr>
            <w:r w:rsidRPr="00A00E17">
              <w:t xml:space="preserve">Maximum </w:t>
            </w:r>
            <w:r w:rsidRPr="00E8619E">
              <w:rPr>
                <w:i/>
                <w:iCs/>
              </w:rPr>
              <w:t>(per cent)</w:t>
            </w:r>
          </w:p>
        </w:tc>
        <w:tc>
          <w:tcPr>
            <w:tcW w:w="1559" w:type="dxa"/>
          </w:tcPr>
          <w:p w14:paraId="390A9194" w14:textId="1E98990D" w:rsidR="00CA7275" w:rsidRPr="00CF6457" w:rsidRDefault="00CA7275" w:rsidP="00E8619E">
            <w:pPr>
              <w:pStyle w:val="SDMTableBoxParaNotNumbered"/>
              <w:suppressAutoHyphens/>
            </w:pPr>
            <w:r w:rsidRPr="00071616">
              <w:t>25.00</w:t>
            </w:r>
          </w:p>
        </w:tc>
        <w:tc>
          <w:tcPr>
            <w:tcW w:w="2410" w:type="dxa"/>
          </w:tcPr>
          <w:p w14:paraId="657FA70A" w14:textId="77777777" w:rsidR="00CA7275" w:rsidRPr="00CF6457" w:rsidRDefault="00CA7275" w:rsidP="00E8619E">
            <w:pPr>
              <w:pStyle w:val="SDMTableBoxParaNotNumbered"/>
              <w:suppressAutoHyphens/>
            </w:pPr>
          </w:p>
        </w:tc>
      </w:tr>
    </w:tbl>
    <w:p w14:paraId="5A6813D2" w14:textId="71D53513" w:rsidR="00B256D5" w:rsidRDefault="000F0BBC" w:rsidP="00E54E0A">
      <w:pPr>
        <w:pStyle w:val="SDMPara"/>
        <w:numPr>
          <w:ilvl w:val="0"/>
          <w:numId w:val="4"/>
        </w:numPr>
        <w:suppressAutoHyphens/>
      </w:pPr>
      <w:r>
        <w:t xml:space="preserve">For conservativeness, </w:t>
      </w:r>
      <w:r w:rsidR="00EE2F6E">
        <w:t>the maximum value of the identified studies is selected as the conservative BAU efficiency</w:t>
      </w:r>
      <w:r w:rsidR="00B256D5">
        <w:t>.</w:t>
      </w:r>
    </w:p>
    <w:p w14:paraId="37E0B3DD" w14:textId="4FABB7E0" w:rsidR="001C2394" w:rsidRPr="001C2394" w:rsidRDefault="001C2394" w:rsidP="00F36D0D">
      <w:pPr>
        <w:pStyle w:val="SDMApp1"/>
      </w:pPr>
      <w:r w:rsidRPr="001C2394">
        <w:t>Leakage</w:t>
      </w:r>
    </w:p>
    <w:p w14:paraId="4260EFC4" w14:textId="7252D8F3" w:rsidR="001C2394" w:rsidRPr="001C2394" w:rsidRDefault="001C2394" w:rsidP="00E54E0A">
      <w:pPr>
        <w:pStyle w:val="SDMPara"/>
        <w:numPr>
          <w:ilvl w:val="0"/>
          <w:numId w:val="4"/>
        </w:numPr>
        <w:suppressAutoHyphens/>
      </w:pPr>
      <w:r w:rsidRPr="001C2394">
        <w:t xml:space="preserve">Potential sources of leakage are </w:t>
      </w:r>
      <w:r w:rsidR="00BF277B">
        <w:t xml:space="preserve">addressed in accordance with the </w:t>
      </w:r>
      <w:r w:rsidR="00373AC3">
        <w:t>“</w:t>
      </w:r>
      <w:r w:rsidR="00BF277B">
        <w:t>Standard: Addressing leakage in mechanism methodologies</w:t>
      </w:r>
      <w:r w:rsidR="00373AC3">
        <w:t>”</w:t>
      </w:r>
      <w:r w:rsidR="00163051">
        <w:rPr>
          <w:rFonts w:eastAsia="MS Mincho" w:hint="eastAsia"/>
          <w:lang w:eastAsia="ja-JP"/>
        </w:rPr>
        <w:t xml:space="preserve"> (A6.4-STAN-METH-005)</w:t>
      </w:r>
      <w:r w:rsidRPr="001C2394">
        <w:t>.</w:t>
      </w:r>
    </w:p>
    <w:p w14:paraId="1E5501BD" w14:textId="574FCCA5" w:rsidR="009D1D90" w:rsidRPr="001C2394" w:rsidRDefault="00240C45" w:rsidP="00240C45">
      <w:pPr>
        <w:pStyle w:val="SDMApp2"/>
      </w:pPr>
      <w:r w:rsidRPr="00240C45">
        <w:t>Identification of leakage</w:t>
      </w:r>
    </w:p>
    <w:p w14:paraId="751AA0F1" w14:textId="36F0321C" w:rsidR="00240C45" w:rsidRDefault="00921A70" w:rsidP="00E54E0A">
      <w:pPr>
        <w:pStyle w:val="SDMPara"/>
        <w:numPr>
          <w:ilvl w:val="0"/>
          <w:numId w:val="4"/>
        </w:numPr>
        <w:suppressAutoHyphens/>
      </w:pPr>
      <w:r>
        <w:t>The following potential sources of leakage are identified and analysed.</w:t>
      </w:r>
    </w:p>
    <w:p w14:paraId="3473BC71" w14:textId="77777777" w:rsidR="00615311" w:rsidRDefault="00B27EB4" w:rsidP="00E54E0A">
      <w:pPr>
        <w:pStyle w:val="SDMPara"/>
        <w:numPr>
          <w:ilvl w:val="0"/>
          <w:numId w:val="4"/>
        </w:numPr>
        <w:suppressAutoHyphens/>
        <w:rPr>
          <w:lang w:val="en-US" w:eastAsia="en-US"/>
        </w:rPr>
      </w:pPr>
      <w:r w:rsidRPr="001C2394">
        <w:rPr>
          <w:lang w:val="en-US" w:eastAsia="en-US"/>
        </w:rPr>
        <w:t xml:space="preserve">Activity households may always continue to </w:t>
      </w:r>
      <w:r w:rsidR="00FF09BB">
        <w:rPr>
          <w:lang w:val="en-US" w:eastAsia="en-US"/>
        </w:rPr>
        <w:t xml:space="preserve">make </w:t>
      </w:r>
      <w:r w:rsidRPr="004E3100">
        <w:rPr>
          <w:b/>
          <w:lang w:val="en-US" w:eastAsia="en-US"/>
        </w:rPr>
        <w:t xml:space="preserve">use </w:t>
      </w:r>
      <w:r w:rsidR="00FF09BB" w:rsidRPr="004E3100">
        <w:rPr>
          <w:b/>
          <w:bCs/>
          <w:lang w:val="en-US" w:eastAsia="en-US"/>
        </w:rPr>
        <w:t>of</w:t>
      </w:r>
      <w:r w:rsidRPr="004E3100">
        <w:rPr>
          <w:b/>
          <w:lang w:val="en-US" w:eastAsia="en-US"/>
        </w:rPr>
        <w:t xml:space="preserve"> pre-activity technologies</w:t>
      </w:r>
      <w:r w:rsidRPr="001C2394">
        <w:rPr>
          <w:lang w:val="en-US" w:eastAsia="en-US"/>
        </w:rPr>
        <w:t xml:space="preserve"> to ensure they maintain an equal or better level of service during the activity as in the baseline, if they find the </w:t>
      </w:r>
      <w:r w:rsidR="004E254C">
        <w:rPr>
          <w:lang w:val="en-US" w:eastAsia="en-US"/>
        </w:rPr>
        <w:t>activity</w:t>
      </w:r>
      <w:r w:rsidR="004E254C" w:rsidRPr="001C2394">
        <w:rPr>
          <w:lang w:val="en-US" w:eastAsia="en-US"/>
        </w:rPr>
        <w:t xml:space="preserve"> </w:t>
      </w:r>
      <w:r w:rsidRPr="001C2394">
        <w:rPr>
          <w:lang w:val="en-US" w:eastAsia="en-US"/>
        </w:rPr>
        <w:t>technology does not suit 100</w:t>
      </w:r>
      <w:r>
        <w:rPr>
          <w:lang w:val="en-US" w:eastAsia="en-US"/>
        </w:rPr>
        <w:t> per cent</w:t>
      </w:r>
      <w:r w:rsidRPr="001C2394">
        <w:rPr>
          <w:lang w:val="en-US" w:eastAsia="en-US"/>
        </w:rPr>
        <w:t xml:space="preserve"> of their needs. Such simultaneous stove use will be captured in the </w:t>
      </w:r>
      <w:r w:rsidR="004C5040">
        <w:rPr>
          <w:lang w:val="en-US" w:eastAsia="en-US"/>
        </w:rPr>
        <w:t>activity</w:t>
      </w:r>
      <w:r w:rsidRPr="001C2394">
        <w:rPr>
          <w:lang w:val="en-US" w:eastAsia="en-US"/>
        </w:rPr>
        <w:t xml:space="preserve"> emissions calculations and does not constitute leakage.</w:t>
      </w:r>
      <w:r w:rsidR="003434DD">
        <w:rPr>
          <w:lang w:val="en-US" w:eastAsia="en-US"/>
        </w:rPr>
        <w:t xml:space="preserve"> </w:t>
      </w:r>
      <w:r w:rsidR="001C2394" w:rsidRPr="001C2394">
        <w:t xml:space="preserve">The Article 6.4 activities are incentivized to </w:t>
      </w:r>
      <w:r w:rsidR="001C2394" w:rsidRPr="001C2394">
        <w:rPr>
          <w:lang w:val="en-US" w:eastAsia="en-US"/>
        </w:rPr>
        <w:t>select technologies and fuels that meet the cooking needs of the target population to substitute the level of service provided in the baseline in the most effective way possible, since the most effective substitutes will achieve the highest emission reductions.</w:t>
      </w:r>
    </w:p>
    <w:p w14:paraId="3AD4B16A" w14:textId="31340A16" w:rsidR="001C2394" w:rsidRPr="001C2394" w:rsidRDefault="001C2394" w:rsidP="00E54E0A">
      <w:pPr>
        <w:pStyle w:val="SDMPara"/>
        <w:numPr>
          <w:ilvl w:val="0"/>
          <w:numId w:val="4"/>
        </w:numPr>
        <w:suppressAutoHyphens/>
      </w:pPr>
      <w:r w:rsidRPr="004E3100">
        <w:rPr>
          <w:b/>
          <w:lang w:val="en-US" w:eastAsia="en-US"/>
        </w:rPr>
        <w:t>Baseline equipment transfer</w:t>
      </w:r>
      <w:r w:rsidRPr="001C2394">
        <w:rPr>
          <w:lang w:val="en-US" w:eastAsia="en-US"/>
        </w:rPr>
        <w:t xml:space="preserve"> is not relevant, since baseline equipment may be maintained; or, if it is replaced completely, it does not present a value for third parties, or if its components are re-used, it can be assumed that this is because it replaces more GHG-intensive alternatives, since otherwise it would not offer any benefits for a third-party user.</w:t>
      </w:r>
    </w:p>
    <w:p w14:paraId="0CA6FDA9" w14:textId="541826D7" w:rsidR="001C2394" w:rsidRPr="001C2394" w:rsidRDefault="001C2394" w:rsidP="00E54E0A">
      <w:pPr>
        <w:pStyle w:val="SDMPara"/>
        <w:numPr>
          <w:ilvl w:val="0"/>
          <w:numId w:val="4"/>
        </w:numPr>
        <w:suppressAutoHyphens/>
      </w:pPr>
      <w:r w:rsidRPr="001C2394">
        <w:rPr>
          <w:lang w:val="en-US" w:eastAsia="en-US"/>
        </w:rPr>
        <w:t>The Article 6.4 activity reduces the consumption of the same resource used in the baseline</w:t>
      </w:r>
      <w:r w:rsidR="001C4687">
        <w:rPr>
          <w:lang w:val="en-US" w:eastAsia="en-US"/>
        </w:rPr>
        <w:t xml:space="preserve"> (</w:t>
      </w:r>
      <w:r w:rsidRPr="001C2394">
        <w:rPr>
          <w:lang w:val="en-US" w:eastAsia="en-US"/>
        </w:rPr>
        <w:t>i.e.</w:t>
      </w:r>
      <w:r w:rsidR="001C4687">
        <w:rPr>
          <w:lang w:val="en-US" w:eastAsia="en-US"/>
        </w:rPr>
        <w:t>,</w:t>
      </w:r>
      <w:r w:rsidRPr="001C2394">
        <w:rPr>
          <w:lang w:val="en-US" w:eastAsia="en-US"/>
        </w:rPr>
        <w:t xml:space="preserve"> harvested biomass in the form of fuelwood or charcoal</w:t>
      </w:r>
      <w:r w:rsidR="001C4687">
        <w:rPr>
          <w:lang w:val="en-US" w:eastAsia="en-US"/>
        </w:rPr>
        <w:t>)</w:t>
      </w:r>
      <w:r w:rsidRPr="001C2394">
        <w:rPr>
          <w:lang w:val="en-US" w:eastAsia="en-US"/>
        </w:rPr>
        <w:t xml:space="preserve"> and therefore avoids </w:t>
      </w:r>
      <w:r w:rsidRPr="004E3100">
        <w:rPr>
          <w:b/>
          <w:lang w:val="en-US" w:eastAsia="en-US"/>
        </w:rPr>
        <w:t>resource diversion</w:t>
      </w:r>
      <w:r w:rsidRPr="001C2394">
        <w:rPr>
          <w:lang w:val="en-US" w:eastAsia="en-US"/>
        </w:rPr>
        <w:t>.</w:t>
      </w:r>
    </w:p>
    <w:p w14:paraId="7D5E012D" w14:textId="460B6D56" w:rsidR="001C2394" w:rsidRPr="001C2394" w:rsidRDefault="001C2394" w:rsidP="00E54E0A">
      <w:pPr>
        <w:pStyle w:val="SDMPara"/>
        <w:numPr>
          <w:ilvl w:val="0"/>
          <w:numId w:val="4"/>
        </w:numPr>
        <w:suppressAutoHyphens/>
      </w:pPr>
      <w:r w:rsidRPr="001C2394">
        <w:rPr>
          <w:lang w:eastAsia="en-US"/>
        </w:rPr>
        <w:t xml:space="preserve">One theoretical source of negative leakage is if the </w:t>
      </w:r>
      <w:r w:rsidRPr="004E3100">
        <w:rPr>
          <w:b/>
          <w:lang w:eastAsia="en-US"/>
        </w:rPr>
        <w:t>reduction in harvested biomass means that more is available for other users, and these other users utilize the same biomass that was reduced by the Article 6.4 activit</w:t>
      </w:r>
      <w:r w:rsidRPr="001C2394">
        <w:rPr>
          <w:lang w:eastAsia="en-US"/>
        </w:rPr>
        <w:t>y. However</w:t>
      </w:r>
      <w:r w:rsidRPr="001C2394" w:rsidDel="00E46C5C">
        <w:rPr>
          <w:lang w:eastAsia="en-US"/>
        </w:rPr>
        <w:t xml:space="preserve">, </w:t>
      </w:r>
      <w:r w:rsidRPr="001C2394">
        <w:rPr>
          <w:lang w:eastAsia="en-US"/>
        </w:rPr>
        <w:t>no leakage emissions are estimated from this potential source</w:t>
      </w:r>
      <w:r w:rsidR="00E46C5C">
        <w:rPr>
          <w:lang w:eastAsia="en-US"/>
        </w:rPr>
        <w:t xml:space="preserve"> to be</w:t>
      </w:r>
      <w:r w:rsidRPr="001C2394">
        <w:rPr>
          <w:lang w:eastAsia="en-US"/>
        </w:rPr>
        <w:t xml:space="preserve"> consistent with Gill-Wiehl et al. (under review), which found that in the context of interventions in households that reduce harvested biomass use, neighbouring households generally experience no change in, or also decrease, their own harvested biomass use.</w:t>
      </w:r>
    </w:p>
    <w:p w14:paraId="6B4A66B9" w14:textId="1631C993" w:rsidR="00B027B5" w:rsidRPr="001C2394" w:rsidRDefault="00B027B5" w:rsidP="00E54E0A">
      <w:pPr>
        <w:pStyle w:val="SDMPara"/>
        <w:numPr>
          <w:ilvl w:val="0"/>
          <w:numId w:val="4"/>
        </w:numPr>
        <w:suppressAutoHyphens/>
      </w:pPr>
      <w:r w:rsidRPr="001C2394">
        <w:rPr>
          <w:lang w:eastAsia="en-US"/>
        </w:rPr>
        <w:t xml:space="preserve">Leakage may occur associated with the </w:t>
      </w:r>
      <w:r w:rsidRPr="004E3100">
        <w:rPr>
          <w:b/>
          <w:lang w:eastAsia="en-US"/>
        </w:rPr>
        <w:t>project cookstoves, including their materials, manufacture, and transportation</w:t>
      </w:r>
      <w:r w:rsidRPr="001C2394">
        <w:rPr>
          <w:lang w:eastAsia="en-US"/>
        </w:rPr>
        <w:t>.</w:t>
      </w:r>
    </w:p>
    <w:p w14:paraId="75E14681" w14:textId="77777777" w:rsidR="00615311" w:rsidRDefault="00B027B5" w:rsidP="00E54E0A">
      <w:pPr>
        <w:pStyle w:val="SDMPara"/>
        <w:numPr>
          <w:ilvl w:val="0"/>
          <w:numId w:val="4"/>
        </w:numPr>
        <w:suppressAutoHyphens/>
        <w:rPr>
          <w:lang w:eastAsia="en-US"/>
        </w:rPr>
      </w:pPr>
      <w:r w:rsidRPr="001C2394">
        <w:rPr>
          <w:lang w:eastAsia="en-US"/>
        </w:rPr>
        <w:t>Potential sources of positive leakage are also identified. F</w:t>
      </w:r>
      <w:r w:rsidR="00ED0B2F">
        <w:rPr>
          <w:lang w:eastAsia="en-US"/>
        </w:rPr>
        <w:t>irst</w:t>
      </w:r>
      <w:r w:rsidRPr="001C2394">
        <w:rPr>
          <w:lang w:eastAsia="en-US"/>
        </w:rPr>
        <w:t xml:space="preserve">, when efficient cooking activities such as those eligible under this mechanism methodology are successful, they reduce the demand for fuelwood or charcoal. At sufficient scale, this may impact the fNRB of the activity’s location, meaning that </w:t>
      </w:r>
      <w:r w:rsidRPr="004E3100">
        <w:rPr>
          <w:b/>
          <w:lang w:eastAsia="en-US"/>
        </w:rPr>
        <w:t xml:space="preserve">the harvested biomass consumed as fuel becomes more renewable, </w:t>
      </w:r>
      <w:r w:rsidR="00ED0B2F">
        <w:rPr>
          <w:b/>
          <w:bCs/>
          <w:lang w:eastAsia="en-US"/>
        </w:rPr>
        <w:t>reducing</w:t>
      </w:r>
      <w:r w:rsidRPr="004E3100">
        <w:rPr>
          <w:b/>
          <w:lang w:eastAsia="en-US"/>
        </w:rPr>
        <w:t xml:space="preserve"> the net emissions of both the activity households and the neighbouring households</w:t>
      </w:r>
      <w:r w:rsidRPr="001C2394">
        <w:rPr>
          <w:lang w:eastAsia="en-US"/>
        </w:rPr>
        <w:t>. Such impacts are not captured in this mechanism methodology and could lead to positive leakage.</w:t>
      </w:r>
      <w:r w:rsidR="00ED0B2F">
        <w:rPr>
          <w:lang w:eastAsia="en-US"/>
        </w:rPr>
        <w:t xml:space="preserve"> Second, sustained, reduced harvesting of biomass may permit the standing trees and </w:t>
      </w:r>
      <w:r w:rsidR="00E1060F">
        <w:rPr>
          <w:lang w:eastAsia="en-US"/>
        </w:rPr>
        <w:t>landscape</w:t>
      </w:r>
      <w:r w:rsidR="00ED0B2F">
        <w:rPr>
          <w:lang w:eastAsia="en-US"/>
        </w:rPr>
        <w:t>s to regrow beyond the levels that were obtained in the pre-activity situation. Any such additional carbon storage in biomass is not captured in this mechanism methodology and could lead to positive leakage.</w:t>
      </w:r>
      <w:r w:rsidR="00F8112D">
        <w:rPr>
          <w:lang w:eastAsia="en-US"/>
        </w:rPr>
        <w:t xml:space="preserve"> Omission of these two potential sources of positive leakage is conservative.</w:t>
      </w:r>
    </w:p>
    <w:p w14:paraId="01B19BF6" w14:textId="0BCDEBF1" w:rsidR="00921A70" w:rsidRDefault="00921A70" w:rsidP="00921A70">
      <w:pPr>
        <w:pStyle w:val="SDMApp2"/>
      </w:pPr>
      <w:r w:rsidRPr="00EB05D6">
        <w:t>Avoidance or minimisation of leakage</w:t>
      </w:r>
    </w:p>
    <w:p w14:paraId="15B8EFBB" w14:textId="186D6B0E" w:rsidR="00921A70" w:rsidRDefault="00F219F2" w:rsidP="00921A70">
      <w:pPr>
        <w:pStyle w:val="SDMPara"/>
        <w:numPr>
          <w:ilvl w:val="0"/>
          <w:numId w:val="4"/>
        </w:numPr>
      </w:pPr>
      <w:r>
        <w:t>No sources of leakage were identified that need to be avoided or minimi</w:t>
      </w:r>
      <w:r w:rsidR="00686838">
        <w:t>z</w:t>
      </w:r>
      <w:r>
        <w:t>ed.</w:t>
      </w:r>
    </w:p>
    <w:p w14:paraId="72D197B9" w14:textId="77777777" w:rsidR="00921A70" w:rsidRDefault="00921A70" w:rsidP="00921A70">
      <w:pPr>
        <w:pStyle w:val="SDMApp2"/>
      </w:pPr>
      <w:r w:rsidRPr="006E08AF">
        <w:t>Calculation and subtraction of leakage</w:t>
      </w:r>
    </w:p>
    <w:p w14:paraId="44E88BE5" w14:textId="6D3B1360" w:rsidR="00615311" w:rsidRDefault="001C2394" w:rsidP="00E54E0A">
      <w:pPr>
        <w:pStyle w:val="SDMPara"/>
        <w:numPr>
          <w:ilvl w:val="0"/>
          <w:numId w:val="4"/>
        </w:numPr>
        <w:suppressAutoHyphens/>
        <w:rPr>
          <w:rFonts w:eastAsia="Montserrat"/>
          <w:color w:val="000000" w:themeColor="text1"/>
        </w:rPr>
      </w:pPr>
      <w:r w:rsidRPr="001C2394">
        <w:rPr>
          <w:lang w:eastAsia="en-US"/>
        </w:rPr>
        <w:t>Leakage associated with the project cookstoves, including their materials, manufacture, and transportation</w:t>
      </w:r>
      <w:r w:rsidR="00F219F2">
        <w:rPr>
          <w:lang w:eastAsia="en-US"/>
        </w:rPr>
        <w:t>, shall be calculated and estimated.</w:t>
      </w:r>
      <w:r w:rsidR="00F219F2" w:rsidRPr="001C2394">
        <w:rPr>
          <w:lang w:eastAsia="en-US"/>
        </w:rPr>
        <w:t xml:space="preserve"> </w:t>
      </w:r>
      <w:r w:rsidRPr="001C2394">
        <w:rPr>
          <w:lang w:eastAsia="en-US"/>
        </w:rPr>
        <w:t xml:space="preserve">An estimate of the potential emissions from these sources </w:t>
      </w:r>
      <w:r w:rsidR="00E00C59">
        <w:rPr>
          <w:lang w:eastAsia="en-US"/>
        </w:rPr>
        <w:t xml:space="preserve">for industrially manufactured, imported cookstoves </w:t>
      </w:r>
      <w:r w:rsidRPr="001C2394">
        <w:rPr>
          <w:lang w:eastAsia="en-US"/>
        </w:rPr>
        <w:t>was developed based on assumptions about cookstove materials</w:t>
      </w:r>
      <w:r w:rsidR="00E00C59">
        <w:rPr>
          <w:lang w:eastAsia="en-US"/>
        </w:rPr>
        <w:t xml:space="preserve"> (steel)</w:t>
      </w:r>
      <w:r w:rsidRPr="001C2394">
        <w:rPr>
          <w:lang w:eastAsia="en-US"/>
        </w:rPr>
        <w:t>, mass</w:t>
      </w:r>
      <w:r w:rsidR="00E00C59">
        <w:rPr>
          <w:lang w:eastAsia="en-US"/>
        </w:rPr>
        <w:t xml:space="preserve"> (about 5 kg)</w:t>
      </w:r>
      <w:r w:rsidRPr="001C2394">
        <w:rPr>
          <w:lang w:eastAsia="en-US"/>
        </w:rPr>
        <w:t>, and locations of manufacturing and use</w:t>
      </w:r>
      <w:r w:rsidR="00E00C59">
        <w:rPr>
          <w:lang w:eastAsia="en-US"/>
        </w:rPr>
        <w:t xml:space="preserve"> (China and east Africa, respectively)</w:t>
      </w:r>
      <w:r w:rsidRPr="001C2394">
        <w:rPr>
          <w:lang w:eastAsia="en-US"/>
        </w:rPr>
        <w:t xml:space="preserve">, using emission factors from the World Steel Association and the Global Logistics Emissions Council, to derive </w:t>
      </w:r>
      <w:r w:rsidR="007E02F6">
        <w:rPr>
          <w:lang w:eastAsia="en-US"/>
        </w:rPr>
        <w:t>an</w:t>
      </w:r>
      <w:r w:rsidRPr="001C2394">
        <w:rPr>
          <w:lang w:eastAsia="en-US"/>
        </w:rPr>
        <w:t xml:space="preserve"> estimate of related leakage emissions of 0.</w:t>
      </w:r>
      <w:r w:rsidR="002D48A9" w:rsidRPr="001C2394">
        <w:rPr>
          <w:lang w:eastAsia="en-US"/>
        </w:rPr>
        <w:t>0</w:t>
      </w:r>
      <w:r w:rsidR="002D48A9">
        <w:rPr>
          <w:lang w:eastAsia="en-US"/>
        </w:rPr>
        <w:t>128</w:t>
      </w:r>
      <w:r w:rsidRPr="001C2394">
        <w:rPr>
          <w:lang w:eastAsia="en-US"/>
        </w:rPr>
        <w:t xml:space="preserve"> t</w:t>
      </w:r>
      <w:r w:rsidR="00220A11">
        <w:rPr>
          <w:lang w:eastAsia="en-US"/>
        </w:rPr>
        <w:t xml:space="preserve"> </w:t>
      </w:r>
      <w:r w:rsidRPr="001C2394">
        <w:rPr>
          <w:lang w:eastAsia="en-US"/>
        </w:rPr>
        <w:t>CO</w:t>
      </w:r>
      <w:r w:rsidRPr="00A51A34">
        <w:rPr>
          <w:vertAlign w:val="subscript"/>
          <w:lang w:eastAsia="en-US"/>
        </w:rPr>
        <w:t>2</w:t>
      </w:r>
      <w:r w:rsidR="00582E4B">
        <w:rPr>
          <w:vertAlign w:val="subscript"/>
          <w:lang w:eastAsia="en-US"/>
        </w:rPr>
        <w:t xml:space="preserve"> </w:t>
      </w:r>
      <w:r w:rsidRPr="001C2394">
        <w:rPr>
          <w:lang w:eastAsia="en-US"/>
        </w:rPr>
        <w:t>e</w:t>
      </w:r>
      <w:r w:rsidR="00220A11">
        <w:rPr>
          <w:lang w:eastAsia="en-US"/>
        </w:rPr>
        <w:t>q</w:t>
      </w:r>
      <w:r w:rsidR="00582E4B">
        <w:rPr>
          <w:lang w:eastAsia="en-US"/>
        </w:rPr>
        <w:t xml:space="preserve"> </w:t>
      </w:r>
      <w:r w:rsidRPr="001C2394">
        <w:rPr>
          <w:lang w:eastAsia="en-US"/>
        </w:rPr>
        <w:t>/</w:t>
      </w:r>
      <w:r w:rsidR="00582E4B">
        <w:rPr>
          <w:lang w:eastAsia="en-US"/>
        </w:rPr>
        <w:t xml:space="preserve"> </w:t>
      </w:r>
      <w:r w:rsidRPr="001C2394">
        <w:rPr>
          <w:lang w:eastAsia="en-US"/>
        </w:rPr>
        <w:t>unit.</w:t>
      </w:r>
      <w:r w:rsidR="0042617D">
        <w:rPr>
          <w:lang w:eastAsia="en-US"/>
        </w:rPr>
        <w:t xml:space="preserve"> </w:t>
      </w:r>
      <w:r w:rsidR="00A45B9F">
        <w:rPr>
          <w:lang w:eastAsia="en-US"/>
        </w:rPr>
        <w:t xml:space="preserve">As a simplification, locally </w:t>
      </w:r>
      <w:r w:rsidR="00B8035A">
        <w:rPr>
          <w:lang w:eastAsia="en-US"/>
        </w:rPr>
        <w:t xml:space="preserve">produced stoves are assumed to have about half those </w:t>
      </w:r>
      <w:r w:rsidR="00914068">
        <w:rPr>
          <w:lang w:eastAsia="en-US"/>
        </w:rPr>
        <w:t>upstream emissions.</w:t>
      </w:r>
      <w:r w:rsidR="0042617D">
        <w:rPr>
          <w:lang w:eastAsia="en-US"/>
        </w:rPr>
        <w:t xml:space="preserve"> The calculation for these potential leakage emissions is included in the methodology.</w:t>
      </w:r>
      <w:r w:rsidR="00DB4AB2">
        <w:rPr>
          <w:lang w:eastAsia="en-US"/>
        </w:rPr>
        <w:t xml:space="preserve"> Activity participants may instead use </w:t>
      </w:r>
      <w:r w:rsidR="0060398A">
        <w:rPr>
          <w:lang w:eastAsia="en-US"/>
        </w:rPr>
        <w:t xml:space="preserve">the results of a </w:t>
      </w:r>
      <w:r w:rsidR="00DB4AB2" w:rsidRPr="002B03D1">
        <w:rPr>
          <w:rFonts w:eastAsia="Montserrat"/>
          <w:color w:val="000000" w:themeColor="text1"/>
        </w:rPr>
        <w:t xml:space="preserve">verified </w:t>
      </w:r>
      <w:r w:rsidR="00DB4AB2">
        <w:rPr>
          <w:rFonts w:eastAsia="Montserrat"/>
          <w:color w:val="000000" w:themeColor="text1"/>
        </w:rPr>
        <w:t>Life Cycle Analysis (LCA)</w:t>
      </w:r>
      <w:r w:rsidR="0060398A">
        <w:rPr>
          <w:rFonts w:eastAsia="Montserrat"/>
          <w:color w:val="000000" w:themeColor="text1"/>
        </w:rPr>
        <w:t xml:space="preserve"> study for the project cookstoves, if available, to provide an activity-specific value.</w:t>
      </w:r>
    </w:p>
    <w:p w14:paraId="676ABBF6" w14:textId="5851604F" w:rsidR="008A2AE3" w:rsidRPr="001C2394" w:rsidRDefault="008A2AE3" w:rsidP="008A2AE3">
      <w:pPr>
        <w:pStyle w:val="SDMApp1"/>
      </w:pPr>
      <w:r>
        <w:t>Uncertainty assessment</w:t>
      </w:r>
    </w:p>
    <w:p w14:paraId="1FA5ACA3" w14:textId="77777777" w:rsidR="00615311" w:rsidRDefault="00F83B3D" w:rsidP="00E54E0A">
      <w:pPr>
        <w:pStyle w:val="SDMPara"/>
        <w:numPr>
          <w:ilvl w:val="0"/>
          <w:numId w:val="4"/>
        </w:numPr>
        <w:suppressAutoHyphens/>
        <w:rPr>
          <w:lang w:eastAsia="en-US"/>
        </w:rPr>
      </w:pPr>
      <w:r>
        <w:rPr>
          <w:lang w:eastAsia="en-US"/>
        </w:rPr>
        <w:t>Uncertainty analysis was carried out at the</w:t>
      </w:r>
      <w:r w:rsidR="00243D05">
        <w:rPr>
          <w:lang w:eastAsia="en-US"/>
        </w:rPr>
        <w:t xml:space="preserve"> mechanism methodology </w:t>
      </w:r>
      <w:r>
        <w:rPr>
          <w:lang w:eastAsia="en-US"/>
        </w:rPr>
        <w:t>level</w:t>
      </w:r>
      <w:r w:rsidR="00CF6A9F">
        <w:rPr>
          <w:lang w:eastAsia="en-US"/>
        </w:rPr>
        <w:t xml:space="preserve"> </w:t>
      </w:r>
      <w:r w:rsidRPr="00F83B3D">
        <w:rPr>
          <w:lang w:eastAsia="en-US"/>
        </w:rPr>
        <w:t xml:space="preserve">through </w:t>
      </w:r>
      <w:r w:rsidR="008B0AD3">
        <w:rPr>
          <w:lang w:eastAsia="en-US"/>
        </w:rPr>
        <w:t>a</w:t>
      </w:r>
      <w:r w:rsidR="008B0AD3" w:rsidRPr="00F83B3D">
        <w:rPr>
          <w:lang w:eastAsia="en-US"/>
        </w:rPr>
        <w:t xml:space="preserve"> </w:t>
      </w:r>
      <w:r w:rsidRPr="00F83B3D">
        <w:rPr>
          <w:lang w:eastAsia="en-US"/>
        </w:rPr>
        <w:t>Monte Carlo simulation</w:t>
      </w:r>
      <w:r w:rsidR="000418BB">
        <w:rPr>
          <w:lang w:eastAsia="en-US"/>
        </w:rPr>
        <w:t xml:space="preserve"> of key parameters</w:t>
      </w:r>
      <w:r w:rsidRPr="00F83B3D">
        <w:rPr>
          <w:lang w:eastAsia="en-US"/>
        </w:rPr>
        <w:t xml:space="preserve">. </w:t>
      </w:r>
      <w:r w:rsidR="004D2511">
        <w:rPr>
          <w:lang w:eastAsia="en-US"/>
        </w:rPr>
        <w:t xml:space="preserve">The </w:t>
      </w:r>
      <w:r w:rsidR="00E745C5">
        <w:rPr>
          <w:lang w:eastAsia="en-US"/>
        </w:rPr>
        <w:t>simulation</w:t>
      </w:r>
      <w:r w:rsidR="004D2511">
        <w:rPr>
          <w:lang w:eastAsia="en-US"/>
        </w:rPr>
        <w:t xml:space="preserve"> </w:t>
      </w:r>
      <w:r w:rsidR="004D2511" w:rsidRPr="004D2511">
        <w:rPr>
          <w:lang w:eastAsia="en-US"/>
        </w:rPr>
        <w:t>compar</w:t>
      </w:r>
      <w:r w:rsidR="004D2511">
        <w:rPr>
          <w:lang w:eastAsia="en-US"/>
        </w:rPr>
        <w:t>ed</w:t>
      </w:r>
      <w:r w:rsidR="004D2511" w:rsidRPr="004D2511">
        <w:rPr>
          <w:lang w:eastAsia="en-US"/>
        </w:rPr>
        <w:t xml:space="preserve"> scenarios </w:t>
      </w:r>
      <w:r w:rsidR="00DD2A91">
        <w:rPr>
          <w:lang w:eastAsia="en-US"/>
        </w:rPr>
        <w:t xml:space="preserve">considering </w:t>
      </w:r>
      <w:r w:rsidR="00477011">
        <w:rPr>
          <w:lang w:eastAsia="en-US"/>
        </w:rPr>
        <w:t>variation in the values of</w:t>
      </w:r>
      <w:r w:rsidR="00223F14">
        <w:rPr>
          <w:lang w:eastAsia="en-US"/>
        </w:rPr>
        <w:t xml:space="preserve"> per person energy use, household size,</w:t>
      </w:r>
      <w:r w:rsidR="004F682F">
        <w:rPr>
          <w:lang w:eastAsia="en-US"/>
        </w:rPr>
        <w:t xml:space="preserve"> usage rate,</w:t>
      </w:r>
      <w:r w:rsidR="00223F14">
        <w:rPr>
          <w:lang w:eastAsia="en-US"/>
        </w:rPr>
        <w:t xml:space="preserve"> </w:t>
      </w:r>
      <w:r w:rsidR="00184709">
        <w:rPr>
          <w:lang w:eastAsia="en-US"/>
        </w:rPr>
        <w:t xml:space="preserve">fNRB, </w:t>
      </w:r>
      <w:r w:rsidR="004D2511">
        <w:rPr>
          <w:lang w:eastAsia="en-US"/>
        </w:rPr>
        <w:t xml:space="preserve">point- and upstream-emission factors, </w:t>
      </w:r>
      <w:r w:rsidR="001A2595">
        <w:rPr>
          <w:lang w:eastAsia="en-US"/>
        </w:rPr>
        <w:t>bas</w:t>
      </w:r>
      <w:r w:rsidR="00D06E2B">
        <w:rPr>
          <w:lang w:eastAsia="en-US"/>
        </w:rPr>
        <w:t>e</w:t>
      </w:r>
      <w:r w:rsidR="001A2595">
        <w:rPr>
          <w:lang w:eastAsia="en-US"/>
        </w:rPr>
        <w:t>line stove efficiency</w:t>
      </w:r>
      <w:r w:rsidR="00D06E2B">
        <w:rPr>
          <w:lang w:eastAsia="en-US"/>
        </w:rPr>
        <w:t xml:space="preserve">, project stove efficiency and Hawthorne </w:t>
      </w:r>
      <w:r w:rsidR="007D4A5D">
        <w:rPr>
          <w:lang w:eastAsia="en-US"/>
        </w:rPr>
        <w:t>e</w:t>
      </w:r>
      <w:r w:rsidR="00D06E2B">
        <w:rPr>
          <w:lang w:eastAsia="en-US"/>
        </w:rPr>
        <w:t>ffect</w:t>
      </w:r>
      <w:r w:rsidR="00215446">
        <w:rPr>
          <w:lang w:eastAsia="en-US"/>
        </w:rPr>
        <w:t>.</w:t>
      </w:r>
    </w:p>
    <w:p w14:paraId="1AFE227D" w14:textId="77777777" w:rsidR="00615311" w:rsidRDefault="00A50C83" w:rsidP="00E54E0A">
      <w:pPr>
        <w:pStyle w:val="SDMPara"/>
        <w:numPr>
          <w:ilvl w:val="0"/>
          <w:numId w:val="4"/>
        </w:numPr>
        <w:suppressAutoHyphens/>
        <w:rPr>
          <w:lang w:eastAsia="en-US"/>
        </w:rPr>
      </w:pPr>
      <w:r>
        <w:rPr>
          <w:lang w:eastAsia="en-US"/>
        </w:rPr>
        <w:t xml:space="preserve">For each of these parameters, a central value plus an uncertainty range </w:t>
      </w:r>
      <w:r w:rsidR="00862491">
        <w:rPr>
          <w:lang w:eastAsia="en-US"/>
        </w:rPr>
        <w:t xml:space="preserve">and a normal distribution </w:t>
      </w:r>
      <w:r w:rsidR="002C4177">
        <w:rPr>
          <w:lang w:eastAsia="en-US"/>
        </w:rPr>
        <w:t>were</w:t>
      </w:r>
      <w:r>
        <w:rPr>
          <w:lang w:eastAsia="en-US"/>
        </w:rPr>
        <w:t xml:space="preserve"> used as the source to draw the combinations used in the simulations. </w:t>
      </w:r>
      <w:r w:rsidR="00215446">
        <w:rPr>
          <w:lang w:eastAsia="en-US"/>
        </w:rPr>
        <w:t xml:space="preserve">As an example, </w:t>
      </w:r>
      <w:r w:rsidR="00191577">
        <w:rPr>
          <w:lang w:eastAsia="en-US"/>
        </w:rPr>
        <w:t>for the purpose of determining the baseline fuel energy use, the central value</w:t>
      </w:r>
      <w:r w:rsidR="000F14C0">
        <w:rPr>
          <w:lang w:eastAsia="en-US"/>
        </w:rPr>
        <w:t xml:space="preserve"> for baseline stove efficiency</w:t>
      </w:r>
      <w:r w:rsidR="00191577">
        <w:rPr>
          <w:lang w:eastAsia="en-US"/>
        </w:rPr>
        <w:t xml:space="preserve"> corresponded to the most likely </w:t>
      </w:r>
      <w:r w:rsidR="00413489">
        <w:rPr>
          <w:lang w:eastAsia="en-US"/>
        </w:rPr>
        <w:t>BAU</w:t>
      </w:r>
      <w:r w:rsidR="00191577">
        <w:rPr>
          <w:lang w:eastAsia="en-US"/>
        </w:rPr>
        <w:t xml:space="preserve"> value </w:t>
      </w:r>
      <w:r w:rsidR="005D088D">
        <w:rPr>
          <w:lang w:eastAsia="en-US"/>
        </w:rPr>
        <w:t>(</w:t>
      </w:r>
      <w:r w:rsidR="00191577">
        <w:rPr>
          <w:lang w:eastAsia="en-US"/>
        </w:rPr>
        <w:t>and not one of the baseline approaches eligible under the RMPs</w:t>
      </w:r>
      <w:r w:rsidR="005D088D">
        <w:rPr>
          <w:lang w:eastAsia="en-US"/>
        </w:rPr>
        <w:t xml:space="preserve">), and </w:t>
      </w:r>
      <w:r w:rsidR="00215446">
        <w:rPr>
          <w:lang w:eastAsia="en-US"/>
        </w:rPr>
        <w:t xml:space="preserve">the baseline stove efficiency input values for fuelwood fired stoves were </w:t>
      </w:r>
      <w:r w:rsidR="00215446" w:rsidRPr="00215446">
        <w:rPr>
          <w:lang w:eastAsia="en-US"/>
        </w:rPr>
        <w:t>0.118</w:t>
      </w:r>
      <w:r w:rsidR="00215446">
        <w:rPr>
          <w:lang w:eastAsia="en-US"/>
        </w:rPr>
        <w:t xml:space="preserve"> </w:t>
      </w:r>
      <w:r w:rsidR="00EA7861">
        <w:rPr>
          <w:lang w:eastAsia="en-US"/>
        </w:rPr>
        <w:t>a</w:t>
      </w:r>
      <w:r w:rsidR="00AC53F1">
        <w:rPr>
          <w:lang w:eastAsia="en-US"/>
        </w:rPr>
        <w:t>s</w:t>
      </w:r>
      <w:r w:rsidR="00EA7861">
        <w:rPr>
          <w:lang w:eastAsia="en-US"/>
        </w:rPr>
        <w:t xml:space="preserve"> the</w:t>
      </w:r>
      <w:r w:rsidR="00215446">
        <w:rPr>
          <w:lang w:eastAsia="en-US"/>
        </w:rPr>
        <w:t xml:space="preserve"> central value,</w:t>
      </w:r>
      <w:r w:rsidR="00975901">
        <w:rPr>
          <w:lang w:eastAsia="en-US"/>
        </w:rPr>
        <w:t xml:space="preserve"> </w:t>
      </w:r>
      <w:r w:rsidR="00405958">
        <w:rPr>
          <w:lang w:eastAsia="en-US"/>
        </w:rPr>
        <w:t xml:space="preserve">and </w:t>
      </w:r>
      <w:r w:rsidR="005D088D">
        <w:rPr>
          <w:lang w:eastAsia="en-US"/>
        </w:rPr>
        <w:t>anchor</w:t>
      </w:r>
      <w:r w:rsidR="007D5A09">
        <w:rPr>
          <w:lang w:eastAsia="en-US"/>
        </w:rPr>
        <w:t xml:space="preserve">ing values </w:t>
      </w:r>
      <w:r w:rsidR="00405958">
        <w:rPr>
          <w:lang w:eastAsia="en-US"/>
        </w:rPr>
        <w:t xml:space="preserve">for the uncertainty range </w:t>
      </w:r>
      <w:r w:rsidR="007D5A09">
        <w:rPr>
          <w:lang w:eastAsia="en-US"/>
        </w:rPr>
        <w:t xml:space="preserve">of </w:t>
      </w:r>
      <w:r w:rsidR="00975901" w:rsidRPr="00215446">
        <w:rPr>
          <w:lang w:eastAsia="en-US"/>
        </w:rPr>
        <w:t>0.065</w:t>
      </w:r>
      <w:r w:rsidR="00975901">
        <w:rPr>
          <w:lang w:eastAsia="en-US"/>
        </w:rPr>
        <w:t xml:space="preserve"> </w:t>
      </w:r>
      <w:r w:rsidR="007D5A09">
        <w:rPr>
          <w:lang w:eastAsia="en-US"/>
        </w:rPr>
        <w:t>and</w:t>
      </w:r>
      <w:r w:rsidR="002A3ED2" w:rsidRPr="00215446">
        <w:rPr>
          <w:lang w:eastAsia="en-US"/>
        </w:rPr>
        <w:t xml:space="preserve"> </w:t>
      </w:r>
      <w:r w:rsidR="00215446" w:rsidRPr="00215446">
        <w:rPr>
          <w:lang w:eastAsia="en-US"/>
        </w:rPr>
        <w:t>0.171</w:t>
      </w:r>
      <w:r w:rsidR="00975901">
        <w:rPr>
          <w:lang w:eastAsia="en-US"/>
        </w:rPr>
        <w:t>.</w:t>
      </w:r>
    </w:p>
    <w:p w14:paraId="2CADAA36" w14:textId="77777777" w:rsidR="00615311" w:rsidRDefault="00302533" w:rsidP="00E54E0A">
      <w:pPr>
        <w:pStyle w:val="SDMPara"/>
        <w:numPr>
          <w:ilvl w:val="0"/>
          <w:numId w:val="4"/>
        </w:numPr>
        <w:suppressAutoHyphens/>
        <w:rPr>
          <w:lang w:eastAsia="en-US"/>
        </w:rPr>
      </w:pPr>
      <w:r>
        <w:rPr>
          <w:lang w:eastAsia="en-US"/>
        </w:rPr>
        <w:t>The simulation applied a variety of rules</w:t>
      </w:r>
      <w:r w:rsidR="00236EF0">
        <w:rPr>
          <w:lang w:eastAsia="en-US"/>
        </w:rPr>
        <w:t>, constraints and screening</w:t>
      </w:r>
      <w:r w:rsidR="00587EA1">
        <w:rPr>
          <w:lang w:eastAsia="en-US"/>
        </w:rPr>
        <w:t>s</w:t>
      </w:r>
      <w:r w:rsidR="00236EF0">
        <w:rPr>
          <w:lang w:eastAsia="en-US"/>
        </w:rPr>
        <w:t xml:space="preserve"> to seek to reflect </w:t>
      </w:r>
      <w:r w:rsidR="00BB1B03">
        <w:rPr>
          <w:lang w:eastAsia="en-US"/>
        </w:rPr>
        <w:t>real-life conditions in a reasonable way.</w:t>
      </w:r>
      <w:r w:rsidR="00236EF0">
        <w:rPr>
          <w:lang w:eastAsia="en-US"/>
        </w:rPr>
        <w:t xml:space="preserve"> </w:t>
      </w:r>
      <w:r w:rsidR="00BA3331">
        <w:rPr>
          <w:lang w:eastAsia="en-US"/>
        </w:rPr>
        <w:t>A variety of hard</w:t>
      </w:r>
      <w:r w:rsidR="00BB1B03">
        <w:rPr>
          <w:lang w:eastAsia="en-US"/>
        </w:rPr>
        <w:t>,</w:t>
      </w:r>
      <w:r w:rsidR="00BA3331">
        <w:rPr>
          <w:lang w:eastAsia="en-US"/>
        </w:rPr>
        <w:t xml:space="preserve"> physical constraints were reflected in the </w:t>
      </w:r>
      <w:r w:rsidR="00ED41E2">
        <w:rPr>
          <w:lang w:eastAsia="en-US"/>
        </w:rPr>
        <w:t xml:space="preserve">simulation, </w:t>
      </w:r>
      <w:r w:rsidR="00F01D1D">
        <w:rPr>
          <w:lang w:eastAsia="en-US"/>
        </w:rPr>
        <w:t xml:space="preserve">such as ensuring that combinations of emission factors </w:t>
      </w:r>
      <w:r w:rsidR="00A92FC0">
        <w:rPr>
          <w:lang w:eastAsia="en-US"/>
        </w:rPr>
        <w:t xml:space="preserve">did not violate the </w:t>
      </w:r>
      <w:r w:rsidR="00F02F3D">
        <w:rPr>
          <w:lang w:eastAsia="en-US"/>
        </w:rPr>
        <w:t xml:space="preserve">carbon-content limit of the underlying fuel. </w:t>
      </w:r>
      <w:r w:rsidR="00681F8B">
        <w:rPr>
          <w:lang w:eastAsia="en-US"/>
        </w:rPr>
        <w:t xml:space="preserve">Also, value-picking was constrained for </w:t>
      </w:r>
      <w:r w:rsidR="002F252F">
        <w:rPr>
          <w:lang w:eastAsia="en-US"/>
        </w:rPr>
        <w:t xml:space="preserve">parameters that </w:t>
      </w:r>
      <w:r w:rsidR="00A07749">
        <w:rPr>
          <w:lang w:eastAsia="en-US"/>
        </w:rPr>
        <w:t>are expected to be the same in the baseline and activity (e.g.</w:t>
      </w:r>
      <w:r w:rsidR="00EF04A8">
        <w:rPr>
          <w:lang w:eastAsia="en-US"/>
        </w:rPr>
        <w:t>,</w:t>
      </w:r>
      <w:r w:rsidR="00A07749">
        <w:rPr>
          <w:lang w:eastAsia="en-US"/>
        </w:rPr>
        <w:t xml:space="preserve"> fNRB) so that the same value was applied </w:t>
      </w:r>
      <w:r w:rsidR="00EF04A8">
        <w:rPr>
          <w:lang w:eastAsia="en-US"/>
        </w:rPr>
        <w:t xml:space="preserve">to </w:t>
      </w:r>
      <w:r w:rsidR="00A07749">
        <w:rPr>
          <w:lang w:eastAsia="en-US"/>
        </w:rPr>
        <w:t>both</w:t>
      </w:r>
      <w:r w:rsidR="00EF04A8">
        <w:rPr>
          <w:lang w:eastAsia="en-US"/>
        </w:rPr>
        <w:t xml:space="preserve"> parameters</w:t>
      </w:r>
      <w:r w:rsidR="00011693">
        <w:rPr>
          <w:lang w:eastAsia="en-US"/>
        </w:rPr>
        <w:t>.</w:t>
      </w:r>
      <w:r w:rsidR="00423663">
        <w:rPr>
          <w:lang w:eastAsia="en-US"/>
        </w:rPr>
        <w:t xml:space="preserve"> However, from simulation to simulation, the selection of values for</w:t>
      </w:r>
      <w:r w:rsidR="00A07749">
        <w:rPr>
          <w:lang w:eastAsia="en-US"/>
        </w:rPr>
        <w:t xml:space="preserve"> parameters that </w:t>
      </w:r>
      <w:r w:rsidR="00B60EA3">
        <w:rPr>
          <w:lang w:eastAsia="en-US"/>
        </w:rPr>
        <w:t>are</w:t>
      </w:r>
      <w:r w:rsidR="00296939">
        <w:rPr>
          <w:lang w:eastAsia="en-US"/>
        </w:rPr>
        <w:t xml:space="preserve"> independent</w:t>
      </w:r>
      <w:r w:rsidR="00423663">
        <w:rPr>
          <w:lang w:eastAsia="en-US"/>
        </w:rPr>
        <w:t xml:space="preserve"> was not constrained</w:t>
      </w:r>
      <w:r w:rsidR="008E1190">
        <w:rPr>
          <w:lang w:eastAsia="en-US"/>
        </w:rPr>
        <w:t xml:space="preserve"> </w:t>
      </w:r>
      <w:r w:rsidR="00A8375F">
        <w:rPr>
          <w:lang w:eastAsia="en-US"/>
        </w:rPr>
        <w:t>(</w:t>
      </w:r>
      <w:r w:rsidR="00EF04A8">
        <w:rPr>
          <w:lang w:eastAsia="en-US"/>
        </w:rPr>
        <w:t>e.g.</w:t>
      </w:r>
      <w:r w:rsidR="008E1190">
        <w:rPr>
          <w:lang w:eastAsia="en-US"/>
        </w:rPr>
        <w:t>,</w:t>
      </w:r>
      <w:r w:rsidR="0088552F">
        <w:rPr>
          <w:lang w:eastAsia="en-US"/>
        </w:rPr>
        <w:t xml:space="preserve"> any value of per person energy use could be combined with any value of </w:t>
      </w:r>
      <w:r w:rsidR="00A8375F">
        <w:rPr>
          <w:lang w:eastAsia="en-US"/>
        </w:rPr>
        <w:t>usage rate).</w:t>
      </w:r>
      <w:r w:rsidR="00CB23B1">
        <w:rPr>
          <w:lang w:eastAsia="en-US"/>
        </w:rPr>
        <w:t xml:space="preserve"> Four main </w:t>
      </w:r>
      <w:r w:rsidR="00747B1A">
        <w:rPr>
          <w:lang w:eastAsia="en-US"/>
        </w:rPr>
        <w:t>activity</w:t>
      </w:r>
      <w:r w:rsidR="00C84530">
        <w:rPr>
          <w:lang w:eastAsia="en-US"/>
        </w:rPr>
        <w:t xml:space="preserve"> scenarios were evaluated based on</w:t>
      </w:r>
      <w:r w:rsidR="00747B1A">
        <w:rPr>
          <w:lang w:eastAsia="en-US"/>
        </w:rPr>
        <w:t xml:space="preserve"> project cookstove efficiencies</w:t>
      </w:r>
      <w:r w:rsidR="005201F4">
        <w:rPr>
          <w:lang w:eastAsia="en-US"/>
        </w:rPr>
        <w:t xml:space="preserve"> of </w:t>
      </w:r>
      <w:r w:rsidR="00F2446C">
        <w:rPr>
          <w:lang w:eastAsia="en-US"/>
        </w:rPr>
        <w:t>25</w:t>
      </w:r>
      <w:r w:rsidR="005201F4">
        <w:rPr>
          <w:lang w:eastAsia="en-US"/>
        </w:rPr>
        <w:t xml:space="preserve"> per cent and 35 per cent </w:t>
      </w:r>
      <w:r w:rsidR="00962781">
        <w:rPr>
          <w:lang w:eastAsia="en-US"/>
        </w:rPr>
        <w:t>as a central value for wood stoves</w:t>
      </w:r>
      <w:r w:rsidR="00113639">
        <w:rPr>
          <w:lang w:eastAsia="en-US"/>
        </w:rPr>
        <w:t>,</w:t>
      </w:r>
      <w:r w:rsidR="00962781">
        <w:rPr>
          <w:lang w:eastAsia="en-US"/>
        </w:rPr>
        <w:t xml:space="preserve"> and 35 per cent and 45 per cent as a central value for charcoal stoves.</w:t>
      </w:r>
    </w:p>
    <w:p w14:paraId="1B28513E" w14:textId="2A08B428" w:rsidR="00CB23B1" w:rsidRDefault="004B220D" w:rsidP="00CB23B1">
      <w:pPr>
        <w:pStyle w:val="SDMPara"/>
        <w:numPr>
          <w:ilvl w:val="0"/>
          <w:numId w:val="4"/>
        </w:numPr>
        <w:rPr>
          <w:lang w:eastAsia="en-US"/>
        </w:rPr>
      </w:pPr>
      <w:r>
        <w:rPr>
          <w:lang w:eastAsia="en-US"/>
        </w:rPr>
        <w:fldChar w:fldCharType="begin"/>
      </w:r>
      <w:r>
        <w:rPr>
          <w:lang w:eastAsia="en-US"/>
        </w:rPr>
        <w:instrText xml:space="preserve"> REF _Ref240551009 \h </w:instrText>
      </w:r>
      <w:r>
        <w:rPr>
          <w:lang w:eastAsia="en-US"/>
        </w:rPr>
      </w:r>
      <w:r>
        <w:rPr>
          <w:lang w:eastAsia="en-US"/>
        </w:rPr>
        <w:fldChar w:fldCharType="separate"/>
      </w:r>
      <w:r w:rsidR="00831DAE">
        <w:t>Table </w:t>
      </w:r>
      <w:r w:rsidR="00831DAE">
        <w:rPr>
          <w:noProof/>
        </w:rPr>
        <w:t>3</w:t>
      </w:r>
      <w:r>
        <w:rPr>
          <w:lang w:eastAsia="en-US"/>
        </w:rPr>
        <w:fldChar w:fldCharType="end"/>
      </w:r>
      <w:r w:rsidR="003754B2">
        <w:rPr>
          <w:lang w:eastAsia="en-US"/>
        </w:rPr>
        <w:t xml:space="preserve"> </w:t>
      </w:r>
      <w:r w:rsidR="001426CB">
        <w:rPr>
          <w:lang w:eastAsia="en-US"/>
        </w:rPr>
        <w:t xml:space="preserve">below </w:t>
      </w:r>
      <w:r w:rsidR="003754B2">
        <w:rPr>
          <w:lang w:eastAsia="en-US"/>
        </w:rPr>
        <w:t xml:space="preserve">displays the </w:t>
      </w:r>
      <w:r w:rsidR="0069332B">
        <w:rPr>
          <w:lang w:eastAsia="en-US"/>
        </w:rPr>
        <w:t xml:space="preserve">numerical results of the Monte Carlo simulation </w:t>
      </w:r>
      <w:r w:rsidR="0097453B">
        <w:rPr>
          <w:lang w:eastAsia="en-US"/>
        </w:rPr>
        <w:t xml:space="preserve">(rows in bold) as </w:t>
      </w:r>
      <w:r w:rsidR="00155B50">
        <w:rPr>
          <w:lang w:eastAsia="en-US"/>
        </w:rPr>
        <w:t>tCO</w:t>
      </w:r>
      <w:r w:rsidR="00155B50" w:rsidRPr="00D05265">
        <w:rPr>
          <w:vertAlign w:val="subscript"/>
          <w:lang w:eastAsia="en-US"/>
        </w:rPr>
        <w:t>2</w:t>
      </w:r>
      <w:r w:rsidR="00155B50">
        <w:rPr>
          <w:lang w:eastAsia="en-US"/>
        </w:rPr>
        <w:t xml:space="preserve">eq emission reductions </w:t>
      </w:r>
      <w:r w:rsidR="00D60546">
        <w:rPr>
          <w:lang w:eastAsia="en-US"/>
        </w:rPr>
        <w:t>per</w:t>
      </w:r>
      <w:r w:rsidR="00155B50">
        <w:rPr>
          <w:lang w:eastAsia="en-US"/>
        </w:rPr>
        <w:t xml:space="preserve"> household</w:t>
      </w:r>
      <w:r w:rsidR="00C27405">
        <w:rPr>
          <w:lang w:eastAsia="en-US"/>
        </w:rPr>
        <w:t xml:space="preserve"> and compares to </w:t>
      </w:r>
      <w:r w:rsidR="0088412A">
        <w:rPr>
          <w:lang w:eastAsia="en-US"/>
        </w:rPr>
        <w:t xml:space="preserve">single </w:t>
      </w:r>
      <w:r w:rsidR="007E6317">
        <w:rPr>
          <w:lang w:eastAsia="en-US"/>
        </w:rPr>
        <w:t xml:space="preserve">estimations following the </w:t>
      </w:r>
      <w:r w:rsidR="0088412A">
        <w:rPr>
          <w:lang w:eastAsia="en-US"/>
        </w:rPr>
        <w:t>requirements in the</w:t>
      </w:r>
      <w:r w:rsidR="007E6317">
        <w:rPr>
          <w:lang w:eastAsia="en-US"/>
        </w:rPr>
        <w:t xml:space="preserve"> </w:t>
      </w:r>
      <w:r w:rsidR="0088412A">
        <w:rPr>
          <w:lang w:eastAsia="en-US"/>
        </w:rPr>
        <w:t xml:space="preserve">mechanism </w:t>
      </w:r>
      <w:r w:rsidR="007E6317">
        <w:rPr>
          <w:lang w:eastAsia="en-US"/>
        </w:rPr>
        <w:t>methodology</w:t>
      </w:r>
      <w:r w:rsidR="00155B50">
        <w:rPr>
          <w:lang w:eastAsia="en-US"/>
        </w:rPr>
        <w:t>.</w:t>
      </w:r>
    </w:p>
    <w:p w14:paraId="098890E5" w14:textId="708E4D7B" w:rsidR="00A01560" w:rsidRPr="004D7AFF" w:rsidRDefault="00A01560" w:rsidP="00ED554C">
      <w:pPr>
        <w:pStyle w:val="Caption"/>
      </w:pPr>
      <w:bookmarkStart w:id="981" w:name="_Ref240551009"/>
      <w:r>
        <w:t>Table </w:t>
      </w:r>
      <w:r>
        <w:fldChar w:fldCharType="begin"/>
      </w:r>
      <w:r>
        <w:instrText>SEQ Table \* ARABIC</w:instrText>
      </w:r>
      <w:r>
        <w:fldChar w:fldCharType="separate"/>
      </w:r>
      <w:r w:rsidR="00831DAE">
        <w:rPr>
          <w:noProof/>
        </w:rPr>
        <w:t>3</w:t>
      </w:r>
      <w:r>
        <w:fldChar w:fldCharType="end"/>
      </w:r>
      <w:bookmarkEnd w:id="981"/>
      <w:r>
        <w:rPr>
          <w:noProof/>
        </w:rPr>
        <w:t>.</w:t>
      </w:r>
      <w:r>
        <w:tab/>
      </w:r>
      <w:r w:rsidR="00FB6F3D" w:rsidRPr="00FB6F3D">
        <w:t>Comparison of results of the Monte Carlo simulation (t CO</w:t>
      </w:r>
      <w:r w:rsidR="00FB6F3D" w:rsidRPr="00250159">
        <w:rPr>
          <w:vertAlign w:val="subscript"/>
        </w:rPr>
        <w:t>2</w:t>
      </w:r>
      <w:r w:rsidR="00582E4B">
        <w:t xml:space="preserve"> </w:t>
      </w:r>
      <w:r w:rsidR="00FB6F3D" w:rsidRPr="00FB6F3D">
        <w:t xml:space="preserve">eq per </w:t>
      </w:r>
      <w:r w:rsidR="00250159" w:rsidRPr="00FB6F3D">
        <w:t>household</w:t>
      </w:r>
      <w:r w:rsidR="00FB6F3D" w:rsidRPr="00FB6F3D">
        <w:t>)</w:t>
      </w:r>
    </w:p>
    <w:tbl>
      <w:tblPr>
        <w:tblStyle w:val="SDMTable"/>
        <w:tblW w:w="8529" w:type="dxa"/>
        <w:tblLayout w:type="fixed"/>
        <w:tblLook w:val="0620" w:firstRow="1" w:lastRow="0" w:firstColumn="0" w:lastColumn="0" w:noHBand="1" w:noVBand="1"/>
      </w:tblPr>
      <w:tblGrid>
        <w:gridCol w:w="2601"/>
        <w:gridCol w:w="1433"/>
        <w:gridCol w:w="1432"/>
        <w:gridCol w:w="1504"/>
        <w:gridCol w:w="1559"/>
      </w:tblGrid>
      <w:tr w:rsidR="00FB6F3D" w:rsidRPr="00911F51" w14:paraId="2802FAE8" w14:textId="77777777" w:rsidTr="005A4B4B">
        <w:trPr>
          <w:cnfStyle w:val="100000000000" w:firstRow="1" w:lastRow="0" w:firstColumn="0" w:lastColumn="0" w:oddVBand="0" w:evenVBand="0" w:oddHBand="0" w:evenHBand="0" w:firstRowFirstColumn="0" w:firstRowLastColumn="0" w:lastRowFirstColumn="0" w:lastRowLastColumn="0"/>
        </w:trPr>
        <w:tc>
          <w:tcPr>
            <w:tcW w:w="2601"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572B48D4" w14:textId="2E2FC193" w:rsidR="00FB6F3D" w:rsidRPr="004F23C4" w:rsidRDefault="00FB6F3D" w:rsidP="00BA15A9">
            <w:pPr>
              <w:pStyle w:val="SDMTableBoxParaNumbered"/>
              <w:suppressAutoHyphens/>
            </w:pPr>
            <w:r w:rsidRPr="00FB6F3D">
              <w:t>Scenario</w:t>
            </w:r>
          </w:p>
        </w:tc>
        <w:tc>
          <w:tcPr>
            <w:tcW w:w="1433"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4C13FB8E" w14:textId="02F123AC" w:rsidR="00FB6F3D" w:rsidRDefault="00BA15A9" w:rsidP="00BA15A9">
            <w:pPr>
              <w:pStyle w:val="SDMTableBoxParaNotNumbered"/>
              <w:suppressAutoHyphens/>
            </w:pPr>
            <w:r w:rsidRPr="00BA15A9">
              <w:t>Wood stove (25</w:t>
            </w:r>
            <w:r w:rsidR="00BB1873">
              <w:t xml:space="preserve"> per cent</w:t>
            </w:r>
            <w:r w:rsidRPr="00BA15A9">
              <w:t>)</w:t>
            </w:r>
          </w:p>
        </w:tc>
        <w:tc>
          <w:tcPr>
            <w:tcW w:w="1432"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35A658D1" w14:textId="2376DEC7" w:rsidR="00FB6F3D" w:rsidRDefault="00BA15A9" w:rsidP="00BA15A9">
            <w:pPr>
              <w:pStyle w:val="SDMTableBoxParaNotNumbered"/>
              <w:suppressAutoHyphens/>
            </w:pPr>
            <w:r w:rsidRPr="00BA15A9">
              <w:t>Wood stove (</w:t>
            </w:r>
            <w:r w:rsidR="00BB1873" w:rsidRPr="00BB1873">
              <w:t>per cent</w:t>
            </w:r>
            <w:r w:rsidRPr="00BA15A9">
              <w:t>)</w:t>
            </w:r>
          </w:p>
        </w:tc>
        <w:tc>
          <w:tcPr>
            <w:tcW w:w="1504"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3295CA3A" w14:textId="4156956F" w:rsidR="00FB6F3D" w:rsidRPr="00CF6457" w:rsidRDefault="00BA15A9" w:rsidP="00BA15A9">
            <w:pPr>
              <w:pStyle w:val="SDMTableBoxParaNotNumbered"/>
              <w:suppressAutoHyphens/>
            </w:pPr>
            <w:r w:rsidRPr="00BA15A9">
              <w:t>Charcoal stove (</w:t>
            </w:r>
            <w:r w:rsidR="00BB1873" w:rsidRPr="00BB1873">
              <w:t>per cent</w:t>
            </w:r>
            <w:r w:rsidRPr="00BA15A9">
              <w:t>)</w:t>
            </w:r>
          </w:p>
        </w:tc>
        <w:tc>
          <w:tcPr>
            <w:tcW w:w="1559"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377BEB69" w14:textId="59E9C95F" w:rsidR="00FB6F3D" w:rsidRPr="00CF6457" w:rsidRDefault="00BA15A9" w:rsidP="00BA15A9">
            <w:pPr>
              <w:pStyle w:val="SDMTableBoxParaNotNumbered"/>
              <w:suppressAutoHyphens/>
            </w:pPr>
            <w:r w:rsidRPr="00BA15A9">
              <w:t>Charcoal stove (45</w:t>
            </w:r>
            <w:r w:rsidR="00BB1873">
              <w:t xml:space="preserve"> </w:t>
            </w:r>
            <w:r w:rsidR="00BB1873" w:rsidRPr="00BB1873">
              <w:t>per cent</w:t>
            </w:r>
            <w:r w:rsidRPr="00BA15A9">
              <w:t>)</w:t>
            </w:r>
          </w:p>
        </w:tc>
      </w:tr>
      <w:tr w:rsidR="00BA15A9" w:rsidRPr="00911F51" w14:paraId="44722A95" w14:textId="77777777" w:rsidTr="005A4B4B">
        <w:tc>
          <w:tcPr>
            <w:tcW w:w="2601" w:type="dxa"/>
          </w:tcPr>
          <w:p w14:paraId="15604F01" w14:textId="365AD954" w:rsidR="00BA15A9" w:rsidRPr="004F23C4" w:rsidRDefault="00BA15A9" w:rsidP="00BA15A9">
            <w:pPr>
              <w:pStyle w:val="SDMTableBoxParaNumbered"/>
              <w:numPr>
                <w:ilvl w:val="0"/>
                <w:numId w:val="0"/>
              </w:numPr>
              <w:suppressAutoHyphens/>
            </w:pPr>
            <w:r w:rsidRPr="00BA15A9">
              <w:t>MEP013 methodology proposal</w:t>
            </w:r>
          </w:p>
        </w:tc>
        <w:tc>
          <w:tcPr>
            <w:tcW w:w="1433" w:type="dxa"/>
          </w:tcPr>
          <w:p w14:paraId="39F60C04" w14:textId="5C0BB063" w:rsidR="00BA15A9" w:rsidRPr="00CF6457" w:rsidRDefault="00BA15A9" w:rsidP="00BA15A9">
            <w:pPr>
              <w:pStyle w:val="SDMTableBoxParaNotNumbered"/>
              <w:suppressAutoHyphens/>
            </w:pPr>
            <w:r w:rsidRPr="00BA15A9">
              <w:t>0.338</w:t>
            </w:r>
          </w:p>
        </w:tc>
        <w:tc>
          <w:tcPr>
            <w:tcW w:w="1432" w:type="dxa"/>
          </w:tcPr>
          <w:p w14:paraId="2F37BB70" w14:textId="58F09E7C" w:rsidR="00BA15A9" w:rsidRPr="00CF6457" w:rsidRDefault="00BA15A9" w:rsidP="00BA15A9">
            <w:pPr>
              <w:pStyle w:val="SDMTableBoxParaNotNumbered"/>
              <w:suppressAutoHyphens/>
            </w:pPr>
            <w:r w:rsidRPr="001536DF">
              <w:t>0.551</w:t>
            </w:r>
          </w:p>
        </w:tc>
        <w:tc>
          <w:tcPr>
            <w:tcW w:w="1504" w:type="dxa"/>
          </w:tcPr>
          <w:p w14:paraId="2AC3A019" w14:textId="5F7BB80C" w:rsidR="00BA15A9" w:rsidRPr="00CF6457" w:rsidRDefault="00BA15A9" w:rsidP="00BA15A9">
            <w:pPr>
              <w:pStyle w:val="SDMTableBoxParaNotNumbered"/>
              <w:suppressAutoHyphens/>
            </w:pPr>
            <w:r w:rsidRPr="0033770D">
              <w:t>0.110</w:t>
            </w:r>
          </w:p>
        </w:tc>
        <w:tc>
          <w:tcPr>
            <w:tcW w:w="1559" w:type="dxa"/>
          </w:tcPr>
          <w:p w14:paraId="2DE1A48B" w14:textId="65D794F1" w:rsidR="00BA15A9" w:rsidRPr="00CF6457" w:rsidRDefault="00BA15A9" w:rsidP="00BA15A9">
            <w:pPr>
              <w:pStyle w:val="SDMTableBoxParaNotNumbered"/>
              <w:suppressAutoHyphens/>
            </w:pPr>
            <w:r w:rsidRPr="005C12BE">
              <w:t>0.377</w:t>
            </w:r>
          </w:p>
        </w:tc>
      </w:tr>
      <w:tr w:rsidR="00BA15A9" w:rsidRPr="00911F51" w14:paraId="34E2E558" w14:textId="77777777" w:rsidTr="005A4B4B">
        <w:tc>
          <w:tcPr>
            <w:tcW w:w="2601" w:type="dxa"/>
          </w:tcPr>
          <w:p w14:paraId="5A93A2EA" w14:textId="5B5C8F93" w:rsidR="00BA15A9" w:rsidRPr="004F23C4" w:rsidRDefault="00BA15A9" w:rsidP="00BA15A9">
            <w:pPr>
              <w:pStyle w:val="SDMTableBoxParaNumbered"/>
              <w:numPr>
                <w:ilvl w:val="0"/>
                <w:numId w:val="0"/>
              </w:numPr>
              <w:suppressAutoHyphens/>
            </w:pPr>
            <w:r w:rsidRPr="00BA15A9">
              <w:t>MEP014 methodology proposal</w:t>
            </w:r>
          </w:p>
        </w:tc>
        <w:tc>
          <w:tcPr>
            <w:tcW w:w="1433" w:type="dxa"/>
          </w:tcPr>
          <w:p w14:paraId="5BACC725" w14:textId="745959AA" w:rsidR="00BA15A9" w:rsidRPr="00CF6457" w:rsidRDefault="00BA15A9" w:rsidP="00BA15A9">
            <w:pPr>
              <w:pStyle w:val="SDMTableBoxParaNotNumbered"/>
              <w:suppressAutoHyphens/>
            </w:pPr>
            <w:r w:rsidRPr="00A7605C">
              <w:t>0.389</w:t>
            </w:r>
          </w:p>
        </w:tc>
        <w:tc>
          <w:tcPr>
            <w:tcW w:w="1432" w:type="dxa"/>
          </w:tcPr>
          <w:p w14:paraId="0E60AF3C" w14:textId="21FCEF30" w:rsidR="00BA15A9" w:rsidRPr="00CF6457" w:rsidRDefault="00BA15A9" w:rsidP="00BA15A9">
            <w:pPr>
              <w:pStyle w:val="SDMTableBoxParaNotNumbered"/>
              <w:suppressAutoHyphens/>
            </w:pPr>
            <w:r w:rsidRPr="001536DF">
              <w:t>0.613</w:t>
            </w:r>
          </w:p>
        </w:tc>
        <w:tc>
          <w:tcPr>
            <w:tcW w:w="1504" w:type="dxa"/>
          </w:tcPr>
          <w:p w14:paraId="6CDDC6F1" w14:textId="28508B9D" w:rsidR="00BA15A9" w:rsidRPr="00CF6457" w:rsidRDefault="00BA15A9" w:rsidP="00BA15A9">
            <w:pPr>
              <w:pStyle w:val="SDMTableBoxParaNotNumbered"/>
              <w:suppressAutoHyphens/>
            </w:pPr>
            <w:r w:rsidRPr="0033770D">
              <w:t>0.141</w:t>
            </w:r>
          </w:p>
        </w:tc>
        <w:tc>
          <w:tcPr>
            <w:tcW w:w="1559" w:type="dxa"/>
          </w:tcPr>
          <w:p w14:paraId="132606E3" w14:textId="1A79C62F" w:rsidR="00BA15A9" w:rsidRPr="00CF6457" w:rsidRDefault="00BA15A9" w:rsidP="00BA15A9">
            <w:pPr>
              <w:pStyle w:val="SDMTableBoxParaNotNumbered"/>
              <w:suppressAutoHyphens/>
            </w:pPr>
            <w:r w:rsidRPr="005C12BE">
              <w:t>0.487</w:t>
            </w:r>
          </w:p>
        </w:tc>
      </w:tr>
      <w:tr w:rsidR="00BA15A9" w:rsidRPr="00BA15A9" w14:paraId="2A5566CE" w14:textId="77777777" w:rsidTr="005A4B4B">
        <w:tc>
          <w:tcPr>
            <w:tcW w:w="2601" w:type="dxa"/>
          </w:tcPr>
          <w:p w14:paraId="240CFA54" w14:textId="44D60D46" w:rsidR="00BA15A9" w:rsidRPr="00BA15A9" w:rsidRDefault="00BA15A9" w:rsidP="00BA15A9">
            <w:pPr>
              <w:pStyle w:val="SDMTableBoxParaNumbered"/>
              <w:numPr>
                <w:ilvl w:val="0"/>
                <w:numId w:val="0"/>
              </w:numPr>
              <w:suppressAutoHyphens/>
              <w:rPr>
                <w:b/>
                <w:bCs/>
              </w:rPr>
            </w:pPr>
            <w:r w:rsidRPr="00BA15A9">
              <w:rPr>
                <w:b/>
                <w:bCs/>
              </w:rPr>
              <w:t>Simulation Approach A at P10</w:t>
            </w:r>
          </w:p>
        </w:tc>
        <w:tc>
          <w:tcPr>
            <w:tcW w:w="1433" w:type="dxa"/>
          </w:tcPr>
          <w:p w14:paraId="54656A50" w14:textId="22D1C320" w:rsidR="00BA15A9" w:rsidRPr="00BA15A9" w:rsidRDefault="00BA15A9" w:rsidP="00BA15A9">
            <w:pPr>
              <w:pStyle w:val="SDMTableBoxParaNotNumbered"/>
              <w:suppressAutoHyphens/>
              <w:rPr>
                <w:b/>
                <w:bCs/>
              </w:rPr>
            </w:pPr>
            <w:r w:rsidRPr="00BA15A9">
              <w:rPr>
                <w:b/>
                <w:bCs/>
              </w:rPr>
              <w:t>0.446</w:t>
            </w:r>
          </w:p>
        </w:tc>
        <w:tc>
          <w:tcPr>
            <w:tcW w:w="1432" w:type="dxa"/>
          </w:tcPr>
          <w:p w14:paraId="51AC5EF8" w14:textId="7F70CCBD" w:rsidR="00BA15A9" w:rsidRPr="00BA15A9" w:rsidRDefault="00BA15A9" w:rsidP="00BA15A9">
            <w:pPr>
              <w:pStyle w:val="SDMTableBoxParaNotNumbered"/>
              <w:suppressAutoHyphens/>
              <w:rPr>
                <w:b/>
                <w:bCs/>
              </w:rPr>
            </w:pPr>
            <w:r w:rsidRPr="00BA15A9">
              <w:rPr>
                <w:b/>
                <w:bCs/>
              </w:rPr>
              <w:t>0.625</w:t>
            </w:r>
          </w:p>
        </w:tc>
        <w:tc>
          <w:tcPr>
            <w:tcW w:w="1504" w:type="dxa"/>
          </w:tcPr>
          <w:p w14:paraId="20EC3A7D" w14:textId="3508C50D" w:rsidR="00BA15A9" w:rsidRPr="00BA15A9" w:rsidRDefault="00BA15A9" w:rsidP="00BA15A9">
            <w:pPr>
              <w:pStyle w:val="SDMTableBoxParaNotNumbered"/>
              <w:suppressAutoHyphens/>
              <w:rPr>
                <w:b/>
                <w:bCs/>
              </w:rPr>
            </w:pPr>
            <w:r w:rsidRPr="00BA15A9">
              <w:rPr>
                <w:b/>
                <w:bCs/>
              </w:rPr>
              <w:t>0.230</w:t>
            </w:r>
          </w:p>
        </w:tc>
        <w:tc>
          <w:tcPr>
            <w:tcW w:w="1559" w:type="dxa"/>
          </w:tcPr>
          <w:p w14:paraId="218C9C50" w14:textId="4CB4AA60" w:rsidR="00BA15A9" w:rsidRPr="00BA15A9" w:rsidRDefault="00BA15A9" w:rsidP="00BA15A9">
            <w:pPr>
              <w:pStyle w:val="SDMTableBoxParaNotNumbered"/>
              <w:suppressAutoHyphens/>
              <w:rPr>
                <w:b/>
                <w:bCs/>
              </w:rPr>
            </w:pPr>
            <w:r w:rsidRPr="00BA15A9">
              <w:rPr>
                <w:b/>
                <w:bCs/>
              </w:rPr>
              <w:t>0.420</w:t>
            </w:r>
          </w:p>
        </w:tc>
      </w:tr>
      <w:tr w:rsidR="00BA15A9" w:rsidRPr="00BA15A9" w14:paraId="30B24F81" w14:textId="77777777" w:rsidTr="005A4B4B">
        <w:tc>
          <w:tcPr>
            <w:tcW w:w="2601" w:type="dxa"/>
          </w:tcPr>
          <w:p w14:paraId="3A3A5632" w14:textId="173C57C4" w:rsidR="00BA15A9" w:rsidRPr="00456482" w:rsidRDefault="00BA15A9" w:rsidP="00BA15A9">
            <w:pPr>
              <w:pStyle w:val="SDMTableBoxParaNumbered"/>
              <w:numPr>
                <w:ilvl w:val="0"/>
                <w:numId w:val="0"/>
              </w:numPr>
              <w:suppressAutoHyphens/>
              <w:rPr>
                <w:b/>
                <w:bCs/>
                <w:lang w:val="es-ES"/>
              </w:rPr>
            </w:pPr>
            <w:r w:rsidRPr="00456482">
              <w:rPr>
                <w:b/>
                <w:bCs/>
                <w:lang w:val="es-ES"/>
              </w:rPr>
              <w:t>Final: Mean ER (Monte Carlo)</w:t>
            </w:r>
          </w:p>
        </w:tc>
        <w:tc>
          <w:tcPr>
            <w:tcW w:w="1433" w:type="dxa"/>
          </w:tcPr>
          <w:p w14:paraId="7711F940" w14:textId="6437598C" w:rsidR="00BA15A9" w:rsidRPr="00BA15A9" w:rsidRDefault="00BA15A9" w:rsidP="00BA15A9">
            <w:pPr>
              <w:pStyle w:val="SDMTableBoxParaNotNumbered"/>
              <w:suppressAutoHyphens/>
              <w:rPr>
                <w:b/>
                <w:bCs/>
              </w:rPr>
            </w:pPr>
            <w:r w:rsidRPr="00BA15A9">
              <w:rPr>
                <w:b/>
                <w:bCs/>
              </w:rPr>
              <w:t>0.950</w:t>
            </w:r>
          </w:p>
        </w:tc>
        <w:tc>
          <w:tcPr>
            <w:tcW w:w="1432" w:type="dxa"/>
          </w:tcPr>
          <w:p w14:paraId="0793F228" w14:textId="256B79BB" w:rsidR="00BA15A9" w:rsidRPr="00BA15A9" w:rsidRDefault="00BA15A9" w:rsidP="00BA15A9">
            <w:pPr>
              <w:pStyle w:val="SDMTableBoxParaNotNumbered"/>
              <w:suppressAutoHyphens/>
              <w:rPr>
                <w:b/>
                <w:bCs/>
              </w:rPr>
            </w:pPr>
            <w:r w:rsidRPr="00BA15A9">
              <w:rPr>
                <w:b/>
                <w:bCs/>
              </w:rPr>
              <w:t>1.173</w:t>
            </w:r>
          </w:p>
        </w:tc>
        <w:tc>
          <w:tcPr>
            <w:tcW w:w="1504" w:type="dxa"/>
          </w:tcPr>
          <w:p w14:paraId="6B09940D" w14:textId="2C7C5459" w:rsidR="00BA15A9" w:rsidRPr="00BA15A9" w:rsidRDefault="00BA15A9" w:rsidP="00BA15A9">
            <w:pPr>
              <w:pStyle w:val="SDMTableBoxParaNotNumbered"/>
              <w:suppressAutoHyphens/>
              <w:rPr>
                <w:b/>
                <w:bCs/>
              </w:rPr>
            </w:pPr>
            <w:r w:rsidRPr="00BA15A9">
              <w:rPr>
                <w:b/>
                <w:bCs/>
              </w:rPr>
              <w:t>0.678</w:t>
            </w:r>
          </w:p>
        </w:tc>
        <w:tc>
          <w:tcPr>
            <w:tcW w:w="1559" w:type="dxa"/>
          </w:tcPr>
          <w:p w14:paraId="6981B965" w14:textId="49F912A5" w:rsidR="00BA15A9" w:rsidRPr="00BA15A9" w:rsidRDefault="00BA15A9" w:rsidP="00BA15A9">
            <w:pPr>
              <w:pStyle w:val="SDMTableBoxParaNotNumbered"/>
              <w:suppressAutoHyphens/>
              <w:rPr>
                <w:b/>
                <w:bCs/>
              </w:rPr>
            </w:pPr>
            <w:r w:rsidRPr="00BA15A9">
              <w:rPr>
                <w:b/>
                <w:bCs/>
              </w:rPr>
              <w:t>0.909</w:t>
            </w:r>
          </w:p>
        </w:tc>
      </w:tr>
      <w:tr w:rsidR="00BA15A9" w:rsidRPr="00BA15A9" w14:paraId="05ED0B1A" w14:textId="77777777" w:rsidTr="005A4B4B">
        <w:tc>
          <w:tcPr>
            <w:tcW w:w="2601" w:type="dxa"/>
          </w:tcPr>
          <w:p w14:paraId="4477991C" w14:textId="4014EED9" w:rsidR="00BA15A9" w:rsidRPr="00BA15A9" w:rsidRDefault="00BA15A9" w:rsidP="00BA15A9">
            <w:pPr>
              <w:pStyle w:val="SDMTableBoxParaNumbered"/>
              <w:numPr>
                <w:ilvl w:val="0"/>
                <w:numId w:val="0"/>
              </w:numPr>
              <w:suppressAutoHyphens/>
              <w:rPr>
                <w:b/>
                <w:bCs/>
              </w:rPr>
            </w:pPr>
            <w:r w:rsidRPr="00BA15A9">
              <w:rPr>
                <w:b/>
                <w:bCs/>
              </w:rPr>
              <w:t xml:space="preserve">P10 as </w:t>
            </w:r>
            <w:r w:rsidR="00BB1873">
              <w:rPr>
                <w:b/>
                <w:bCs/>
              </w:rPr>
              <w:t>a percentage</w:t>
            </w:r>
            <w:r w:rsidRPr="00BA15A9">
              <w:rPr>
                <w:b/>
                <w:bCs/>
              </w:rPr>
              <w:t xml:space="preserve"> of central</w:t>
            </w:r>
          </w:p>
        </w:tc>
        <w:tc>
          <w:tcPr>
            <w:tcW w:w="1433" w:type="dxa"/>
          </w:tcPr>
          <w:p w14:paraId="732DDAF5" w14:textId="7E1BD5B7" w:rsidR="00BA15A9" w:rsidRPr="00BA15A9" w:rsidRDefault="00BA15A9" w:rsidP="00BA15A9">
            <w:pPr>
              <w:pStyle w:val="SDMTableBoxParaNotNumbered"/>
              <w:suppressAutoHyphens/>
              <w:rPr>
                <w:b/>
                <w:bCs/>
              </w:rPr>
            </w:pPr>
            <w:r w:rsidRPr="00BA15A9">
              <w:rPr>
                <w:b/>
                <w:bCs/>
              </w:rPr>
              <w:t>46.9</w:t>
            </w:r>
          </w:p>
        </w:tc>
        <w:tc>
          <w:tcPr>
            <w:tcW w:w="1432" w:type="dxa"/>
          </w:tcPr>
          <w:p w14:paraId="4135D01B" w14:textId="0CE2DA59" w:rsidR="00BA15A9" w:rsidRPr="00BA15A9" w:rsidRDefault="00BA15A9" w:rsidP="00BA15A9">
            <w:pPr>
              <w:pStyle w:val="SDMTableBoxParaNotNumbered"/>
              <w:suppressAutoHyphens/>
              <w:rPr>
                <w:b/>
                <w:bCs/>
              </w:rPr>
            </w:pPr>
            <w:r w:rsidRPr="00BA15A9">
              <w:rPr>
                <w:b/>
                <w:bCs/>
              </w:rPr>
              <w:t>53.3</w:t>
            </w:r>
          </w:p>
        </w:tc>
        <w:tc>
          <w:tcPr>
            <w:tcW w:w="1504" w:type="dxa"/>
          </w:tcPr>
          <w:p w14:paraId="3B39B2EB" w14:textId="75DF4E63" w:rsidR="00BA15A9" w:rsidRPr="00BA15A9" w:rsidRDefault="00BA15A9" w:rsidP="00BA15A9">
            <w:pPr>
              <w:pStyle w:val="SDMTableBoxParaNotNumbered"/>
              <w:suppressAutoHyphens/>
              <w:rPr>
                <w:b/>
                <w:bCs/>
              </w:rPr>
            </w:pPr>
            <w:r w:rsidRPr="00BA15A9">
              <w:rPr>
                <w:b/>
                <w:bCs/>
              </w:rPr>
              <w:t>33.9</w:t>
            </w:r>
          </w:p>
        </w:tc>
        <w:tc>
          <w:tcPr>
            <w:tcW w:w="1559" w:type="dxa"/>
          </w:tcPr>
          <w:p w14:paraId="2F91C2DB" w14:textId="12CF25CD" w:rsidR="00BA15A9" w:rsidRPr="00BA15A9" w:rsidRDefault="00BA15A9" w:rsidP="00BA15A9">
            <w:pPr>
              <w:pStyle w:val="SDMTableBoxParaNotNumbered"/>
              <w:suppressAutoHyphens/>
              <w:rPr>
                <w:b/>
                <w:bCs/>
              </w:rPr>
            </w:pPr>
            <w:r w:rsidRPr="00BA15A9">
              <w:rPr>
                <w:b/>
                <w:bCs/>
              </w:rPr>
              <w:t>46.2</w:t>
            </w:r>
          </w:p>
        </w:tc>
      </w:tr>
    </w:tbl>
    <w:p w14:paraId="638A6751" w14:textId="068EF89D" w:rsidR="009152D8" w:rsidRDefault="006B2F91" w:rsidP="005F5160">
      <w:pPr>
        <w:pStyle w:val="Caption"/>
        <w:rPr>
          <w:lang w:eastAsia="en-US"/>
        </w:rPr>
      </w:pPr>
      <w:bookmarkStart w:id="982" w:name="_Ref233381350"/>
      <w:r>
        <w:t>Figure</w:t>
      </w:r>
      <w:bookmarkEnd w:id="982"/>
      <w:r w:rsidR="00BA15A9">
        <w:t>.</w:t>
      </w:r>
      <w:r w:rsidR="00CC6180">
        <w:tab/>
        <w:t>R</w:t>
      </w:r>
      <w:r w:rsidR="00CC6180" w:rsidRPr="00CC6180">
        <w:t>esults of the Monte Carlo simulation (t</w:t>
      </w:r>
      <w:r w:rsidR="00582E4B">
        <w:t xml:space="preserve"> </w:t>
      </w:r>
      <w:r w:rsidR="00CC6180" w:rsidRPr="00CC6180">
        <w:t>CO</w:t>
      </w:r>
      <w:r w:rsidR="00CC6180" w:rsidRPr="00250159">
        <w:rPr>
          <w:vertAlign w:val="subscript"/>
        </w:rPr>
        <w:t>2</w:t>
      </w:r>
      <w:r w:rsidR="00582E4B">
        <w:t xml:space="preserve"> </w:t>
      </w:r>
      <w:r w:rsidR="00CC6180" w:rsidRPr="00CC6180">
        <w:t>eq per household)</w:t>
      </w:r>
      <w:r w:rsidR="00994EF4">
        <w:t xml:space="preserve"> indicating P10 and P33</w:t>
      </w:r>
    </w:p>
    <w:p w14:paraId="49C287D4" w14:textId="5F7CBD10" w:rsidR="004F6F38" w:rsidRDefault="004F6F38" w:rsidP="00D05265">
      <w:pPr>
        <w:pStyle w:val="SDMPara"/>
        <w:numPr>
          <w:ilvl w:val="0"/>
          <w:numId w:val="0"/>
        </w:numPr>
        <w:ind w:left="709"/>
        <w:rPr>
          <w:lang w:eastAsia="en-US"/>
        </w:rPr>
      </w:pPr>
      <w:r w:rsidRPr="004F6F38">
        <w:rPr>
          <w:noProof/>
          <w:lang w:eastAsia="en-US"/>
        </w:rPr>
        <w:drawing>
          <wp:inline distT="0" distB="0" distL="0" distR="0" wp14:anchorId="4F6DF46A" wp14:editId="4A14218F">
            <wp:extent cx="5543550" cy="3815598"/>
            <wp:effectExtent l="0" t="0" r="0" b="0"/>
            <wp:docPr id="4" name="Picture 3">
              <a:extLst xmlns:a="http://schemas.openxmlformats.org/drawingml/2006/main">
                <a:ext uri="{FF2B5EF4-FFF2-40B4-BE49-F238E27FC236}">
                  <a16:creationId xmlns:a16="http://schemas.microsoft.com/office/drawing/2014/main" id="{81AF9FFF-26BE-E6EE-F8B3-C1B80BFDC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AF9FFF-26BE-E6EE-F8B3-C1B80BFDC025}"/>
                        </a:ext>
                      </a:extLst>
                    </pic:cNvPr>
                    <pic:cNvPicPr>
                      <a:picLocks noChangeAspect="1"/>
                    </pic:cNvPicPr>
                  </pic:nvPicPr>
                  <pic:blipFill>
                    <a:blip r:embed="rId39"/>
                    <a:stretch>
                      <a:fillRect/>
                    </a:stretch>
                  </pic:blipFill>
                  <pic:spPr>
                    <a:xfrm>
                      <a:off x="0" y="0"/>
                      <a:ext cx="5550334" cy="3820268"/>
                    </a:xfrm>
                    <a:prstGeom prst="rect">
                      <a:avLst/>
                    </a:prstGeom>
                  </pic:spPr>
                </pic:pic>
              </a:graphicData>
            </a:graphic>
          </wp:inline>
        </w:drawing>
      </w:r>
    </w:p>
    <w:p w14:paraId="75988BFD" w14:textId="6845F411" w:rsidR="0034156D" w:rsidRDefault="00C53744" w:rsidP="00E54E0A">
      <w:pPr>
        <w:pStyle w:val="SDMPara"/>
        <w:suppressAutoHyphens/>
        <w:rPr>
          <w:lang w:eastAsia="en-US"/>
        </w:rPr>
      </w:pPr>
      <w:r>
        <w:rPr>
          <w:lang w:eastAsia="en-US"/>
        </w:rPr>
        <w:t xml:space="preserve">Paragraph 13 of the appendix to </w:t>
      </w:r>
      <w:r w:rsidR="007E25DD">
        <w:rPr>
          <w:lang w:eastAsia="en-US"/>
        </w:rPr>
        <w:t xml:space="preserve">version 01.0 of the </w:t>
      </w:r>
      <w:r w:rsidR="00163051">
        <w:rPr>
          <w:rFonts w:eastAsia="MS Mincho" w:hint="eastAsia"/>
          <w:lang w:eastAsia="ja-JP"/>
        </w:rPr>
        <w:t>b</w:t>
      </w:r>
      <w:r w:rsidR="00554D67">
        <w:rPr>
          <w:lang w:eastAsia="en-US"/>
        </w:rPr>
        <w:t xml:space="preserve">aseline </w:t>
      </w:r>
      <w:r w:rsidR="00163051">
        <w:rPr>
          <w:rFonts w:eastAsia="MS Mincho" w:hint="eastAsia"/>
          <w:lang w:eastAsia="ja-JP"/>
        </w:rPr>
        <w:t>s</w:t>
      </w:r>
      <w:r w:rsidR="00554D67">
        <w:rPr>
          <w:lang w:eastAsia="en-US"/>
        </w:rPr>
        <w:t xml:space="preserve">tandard </w:t>
      </w:r>
      <w:r w:rsidR="00554D67" w:rsidRPr="00554D67">
        <w:rPr>
          <w:lang w:eastAsia="en-US"/>
        </w:rPr>
        <w:t>requires that emission reductions be "very unlikely to be overestimated, taking into account the overall uncertainty."</w:t>
      </w:r>
      <w:r w:rsidR="000D2470">
        <w:rPr>
          <w:lang w:eastAsia="en-US"/>
        </w:rPr>
        <w:t xml:space="preserve"> </w:t>
      </w:r>
      <w:r w:rsidR="000D2470" w:rsidRPr="000D2470">
        <w:rPr>
          <w:lang w:eastAsia="en-US"/>
        </w:rPr>
        <w:t xml:space="preserve">In IPCC AR5 </w:t>
      </w:r>
      <w:r w:rsidR="00073D78" w:rsidRPr="000D2470">
        <w:rPr>
          <w:lang w:eastAsia="en-US"/>
        </w:rPr>
        <w:t xml:space="preserve">calibrated </w:t>
      </w:r>
      <w:r w:rsidR="00A82BD3">
        <w:rPr>
          <w:lang w:eastAsia="en-US"/>
        </w:rPr>
        <w:t xml:space="preserve">uncertainty </w:t>
      </w:r>
      <w:r w:rsidR="00073D78" w:rsidRPr="000D2470">
        <w:rPr>
          <w:lang w:eastAsia="en-US"/>
        </w:rPr>
        <w:t>language</w:t>
      </w:r>
      <w:r w:rsidR="000D2470" w:rsidRPr="000D2470">
        <w:rPr>
          <w:lang w:eastAsia="en-US"/>
        </w:rPr>
        <w:t>, "very unlikely" means below 10</w:t>
      </w:r>
      <w:r w:rsidR="00AE62A5">
        <w:rPr>
          <w:lang w:eastAsia="en-US"/>
        </w:rPr>
        <w:t xml:space="preserve"> per cent</w:t>
      </w:r>
      <w:r w:rsidR="000D2470" w:rsidRPr="000D2470">
        <w:rPr>
          <w:lang w:eastAsia="en-US"/>
        </w:rPr>
        <w:t xml:space="preserve"> probability</w:t>
      </w:r>
      <w:r w:rsidR="00073D78">
        <w:rPr>
          <w:lang w:eastAsia="en-US"/>
        </w:rPr>
        <w:t xml:space="preserve"> </w:t>
      </w:r>
      <w:r w:rsidR="000D2470" w:rsidRPr="000D2470">
        <w:rPr>
          <w:lang w:eastAsia="en-US"/>
        </w:rPr>
        <w:t>(e.g.</w:t>
      </w:r>
      <w:r w:rsidR="00A82BD3">
        <w:rPr>
          <w:lang w:eastAsia="en-US"/>
        </w:rPr>
        <w:t>,</w:t>
      </w:r>
      <w:r w:rsidR="000D2470" w:rsidRPr="000D2470">
        <w:rPr>
          <w:lang w:eastAsia="en-US"/>
        </w:rPr>
        <w:t xml:space="preserve"> AR5 WG1 Technical Summary (TS), Box TS.1).</w:t>
      </w:r>
      <w:r w:rsidR="0098136C">
        <w:rPr>
          <w:lang w:eastAsia="en-US"/>
        </w:rPr>
        <w:t xml:space="preserve"> </w:t>
      </w:r>
      <w:r w:rsidR="006E7F3B">
        <w:rPr>
          <w:lang w:eastAsia="en-US"/>
        </w:rPr>
        <w:t xml:space="preserve">In analysing the results of the </w:t>
      </w:r>
      <w:r w:rsidR="006E7F3B" w:rsidRPr="00F83B3D">
        <w:rPr>
          <w:lang w:eastAsia="en-US"/>
        </w:rPr>
        <w:t>Monte Carlo simulation</w:t>
      </w:r>
      <w:r w:rsidR="00C34873">
        <w:rPr>
          <w:lang w:eastAsia="en-US"/>
        </w:rPr>
        <w:t xml:space="preserve"> of emission reduction results, paragraph 13 </w:t>
      </w:r>
      <w:r w:rsidR="009C6321">
        <w:rPr>
          <w:lang w:eastAsia="en-US"/>
        </w:rPr>
        <w:t>aligns with</w:t>
      </w:r>
      <w:r w:rsidR="00C34873">
        <w:rPr>
          <w:lang w:eastAsia="en-US"/>
        </w:rPr>
        <w:t xml:space="preserve"> a one-sided test</w:t>
      </w:r>
      <w:r w:rsidR="009C6321">
        <w:rPr>
          <w:lang w:eastAsia="en-US"/>
        </w:rPr>
        <w:t xml:space="preserve"> since</w:t>
      </w:r>
      <w:r w:rsidR="00C34873">
        <w:rPr>
          <w:lang w:eastAsia="en-US"/>
        </w:rPr>
        <w:t xml:space="preserve"> it concerns overestimation, not underestimation</w:t>
      </w:r>
      <w:r w:rsidR="009C6321">
        <w:rPr>
          <w:lang w:eastAsia="en-US"/>
        </w:rPr>
        <w:t>. Hence,</w:t>
      </w:r>
      <w:r w:rsidR="00316370">
        <w:rPr>
          <w:lang w:eastAsia="en-US"/>
        </w:rPr>
        <w:t xml:space="preserve"> the 10</w:t>
      </w:r>
      <w:r w:rsidR="00316370" w:rsidRPr="00316370">
        <w:rPr>
          <w:vertAlign w:val="superscript"/>
          <w:lang w:eastAsia="en-US"/>
        </w:rPr>
        <w:t>th</w:t>
      </w:r>
      <w:r w:rsidR="00316370">
        <w:rPr>
          <w:lang w:eastAsia="en-US"/>
        </w:rPr>
        <w:t xml:space="preserve"> percentile of the results</w:t>
      </w:r>
      <w:r w:rsidR="006E7F3B">
        <w:rPr>
          <w:lang w:eastAsia="en-US"/>
        </w:rPr>
        <w:t xml:space="preserve"> </w:t>
      </w:r>
      <w:r w:rsidR="00316370">
        <w:rPr>
          <w:lang w:eastAsia="en-US"/>
        </w:rPr>
        <w:t>(</w:t>
      </w:r>
      <w:r w:rsidR="0098136C">
        <w:rPr>
          <w:lang w:eastAsia="en-US"/>
        </w:rPr>
        <w:t>P10</w:t>
      </w:r>
      <w:r w:rsidR="00316370">
        <w:rPr>
          <w:lang w:eastAsia="en-US"/>
        </w:rPr>
        <w:t>)</w:t>
      </w:r>
      <w:r w:rsidR="0098136C">
        <w:rPr>
          <w:lang w:eastAsia="en-US"/>
        </w:rPr>
        <w:t xml:space="preserve"> implements "very unlikely to be overestimated" </w:t>
      </w:r>
      <w:r w:rsidR="00A82BD3">
        <w:rPr>
          <w:lang w:eastAsia="en-US"/>
        </w:rPr>
        <w:t xml:space="preserve">because </w:t>
      </w:r>
      <w:r w:rsidR="0098136C">
        <w:rPr>
          <w:lang w:eastAsia="en-US"/>
        </w:rPr>
        <w:t xml:space="preserve">there is </w:t>
      </w:r>
      <w:r w:rsidR="00126883">
        <w:rPr>
          <w:lang w:eastAsia="en-US"/>
        </w:rPr>
        <w:t xml:space="preserve">a </w:t>
      </w:r>
      <w:r w:rsidR="009C6321">
        <w:rPr>
          <w:lang w:eastAsia="en-US"/>
        </w:rPr>
        <w:t>90</w:t>
      </w:r>
      <w:r w:rsidR="00BB1873">
        <w:rPr>
          <w:lang w:eastAsia="en-US"/>
        </w:rPr>
        <w:t xml:space="preserve"> per cent</w:t>
      </w:r>
      <w:r w:rsidR="009C6321">
        <w:rPr>
          <w:lang w:eastAsia="en-US"/>
        </w:rPr>
        <w:t xml:space="preserve"> probability </w:t>
      </w:r>
      <w:r w:rsidR="00A82BD3">
        <w:rPr>
          <w:lang w:eastAsia="en-US"/>
        </w:rPr>
        <w:t xml:space="preserve">that </w:t>
      </w:r>
      <w:r w:rsidR="009C6321">
        <w:rPr>
          <w:lang w:eastAsia="en-US"/>
        </w:rPr>
        <w:t>the true emission reductions</w:t>
      </w:r>
      <w:r w:rsidR="0098136C">
        <w:rPr>
          <w:lang w:eastAsia="en-US"/>
        </w:rPr>
        <w:t xml:space="preserve"> </w:t>
      </w:r>
      <w:r w:rsidR="000545EA">
        <w:rPr>
          <w:lang w:eastAsia="en-US"/>
        </w:rPr>
        <w:t xml:space="preserve">exceed </w:t>
      </w:r>
      <w:r w:rsidR="0098136C">
        <w:rPr>
          <w:lang w:eastAsia="en-US"/>
        </w:rPr>
        <w:t xml:space="preserve">the </w:t>
      </w:r>
      <w:r w:rsidR="00316370">
        <w:rPr>
          <w:lang w:eastAsia="en-US"/>
        </w:rPr>
        <w:t xml:space="preserve">P10 </w:t>
      </w:r>
      <w:r w:rsidR="0098136C">
        <w:rPr>
          <w:lang w:eastAsia="en-US"/>
        </w:rPr>
        <w:t>value.</w:t>
      </w:r>
    </w:p>
    <w:p w14:paraId="487C3508" w14:textId="77777777" w:rsidR="00615311" w:rsidRDefault="00807E80" w:rsidP="00E54E0A">
      <w:pPr>
        <w:pStyle w:val="SDMPara"/>
        <w:suppressAutoHyphens/>
        <w:rPr>
          <w:lang w:eastAsia="en-US"/>
        </w:rPr>
      </w:pPr>
      <w:r>
        <w:rPr>
          <w:lang w:eastAsia="en-US"/>
        </w:rPr>
        <w:t xml:space="preserve">The P10 of the results of the Monte Carlo simulation were found to be </w:t>
      </w:r>
      <w:r w:rsidR="007A2D6B">
        <w:rPr>
          <w:lang w:eastAsia="en-US"/>
        </w:rPr>
        <w:t>in the range of</w:t>
      </w:r>
      <w:r w:rsidR="00F950D3">
        <w:rPr>
          <w:lang w:eastAsia="en-US"/>
        </w:rPr>
        <w:t>,</w:t>
      </w:r>
      <w:r>
        <w:rPr>
          <w:lang w:eastAsia="en-US"/>
        </w:rPr>
        <w:t xml:space="preserve"> or higher than</w:t>
      </w:r>
      <w:r w:rsidR="00F950D3">
        <w:rPr>
          <w:lang w:eastAsia="en-US"/>
        </w:rPr>
        <w:t>,</w:t>
      </w:r>
      <w:r>
        <w:rPr>
          <w:lang w:eastAsia="en-US"/>
        </w:rPr>
        <w:t xml:space="preserve"> the </w:t>
      </w:r>
      <w:r w:rsidR="00654D7D">
        <w:rPr>
          <w:lang w:eastAsia="en-US"/>
        </w:rPr>
        <w:t>quantification resulting</w:t>
      </w:r>
      <w:r w:rsidR="00F950D3">
        <w:rPr>
          <w:lang w:eastAsia="en-US"/>
        </w:rPr>
        <w:t xml:space="preserve"> from th</w:t>
      </w:r>
      <w:r w:rsidR="00FD450D">
        <w:rPr>
          <w:lang w:eastAsia="en-US"/>
        </w:rPr>
        <w:t>e methods and parameter values</w:t>
      </w:r>
      <w:r w:rsidR="00D4281A">
        <w:rPr>
          <w:lang w:eastAsia="en-US"/>
        </w:rPr>
        <w:t xml:space="preserve"> included in this</w:t>
      </w:r>
      <w:r w:rsidR="00F950D3">
        <w:rPr>
          <w:lang w:eastAsia="en-US"/>
        </w:rPr>
        <w:t xml:space="preserve"> mechanism methodology.</w:t>
      </w:r>
      <w:r w:rsidR="004D1118">
        <w:rPr>
          <w:lang w:eastAsia="en-US"/>
        </w:rPr>
        <w:t xml:space="preserve"> Therefore, the MEP concluded that t</w:t>
      </w:r>
      <w:r w:rsidR="00F83B3D" w:rsidRPr="00F83B3D">
        <w:rPr>
          <w:lang w:eastAsia="en-US"/>
        </w:rPr>
        <w:t>he emission</w:t>
      </w:r>
      <w:r w:rsidR="00F27ED9">
        <w:rPr>
          <w:lang w:eastAsia="en-US"/>
        </w:rPr>
        <w:t>s</w:t>
      </w:r>
      <w:r w:rsidR="00F83B3D" w:rsidRPr="00F83B3D">
        <w:rPr>
          <w:lang w:eastAsia="en-US"/>
        </w:rPr>
        <w:t xml:space="preserve"> reductions </w:t>
      </w:r>
      <w:r w:rsidR="00B61F3B">
        <w:rPr>
          <w:lang w:eastAsia="en-US"/>
        </w:rPr>
        <w:t xml:space="preserve">calculated using this mechanism </w:t>
      </w:r>
      <w:r w:rsidR="004D1118">
        <w:rPr>
          <w:lang w:eastAsia="en-US"/>
        </w:rPr>
        <w:t>methodology</w:t>
      </w:r>
      <w:r w:rsidR="00F83B3D" w:rsidRPr="00F83B3D">
        <w:rPr>
          <w:lang w:eastAsia="en-US"/>
        </w:rPr>
        <w:t xml:space="preserve"> </w:t>
      </w:r>
      <w:r w:rsidR="00F27ED9">
        <w:rPr>
          <w:lang w:eastAsia="en-US"/>
        </w:rPr>
        <w:t>are very unlikely to be</w:t>
      </w:r>
      <w:r w:rsidR="00F83B3D" w:rsidRPr="00F83B3D">
        <w:rPr>
          <w:lang w:eastAsia="en-US"/>
        </w:rPr>
        <w:t xml:space="preserve"> overestimated</w:t>
      </w:r>
      <w:r w:rsidR="000A0C7B">
        <w:rPr>
          <w:lang w:eastAsia="en-US"/>
        </w:rPr>
        <w:t xml:space="preserve"> and concluded that</w:t>
      </w:r>
      <w:r w:rsidR="00405B35">
        <w:rPr>
          <w:lang w:eastAsia="en-US"/>
        </w:rPr>
        <w:t xml:space="preserve"> it is not required for </w:t>
      </w:r>
      <w:r w:rsidR="00606EF9">
        <w:rPr>
          <w:lang w:eastAsia="en-US"/>
        </w:rPr>
        <w:t>individual A6.4 activities</w:t>
      </w:r>
      <w:r w:rsidR="004F0EB3">
        <w:rPr>
          <w:lang w:eastAsia="en-US"/>
        </w:rPr>
        <w:t xml:space="preserve"> to undertake uncertainty analysis</w:t>
      </w:r>
      <w:r w:rsidR="00F83B3D" w:rsidRPr="00F83B3D">
        <w:rPr>
          <w:lang w:eastAsia="en-US"/>
        </w:rPr>
        <w:t>.</w:t>
      </w:r>
    </w:p>
    <w:p w14:paraId="19C3432F" w14:textId="001F368B" w:rsidR="006D2932" w:rsidRDefault="001C2394" w:rsidP="00A3432D">
      <w:pPr>
        <w:pStyle w:val="SDMApp1"/>
        <w:ind w:left="720" w:hanging="720"/>
      </w:pPr>
      <w:r w:rsidRPr="001C2394">
        <w:t>Non-permanence</w:t>
      </w:r>
    </w:p>
    <w:p w14:paraId="6BB9F793" w14:textId="2ADDCB0C" w:rsidR="0069358F" w:rsidRDefault="00F51C2F" w:rsidP="002C48A1">
      <w:pPr>
        <w:pStyle w:val="SDMApp2"/>
      </w:pPr>
      <w:bookmarkStart w:id="983" w:name="_Ref233283206"/>
      <w:r>
        <w:t>Demonstration of e</w:t>
      </w:r>
      <w:r w:rsidR="002C48A1">
        <w:t>ligibility to propose alternative approaches</w:t>
      </w:r>
      <w:bookmarkEnd w:id="983"/>
    </w:p>
    <w:p w14:paraId="132CB594" w14:textId="6934B8F1" w:rsidR="006D2932" w:rsidRDefault="00A03A62" w:rsidP="00655F47">
      <w:pPr>
        <w:pStyle w:val="SDMPara"/>
        <w:keepNext/>
        <w:numPr>
          <w:ilvl w:val="0"/>
          <w:numId w:val="4"/>
        </w:numPr>
        <w:suppressAutoHyphens/>
        <w:rPr>
          <w:lang w:eastAsia="en-US"/>
        </w:rPr>
      </w:pPr>
      <w:bookmarkStart w:id="984" w:name="_Ref227062795"/>
      <w:r>
        <w:t xml:space="preserve">Paragraph 13 of </w:t>
      </w:r>
      <w:r w:rsidR="004F31BF">
        <w:t xml:space="preserve">version 01.0 of </w:t>
      </w:r>
      <w:r>
        <w:t xml:space="preserve">the </w:t>
      </w:r>
      <w:r w:rsidR="00FC504B">
        <w:rPr>
          <w:rFonts w:eastAsia="MS Mincho" w:hint="eastAsia"/>
          <w:lang w:eastAsia="ja-JP"/>
        </w:rPr>
        <w:t>r</w:t>
      </w:r>
      <w:r w:rsidR="00B9207C">
        <w:t xml:space="preserve">eversals </w:t>
      </w:r>
      <w:r w:rsidR="00FC504B">
        <w:rPr>
          <w:rFonts w:eastAsia="MS Mincho" w:hint="eastAsia"/>
          <w:lang w:eastAsia="ja-JP"/>
        </w:rPr>
        <w:t>s</w:t>
      </w:r>
      <w:r w:rsidR="00B9207C">
        <w:t>tandard</w:t>
      </w:r>
      <w:r>
        <w:t xml:space="preserve"> provides that mechanism methodologies may propose alternative approaches to certain elements of the </w:t>
      </w:r>
      <w:r w:rsidR="00FC504B">
        <w:rPr>
          <w:rFonts w:eastAsia="MS Mincho" w:hint="eastAsia"/>
          <w:lang w:eastAsia="ja-JP"/>
        </w:rPr>
        <w:t>r</w:t>
      </w:r>
      <w:r w:rsidR="00B9207C">
        <w:t xml:space="preserve">emovals </w:t>
      </w:r>
      <w:r w:rsidR="00FC504B">
        <w:rPr>
          <w:rFonts w:eastAsia="MS Mincho" w:hint="eastAsia"/>
          <w:lang w:eastAsia="ja-JP"/>
        </w:rPr>
        <w:t>s</w:t>
      </w:r>
      <w:r w:rsidR="00B9207C">
        <w:t>tandard</w:t>
      </w:r>
      <w:r>
        <w:t>, provided that all of the following conditions are met</w:t>
      </w:r>
      <w:bookmarkEnd w:id="984"/>
      <w:r w:rsidR="006D2932">
        <w:t>:</w:t>
      </w:r>
    </w:p>
    <w:p w14:paraId="6D064120" w14:textId="0B9112F1" w:rsidR="00A03A62" w:rsidRPr="009D2355" w:rsidRDefault="00A03A62" w:rsidP="00E54E0A">
      <w:pPr>
        <w:pStyle w:val="SDMSubPara1"/>
        <w:suppressAutoHyphens/>
        <w:rPr>
          <w:rFonts w:eastAsia="Montserrat"/>
        </w:rPr>
      </w:pPr>
      <w:r>
        <w:t xml:space="preserve">That activity participants using the mechanism methodology have no control over the </w:t>
      </w:r>
      <w:r w:rsidR="00C26C0B">
        <w:t>GHG</w:t>
      </w:r>
      <w:r>
        <w:t xml:space="preserve"> reservoir;</w:t>
      </w:r>
    </w:p>
    <w:p w14:paraId="23FD5306" w14:textId="1571E7EB" w:rsidR="00A03A62" w:rsidRPr="009D2355" w:rsidRDefault="00A03A62" w:rsidP="00E54E0A">
      <w:pPr>
        <w:pStyle w:val="SDMSubPara1"/>
        <w:suppressAutoHyphens/>
        <w:rPr>
          <w:rFonts w:eastAsia="Montserrat"/>
        </w:rPr>
      </w:pPr>
      <w:r>
        <w:t xml:space="preserve">That the </w:t>
      </w:r>
      <w:r w:rsidR="00C26C0B">
        <w:t>GHG</w:t>
      </w:r>
      <w:r>
        <w:t xml:space="preserve"> reservoir is not in the same location as where the mitigation activity is implemented; and</w:t>
      </w:r>
    </w:p>
    <w:p w14:paraId="4866E452" w14:textId="08CFA172" w:rsidR="00A03A62" w:rsidRPr="009D2355" w:rsidRDefault="00A03A62" w:rsidP="00E54E0A">
      <w:pPr>
        <w:pStyle w:val="SDMSubPara1"/>
        <w:suppressAutoHyphens/>
        <w:rPr>
          <w:rFonts w:eastAsia="Montserrat"/>
        </w:rPr>
      </w:pPr>
      <w:r>
        <w:t xml:space="preserve">That changes observed in the </w:t>
      </w:r>
      <w:r w:rsidR="00C26C0B">
        <w:t>GHG</w:t>
      </w:r>
      <w:r>
        <w:t xml:space="preserve"> reservoir cannot be attributed to the mitigation activity.</w:t>
      </w:r>
    </w:p>
    <w:p w14:paraId="60637DB4" w14:textId="750ACDB5" w:rsidR="006D2932" w:rsidRDefault="00B40A5A" w:rsidP="00655F47">
      <w:pPr>
        <w:pStyle w:val="SDMPara"/>
        <w:keepNext/>
        <w:numPr>
          <w:ilvl w:val="0"/>
          <w:numId w:val="4"/>
        </w:numPr>
        <w:suppressAutoHyphens/>
        <w:rPr>
          <w:lang w:eastAsia="en-US"/>
        </w:rPr>
      </w:pPr>
      <w:r>
        <w:t xml:space="preserve">This methodology satisfies </w:t>
      </w:r>
      <w:r w:rsidR="000B2235">
        <w:t xml:space="preserve">the </w:t>
      </w:r>
      <w:r>
        <w:t xml:space="preserve">requirements </w:t>
      </w:r>
      <w:r w:rsidR="000B2235">
        <w:t>reference</w:t>
      </w:r>
      <w:r w:rsidR="00FA6E32">
        <w:t>d</w:t>
      </w:r>
      <w:r w:rsidR="000B2235">
        <w:t xml:space="preserve"> in paragraph </w:t>
      </w:r>
      <w:r w:rsidR="005734C6">
        <w:fldChar w:fldCharType="begin"/>
      </w:r>
      <w:r w:rsidR="005734C6">
        <w:instrText xml:space="preserve"> REF _Ref227062795 \w \h </w:instrText>
      </w:r>
      <w:r w:rsidR="005734C6">
        <w:fldChar w:fldCharType="separate"/>
      </w:r>
      <w:r w:rsidR="00831DAE">
        <w:rPr>
          <w:cs/>
        </w:rPr>
        <w:t>‎</w:t>
      </w:r>
      <w:r w:rsidR="00831DAE">
        <w:t>53</w:t>
      </w:r>
      <w:r w:rsidR="005734C6">
        <w:fldChar w:fldCharType="end"/>
      </w:r>
      <w:r w:rsidR="005734C6">
        <w:t xml:space="preserve"> </w:t>
      </w:r>
      <w:r>
        <w:t>because</w:t>
      </w:r>
      <w:r w:rsidR="006D2932">
        <w:t>:</w:t>
      </w:r>
    </w:p>
    <w:p w14:paraId="572C3A81" w14:textId="6C1D218C" w:rsidR="009D4D21" w:rsidRPr="008213A8" w:rsidRDefault="00B40A5A" w:rsidP="00E54E0A">
      <w:pPr>
        <w:pStyle w:val="SDMSubPara1"/>
        <w:suppressAutoHyphens/>
        <w:rPr>
          <w:rFonts w:eastAsia="Montserrat"/>
        </w:rPr>
      </w:pPr>
      <w:r w:rsidRPr="00473AE2">
        <w:t xml:space="preserve">Activity participants </w:t>
      </w:r>
      <w:r w:rsidR="00294052" w:rsidRPr="00473AE2">
        <w:t>affect</w:t>
      </w:r>
      <w:r w:rsidR="00280628" w:rsidRPr="00473AE2">
        <w:t>,</w:t>
      </w:r>
      <w:r w:rsidR="00294052" w:rsidRPr="00473AE2">
        <w:t xml:space="preserve"> but </w:t>
      </w:r>
      <w:r w:rsidRPr="00473AE2">
        <w:t>do not have control over</w:t>
      </w:r>
      <w:r w:rsidR="00280628" w:rsidRPr="00473AE2">
        <w:t>,</w:t>
      </w:r>
      <w:r w:rsidRPr="00473AE2">
        <w:t xml:space="preserve"> the </w:t>
      </w:r>
      <w:r w:rsidR="00C26C0B">
        <w:t>GHG</w:t>
      </w:r>
      <w:r w:rsidR="00294052" w:rsidRPr="00473AE2">
        <w:t xml:space="preserve"> </w:t>
      </w:r>
      <w:r w:rsidRPr="008213A8">
        <w:t>reservoir</w:t>
      </w:r>
      <w:r w:rsidR="00294052" w:rsidRPr="008213A8">
        <w:t>s</w:t>
      </w:r>
      <w:r w:rsidRPr="008213A8">
        <w:t xml:space="preserve"> listed in </w:t>
      </w:r>
      <w:r w:rsidR="00160D58">
        <w:fldChar w:fldCharType="begin"/>
      </w:r>
      <w:r w:rsidR="00160D58">
        <w:instrText xml:space="preserve"> REF _Ref232720824 \h </w:instrText>
      </w:r>
      <w:r w:rsidR="00160D58">
        <w:fldChar w:fldCharType="separate"/>
      </w:r>
      <w:r w:rsidR="00831DAE" w:rsidRPr="009F63DF">
        <w:t>Table </w:t>
      </w:r>
      <w:r w:rsidR="00831DAE">
        <w:rPr>
          <w:noProof/>
        </w:rPr>
        <w:t>2</w:t>
      </w:r>
      <w:r w:rsidR="00160D58">
        <w:fldChar w:fldCharType="end"/>
      </w:r>
      <w:r w:rsidR="00280628" w:rsidRPr="008213A8">
        <w:t>;</w:t>
      </w:r>
    </w:p>
    <w:p w14:paraId="2BA66918" w14:textId="71F2F869" w:rsidR="0075693F" w:rsidRPr="009D2355" w:rsidRDefault="007C526C" w:rsidP="00E54E0A">
      <w:pPr>
        <w:pStyle w:val="SDMSubPara1"/>
        <w:suppressAutoHyphens/>
        <w:rPr>
          <w:rFonts w:eastAsia="Montserrat"/>
        </w:rPr>
      </w:pPr>
      <w:r w:rsidRPr="00372D3B">
        <w:t xml:space="preserve">The </w:t>
      </w:r>
      <w:r w:rsidRPr="007C526C">
        <w:t xml:space="preserve">physical, geographical sites where the project cookstoves operate </w:t>
      </w:r>
      <w:r>
        <w:t>(paragraph</w:t>
      </w:r>
      <w:r w:rsidR="00816A45">
        <w:t> </w:t>
      </w:r>
      <w:r w:rsidR="00F0360F" w:rsidRPr="00372D3B">
        <w:fldChar w:fldCharType="begin"/>
      </w:r>
      <w:r w:rsidR="00F0360F" w:rsidRPr="00372D3B">
        <w:instrText xml:space="preserve"> REF _Ref227139933 \r \h </w:instrText>
      </w:r>
      <w:r w:rsidR="00372D3B">
        <w:instrText xml:space="preserve"> \* MERGEFORMAT </w:instrText>
      </w:r>
      <w:r w:rsidR="00F0360F" w:rsidRPr="00372D3B">
        <w:fldChar w:fldCharType="separate"/>
      </w:r>
      <w:r w:rsidR="00831DAE">
        <w:rPr>
          <w:cs/>
        </w:rPr>
        <w:t>‎</w:t>
      </w:r>
      <w:r w:rsidR="00831DAE">
        <w:t>18(a)</w:t>
      </w:r>
      <w:r w:rsidR="00F0360F" w:rsidRPr="00372D3B">
        <w:fldChar w:fldCharType="end"/>
      </w:r>
      <w:r w:rsidR="00F0360F">
        <w:t xml:space="preserve">) </w:t>
      </w:r>
      <w:r w:rsidRPr="007C526C">
        <w:t xml:space="preserve">are always </w:t>
      </w:r>
      <w:r w:rsidR="00F0360F">
        <w:t>distinct from the location</w:t>
      </w:r>
      <w:r w:rsidR="0095089E">
        <w:t>(s) from which fuels are produced or collected</w:t>
      </w:r>
      <w:r w:rsidR="00C86AB6">
        <w:t xml:space="preserve"> in the baseline</w:t>
      </w:r>
      <w:r w:rsidR="009E617F" w:rsidRPr="007C526C">
        <w:t xml:space="preserve"> </w:t>
      </w:r>
      <w:r w:rsidR="00F826F7">
        <w:t xml:space="preserve">and </w:t>
      </w:r>
      <w:r w:rsidR="00052780">
        <w:t>activity</w:t>
      </w:r>
      <w:r w:rsidR="00F826F7">
        <w:t xml:space="preserve"> scenarios (</w:t>
      </w:r>
      <w:r w:rsidR="00F826F7" w:rsidRPr="00F826F7">
        <w:t>paragraph 17(b)</w:t>
      </w:r>
      <w:r w:rsidR="00F826F7">
        <w:t>)</w:t>
      </w:r>
      <w:r w:rsidR="007D206A">
        <w:t xml:space="preserve">, which </w:t>
      </w:r>
      <w:r w:rsidR="00435855">
        <w:t>location</w:t>
      </w:r>
      <w:r w:rsidR="007D206A">
        <w:t>(s) correspond to</w:t>
      </w:r>
      <w:r w:rsidR="000D2240">
        <w:t xml:space="preserve"> the </w:t>
      </w:r>
      <w:r w:rsidR="00C26C0B">
        <w:t>GHG</w:t>
      </w:r>
      <w:r w:rsidR="009D4D21" w:rsidRPr="00372D3B">
        <w:t xml:space="preserve"> reservoirs listed in </w:t>
      </w:r>
      <w:r w:rsidR="00160D58">
        <w:fldChar w:fldCharType="begin"/>
      </w:r>
      <w:r w:rsidR="00160D58">
        <w:instrText xml:space="preserve"> REF _Ref232720824 \h </w:instrText>
      </w:r>
      <w:r w:rsidR="00160D58">
        <w:fldChar w:fldCharType="separate"/>
      </w:r>
      <w:r w:rsidR="00831DAE" w:rsidRPr="009F63DF">
        <w:t>Table </w:t>
      </w:r>
      <w:r w:rsidR="00831DAE">
        <w:rPr>
          <w:noProof/>
        </w:rPr>
        <w:t>2</w:t>
      </w:r>
      <w:r w:rsidR="00160D58">
        <w:fldChar w:fldCharType="end"/>
      </w:r>
      <w:r w:rsidR="000215A3" w:rsidRPr="000215A3">
        <w:t xml:space="preserve"> </w:t>
      </w:r>
      <w:r w:rsidR="00050940">
        <w:t>and</w:t>
      </w:r>
      <w:r w:rsidR="009D4D21" w:rsidRPr="00372D3B">
        <w:t xml:space="preserve"> </w:t>
      </w:r>
      <w:r w:rsidR="007D206A" w:rsidRPr="00372D3B">
        <w:t xml:space="preserve">which are </w:t>
      </w:r>
      <w:r w:rsidR="009D4D21" w:rsidRPr="00372D3B">
        <w:t xml:space="preserve">defined at </w:t>
      </w:r>
      <w:r w:rsidR="00433254" w:rsidRPr="00372D3B">
        <w:t xml:space="preserve">a subnational, national, or multi-national level </w:t>
      </w:r>
      <w:r w:rsidR="007D206A" w:rsidRPr="00372D3B">
        <w:t xml:space="preserve">for each </w:t>
      </w:r>
      <w:r w:rsidR="00CA377C">
        <w:t xml:space="preserve">applicable </w:t>
      </w:r>
      <w:r w:rsidR="007D206A" w:rsidRPr="00372D3B">
        <w:t>fuel (</w:t>
      </w:r>
      <w:r w:rsidR="005A6489" w:rsidRPr="00372D3B">
        <w:t>paragraph</w:t>
      </w:r>
      <w:r w:rsidR="00866CD2" w:rsidRPr="00372D3B">
        <w:t xml:space="preserve"> </w:t>
      </w:r>
      <w:r w:rsidR="00B155F0" w:rsidRPr="00372D3B">
        <w:fldChar w:fldCharType="begin"/>
      </w:r>
      <w:r w:rsidR="00B155F0" w:rsidRPr="00372D3B">
        <w:instrText xml:space="preserve"> REF _Ref226994046 \w \h </w:instrText>
      </w:r>
      <w:r w:rsidR="00CD0CDC" w:rsidRPr="00372D3B">
        <w:instrText xml:space="preserve"> \* MERGEFORMAT </w:instrText>
      </w:r>
      <w:r w:rsidR="00B155F0" w:rsidRPr="00372D3B">
        <w:fldChar w:fldCharType="separate"/>
      </w:r>
      <w:r w:rsidR="00831DAE">
        <w:rPr>
          <w:cs/>
        </w:rPr>
        <w:t>‎</w:t>
      </w:r>
      <w:r w:rsidR="00831DAE">
        <w:t>23</w:t>
      </w:r>
      <w:r w:rsidR="00B155F0" w:rsidRPr="00372D3B">
        <w:fldChar w:fldCharType="end"/>
      </w:r>
      <w:r w:rsidR="007D206A" w:rsidRPr="00372D3B">
        <w:t>);</w:t>
      </w:r>
      <w:r w:rsidR="005F5899" w:rsidRPr="00372D3B">
        <w:t xml:space="preserve"> and</w:t>
      </w:r>
    </w:p>
    <w:p w14:paraId="0E420006" w14:textId="3E6901B1" w:rsidR="00B40A5A" w:rsidRPr="009D2355" w:rsidRDefault="003B5724" w:rsidP="00E54E0A">
      <w:pPr>
        <w:pStyle w:val="SDMSubPara1"/>
        <w:suppressAutoHyphens/>
        <w:rPr>
          <w:rFonts w:eastAsia="Montserrat"/>
        </w:rPr>
      </w:pPr>
      <w:r>
        <w:t xml:space="preserve">Energy efficiency measures in household cooking </w:t>
      </w:r>
      <w:r w:rsidR="005F5899">
        <w:t xml:space="preserve">reduce the </w:t>
      </w:r>
      <w:r w:rsidR="00A91B0F">
        <w:t xml:space="preserve">consumption </w:t>
      </w:r>
      <w:r w:rsidR="005F5899">
        <w:t xml:space="preserve">of </w:t>
      </w:r>
      <w:r w:rsidR="00A91B0F">
        <w:t>non-renewable</w:t>
      </w:r>
      <w:r w:rsidR="005F5899">
        <w:t xml:space="preserve"> biomass and associated loss of carbon stocks but are just one of many factors that affect </w:t>
      </w:r>
      <w:r w:rsidR="00A91B0F">
        <w:t xml:space="preserve">carbon stocks in the </w:t>
      </w:r>
      <w:r w:rsidR="0074761C">
        <w:t>greenhouse gas</w:t>
      </w:r>
      <w:r w:rsidR="005F5899">
        <w:t xml:space="preserve"> reservoirs listed in </w:t>
      </w:r>
      <w:r w:rsidR="000C7811" w:rsidRPr="000C7811">
        <w:t>table 2</w:t>
      </w:r>
      <w:r w:rsidR="005F5899" w:rsidRPr="000C7811">
        <w:t>.</w:t>
      </w:r>
      <w:r w:rsidR="005F5899">
        <w:t xml:space="preserve"> </w:t>
      </w:r>
      <w:r w:rsidR="00A91B0F">
        <w:t>As a result, o</w:t>
      </w:r>
      <w:r>
        <w:t xml:space="preserve">bserved changes in </w:t>
      </w:r>
      <w:r w:rsidR="003F5DBF">
        <w:t xml:space="preserve">carbon </w:t>
      </w:r>
      <w:r w:rsidR="00A91B0F">
        <w:t xml:space="preserve">stocks </w:t>
      </w:r>
      <w:r w:rsidR="003F5DBF">
        <w:t xml:space="preserve">in </w:t>
      </w:r>
      <w:r>
        <w:t>these reservoirs</w:t>
      </w:r>
      <w:r w:rsidR="003F5DBF">
        <w:t xml:space="preserve"> </w:t>
      </w:r>
      <w:r w:rsidR="007A4440">
        <w:t>at the subnational, national, or multinationa</w:t>
      </w:r>
      <w:r w:rsidR="007B0EF5">
        <w:t>l</w:t>
      </w:r>
      <w:r w:rsidR="007A4440">
        <w:t xml:space="preserve"> level(s) </w:t>
      </w:r>
      <w:r>
        <w:t>cannot be directly attributed to energy efficiency measures in household cooking.</w:t>
      </w:r>
    </w:p>
    <w:p w14:paraId="47AE677C" w14:textId="4CAEE097" w:rsidR="002C48A1" w:rsidRDefault="00A03A62" w:rsidP="002C48A1">
      <w:pPr>
        <w:pStyle w:val="SDMApp2"/>
      </w:pPr>
      <w:bookmarkStart w:id="985" w:name="_Ref233283217"/>
      <w:r>
        <w:t>Selection and justification of alternative approaches</w:t>
      </w:r>
      <w:bookmarkEnd w:id="985"/>
    </w:p>
    <w:p w14:paraId="113995E1" w14:textId="15F6929F" w:rsidR="006D2932" w:rsidRDefault="005734C6" w:rsidP="00655F47">
      <w:pPr>
        <w:pStyle w:val="SDMPara"/>
        <w:keepNext/>
        <w:numPr>
          <w:ilvl w:val="0"/>
          <w:numId w:val="4"/>
        </w:numPr>
        <w:suppressAutoHyphens/>
      </w:pPr>
      <w:bookmarkStart w:id="986" w:name="_Ref227063023"/>
      <w:r>
        <w:t xml:space="preserve">Paragraph 15 of the </w:t>
      </w:r>
      <w:r w:rsidR="00A97E1A">
        <w:rPr>
          <w:rFonts w:eastAsia="MS Mincho" w:hint="eastAsia"/>
          <w:lang w:eastAsia="ja-JP"/>
        </w:rPr>
        <w:t>version 01.0 of the r</w:t>
      </w:r>
      <w:r>
        <w:t xml:space="preserve">eversals </w:t>
      </w:r>
      <w:r w:rsidR="00A97E1A">
        <w:rPr>
          <w:rFonts w:eastAsia="MS Mincho" w:hint="eastAsia"/>
          <w:lang w:eastAsia="ja-JP"/>
        </w:rPr>
        <w:t>s</w:t>
      </w:r>
      <w:r>
        <w:t xml:space="preserve">tandard allows mechanism methodologies that meet the conditions referenced in paragraph </w:t>
      </w:r>
      <w:r>
        <w:fldChar w:fldCharType="begin"/>
      </w:r>
      <w:r>
        <w:instrText xml:space="preserve"> REF _Ref227062795 \w \h </w:instrText>
      </w:r>
      <w:r>
        <w:fldChar w:fldCharType="separate"/>
      </w:r>
      <w:r w:rsidR="00831DAE">
        <w:rPr>
          <w:cs/>
        </w:rPr>
        <w:t>‎</w:t>
      </w:r>
      <w:r w:rsidR="00831DAE">
        <w:t>53</w:t>
      </w:r>
      <w:r>
        <w:fldChar w:fldCharType="end"/>
      </w:r>
      <w:r>
        <w:t xml:space="preserve"> to propose alternatives to the following provisions of </w:t>
      </w:r>
      <w:r w:rsidR="004F31BF">
        <w:t xml:space="preserve">version 01.0 of </w:t>
      </w:r>
      <w:r>
        <w:t xml:space="preserve">the </w:t>
      </w:r>
      <w:bookmarkEnd w:id="986"/>
      <w:r w:rsidR="00A97E1A">
        <w:rPr>
          <w:rFonts w:eastAsia="MS Mincho" w:hint="eastAsia"/>
          <w:lang w:eastAsia="ja-JP"/>
        </w:rPr>
        <w:t>r</w:t>
      </w:r>
      <w:r w:rsidR="00327FB0">
        <w:t xml:space="preserve">emovals </w:t>
      </w:r>
      <w:r w:rsidR="00A97E1A">
        <w:rPr>
          <w:rFonts w:eastAsia="MS Mincho" w:hint="eastAsia"/>
          <w:lang w:eastAsia="ja-JP"/>
        </w:rPr>
        <w:t>s</w:t>
      </w:r>
      <w:r w:rsidR="00327FB0">
        <w:t>tandard</w:t>
      </w:r>
      <w:r w:rsidR="006D2932">
        <w:t>:</w:t>
      </w:r>
    </w:p>
    <w:p w14:paraId="2D5C0D4F" w14:textId="796727BF" w:rsidR="005734C6" w:rsidRPr="009D2355" w:rsidRDefault="006F2A47" w:rsidP="00E54E0A">
      <w:pPr>
        <w:pStyle w:val="SDMSubPara1"/>
        <w:suppressAutoHyphens/>
        <w:rPr>
          <w:rFonts w:eastAsia="Montserrat"/>
        </w:rPr>
      </w:pPr>
      <w:r>
        <w:t xml:space="preserve">General requirements for the identification and quantification of reversals (section 7.1 of </w:t>
      </w:r>
      <w:r w:rsidR="006D1025">
        <w:t xml:space="preserve">version 01.0 of </w:t>
      </w:r>
      <w:r>
        <w:t xml:space="preserve">the </w:t>
      </w:r>
      <w:r w:rsidR="00A97E1A">
        <w:rPr>
          <w:rFonts w:eastAsia="MS Mincho" w:hint="eastAsia"/>
          <w:lang w:eastAsia="ja-JP"/>
        </w:rPr>
        <w:t>r</w:t>
      </w:r>
      <w:r w:rsidR="0037715C">
        <w:t xml:space="preserve">eversals </w:t>
      </w:r>
      <w:r w:rsidR="00A97E1A">
        <w:rPr>
          <w:rFonts w:eastAsia="MS Mincho" w:hint="eastAsia"/>
          <w:lang w:eastAsia="ja-JP"/>
        </w:rPr>
        <w:t>s</w:t>
      </w:r>
      <w:r w:rsidR="0037715C">
        <w:t>tandard</w:t>
      </w:r>
      <w:r>
        <w:t>);</w:t>
      </w:r>
    </w:p>
    <w:p w14:paraId="7806FB6F" w14:textId="378B4CB6" w:rsidR="006F2A47" w:rsidRPr="009D2355" w:rsidRDefault="009B5C9B" w:rsidP="00E54E0A">
      <w:pPr>
        <w:pStyle w:val="SDMSubPara1"/>
        <w:suppressAutoHyphens/>
        <w:rPr>
          <w:rFonts w:eastAsia="Montserrat"/>
        </w:rPr>
      </w:pPr>
      <w:r w:rsidRPr="009B5C9B">
        <w:t xml:space="preserve">Frequency of submitting monitoring reports (section 7.2 of </w:t>
      </w:r>
      <w:r w:rsidR="0056467F">
        <w:t xml:space="preserve">version 01.0 of </w:t>
      </w:r>
      <w:r w:rsidR="002213ED">
        <w:t xml:space="preserve">the </w:t>
      </w:r>
      <w:r w:rsidR="00A97E1A">
        <w:rPr>
          <w:rFonts w:eastAsia="MS Mincho" w:hint="eastAsia"/>
          <w:lang w:eastAsia="ja-JP"/>
        </w:rPr>
        <w:t>r</w:t>
      </w:r>
      <w:r w:rsidR="0037715C">
        <w:t xml:space="preserve">eversals </w:t>
      </w:r>
      <w:r w:rsidR="00A97E1A">
        <w:rPr>
          <w:rFonts w:eastAsia="MS Mincho" w:hint="eastAsia"/>
          <w:lang w:eastAsia="ja-JP"/>
        </w:rPr>
        <w:t>s</w:t>
      </w:r>
      <w:r w:rsidR="0037715C">
        <w:t>tandard</w:t>
      </w:r>
      <w:r w:rsidR="0046372C">
        <w:t>)</w:t>
      </w:r>
      <w:r w:rsidR="00544DFA">
        <w:t>;</w:t>
      </w:r>
    </w:p>
    <w:p w14:paraId="41F39000" w14:textId="154992A3" w:rsidR="009B5C9B" w:rsidRPr="009D2355" w:rsidRDefault="009B5C9B" w:rsidP="00E54E0A">
      <w:pPr>
        <w:pStyle w:val="SDMSubPara1"/>
        <w:suppressAutoHyphens/>
        <w:rPr>
          <w:rFonts w:eastAsia="Montserrat"/>
        </w:rPr>
      </w:pPr>
      <w:r>
        <w:t xml:space="preserve">Monitoring and reporting in the post-crediting period (section 7.4 of </w:t>
      </w:r>
      <w:r w:rsidR="006D1025">
        <w:t xml:space="preserve">version 01.0 of the </w:t>
      </w:r>
      <w:r w:rsidR="00A97E1A">
        <w:rPr>
          <w:rFonts w:eastAsia="MS Mincho" w:hint="eastAsia"/>
          <w:lang w:eastAsia="ja-JP"/>
        </w:rPr>
        <w:t>r</w:t>
      </w:r>
      <w:r w:rsidR="0037715C">
        <w:t xml:space="preserve">eversals </w:t>
      </w:r>
      <w:r w:rsidR="00A97E1A">
        <w:rPr>
          <w:rFonts w:eastAsia="MS Mincho" w:hint="eastAsia"/>
          <w:lang w:eastAsia="ja-JP"/>
        </w:rPr>
        <w:t>s</w:t>
      </w:r>
      <w:r w:rsidR="0037715C">
        <w:t>tandard</w:t>
      </w:r>
      <w:r w:rsidR="0046372C">
        <w:t>).</w:t>
      </w:r>
    </w:p>
    <w:p w14:paraId="6EE9DBDE" w14:textId="7FCC5BBA" w:rsidR="009B5C9B" w:rsidRPr="009D2355" w:rsidRDefault="009B5C9B" w:rsidP="00E54E0A">
      <w:pPr>
        <w:pStyle w:val="SDMSubPara1"/>
        <w:suppressAutoHyphens/>
        <w:rPr>
          <w:rFonts w:eastAsia="Montserrat"/>
        </w:rPr>
      </w:pPr>
      <w:r>
        <w:t xml:space="preserve">Reversal-related notifications and reports (section 2 of </w:t>
      </w:r>
      <w:r w:rsidR="003B448B">
        <w:t xml:space="preserve">version 01.0 of </w:t>
      </w:r>
      <w:r>
        <w:t>the "Information note: Elements related to non-permanence and reversals for inclusion in relevant regulatory documents" (A6.4-SBM018-A14)</w:t>
      </w:r>
      <w:r w:rsidR="00806643">
        <w:rPr>
          <w:rStyle w:val="FootnoteReference"/>
        </w:rPr>
        <w:footnoteReference w:id="53"/>
      </w:r>
      <w:r w:rsidR="00503D99">
        <w:t xml:space="preserve"> (hereinafter referred to as “</w:t>
      </w:r>
      <w:r w:rsidR="00BB49E9">
        <w:t>Information Note</w:t>
      </w:r>
      <w:r w:rsidR="00503D99">
        <w:t>”</w:t>
      </w:r>
      <w:r w:rsidR="00225F6F">
        <w:t>).</w:t>
      </w:r>
    </w:p>
    <w:p w14:paraId="7D295AEA" w14:textId="273B629B" w:rsidR="009B5C9B" w:rsidRPr="009D2355" w:rsidRDefault="009B5C9B" w:rsidP="00E54E0A">
      <w:pPr>
        <w:pStyle w:val="SDMSubPara1"/>
        <w:suppressAutoHyphens/>
        <w:rPr>
          <w:rFonts w:eastAsia="Montserrat"/>
        </w:rPr>
      </w:pPr>
      <w:r>
        <w:t xml:space="preserve">Post-crediting period monitoring and reporting (section 4 of </w:t>
      </w:r>
      <w:r w:rsidR="00806643">
        <w:t xml:space="preserve">the </w:t>
      </w:r>
      <w:r w:rsidR="00BB49E9">
        <w:t>Information Note</w:t>
      </w:r>
      <w:r>
        <w:t>); and</w:t>
      </w:r>
    </w:p>
    <w:p w14:paraId="33CA370F" w14:textId="55BB4541" w:rsidR="009B5C9B" w:rsidRPr="009D2355" w:rsidRDefault="009B5C9B" w:rsidP="00E54E0A">
      <w:pPr>
        <w:pStyle w:val="SDMSubPara1"/>
        <w:suppressAutoHyphens/>
        <w:rPr>
          <w:rFonts w:eastAsia="Montserrat"/>
        </w:rPr>
      </w:pPr>
      <w:r>
        <w:t xml:space="preserve">Post-reversal actions (section 5 of </w:t>
      </w:r>
      <w:r w:rsidR="00806643">
        <w:t xml:space="preserve">the </w:t>
      </w:r>
      <w:r w:rsidR="00BB49E9">
        <w:t>Information Note</w:t>
      </w:r>
      <w:r>
        <w:t>).</w:t>
      </w:r>
    </w:p>
    <w:p w14:paraId="45F84D19" w14:textId="77777777" w:rsidR="006D2932" w:rsidRDefault="00806643" w:rsidP="00655F47">
      <w:pPr>
        <w:pStyle w:val="SDMPara"/>
        <w:keepNext/>
        <w:numPr>
          <w:ilvl w:val="0"/>
          <w:numId w:val="4"/>
        </w:numPr>
        <w:suppressAutoHyphens/>
      </w:pPr>
      <w:r>
        <w:t xml:space="preserve">This methodology </w:t>
      </w:r>
      <w:r w:rsidR="001B2112">
        <w:t>adopts</w:t>
      </w:r>
      <w:r w:rsidR="00BE115F">
        <w:t xml:space="preserve"> an alternative approach </w:t>
      </w:r>
      <w:r w:rsidR="001B2112">
        <w:t>as follows</w:t>
      </w:r>
      <w:r w:rsidR="006D2932">
        <w:t>:</w:t>
      </w:r>
    </w:p>
    <w:p w14:paraId="5F434FC3" w14:textId="1F1EBC43" w:rsidR="00806643" w:rsidRPr="009D2355" w:rsidRDefault="001B2112" w:rsidP="00E54E0A">
      <w:pPr>
        <w:pStyle w:val="SDMSubPara1"/>
        <w:suppressAutoHyphens/>
        <w:rPr>
          <w:rFonts w:eastAsia="Montserrat"/>
        </w:rPr>
      </w:pPr>
      <w:r>
        <w:t>The methodology exempts activity participants from a</w:t>
      </w:r>
      <w:r w:rsidR="00BB7080">
        <w:t>l</w:t>
      </w:r>
      <w:r>
        <w:t>l</w:t>
      </w:r>
      <w:r w:rsidR="00BE115F">
        <w:t xml:space="preserve"> of the provisions listed in paragraph </w:t>
      </w:r>
      <w:r w:rsidR="00BE115F">
        <w:fldChar w:fldCharType="begin"/>
      </w:r>
      <w:r w:rsidR="00BE115F">
        <w:instrText xml:space="preserve"> REF _Ref227063023 \w \h </w:instrText>
      </w:r>
      <w:r w:rsidR="00BE115F">
        <w:fldChar w:fldCharType="separate"/>
      </w:r>
      <w:r w:rsidR="00831DAE">
        <w:rPr>
          <w:cs/>
        </w:rPr>
        <w:t>‎</w:t>
      </w:r>
      <w:r w:rsidR="00831DAE">
        <w:t>55</w:t>
      </w:r>
      <w:r w:rsidR="00BE115F">
        <w:fldChar w:fldCharType="end"/>
      </w:r>
      <w:r w:rsidR="00BE115F">
        <w:t>.</w:t>
      </w:r>
      <w:r w:rsidR="00F67889">
        <w:t xml:space="preserve"> The practical effect </w:t>
      </w:r>
      <w:r w:rsidR="004046B0">
        <w:t xml:space="preserve">of these alternative approaches </w:t>
      </w:r>
      <w:r w:rsidR="00F67889">
        <w:t>is that</w:t>
      </w:r>
      <w:r w:rsidR="00ED6B87">
        <w:t xml:space="preserve"> activity participants will not monitor </w:t>
      </w:r>
      <w:r w:rsidR="006A7E12">
        <w:t xml:space="preserve">or report on </w:t>
      </w:r>
      <w:r w:rsidR="00ED6B87">
        <w:t xml:space="preserve">the </w:t>
      </w:r>
      <w:r w:rsidR="005946C7">
        <w:t>GHG</w:t>
      </w:r>
      <w:r w:rsidR="00ED6B87">
        <w:t xml:space="preserve"> reservoirs listed in </w:t>
      </w:r>
      <w:r w:rsidR="00BB49E9">
        <w:fldChar w:fldCharType="begin"/>
      </w:r>
      <w:r w:rsidR="00BB49E9">
        <w:instrText xml:space="preserve"> REF _Ref232720824 \h </w:instrText>
      </w:r>
      <w:r w:rsidR="00BB49E9">
        <w:fldChar w:fldCharType="separate"/>
      </w:r>
      <w:r w:rsidR="00831DAE" w:rsidRPr="009F63DF">
        <w:t>Table </w:t>
      </w:r>
      <w:r w:rsidR="00831DAE">
        <w:rPr>
          <w:noProof/>
        </w:rPr>
        <w:t>2</w:t>
      </w:r>
      <w:r w:rsidR="00BB49E9">
        <w:fldChar w:fldCharType="end"/>
      </w:r>
      <w:r w:rsidR="00ED6B87">
        <w:t>, either during the crediting period or in the post-crediting monitoring period</w:t>
      </w:r>
      <w:r w:rsidR="00F719C2">
        <w:t>;</w:t>
      </w:r>
      <w:r w:rsidR="00ED6B87">
        <w:t xml:space="preserve"> </w:t>
      </w:r>
      <w:r w:rsidR="00E11536">
        <w:t xml:space="preserve">will not </w:t>
      </w:r>
      <w:r w:rsidR="006A7E12">
        <w:t xml:space="preserve">produce </w:t>
      </w:r>
      <w:r w:rsidR="00E11536">
        <w:t>any reversal</w:t>
      </w:r>
      <w:r w:rsidR="004D68E1">
        <w:t>-related notifications or reporting for any reversals</w:t>
      </w:r>
      <w:r w:rsidR="004046B0">
        <w:t xml:space="preserve"> that </w:t>
      </w:r>
      <w:r w:rsidR="00C20829">
        <w:t xml:space="preserve">may </w:t>
      </w:r>
      <w:r w:rsidR="007C4BA8">
        <w:t xml:space="preserve">or have </w:t>
      </w:r>
      <w:r w:rsidR="004046B0">
        <w:t>occur</w:t>
      </w:r>
      <w:r w:rsidR="007C4BA8">
        <w:t>red</w:t>
      </w:r>
      <w:r w:rsidR="00F719C2">
        <w:t>; and will not</w:t>
      </w:r>
      <w:r w:rsidR="00E11536">
        <w:t xml:space="preserve"> </w:t>
      </w:r>
      <w:r w:rsidR="004D68E1">
        <w:t>perform</w:t>
      </w:r>
      <w:r w:rsidR="00E11536">
        <w:t xml:space="preserve"> any post-reversal actions</w:t>
      </w:r>
      <w:r>
        <w:t>; and</w:t>
      </w:r>
    </w:p>
    <w:p w14:paraId="6FDFE1C4" w14:textId="37339F8C" w:rsidR="001B2112" w:rsidRPr="009D2355" w:rsidRDefault="001B2112" w:rsidP="00E54E0A">
      <w:pPr>
        <w:pStyle w:val="SDMSubPara1"/>
        <w:suppressAutoHyphens/>
        <w:rPr>
          <w:rFonts w:eastAsia="Montserrat"/>
        </w:rPr>
      </w:pPr>
      <w:r>
        <w:t xml:space="preserve">The methodology requires that when </w:t>
      </w:r>
      <w:r w:rsidR="00DA0C54">
        <w:t xml:space="preserve">A6.4ERs are contributed to the </w:t>
      </w:r>
      <w:r w:rsidR="002C4FFA">
        <w:t>r</w:t>
      </w:r>
      <w:r w:rsidR="00DA0C54">
        <w:t xml:space="preserve">eversal </w:t>
      </w:r>
      <w:r w:rsidR="002C4FFA">
        <w:t>r</w:t>
      </w:r>
      <w:r w:rsidR="00DA0C54">
        <w:t xml:space="preserve">isk </w:t>
      </w:r>
      <w:r w:rsidR="002C4FFA">
        <w:t>b</w:t>
      </w:r>
      <w:r w:rsidR="00DA0C54">
        <w:t xml:space="preserve">uffer </w:t>
      </w:r>
      <w:r w:rsidR="002C4FFA">
        <w:t>p</w:t>
      </w:r>
      <w:r w:rsidR="00DA0C54">
        <w:t xml:space="preserve">ool </w:t>
      </w:r>
      <w:r w:rsidR="002C4FFA">
        <w:t>a</w:t>
      </w:r>
      <w:r w:rsidR="00DA0C54">
        <w:t>ccount</w:t>
      </w:r>
      <w:r w:rsidR="007D2C14">
        <w:t xml:space="preserve">, they are immediately cancelled to remediate any potential reversals that may occur </w:t>
      </w:r>
      <w:r w:rsidR="00492B6A">
        <w:t xml:space="preserve">in the future </w:t>
      </w:r>
      <w:r w:rsidR="007D2C14">
        <w:t xml:space="preserve">(see </w:t>
      </w:r>
      <w:r w:rsidR="007D2C14" w:rsidRPr="007D2C14">
        <w:t xml:space="preserve">paragraph </w:t>
      </w:r>
      <w:r w:rsidR="00AB7DCF">
        <w:fldChar w:fldCharType="begin"/>
      </w:r>
      <w:r w:rsidR="00AB7DCF">
        <w:instrText xml:space="preserve"> REF _Ref227139297 \n \h </w:instrText>
      </w:r>
      <w:r w:rsidR="00AB7DCF">
        <w:fldChar w:fldCharType="separate"/>
      </w:r>
      <w:r w:rsidR="00831DAE">
        <w:rPr>
          <w:cs/>
        </w:rPr>
        <w:t>‎</w:t>
      </w:r>
      <w:r w:rsidR="00831DAE">
        <w:t>109</w:t>
      </w:r>
      <w:r w:rsidR="00AB7DCF">
        <w:fldChar w:fldCharType="end"/>
      </w:r>
      <w:r w:rsidR="007D2C14">
        <w:t>).</w:t>
      </w:r>
    </w:p>
    <w:p w14:paraId="28F3EE70" w14:textId="0F8B6193" w:rsidR="006D2932" w:rsidRDefault="009553E7" w:rsidP="00655F47">
      <w:pPr>
        <w:pStyle w:val="SDMPara"/>
        <w:keepNext/>
        <w:numPr>
          <w:ilvl w:val="0"/>
          <w:numId w:val="4"/>
        </w:numPr>
        <w:suppressAutoHyphens/>
      </w:pPr>
      <w:bookmarkStart w:id="987" w:name="_Ref227063339"/>
      <w:r>
        <w:t xml:space="preserve">When </w:t>
      </w:r>
      <w:r w:rsidR="008A1B61">
        <w:t>a mechanism methodology proposes</w:t>
      </w:r>
      <w:r>
        <w:t xml:space="preserve"> alternative approaches, p</w:t>
      </w:r>
      <w:r w:rsidR="0069358F">
        <w:t xml:space="preserve">aragraph 13 of </w:t>
      </w:r>
      <w:r w:rsidR="00AB7DCF">
        <w:t xml:space="preserve">version 01.0 of </w:t>
      </w:r>
      <w:r w:rsidR="0069358F">
        <w:t xml:space="preserve">the </w:t>
      </w:r>
      <w:r w:rsidR="00A97E1A">
        <w:rPr>
          <w:rFonts w:eastAsia="MS Mincho" w:hint="eastAsia"/>
          <w:lang w:eastAsia="ja-JP"/>
        </w:rPr>
        <w:t>r</w:t>
      </w:r>
      <w:r w:rsidR="00D17ADF">
        <w:t xml:space="preserve">eversals </w:t>
      </w:r>
      <w:r w:rsidR="00A97E1A">
        <w:rPr>
          <w:rFonts w:eastAsia="MS Mincho" w:hint="eastAsia"/>
          <w:lang w:eastAsia="ja-JP"/>
        </w:rPr>
        <w:t>s</w:t>
      </w:r>
      <w:r w:rsidR="00D17ADF">
        <w:t xml:space="preserve">tandard </w:t>
      </w:r>
      <w:r w:rsidR="0069358F">
        <w:t>requires</w:t>
      </w:r>
      <w:bookmarkEnd w:id="987"/>
      <w:r w:rsidR="006D2932">
        <w:t>:</w:t>
      </w:r>
    </w:p>
    <w:p w14:paraId="20A6AF71" w14:textId="0A598FF2" w:rsidR="0069358F" w:rsidRPr="009D2355" w:rsidRDefault="0069358F" w:rsidP="00E54E0A">
      <w:pPr>
        <w:pStyle w:val="SDMSubPara1"/>
        <w:suppressAutoHyphens/>
        <w:rPr>
          <w:rFonts w:eastAsia="Montserrat"/>
        </w:rPr>
      </w:pPr>
      <w:r>
        <w:t>That the alternative approaches ensure, with a high level of confidence, that reversals from Article 6.4 activities are fully remediated in the crediting period and post-crediting monitoring period; and</w:t>
      </w:r>
    </w:p>
    <w:p w14:paraId="16EA41AB" w14:textId="100F4C3C" w:rsidR="00D267C9" w:rsidRPr="009D2355" w:rsidRDefault="0069358F" w:rsidP="00E54E0A">
      <w:pPr>
        <w:pStyle w:val="SDMSubPara1"/>
        <w:suppressAutoHyphens/>
        <w:rPr>
          <w:rFonts w:eastAsia="Montserrat"/>
        </w:rPr>
      </w:pPr>
      <w:r>
        <w:t>That the alternative approaches do not cause instances of moral hazard</w:t>
      </w:r>
      <w:r w:rsidR="00E6467C">
        <w:t>.</w:t>
      </w:r>
    </w:p>
    <w:p w14:paraId="54DDE44D" w14:textId="0DC6A2E1" w:rsidR="00FA6E32" w:rsidRDefault="00FA6E32" w:rsidP="00655F47">
      <w:pPr>
        <w:pStyle w:val="SDMPara"/>
        <w:keepNext/>
        <w:numPr>
          <w:ilvl w:val="0"/>
          <w:numId w:val="4"/>
        </w:numPr>
        <w:suppressAutoHyphens/>
      </w:pPr>
      <w:r w:rsidRPr="00D267C9">
        <w:t xml:space="preserve">This methodology satisfies the requirements referenced in paragraph </w:t>
      </w:r>
      <w:r w:rsidR="002B3C53" w:rsidRPr="00D267C9">
        <w:fldChar w:fldCharType="begin"/>
      </w:r>
      <w:r w:rsidR="002B3C53" w:rsidRPr="00D267C9">
        <w:instrText xml:space="preserve"> REF _Ref227063339 \w \h </w:instrText>
      </w:r>
      <w:r w:rsidR="002B3C53" w:rsidRPr="00D267C9">
        <w:fldChar w:fldCharType="separate"/>
      </w:r>
      <w:r w:rsidR="00831DAE">
        <w:rPr>
          <w:cs/>
        </w:rPr>
        <w:t>‎</w:t>
      </w:r>
      <w:r w:rsidR="00831DAE">
        <w:t>57</w:t>
      </w:r>
      <w:r w:rsidR="002B3C53" w:rsidRPr="00D267C9">
        <w:fldChar w:fldCharType="end"/>
      </w:r>
      <w:r w:rsidRPr="00D267C9">
        <w:t xml:space="preserve"> because:</w:t>
      </w:r>
    </w:p>
    <w:p w14:paraId="0D3660AF" w14:textId="54D12101" w:rsidR="006D2932" w:rsidRPr="009D2355" w:rsidRDefault="00BB6374" w:rsidP="00E54E0A">
      <w:pPr>
        <w:pStyle w:val="SDMSubPara1"/>
        <w:suppressAutoHyphens/>
        <w:rPr>
          <w:rFonts w:eastAsia="Montserrat"/>
        </w:rPr>
      </w:pPr>
      <w:r w:rsidRPr="0035185B">
        <w:t xml:space="preserve">All A6.4ERs that are contributed to the </w:t>
      </w:r>
      <w:r w:rsidR="002C4FFA">
        <w:t>reversal risk buffer pool account</w:t>
      </w:r>
      <w:r w:rsidR="002C4FFA" w:rsidRPr="0035185B" w:rsidDel="002C4FFA">
        <w:t xml:space="preserve"> </w:t>
      </w:r>
      <w:r w:rsidRPr="0035185B">
        <w:t xml:space="preserve">are immediately cancelled </w:t>
      </w:r>
      <w:r w:rsidR="001C40F0" w:rsidRPr="0035185B">
        <w:t xml:space="preserve">to account for potential reversals in the crediting period and in the post-crediting monitoring period. Because the number of A6.4ERs contributed to the </w:t>
      </w:r>
      <w:r w:rsidR="00210F9D">
        <w:t>reversal risk buffer pool account</w:t>
      </w:r>
      <w:r w:rsidR="00210F9D" w:rsidRPr="0035185B" w:rsidDel="00210F9D">
        <w:t xml:space="preserve"> </w:t>
      </w:r>
      <w:r w:rsidR="001C40F0" w:rsidRPr="0035185B">
        <w:t xml:space="preserve">is determined using the </w:t>
      </w:r>
      <w:r w:rsidR="00037756">
        <w:t xml:space="preserve">“Methodological </w:t>
      </w:r>
      <w:r w:rsidR="00AA557E">
        <w:t>t</w:t>
      </w:r>
      <w:r w:rsidR="00037756">
        <w:t>ool: R</w:t>
      </w:r>
      <w:r w:rsidR="00432772">
        <w:t>eversal risk assessment</w:t>
      </w:r>
      <w:r w:rsidR="00037756">
        <w:t>”</w:t>
      </w:r>
      <w:r w:rsidR="00615311">
        <w:t xml:space="preserve"> </w:t>
      </w:r>
      <w:r w:rsidR="009C4055">
        <w:t>(A6.4-AMT-0</w:t>
      </w:r>
      <w:r w:rsidR="007D2FCD">
        <w:t>11</w:t>
      </w:r>
      <w:r w:rsidR="009C4055">
        <w:t>)</w:t>
      </w:r>
      <w:r w:rsidR="001C40F0" w:rsidRPr="0035185B">
        <w:t xml:space="preserve">, </w:t>
      </w:r>
      <w:r w:rsidR="0035185B" w:rsidRPr="0035185B">
        <w:t xml:space="preserve">which calculates the </w:t>
      </w:r>
      <w:r w:rsidR="00AB1A3F">
        <w:t xml:space="preserve">100-year </w:t>
      </w:r>
      <w:r w:rsidR="0035185B" w:rsidRPr="0035185B">
        <w:t xml:space="preserve">reversal risk rating for the </w:t>
      </w:r>
      <w:r w:rsidR="005946C7">
        <w:t>GHG</w:t>
      </w:r>
      <w:r w:rsidR="0035185B">
        <w:t xml:space="preserve"> </w:t>
      </w:r>
      <w:r w:rsidR="0035185B" w:rsidRPr="0035185B">
        <w:t xml:space="preserve">reservoirs listed in </w:t>
      </w:r>
      <w:r w:rsidR="00D17ADF">
        <w:fldChar w:fldCharType="begin"/>
      </w:r>
      <w:r w:rsidR="00D17ADF">
        <w:instrText xml:space="preserve"> REF _Ref232720824 \h </w:instrText>
      </w:r>
      <w:r w:rsidR="00D17ADF">
        <w:fldChar w:fldCharType="separate"/>
      </w:r>
      <w:r w:rsidR="00831DAE" w:rsidRPr="009F63DF">
        <w:t>Table </w:t>
      </w:r>
      <w:r w:rsidR="00831DAE">
        <w:rPr>
          <w:noProof/>
        </w:rPr>
        <w:t>2</w:t>
      </w:r>
      <w:r w:rsidR="00D17ADF">
        <w:fldChar w:fldCharType="end"/>
      </w:r>
      <w:r w:rsidR="00E04EDB">
        <w:t xml:space="preserve"> of the methodology</w:t>
      </w:r>
      <w:r w:rsidR="00050940">
        <w:t>,</w:t>
      </w:r>
      <w:r w:rsidR="007A66D1" w:rsidDel="00D17ADF">
        <w:t xml:space="preserve"> </w:t>
      </w:r>
      <w:r w:rsidR="007F73F5">
        <w:t xml:space="preserve">these alternative provisions </w:t>
      </w:r>
      <w:r w:rsidR="007A66D1">
        <w:t>remediate any reversals that may occur in the future</w:t>
      </w:r>
      <w:r w:rsidR="00AB1A3F">
        <w:t>.</w:t>
      </w:r>
    </w:p>
    <w:p w14:paraId="75508C56" w14:textId="0D45D5AE" w:rsidR="006D2932" w:rsidRPr="009C7FAA" w:rsidRDefault="00957765" w:rsidP="00E54E0A">
      <w:pPr>
        <w:pStyle w:val="SDMSubPara1"/>
        <w:suppressAutoHyphens/>
        <w:rPr>
          <w:rFonts w:eastAsia="Montserrat"/>
        </w:rPr>
      </w:pPr>
      <w:r>
        <w:t xml:space="preserve">Moral hazard requires </w:t>
      </w:r>
      <w:r w:rsidR="0012639E">
        <w:t xml:space="preserve">that activity participants have the ability and interest to cause </w:t>
      </w:r>
      <w:r w:rsidR="00B669EA">
        <w:t xml:space="preserve">reversals or increase the risk of reversals through their own actions. </w:t>
      </w:r>
      <w:r w:rsidR="00037567">
        <w:t>Here, a</w:t>
      </w:r>
      <w:r w:rsidR="0007654F">
        <w:t xml:space="preserve">ctivity participants </w:t>
      </w:r>
      <w:r w:rsidR="00DE00D3">
        <w:t xml:space="preserve">do not have any control over the </w:t>
      </w:r>
      <w:r w:rsidR="005946C7">
        <w:t>GHG</w:t>
      </w:r>
      <w:r w:rsidR="00DE00D3">
        <w:t xml:space="preserve"> reservoirs listed in </w:t>
      </w:r>
      <w:r w:rsidR="00D17ADF">
        <w:fldChar w:fldCharType="begin"/>
      </w:r>
      <w:r w:rsidR="00D17ADF">
        <w:instrText xml:space="preserve"> REF _Ref232720824 \h </w:instrText>
      </w:r>
      <w:r w:rsidR="00D17ADF">
        <w:fldChar w:fldCharType="separate"/>
      </w:r>
      <w:r w:rsidR="00831DAE" w:rsidRPr="009F63DF">
        <w:t>Table </w:t>
      </w:r>
      <w:r w:rsidR="00831DAE">
        <w:rPr>
          <w:noProof/>
        </w:rPr>
        <w:t>2</w:t>
      </w:r>
      <w:r w:rsidR="00D17ADF">
        <w:fldChar w:fldCharType="end"/>
      </w:r>
      <w:r w:rsidR="00E04EDB">
        <w:t xml:space="preserve"> of the </w:t>
      </w:r>
      <w:r w:rsidR="00AA557E">
        <w:t xml:space="preserve">mechanism </w:t>
      </w:r>
      <w:r w:rsidR="00E04EDB">
        <w:t>methodology</w:t>
      </w:r>
      <w:r w:rsidR="00B669EA">
        <w:t>, which categorically limits the potential for moral hazard. Furthermore, activity participants</w:t>
      </w:r>
      <w:r w:rsidR="00037567">
        <w:t>’</w:t>
      </w:r>
      <w:r w:rsidR="00B669EA">
        <w:t xml:space="preserve"> </w:t>
      </w:r>
      <w:r w:rsidR="00991C99">
        <w:t xml:space="preserve">interests are directly aligned with reducing any risk of reversal over which they have control or influence. </w:t>
      </w:r>
      <w:r w:rsidR="00DA73FC">
        <w:t xml:space="preserve">Because the number of A6.4ERs issued to activity participants </w:t>
      </w:r>
      <w:r w:rsidR="005F3146">
        <w:t xml:space="preserve">is based </w:t>
      </w:r>
      <w:r w:rsidR="00DA73FC">
        <w:t xml:space="preserve">on the use of efficient project cookstoves that reduce the consumption of fuelwood </w:t>
      </w:r>
      <w:r w:rsidR="008A21F6">
        <w:t xml:space="preserve">or charcoal, and therefore </w:t>
      </w:r>
      <w:r w:rsidR="00946D8A">
        <w:t xml:space="preserve">that </w:t>
      </w:r>
      <w:r w:rsidR="008A21F6">
        <w:t xml:space="preserve">reduce emissions from the </w:t>
      </w:r>
      <w:r w:rsidR="005946C7">
        <w:t>GHG</w:t>
      </w:r>
      <w:r w:rsidR="008A21F6">
        <w:t xml:space="preserve"> reservoirs listed </w:t>
      </w:r>
      <w:r w:rsidR="008A21F6" w:rsidRPr="004E4471">
        <w:t xml:space="preserve">in </w:t>
      </w:r>
      <w:r w:rsidR="00D17ADF">
        <w:fldChar w:fldCharType="begin"/>
      </w:r>
      <w:r w:rsidR="00D17ADF">
        <w:instrText xml:space="preserve"> REF _Ref232720824 \h </w:instrText>
      </w:r>
      <w:r w:rsidR="00D17ADF">
        <w:fldChar w:fldCharType="separate"/>
      </w:r>
      <w:r w:rsidR="00831DAE" w:rsidRPr="009F63DF">
        <w:t>Table </w:t>
      </w:r>
      <w:r w:rsidR="00831DAE">
        <w:rPr>
          <w:noProof/>
        </w:rPr>
        <w:t>2</w:t>
      </w:r>
      <w:r w:rsidR="00D17ADF">
        <w:fldChar w:fldCharType="end"/>
      </w:r>
      <w:r w:rsidR="00E04EDB">
        <w:t xml:space="preserve"> of the </w:t>
      </w:r>
      <w:r w:rsidR="00CE2F7C">
        <w:t xml:space="preserve">mechanism </w:t>
      </w:r>
      <w:r w:rsidR="00E04EDB">
        <w:t>methodology</w:t>
      </w:r>
      <w:r w:rsidR="008A21F6" w:rsidRPr="004E4471">
        <w:t>,</w:t>
      </w:r>
      <w:r w:rsidR="008A21F6">
        <w:t xml:space="preserve"> </w:t>
      </w:r>
      <w:r w:rsidR="00011D3F">
        <w:t xml:space="preserve">activity participants have a direct economic interest </w:t>
      </w:r>
      <w:r w:rsidR="009832F1">
        <w:t xml:space="preserve">only in </w:t>
      </w:r>
      <w:r w:rsidR="00800AE9">
        <w:t>actions that</w:t>
      </w:r>
      <w:r w:rsidR="009832F1">
        <w:t xml:space="preserve"> reduce emissions</w:t>
      </w:r>
      <w:r w:rsidR="004A6DDE">
        <w:t xml:space="preserve"> from the reservoir</w:t>
      </w:r>
      <w:r w:rsidR="009832F1">
        <w:t xml:space="preserve"> (rather than increase them).</w:t>
      </w:r>
    </w:p>
    <w:p w14:paraId="5337A23E" w14:textId="77777777" w:rsidR="00D4309A" w:rsidRDefault="00D4309A" w:rsidP="00F26D23">
      <w:pPr>
        <w:pStyle w:val="SDMApp2"/>
      </w:pPr>
      <w:r>
        <w:t>Consistency with the Reversals Standard</w:t>
      </w:r>
    </w:p>
    <w:p w14:paraId="06919BC0" w14:textId="31B94FA8" w:rsidR="00D4309A" w:rsidRDefault="00D4309A" w:rsidP="00E54E0A">
      <w:pPr>
        <w:pStyle w:val="SDMPara"/>
        <w:suppressAutoHyphens/>
      </w:pPr>
      <w:r>
        <w:t xml:space="preserve">Paragraph 18 of version 01.0 of the </w:t>
      </w:r>
      <w:r w:rsidR="008B1E54">
        <w:rPr>
          <w:rFonts w:eastAsia="MS Mincho" w:hint="eastAsia"/>
          <w:lang w:eastAsia="ja-JP"/>
        </w:rPr>
        <w:t>r</w:t>
      </w:r>
      <w:r>
        <w:t xml:space="preserve">eversals </w:t>
      </w:r>
      <w:r w:rsidR="008B1E54">
        <w:rPr>
          <w:rFonts w:eastAsia="MS Mincho" w:hint="eastAsia"/>
          <w:lang w:eastAsia="ja-JP"/>
        </w:rPr>
        <w:t>s</w:t>
      </w:r>
      <w:r>
        <w:t xml:space="preserve">tandard requires that mechanism methodologies quantify emission reductions and net removals “consistent with the equations” in section 6 of version 01.0 of the </w:t>
      </w:r>
      <w:r w:rsidR="008B1E54">
        <w:rPr>
          <w:rFonts w:eastAsia="MS Mincho" w:hint="eastAsia"/>
          <w:lang w:eastAsia="ja-JP"/>
        </w:rPr>
        <w:t>r</w:t>
      </w:r>
      <w:r>
        <w:t xml:space="preserve">eversals </w:t>
      </w:r>
      <w:r w:rsidR="008B1E54">
        <w:rPr>
          <w:rFonts w:eastAsia="MS Mincho" w:hint="eastAsia"/>
          <w:lang w:eastAsia="ja-JP"/>
        </w:rPr>
        <w:t>s</w:t>
      </w:r>
      <w:r>
        <w:t xml:space="preserve">tandard. This mechanism methodology complies with this requirement </w:t>
      </w:r>
      <w:r w:rsidR="00E507EB">
        <w:t xml:space="preserve">for the reasons provided </w:t>
      </w:r>
      <w:r w:rsidR="006417BE">
        <w:fldChar w:fldCharType="begin"/>
      </w:r>
      <w:r w:rsidR="006417BE">
        <w:instrText xml:space="preserve"> REF _Ref233746307 \h </w:instrText>
      </w:r>
      <w:r w:rsidR="006417BE">
        <w:fldChar w:fldCharType="separate"/>
      </w:r>
      <w:r w:rsidR="00831DAE">
        <w:t>Table </w:t>
      </w:r>
      <w:r w:rsidR="00831DAE">
        <w:rPr>
          <w:noProof/>
        </w:rPr>
        <w:t>4</w:t>
      </w:r>
      <w:r w:rsidR="006417BE">
        <w:fldChar w:fldCharType="end"/>
      </w:r>
    </w:p>
    <w:p w14:paraId="460F1942" w14:textId="331571D1" w:rsidR="005D3127" w:rsidRPr="004D7AFF" w:rsidRDefault="005D3127" w:rsidP="005D3127">
      <w:pPr>
        <w:pStyle w:val="Caption"/>
      </w:pPr>
      <w:bookmarkStart w:id="988" w:name="_Ref233746307"/>
      <w:r>
        <w:t>Table </w:t>
      </w:r>
      <w:r>
        <w:fldChar w:fldCharType="begin"/>
      </w:r>
      <w:r>
        <w:instrText>SEQ Table \r4\* ARABIC</w:instrText>
      </w:r>
      <w:r>
        <w:fldChar w:fldCharType="separate"/>
      </w:r>
      <w:r w:rsidR="00831DAE">
        <w:rPr>
          <w:noProof/>
        </w:rPr>
        <w:t>4</w:t>
      </w:r>
      <w:r>
        <w:fldChar w:fldCharType="end"/>
      </w:r>
      <w:bookmarkEnd w:id="988"/>
      <w:r>
        <w:rPr>
          <w:noProof/>
        </w:rPr>
        <w:t>.</w:t>
      </w:r>
      <w:r>
        <w:tab/>
      </w:r>
      <w:r w:rsidRPr="005D3127">
        <w:t>Comparison of equations in the Reversals Standard and this methodology</w:t>
      </w:r>
    </w:p>
    <w:tbl>
      <w:tblPr>
        <w:tblStyle w:val="SDMTable"/>
        <w:tblW w:w="8618" w:type="dxa"/>
        <w:tblLook w:val="04A0" w:firstRow="1" w:lastRow="0" w:firstColumn="1" w:lastColumn="0" w:noHBand="0" w:noVBand="1"/>
      </w:tblPr>
      <w:tblGrid>
        <w:gridCol w:w="2029"/>
        <w:gridCol w:w="2006"/>
        <w:gridCol w:w="4583"/>
      </w:tblGrid>
      <w:tr w:rsidR="00D4309A" w:rsidRPr="00EC0CFD" w14:paraId="6B96ACF6" w14:textId="77777777" w:rsidTr="002A357E">
        <w:trPr>
          <w:cnfStyle w:val="100000000000" w:firstRow="1" w:lastRow="0" w:firstColumn="0" w:lastColumn="0" w:oddVBand="0" w:evenVBand="0" w:oddHBand="0"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177" w:type="pct"/>
          </w:tcPr>
          <w:p w14:paraId="1D1F77F0" w14:textId="479B61C3" w:rsidR="00D4309A" w:rsidRPr="00EC0CFD" w:rsidRDefault="00D4309A" w:rsidP="00E54E0A">
            <w:pPr>
              <w:suppressAutoHyphens/>
              <w:jc w:val="left"/>
              <w:rPr>
                <w:rFonts w:cs="Arial"/>
                <w:sz w:val="20"/>
              </w:rPr>
            </w:pPr>
            <w:r>
              <w:rPr>
                <w:rFonts w:cs="Arial"/>
                <w:sz w:val="20"/>
              </w:rPr>
              <w:t>Reversal Standard</w:t>
            </w:r>
          </w:p>
        </w:tc>
        <w:tc>
          <w:tcPr>
            <w:tcW w:w="1164" w:type="pct"/>
          </w:tcPr>
          <w:p w14:paraId="5B48ECC8" w14:textId="77777777" w:rsidR="00D4309A" w:rsidRPr="00EC0CFD" w:rsidRDefault="00D4309A" w:rsidP="00E54E0A">
            <w:pPr>
              <w:suppressAutoHyphens/>
              <w:jc w:val="left"/>
              <w:cnfStyle w:val="100000000000" w:firstRow="1" w:lastRow="0" w:firstColumn="0" w:lastColumn="0" w:oddVBand="0" w:evenVBand="0" w:oddHBand="0" w:evenHBand="0" w:firstRowFirstColumn="0" w:firstRowLastColumn="0" w:lastRowFirstColumn="0" w:lastRowLastColumn="0"/>
              <w:rPr>
                <w:rFonts w:cs="Arial"/>
                <w:sz w:val="20"/>
              </w:rPr>
            </w:pPr>
            <w:r>
              <w:rPr>
                <w:rFonts w:cs="Arial"/>
                <w:sz w:val="20"/>
              </w:rPr>
              <w:t>This methodology</w:t>
            </w:r>
          </w:p>
        </w:tc>
        <w:tc>
          <w:tcPr>
            <w:tcW w:w="2659" w:type="pct"/>
          </w:tcPr>
          <w:p w14:paraId="17B09025" w14:textId="77777777" w:rsidR="00D4309A" w:rsidRPr="00EC0CFD" w:rsidRDefault="00D4309A" w:rsidP="00E54E0A">
            <w:pPr>
              <w:suppressAutoHyphens/>
              <w:jc w:val="left"/>
              <w:cnfStyle w:val="100000000000" w:firstRow="1" w:lastRow="0" w:firstColumn="0" w:lastColumn="0" w:oddVBand="0" w:evenVBand="0" w:oddHBand="0" w:evenHBand="0" w:firstRowFirstColumn="0" w:firstRowLastColumn="0" w:lastRowFirstColumn="0" w:lastRowLastColumn="0"/>
              <w:rPr>
                <w:rFonts w:cs="Arial"/>
                <w:b w:val="0"/>
                <w:sz w:val="20"/>
              </w:rPr>
            </w:pPr>
            <w:r>
              <w:rPr>
                <w:rFonts w:cs="Arial"/>
                <w:sz w:val="20"/>
              </w:rPr>
              <w:t>Rationale</w:t>
            </w:r>
          </w:p>
        </w:tc>
      </w:tr>
      <w:tr w:rsidR="00D4309A" w:rsidRPr="00EC0CFD" w14:paraId="34D74E6A" w14:textId="77777777" w:rsidTr="002A357E">
        <w:trPr>
          <w:cantSplit w:val="0"/>
          <w:trHeight w:val="1300"/>
        </w:trPr>
        <w:tc>
          <w:tcPr>
            <w:cnfStyle w:val="001000000000" w:firstRow="0" w:lastRow="0" w:firstColumn="1" w:lastColumn="0" w:oddVBand="0" w:evenVBand="0" w:oddHBand="0" w:evenHBand="0" w:firstRowFirstColumn="0" w:firstRowLastColumn="0" w:lastRowFirstColumn="0" w:lastRowLastColumn="0"/>
            <w:tcW w:w="1177" w:type="pct"/>
          </w:tcPr>
          <w:p w14:paraId="0E764B30" w14:textId="6B5E0318" w:rsidR="00D4309A" w:rsidRPr="00E54E0A" w:rsidRDefault="00D4309A" w:rsidP="00E54E0A">
            <w:pPr>
              <w:suppressAutoHyphens/>
              <w:jc w:val="left"/>
              <w:rPr>
                <w:rFonts w:cs="Arial"/>
                <w:b w:val="0"/>
                <w:bCs/>
                <w:sz w:val="20"/>
              </w:rPr>
            </w:pPr>
            <w:r w:rsidRPr="00E54E0A">
              <w:rPr>
                <w:rFonts w:cs="Arial"/>
                <w:b w:val="0"/>
                <w:bCs/>
                <w:sz w:val="20"/>
              </w:rPr>
              <w:t>Equation (1)</w:t>
            </w:r>
          </w:p>
        </w:tc>
        <w:tc>
          <w:tcPr>
            <w:tcW w:w="1164" w:type="pct"/>
          </w:tcPr>
          <w:p w14:paraId="6B2F209D" w14:textId="77777777"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Equation (9)</w:t>
            </w:r>
          </w:p>
        </w:tc>
        <w:tc>
          <w:tcPr>
            <w:tcW w:w="2659" w:type="pct"/>
          </w:tcPr>
          <w:p w14:paraId="0A031F60" w14:textId="38534407"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sz w:val="20"/>
                <w:lang w:val="en-US" w:eastAsia="en-US"/>
              </w:rPr>
            </w:pPr>
            <w:r>
              <w:rPr>
                <w:rFonts w:eastAsia="Montserrat" w:cs="Arial"/>
                <w:color w:val="000000"/>
                <w:sz w:val="20"/>
                <w:lang w:val="en-US" w:eastAsia="en-US"/>
              </w:rPr>
              <w:t xml:space="preserve">Consistent because the application of the fNRB </w:t>
            </w:r>
            <w:r w:rsidR="00633F32">
              <w:rPr>
                <w:rFonts w:eastAsia="Montserrat" w:cs="Arial"/>
                <w:color w:val="000000"/>
                <w:sz w:val="20"/>
                <w:lang w:val="en-US" w:eastAsia="en-US"/>
              </w:rPr>
              <w:t>t</w:t>
            </w:r>
            <w:r>
              <w:rPr>
                <w:rFonts w:eastAsia="Montserrat" w:cs="Arial"/>
                <w:color w:val="000000"/>
                <w:sz w:val="20"/>
                <w:lang w:val="en-US" w:eastAsia="en-US"/>
              </w:rPr>
              <w:t xml:space="preserve">ool calculates changes in the quantities of storage the </w:t>
            </w:r>
            <w:r w:rsidR="005946C7">
              <w:rPr>
                <w:rFonts w:eastAsia="Montserrat" w:cs="Arial"/>
                <w:color w:val="000000"/>
                <w:sz w:val="20"/>
                <w:lang w:val="en-US" w:eastAsia="en-US"/>
              </w:rPr>
              <w:t>GHG</w:t>
            </w:r>
            <w:r>
              <w:rPr>
                <w:rFonts w:eastAsia="Montserrat" w:cs="Arial"/>
                <w:color w:val="000000"/>
                <w:sz w:val="20"/>
                <w:lang w:val="en-US" w:eastAsia="en-US"/>
              </w:rPr>
              <w:t xml:space="preserve"> reservoirs </w:t>
            </w:r>
            <w:r w:rsidRPr="00B77DE7">
              <w:rPr>
                <w:rFonts w:eastAsia="Montserrat" w:cs="Arial"/>
                <w:color w:val="000000"/>
                <w:sz w:val="20"/>
                <w:lang w:val="en-US" w:eastAsia="en-US"/>
              </w:rPr>
              <w:fldChar w:fldCharType="begin"/>
            </w:r>
            <w:r w:rsidRPr="00B77DE7">
              <w:rPr>
                <w:rFonts w:eastAsia="Montserrat" w:cs="Arial"/>
                <w:color w:val="000000"/>
                <w:sz w:val="20"/>
                <w:lang w:val="en-US" w:eastAsia="en-US"/>
              </w:rPr>
              <w:instrText xml:space="preserve"> REF _Ref232720824 \h  \* MERGEFORMAT </w:instrText>
            </w:r>
            <w:r w:rsidRPr="00B77DE7">
              <w:rPr>
                <w:rFonts w:eastAsia="Montserrat" w:cs="Arial"/>
                <w:color w:val="000000"/>
                <w:sz w:val="20"/>
                <w:lang w:val="en-US" w:eastAsia="en-US"/>
              </w:rPr>
            </w:r>
            <w:r w:rsidRPr="00B77DE7">
              <w:rPr>
                <w:rFonts w:eastAsia="Montserrat" w:cs="Arial"/>
                <w:color w:val="000000"/>
                <w:sz w:val="20"/>
                <w:lang w:val="en-US" w:eastAsia="en-US"/>
              </w:rPr>
              <w:fldChar w:fldCharType="separate"/>
            </w:r>
            <w:r w:rsidR="00831DAE" w:rsidRPr="00831DAE">
              <w:rPr>
                <w:rFonts w:cs="Arial"/>
                <w:color w:val="000000"/>
                <w:sz w:val="20"/>
                <w:lang w:val="en-US"/>
              </w:rPr>
              <w:t>Table 2</w:t>
            </w:r>
            <w:r w:rsidRPr="00B77DE7">
              <w:rPr>
                <w:rFonts w:eastAsia="Montserrat" w:cs="Arial"/>
                <w:color w:val="000000"/>
                <w:sz w:val="20"/>
                <w:lang w:val="en-US" w:eastAsia="en-US"/>
              </w:rPr>
              <w:fldChar w:fldCharType="end"/>
            </w:r>
            <w:r w:rsidR="00A67F34">
              <w:rPr>
                <w:rFonts w:eastAsia="Montserrat" w:cs="Arial"/>
                <w:color w:val="000000"/>
                <w:sz w:val="20"/>
                <w:lang w:val="en-US" w:eastAsia="en-US"/>
              </w:rPr>
              <w:t>; s</w:t>
            </w:r>
            <w:r>
              <w:rPr>
                <w:rFonts w:eastAsia="Montserrat" w:cs="Arial"/>
                <w:color w:val="000000"/>
                <w:sz w:val="20"/>
                <w:lang w:val="en-US" w:eastAsia="en-US"/>
              </w:rPr>
              <w:t>ee the definitions of “Harvested biomass” and “Fraction of non-renewable biomass” in paragraph 6 of version 01.0 of the fNRB Tool</w:t>
            </w:r>
          </w:p>
        </w:tc>
      </w:tr>
      <w:tr w:rsidR="00D4309A" w:rsidRPr="00EC0CFD" w14:paraId="699CA34C" w14:textId="77777777" w:rsidTr="002A357E">
        <w:trPr>
          <w:cantSplit w:val="0"/>
          <w:trHeight w:val="506"/>
        </w:trPr>
        <w:tc>
          <w:tcPr>
            <w:cnfStyle w:val="001000000000" w:firstRow="0" w:lastRow="0" w:firstColumn="1" w:lastColumn="0" w:oddVBand="0" w:evenVBand="0" w:oddHBand="0" w:evenHBand="0" w:firstRowFirstColumn="0" w:firstRowLastColumn="0" w:lastRowFirstColumn="0" w:lastRowLastColumn="0"/>
            <w:tcW w:w="1177" w:type="pct"/>
          </w:tcPr>
          <w:p w14:paraId="42E7F640" w14:textId="77777777" w:rsidR="00D4309A" w:rsidRPr="00E54E0A" w:rsidRDefault="00D4309A" w:rsidP="00E54E0A">
            <w:pPr>
              <w:suppressAutoHyphens/>
              <w:jc w:val="left"/>
              <w:rPr>
                <w:rFonts w:cs="Arial"/>
                <w:b w:val="0"/>
                <w:bCs/>
                <w:sz w:val="20"/>
              </w:rPr>
            </w:pPr>
            <w:r w:rsidRPr="00E54E0A">
              <w:rPr>
                <w:rFonts w:cs="Arial"/>
                <w:b w:val="0"/>
                <w:bCs/>
                <w:sz w:val="20"/>
              </w:rPr>
              <w:t>Equation (2)</w:t>
            </w:r>
          </w:p>
        </w:tc>
        <w:tc>
          <w:tcPr>
            <w:tcW w:w="1164" w:type="pct"/>
          </w:tcPr>
          <w:p w14:paraId="57DEC280" w14:textId="77777777"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Not applicable</w:t>
            </w:r>
          </w:p>
        </w:tc>
        <w:tc>
          <w:tcPr>
            <w:tcW w:w="2659" w:type="pct"/>
          </w:tcPr>
          <w:p w14:paraId="17D88CC2" w14:textId="6BF4E963"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sz w:val="20"/>
                <w:lang w:val="en-US" w:eastAsia="en-US"/>
              </w:rPr>
            </w:pPr>
            <w:r>
              <w:rPr>
                <w:rFonts w:eastAsia="Montserrat" w:cs="Arial"/>
                <w:color w:val="000000"/>
                <w:sz w:val="20"/>
                <w:lang w:val="en-US" w:eastAsia="en-US"/>
              </w:rPr>
              <w:t>Not applicable because activity participants would not be required to monitor or report reversals in the post-crediting monitoring period (see s</w:t>
            </w:r>
            <w:r>
              <w:rPr>
                <w:rFonts w:cs="Arial"/>
                <w:sz w:val="20"/>
              </w:rPr>
              <w:t xml:space="preserve">ection </w:t>
            </w:r>
            <w:r>
              <w:rPr>
                <w:rFonts w:cs="Arial"/>
                <w:sz w:val="20"/>
              </w:rPr>
              <w:fldChar w:fldCharType="begin"/>
            </w:r>
            <w:r>
              <w:rPr>
                <w:rFonts w:cs="Arial"/>
                <w:sz w:val="20"/>
              </w:rPr>
              <w:instrText xml:space="preserve"> REF _Ref233280811 \r \h </w:instrText>
            </w:r>
            <w:r w:rsidR="00E54E0A">
              <w:rPr>
                <w:rFonts w:cs="Arial"/>
                <w:sz w:val="20"/>
              </w:rPr>
              <w:instrText xml:space="preserve"> \* MERGEFORMAT </w:instrText>
            </w:r>
            <w:r>
              <w:rPr>
                <w:rFonts w:cs="Arial"/>
                <w:sz w:val="20"/>
              </w:rPr>
            </w:r>
            <w:r>
              <w:rPr>
                <w:rFonts w:cs="Arial"/>
                <w:sz w:val="20"/>
              </w:rPr>
              <w:fldChar w:fldCharType="separate"/>
            </w:r>
            <w:r w:rsidR="00831DAE">
              <w:rPr>
                <w:rFonts w:cs="Arial"/>
                <w:sz w:val="20"/>
                <w:cs/>
              </w:rPr>
              <w:t>‎</w:t>
            </w:r>
            <w:r w:rsidR="00831DAE">
              <w:rPr>
                <w:rFonts w:cs="Arial"/>
                <w:sz w:val="20"/>
              </w:rPr>
              <w:t>10.1</w:t>
            </w:r>
            <w:r>
              <w:rPr>
                <w:rFonts w:cs="Arial"/>
                <w:sz w:val="20"/>
              </w:rPr>
              <w:fldChar w:fldCharType="end"/>
            </w:r>
            <w:r w:rsidR="00A36993">
              <w:rPr>
                <w:rFonts w:cs="Arial"/>
                <w:sz w:val="20"/>
              </w:rPr>
              <w:t xml:space="preserve"> of the mechanism methodology</w:t>
            </w:r>
            <w:r>
              <w:rPr>
                <w:rFonts w:cs="Arial"/>
                <w:sz w:val="20"/>
              </w:rPr>
              <w:t>)</w:t>
            </w:r>
          </w:p>
        </w:tc>
      </w:tr>
      <w:tr w:rsidR="00D4309A" w:rsidRPr="00EC0CFD" w14:paraId="6E2CD78A" w14:textId="77777777" w:rsidTr="002A357E">
        <w:trPr>
          <w:cantSplit w:val="0"/>
          <w:trHeight w:val="43"/>
        </w:trPr>
        <w:tc>
          <w:tcPr>
            <w:cnfStyle w:val="001000000000" w:firstRow="0" w:lastRow="0" w:firstColumn="1" w:lastColumn="0" w:oddVBand="0" w:evenVBand="0" w:oddHBand="0" w:evenHBand="0" w:firstRowFirstColumn="0" w:firstRowLastColumn="0" w:lastRowFirstColumn="0" w:lastRowLastColumn="0"/>
            <w:tcW w:w="1177" w:type="pct"/>
          </w:tcPr>
          <w:p w14:paraId="39319CFC" w14:textId="77777777" w:rsidR="00D4309A" w:rsidRPr="00E54E0A" w:rsidRDefault="00D4309A" w:rsidP="00E54E0A">
            <w:pPr>
              <w:suppressAutoHyphens/>
              <w:jc w:val="left"/>
              <w:rPr>
                <w:rFonts w:cs="Arial"/>
                <w:b w:val="0"/>
                <w:bCs/>
                <w:sz w:val="20"/>
              </w:rPr>
            </w:pPr>
            <w:r w:rsidRPr="00E54E0A">
              <w:rPr>
                <w:rFonts w:cs="Arial"/>
                <w:b w:val="0"/>
                <w:bCs/>
                <w:sz w:val="20"/>
              </w:rPr>
              <w:t>Equation (3)</w:t>
            </w:r>
          </w:p>
        </w:tc>
        <w:tc>
          <w:tcPr>
            <w:tcW w:w="1164" w:type="pct"/>
          </w:tcPr>
          <w:p w14:paraId="3F604B7C" w14:textId="646F5A31" w:rsidR="00D4309A" w:rsidRPr="00EC0CFD" w:rsidRDefault="00D15091" w:rsidP="00E54E0A">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Equation (35)</w:t>
            </w:r>
          </w:p>
        </w:tc>
        <w:tc>
          <w:tcPr>
            <w:tcW w:w="2659" w:type="pct"/>
          </w:tcPr>
          <w:p w14:paraId="6C3CA903" w14:textId="1436CAC6" w:rsidR="00D4309A" w:rsidRPr="00EC0CFD" w:rsidRDefault="00D15091" w:rsidP="00E54E0A">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sz w:val="20"/>
                <w:lang w:val="en-US" w:eastAsia="en-US"/>
              </w:rPr>
            </w:pPr>
            <w:r>
              <w:rPr>
                <w:rFonts w:eastAsia="Montserrat" w:cs="Arial"/>
                <w:color w:val="000000"/>
                <w:sz w:val="20"/>
                <w:lang w:val="en-US" w:eastAsia="en-US"/>
              </w:rPr>
              <w:t xml:space="preserve">Consistent because the calculation of the net change in the emission of </w:t>
            </w:r>
            <w:r w:rsidR="005946C7">
              <w:rPr>
                <w:rFonts w:eastAsia="Montserrat" w:cs="Arial"/>
                <w:color w:val="000000"/>
                <w:sz w:val="20"/>
                <w:lang w:val="en-US" w:eastAsia="en-US"/>
              </w:rPr>
              <w:t>GHG</w:t>
            </w:r>
            <w:r>
              <w:rPr>
                <w:rFonts w:eastAsia="Montserrat" w:cs="Arial"/>
                <w:color w:val="000000"/>
                <w:sz w:val="20"/>
                <w:lang w:val="en-US" w:eastAsia="en-US"/>
              </w:rPr>
              <w:t xml:space="preserve"> is fully accounted for in the mechanism methodology</w:t>
            </w:r>
          </w:p>
        </w:tc>
      </w:tr>
      <w:tr w:rsidR="00D4309A" w:rsidRPr="00EC0CFD" w14:paraId="04216156" w14:textId="77777777" w:rsidTr="002A357E">
        <w:trPr>
          <w:cantSplit w:val="0"/>
          <w:trHeight w:val="137"/>
        </w:trPr>
        <w:tc>
          <w:tcPr>
            <w:cnfStyle w:val="001000000000" w:firstRow="0" w:lastRow="0" w:firstColumn="1" w:lastColumn="0" w:oddVBand="0" w:evenVBand="0" w:oddHBand="0" w:evenHBand="0" w:firstRowFirstColumn="0" w:firstRowLastColumn="0" w:lastRowFirstColumn="0" w:lastRowLastColumn="0"/>
            <w:tcW w:w="1177" w:type="pct"/>
          </w:tcPr>
          <w:p w14:paraId="4955C849" w14:textId="77777777" w:rsidR="00D4309A" w:rsidRPr="00E54E0A" w:rsidRDefault="00D4309A" w:rsidP="00E54E0A">
            <w:pPr>
              <w:suppressAutoHyphens/>
              <w:jc w:val="left"/>
              <w:rPr>
                <w:rFonts w:cs="Arial"/>
                <w:b w:val="0"/>
                <w:bCs/>
                <w:sz w:val="20"/>
              </w:rPr>
            </w:pPr>
            <w:r w:rsidRPr="00E54E0A">
              <w:rPr>
                <w:rFonts w:cs="Arial"/>
                <w:b w:val="0"/>
                <w:bCs/>
                <w:sz w:val="20"/>
              </w:rPr>
              <w:t>Equation (4)</w:t>
            </w:r>
          </w:p>
        </w:tc>
        <w:tc>
          <w:tcPr>
            <w:tcW w:w="1164" w:type="pct"/>
          </w:tcPr>
          <w:p w14:paraId="7AF17BCC" w14:textId="5F94D9F6"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Equation (</w:t>
            </w:r>
            <w:r w:rsidR="00544394">
              <w:rPr>
                <w:rFonts w:cs="Arial"/>
                <w:sz w:val="20"/>
              </w:rPr>
              <w:t>35</w:t>
            </w:r>
            <w:r>
              <w:rPr>
                <w:rFonts w:cs="Arial"/>
                <w:sz w:val="20"/>
              </w:rPr>
              <w:t>)</w:t>
            </w:r>
          </w:p>
        </w:tc>
        <w:tc>
          <w:tcPr>
            <w:tcW w:w="2659" w:type="pct"/>
          </w:tcPr>
          <w:p w14:paraId="1D2734CD" w14:textId="4762B4E0"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sz w:val="20"/>
                <w:lang w:val="en-US" w:eastAsia="en-US"/>
              </w:rPr>
            </w:pPr>
            <w:r>
              <w:rPr>
                <w:rFonts w:eastAsia="Montserrat" w:cs="Arial"/>
                <w:color w:val="000000"/>
                <w:sz w:val="20"/>
                <w:lang w:val="en-US" w:eastAsia="en-US"/>
              </w:rPr>
              <w:t xml:space="preserve">Consistent because the application of the fNRB Tool is consistent with equation (1) of version 01.0 of the </w:t>
            </w:r>
            <w:r w:rsidR="001B6337">
              <w:rPr>
                <w:rFonts w:eastAsia="MS Mincho" w:cs="Arial" w:hint="eastAsia"/>
                <w:color w:val="000000"/>
                <w:sz w:val="20"/>
                <w:lang w:val="en-US" w:eastAsia="ja-JP"/>
              </w:rPr>
              <w:t>r</w:t>
            </w:r>
            <w:r>
              <w:rPr>
                <w:rFonts w:eastAsia="Montserrat" w:cs="Arial"/>
                <w:color w:val="000000"/>
                <w:sz w:val="20"/>
                <w:lang w:val="en-US" w:eastAsia="en-US"/>
              </w:rPr>
              <w:t xml:space="preserve">eversals </w:t>
            </w:r>
            <w:r w:rsidR="001B6337">
              <w:rPr>
                <w:rFonts w:eastAsia="MS Mincho" w:cs="Arial" w:hint="eastAsia"/>
                <w:color w:val="000000"/>
                <w:sz w:val="20"/>
                <w:lang w:val="en-US" w:eastAsia="ja-JP"/>
              </w:rPr>
              <w:t>s</w:t>
            </w:r>
            <w:r>
              <w:rPr>
                <w:rFonts w:eastAsia="Montserrat" w:cs="Arial"/>
                <w:color w:val="000000"/>
                <w:sz w:val="20"/>
                <w:lang w:val="en-US" w:eastAsia="en-US"/>
              </w:rPr>
              <w:t>tandard and the crediting deficit is not applicable, as discussed in this table below</w:t>
            </w:r>
          </w:p>
        </w:tc>
      </w:tr>
      <w:tr w:rsidR="00D4309A" w:rsidRPr="00EC0CFD" w14:paraId="5DCE3706" w14:textId="77777777" w:rsidTr="002A357E">
        <w:trPr>
          <w:cantSplit w:val="0"/>
          <w:trHeight w:val="893"/>
        </w:trPr>
        <w:tc>
          <w:tcPr>
            <w:cnfStyle w:val="001000000000" w:firstRow="0" w:lastRow="0" w:firstColumn="1" w:lastColumn="0" w:oddVBand="0" w:evenVBand="0" w:oddHBand="0" w:evenHBand="0" w:firstRowFirstColumn="0" w:firstRowLastColumn="0" w:lastRowFirstColumn="0" w:lastRowLastColumn="0"/>
            <w:tcW w:w="1177" w:type="pct"/>
          </w:tcPr>
          <w:p w14:paraId="37BB5264" w14:textId="0BE856FE" w:rsidR="00D4309A" w:rsidRPr="00E54E0A" w:rsidRDefault="00D4309A" w:rsidP="00CC58C0">
            <w:pPr>
              <w:suppressAutoHyphens/>
              <w:jc w:val="left"/>
              <w:rPr>
                <w:rFonts w:cs="Arial"/>
                <w:b w:val="0"/>
                <w:bCs/>
                <w:sz w:val="20"/>
              </w:rPr>
            </w:pPr>
            <w:r w:rsidRPr="00E54E0A">
              <w:rPr>
                <w:rFonts w:cs="Arial"/>
                <w:b w:val="0"/>
                <w:bCs/>
                <w:sz w:val="20"/>
              </w:rPr>
              <w:t>Equation (5)</w:t>
            </w:r>
            <w:r w:rsidR="00CC58C0">
              <w:rPr>
                <w:rFonts w:cs="Arial"/>
                <w:b w:val="0"/>
                <w:bCs/>
                <w:sz w:val="20"/>
              </w:rPr>
              <w:br/>
            </w:r>
            <w:r w:rsidRPr="00E54E0A">
              <w:rPr>
                <w:rFonts w:cs="Arial"/>
                <w:b w:val="0"/>
                <w:bCs/>
                <w:sz w:val="20"/>
              </w:rPr>
              <w:t>Equation (6)</w:t>
            </w:r>
            <w:r w:rsidR="00CC58C0">
              <w:rPr>
                <w:rFonts w:cs="Arial"/>
                <w:b w:val="0"/>
                <w:bCs/>
                <w:sz w:val="20"/>
              </w:rPr>
              <w:br/>
            </w:r>
            <w:r w:rsidRPr="00E54E0A">
              <w:rPr>
                <w:rFonts w:cs="Arial"/>
                <w:b w:val="0"/>
                <w:bCs/>
                <w:sz w:val="20"/>
              </w:rPr>
              <w:t>Equation (7)</w:t>
            </w:r>
          </w:p>
        </w:tc>
        <w:tc>
          <w:tcPr>
            <w:tcW w:w="1164" w:type="pct"/>
          </w:tcPr>
          <w:p w14:paraId="285486B2" w14:textId="77777777"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Not applicable</w:t>
            </w:r>
          </w:p>
        </w:tc>
        <w:tc>
          <w:tcPr>
            <w:tcW w:w="2659" w:type="pct"/>
          </w:tcPr>
          <w:p w14:paraId="4DC01ABA" w14:textId="27ABE2FA"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sz w:val="20"/>
                <w:lang w:val="en-US" w:eastAsia="en-US"/>
              </w:rPr>
            </w:pPr>
            <w:r>
              <w:rPr>
                <w:rFonts w:eastAsia="Montserrat" w:cs="Arial"/>
                <w:color w:val="000000"/>
                <w:sz w:val="20"/>
                <w:lang w:val="en-US" w:eastAsia="en-US"/>
              </w:rPr>
              <w:t>Not applicable</w:t>
            </w:r>
            <w:r w:rsidR="003F4162">
              <w:rPr>
                <w:rFonts w:eastAsia="Montserrat" w:cs="Arial"/>
                <w:color w:val="000000"/>
                <w:sz w:val="20"/>
                <w:lang w:val="en-US" w:eastAsia="en-US"/>
              </w:rPr>
              <w:t>. T</w:t>
            </w:r>
            <w:r>
              <w:rPr>
                <w:rFonts w:eastAsia="Montserrat" w:cs="Arial"/>
                <w:color w:val="000000"/>
                <w:sz w:val="20"/>
                <w:lang w:val="en-US" w:eastAsia="en-US"/>
              </w:rPr>
              <w:t>here cannot be a crediting deficit</w:t>
            </w:r>
            <w:r w:rsidR="003F4162">
              <w:rPr>
                <w:rFonts w:eastAsia="Montserrat" w:cs="Arial"/>
                <w:color w:val="000000"/>
                <w:sz w:val="20"/>
                <w:lang w:val="en-US" w:eastAsia="en-US"/>
              </w:rPr>
              <w:t xml:space="preserve"> because</w:t>
            </w:r>
            <w:r>
              <w:rPr>
                <w:rFonts w:eastAsia="Montserrat" w:cs="Arial"/>
                <w:color w:val="000000"/>
                <w:sz w:val="20"/>
                <w:lang w:val="en-US" w:eastAsia="en-US"/>
              </w:rPr>
              <w:t xml:space="preserve"> </w:t>
            </w:r>
            <w:r w:rsidR="003F4162">
              <w:rPr>
                <w:rFonts w:eastAsia="Montserrat" w:cs="Arial"/>
                <w:color w:val="000000"/>
                <w:sz w:val="20"/>
                <w:lang w:val="en-US" w:eastAsia="en-US"/>
              </w:rPr>
              <w:t>(a)</w:t>
            </w:r>
            <w:r>
              <w:rPr>
                <w:rFonts w:eastAsia="Montserrat" w:cs="Arial"/>
                <w:color w:val="000000"/>
                <w:sz w:val="20"/>
                <w:lang w:val="en-US" w:eastAsia="en-US"/>
              </w:rPr>
              <w:t xml:space="preserve"> all default values in the fNRB Tool are equal to or greater than zero and </w:t>
            </w:r>
            <w:r w:rsidR="003F4162">
              <w:rPr>
                <w:rFonts w:eastAsia="Montserrat" w:cs="Arial"/>
                <w:color w:val="000000"/>
                <w:sz w:val="20"/>
                <w:lang w:val="en-US" w:eastAsia="en-US"/>
              </w:rPr>
              <w:t xml:space="preserve">(b) </w:t>
            </w:r>
            <w:r>
              <w:rPr>
                <w:rFonts w:eastAsia="Montserrat" w:cs="Arial"/>
                <w:color w:val="000000"/>
                <w:sz w:val="20"/>
                <w:lang w:val="en-US" w:eastAsia="en-US"/>
              </w:rPr>
              <w:t>activity participants would not be required to monitor or report reversals in the post-crediting monitoring period (see s</w:t>
            </w:r>
            <w:r>
              <w:rPr>
                <w:rFonts w:cs="Arial"/>
                <w:sz w:val="20"/>
              </w:rPr>
              <w:t>ection</w:t>
            </w:r>
            <w:r w:rsidR="003F4162">
              <w:rPr>
                <w:rFonts w:cs="Arial"/>
                <w:sz w:val="20"/>
              </w:rPr>
              <w:t>s</w:t>
            </w:r>
            <w:r>
              <w:rPr>
                <w:rFonts w:cs="Arial"/>
                <w:sz w:val="20"/>
              </w:rPr>
              <w:t xml:space="preserve"> </w:t>
            </w:r>
            <w:r w:rsidR="003F4162">
              <w:rPr>
                <w:rFonts w:cs="Arial"/>
                <w:sz w:val="20"/>
              </w:rPr>
              <w:fldChar w:fldCharType="begin"/>
            </w:r>
            <w:r w:rsidR="003F4162">
              <w:rPr>
                <w:rFonts w:cs="Arial"/>
                <w:sz w:val="20"/>
              </w:rPr>
              <w:instrText xml:space="preserve"> REF _Ref233283206 \n \h </w:instrText>
            </w:r>
            <w:r w:rsidR="00E54E0A">
              <w:rPr>
                <w:rFonts w:cs="Arial"/>
                <w:sz w:val="20"/>
              </w:rPr>
              <w:instrText xml:space="preserve"> \* MERGEFORMAT </w:instrText>
            </w:r>
            <w:r w:rsidR="003F4162">
              <w:rPr>
                <w:rFonts w:cs="Arial"/>
                <w:sz w:val="20"/>
              </w:rPr>
            </w:r>
            <w:r w:rsidR="003F4162">
              <w:rPr>
                <w:rFonts w:cs="Arial"/>
                <w:sz w:val="20"/>
              </w:rPr>
              <w:fldChar w:fldCharType="separate"/>
            </w:r>
            <w:r w:rsidR="00831DAE">
              <w:rPr>
                <w:rFonts w:cs="Arial"/>
                <w:sz w:val="20"/>
                <w:cs/>
              </w:rPr>
              <w:t>‎</w:t>
            </w:r>
            <w:r w:rsidR="00831DAE">
              <w:rPr>
                <w:rFonts w:cs="Arial"/>
                <w:sz w:val="20"/>
              </w:rPr>
              <w:t>10.1</w:t>
            </w:r>
            <w:r w:rsidR="003F4162">
              <w:rPr>
                <w:rFonts w:cs="Arial"/>
                <w:sz w:val="20"/>
              </w:rPr>
              <w:fldChar w:fldCharType="end"/>
            </w:r>
            <w:r w:rsidR="003F4162">
              <w:rPr>
                <w:rFonts w:cs="Arial"/>
                <w:sz w:val="20"/>
              </w:rPr>
              <w:t xml:space="preserve"> and </w:t>
            </w:r>
            <w:r w:rsidR="003F4162">
              <w:rPr>
                <w:rFonts w:cs="Arial"/>
                <w:sz w:val="20"/>
              </w:rPr>
              <w:fldChar w:fldCharType="begin"/>
            </w:r>
            <w:r w:rsidR="003F4162">
              <w:rPr>
                <w:rFonts w:cs="Arial"/>
                <w:sz w:val="20"/>
              </w:rPr>
              <w:instrText xml:space="preserve"> REF _Ref233283217 \n \h </w:instrText>
            </w:r>
            <w:r w:rsidR="00E54E0A">
              <w:rPr>
                <w:rFonts w:cs="Arial"/>
                <w:sz w:val="20"/>
              </w:rPr>
              <w:instrText xml:space="preserve"> \* MERGEFORMAT </w:instrText>
            </w:r>
            <w:r w:rsidR="003F4162">
              <w:rPr>
                <w:rFonts w:cs="Arial"/>
                <w:sz w:val="20"/>
              </w:rPr>
            </w:r>
            <w:r w:rsidR="003F4162">
              <w:rPr>
                <w:rFonts w:cs="Arial"/>
                <w:sz w:val="20"/>
              </w:rPr>
              <w:fldChar w:fldCharType="separate"/>
            </w:r>
            <w:r w:rsidR="00831DAE">
              <w:rPr>
                <w:rFonts w:cs="Arial"/>
                <w:sz w:val="20"/>
                <w:cs/>
              </w:rPr>
              <w:t>‎</w:t>
            </w:r>
            <w:r w:rsidR="00831DAE">
              <w:rPr>
                <w:rFonts w:cs="Arial"/>
                <w:sz w:val="20"/>
              </w:rPr>
              <w:t>10.2</w:t>
            </w:r>
            <w:r w:rsidR="003F4162">
              <w:rPr>
                <w:rFonts w:cs="Arial"/>
                <w:sz w:val="20"/>
              </w:rPr>
              <w:fldChar w:fldCharType="end"/>
            </w:r>
            <w:r w:rsidR="003F4162">
              <w:rPr>
                <w:rFonts w:cs="Arial"/>
                <w:sz w:val="20"/>
              </w:rPr>
              <w:t xml:space="preserve"> of this appendix</w:t>
            </w:r>
            <w:r>
              <w:rPr>
                <w:rFonts w:cs="Arial"/>
                <w:sz w:val="20"/>
              </w:rPr>
              <w:t>)</w:t>
            </w:r>
          </w:p>
        </w:tc>
      </w:tr>
      <w:tr w:rsidR="00D4309A" w:rsidRPr="00EC0CFD" w14:paraId="261F649E" w14:textId="77777777" w:rsidTr="002A357E">
        <w:trPr>
          <w:cantSplit w:val="0"/>
          <w:trHeight w:val="43"/>
        </w:trPr>
        <w:tc>
          <w:tcPr>
            <w:cnfStyle w:val="001000000000" w:firstRow="0" w:lastRow="0" w:firstColumn="1" w:lastColumn="0" w:oddVBand="0" w:evenVBand="0" w:oddHBand="0" w:evenHBand="0" w:firstRowFirstColumn="0" w:firstRowLastColumn="0" w:lastRowFirstColumn="0" w:lastRowLastColumn="0"/>
            <w:tcW w:w="1177" w:type="pct"/>
          </w:tcPr>
          <w:p w14:paraId="4B21B8C5" w14:textId="77777777" w:rsidR="00D4309A" w:rsidRPr="00E54E0A" w:rsidRDefault="00D4309A" w:rsidP="00E54E0A">
            <w:pPr>
              <w:suppressAutoHyphens/>
              <w:jc w:val="left"/>
              <w:rPr>
                <w:rFonts w:cs="Arial"/>
                <w:b w:val="0"/>
                <w:bCs/>
                <w:sz w:val="20"/>
              </w:rPr>
            </w:pPr>
            <w:r w:rsidRPr="00E54E0A">
              <w:rPr>
                <w:rFonts w:cs="Arial"/>
                <w:b w:val="0"/>
                <w:bCs/>
                <w:sz w:val="20"/>
              </w:rPr>
              <w:t>Equation (8)</w:t>
            </w:r>
          </w:p>
        </w:tc>
        <w:tc>
          <w:tcPr>
            <w:tcW w:w="1164" w:type="pct"/>
          </w:tcPr>
          <w:p w14:paraId="67BA445E" w14:textId="77777777"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Equation (34)</w:t>
            </w:r>
          </w:p>
        </w:tc>
        <w:tc>
          <w:tcPr>
            <w:tcW w:w="2659" w:type="pct"/>
          </w:tcPr>
          <w:p w14:paraId="6FDDAC14" w14:textId="19276715" w:rsidR="00D4309A" w:rsidRPr="008964B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sz w:val="20"/>
                <w:lang w:val="en-US" w:eastAsia="en-US"/>
              </w:rPr>
            </w:pPr>
            <w:r>
              <w:rPr>
                <w:rFonts w:eastAsia="Montserrat" w:cs="Arial"/>
                <w:color w:val="000000"/>
                <w:sz w:val="20"/>
                <w:lang w:val="en-US" w:eastAsia="en-US"/>
              </w:rPr>
              <w:t xml:space="preserve">Consistent because the methodology applies the parameter </w:t>
            </w:r>
            <w:r w:rsidRPr="00317998">
              <w:rPr>
                <w:rFonts w:eastAsia="Montserrat" w:cs="Arial"/>
                <w:i/>
                <w:iCs/>
                <w:color w:val="000000"/>
                <w:sz w:val="20"/>
                <w:lang w:val="en-US" w:eastAsia="en-US"/>
              </w:rPr>
              <w:t>F</w:t>
            </w:r>
            <w:r w:rsidRPr="00317998">
              <w:rPr>
                <w:rFonts w:eastAsia="Montserrat" w:cs="Arial"/>
                <w:i/>
                <w:iCs/>
                <w:color w:val="000000"/>
                <w:sz w:val="20"/>
                <w:vertAlign w:val="subscript"/>
                <w:lang w:val="en-US" w:eastAsia="en-US"/>
              </w:rPr>
              <w:t>buffer,i,t</w:t>
            </w:r>
            <w:r>
              <w:rPr>
                <w:rFonts w:eastAsia="Montserrat" w:cs="Arial"/>
                <w:color w:val="000000"/>
                <w:sz w:val="20"/>
                <w:lang w:val="en-US" w:eastAsia="en-US"/>
              </w:rPr>
              <w:t xml:space="preserve"> to credited changes in forest carbon storage</w:t>
            </w:r>
          </w:p>
        </w:tc>
      </w:tr>
      <w:tr w:rsidR="00D4309A" w:rsidRPr="00EC0CFD" w14:paraId="7014CC1F" w14:textId="77777777" w:rsidTr="002A357E">
        <w:trPr>
          <w:cantSplit w:val="0"/>
          <w:trHeight w:val="272"/>
        </w:trPr>
        <w:tc>
          <w:tcPr>
            <w:cnfStyle w:val="001000000000" w:firstRow="0" w:lastRow="0" w:firstColumn="1" w:lastColumn="0" w:oddVBand="0" w:evenVBand="0" w:oddHBand="0" w:evenHBand="0" w:firstRowFirstColumn="0" w:firstRowLastColumn="0" w:lastRowFirstColumn="0" w:lastRowLastColumn="0"/>
            <w:tcW w:w="1177" w:type="pct"/>
          </w:tcPr>
          <w:p w14:paraId="1D63C3B6" w14:textId="4E3A3D38" w:rsidR="00D4309A" w:rsidRPr="00E54E0A" w:rsidRDefault="00D4309A" w:rsidP="00CC58C0">
            <w:pPr>
              <w:suppressAutoHyphens/>
              <w:jc w:val="left"/>
              <w:rPr>
                <w:rFonts w:cs="Arial"/>
                <w:b w:val="0"/>
                <w:bCs/>
                <w:sz w:val="20"/>
              </w:rPr>
            </w:pPr>
            <w:r w:rsidRPr="00E54E0A">
              <w:rPr>
                <w:rFonts w:cs="Arial"/>
                <w:b w:val="0"/>
                <w:bCs/>
                <w:sz w:val="20"/>
              </w:rPr>
              <w:t>Equation (9)</w:t>
            </w:r>
            <w:r w:rsidR="00CC58C0">
              <w:rPr>
                <w:rFonts w:cs="Arial"/>
                <w:b w:val="0"/>
                <w:bCs/>
                <w:sz w:val="20"/>
              </w:rPr>
              <w:br/>
            </w:r>
            <w:r w:rsidR="002144FB" w:rsidRPr="00E54E0A">
              <w:rPr>
                <w:rFonts w:cs="Arial"/>
                <w:b w:val="0"/>
                <w:bCs/>
                <w:sz w:val="20"/>
              </w:rPr>
              <w:t>Equation (10)</w:t>
            </w:r>
          </w:p>
        </w:tc>
        <w:tc>
          <w:tcPr>
            <w:tcW w:w="1164" w:type="pct"/>
          </w:tcPr>
          <w:p w14:paraId="1757ED71" w14:textId="77777777"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Mandated externally</w:t>
            </w:r>
          </w:p>
        </w:tc>
        <w:tc>
          <w:tcPr>
            <w:tcW w:w="2659" w:type="pct"/>
          </w:tcPr>
          <w:p w14:paraId="233CD71A" w14:textId="79A1D5E0" w:rsidR="00D4309A" w:rsidRPr="00EC0CFD" w:rsidRDefault="00D4309A" w:rsidP="00E54E0A">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sz w:val="20"/>
                <w:lang w:val="en-US" w:eastAsia="en-US"/>
              </w:rPr>
            </w:pPr>
            <w:r>
              <w:rPr>
                <w:rFonts w:eastAsia="Montserrat" w:cs="Arial"/>
                <w:color w:val="000000"/>
                <w:sz w:val="20"/>
                <w:lang w:val="en-US" w:eastAsia="en-US"/>
              </w:rPr>
              <w:t xml:space="preserve">Contributions of A6.4ERs to the Adaptation Fund </w:t>
            </w:r>
            <w:r w:rsidR="002144FB">
              <w:rPr>
                <w:rFonts w:eastAsia="Montserrat" w:cs="Arial"/>
                <w:color w:val="000000"/>
                <w:sz w:val="20"/>
                <w:lang w:val="en-US" w:eastAsia="en-US"/>
              </w:rPr>
              <w:t xml:space="preserve">and cancellation of A6.4ERs for the purpose of overall mitigation of global emissions </w:t>
            </w:r>
            <w:r>
              <w:rPr>
                <w:rFonts w:eastAsia="Montserrat" w:cs="Arial"/>
                <w:color w:val="000000"/>
                <w:sz w:val="20"/>
                <w:lang w:val="en-US" w:eastAsia="en-US"/>
              </w:rPr>
              <w:t xml:space="preserve">are addressed by the “Procedure: </w:t>
            </w:r>
            <w:r w:rsidRPr="00950FB5">
              <w:rPr>
                <w:rFonts w:eastAsia="Montserrat" w:cs="Arial"/>
                <w:color w:val="000000"/>
                <w:sz w:val="20"/>
                <w:lang w:val="en-US" w:eastAsia="en-US"/>
              </w:rPr>
              <w:t>Article 6.4 mechanism registry</w:t>
            </w:r>
            <w:r>
              <w:rPr>
                <w:rFonts w:eastAsia="Montserrat" w:cs="Arial"/>
                <w:color w:val="000000"/>
                <w:sz w:val="20"/>
                <w:lang w:val="en-US" w:eastAsia="en-US"/>
              </w:rPr>
              <w:t>” (A6.4-PROC-REGS-001</w:t>
            </w:r>
          </w:p>
        </w:tc>
      </w:tr>
      <w:tr w:rsidR="00D4309A" w:rsidRPr="00EC0CFD" w14:paraId="3C35BCB3" w14:textId="77777777" w:rsidTr="002A357E">
        <w:trPr>
          <w:cantSplit w:val="0"/>
          <w:trHeight w:val="1300"/>
        </w:trPr>
        <w:tc>
          <w:tcPr>
            <w:cnfStyle w:val="001000000000" w:firstRow="0" w:lastRow="0" w:firstColumn="1" w:lastColumn="0" w:oddVBand="0" w:evenVBand="0" w:oddHBand="0" w:evenHBand="0" w:firstRowFirstColumn="0" w:firstRowLastColumn="0" w:lastRowFirstColumn="0" w:lastRowLastColumn="0"/>
            <w:tcW w:w="1177" w:type="pct"/>
          </w:tcPr>
          <w:p w14:paraId="67629178" w14:textId="77777777" w:rsidR="00D4309A" w:rsidRPr="00E54E0A" w:rsidRDefault="00D4309A" w:rsidP="00E54E0A">
            <w:pPr>
              <w:suppressAutoHyphens/>
              <w:jc w:val="left"/>
              <w:rPr>
                <w:rFonts w:cs="Arial"/>
                <w:b w:val="0"/>
                <w:bCs/>
                <w:sz w:val="20"/>
              </w:rPr>
            </w:pPr>
            <w:r w:rsidRPr="00E54E0A">
              <w:rPr>
                <w:rFonts w:cs="Arial"/>
                <w:b w:val="0"/>
                <w:bCs/>
                <w:sz w:val="20"/>
              </w:rPr>
              <w:t>Equation (11)</w:t>
            </w:r>
          </w:p>
        </w:tc>
        <w:tc>
          <w:tcPr>
            <w:tcW w:w="1164" w:type="pct"/>
          </w:tcPr>
          <w:p w14:paraId="4B73A38D" w14:textId="5B4A0286" w:rsidR="00D4309A" w:rsidRPr="00EC0CFD" w:rsidRDefault="00394D9B" w:rsidP="00E54E0A">
            <w:pPr>
              <w:suppressAutoHyphens/>
              <w:jc w:val="left"/>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Equation (36)</w:t>
            </w:r>
          </w:p>
        </w:tc>
        <w:tc>
          <w:tcPr>
            <w:tcW w:w="2659" w:type="pct"/>
          </w:tcPr>
          <w:p w14:paraId="2E5634D6" w14:textId="5096E4CA" w:rsidR="00D4309A" w:rsidRPr="00EC0CFD" w:rsidRDefault="00394D9B" w:rsidP="00E54E0A">
            <w:pPr>
              <w:suppressAutoHyphens/>
              <w:jc w:val="left"/>
              <w:cnfStyle w:val="000000000000" w:firstRow="0" w:lastRow="0" w:firstColumn="0" w:lastColumn="0" w:oddVBand="0" w:evenVBand="0" w:oddHBand="0" w:evenHBand="0" w:firstRowFirstColumn="0" w:firstRowLastColumn="0" w:lastRowFirstColumn="0" w:lastRowLastColumn="0"/>
              <w:rPr>
                <w:rFonts w:eastAsia="Montserrat" w:cs="Arial"/>
                <w:color w:val="000000"/>
                <w:sz w:val="20"/>
                <w:lang w:val="en-US" w:eastAsia="en-US"/>
              </w:rPr>
            </w:pPr>
            <w:r>
              <w:rPr>
                <w:rFonts w:eastAsia="Montserrat" w:cs="Arial"/>
                <w:color w:val="000000"/>
                <w:sz w:val="20"/>
                <w:lang w:val="en-US" w:eastAsia="en-US"/>
              </w:rPr>
              <w:t>Consistent because there are no substantive differences</w:t>
            </w:r>
            <w:r w:rsidR="00E507EB">
              <w:rPr>
                <w:rFonts w:eastAsia="Montserrat" w:cs="Arial"/>
                <w:color w:val="000000"/>
                <w:sz w:val="20"/>
                <w:lang w:val="en-US" w:eastAsia="en-US"/>
              </w:rPr>
              <w:t xml:space="preserve"> between the equations</w:t>
            </w:r>
          </w:p>
        </w:tc>
      </w:tr>
    </w:tbl>
    <w:p w14:paraId="699F7A0B" w14:textId="29F4389E" w:rsidR="001C2394" w:rsidRPr="001C2394" w:rsidRDefault="001C2394" w:rsidP="00F36D0D">
      <w:pPr>
        <w:pStyle w:val="SDMApp1"/>
      </w:pPr>
      <w:r w:rsidRPr="001C2394">
        <w:t xml:space="preserve">References </w:t>
      </w:r>
    </w:p>
    <w:p w14:paraId="7950E605" w14:textId="33DD37DF" w:rsidR="008873D3" w:rsidRDefault="00052C46" w:rsidP="008873D3">
      <w:pPr>
        <w:pStyle w:val="SDMPara"/>
        <w:numPr>
          <w:ilvl w:val="0"/>
          <w:numId w:val="0"/>
        </w:numPr>
        <w:suppressAutoHyphens/>
        <w:ind w:left="709"/>
      </w:pPr>
      <w:r>
        <w:t>4C-</w:t>
      </w:r>
      <w:r w:rsidR="00DA6C28" w:rsidRPr="00DA6C28">
        <w:t xml:space="preserve"> Clean Cooking and Climate Consortium</w:t>
      </w:r>
      <w:r w:rsidR="00DA6C28">
        <w:t xml:space="preserve"> (2025</w:t>
      </w:r>
      <w:r w:rsidR="00B14D6A">
        <w:t>a</w:t>
      </w:r>
      <w:r w:rsidR="00DA6C28">
        <w:t xml:space="preserve">). CLEAR </w:t>
      </w:r>
      <w:r w:rsidR="00DA6C28" w:rsidRPr="00DA6C28">
        <w:t>Summary, Context, and Justification for CLEAR Methodology Approaches</w:t>
      </w:r>
      <w:r w:rsidR="00DA6C28">
        <w:t xml:space="preserve">. </w:t>
      </w:r>
      <w:r w:rsidR="00EE1A48" w:rsidRPr="00EE1A48">
        <w:t>Version: 3.0; June 2025</w:t>
      </w:r>
      <w:r w:rsidR="00EE1A48">
        <w:t xml:space="preserve">. </w:t>
      </w:r>
      <w:hyperlink r:id="rId40" w:history="1">
        <w:r w:rsidR="00C33408" w:rsidRPr="00D83AC2">
          <w:rPr>
            <w:rStyle w:val="Hyperlink"/>
          </w:rPr>
          <w:t>https://cleancooking.org/wp-content/uploads/2025/06/CLEAR-revised-EOD-June-2025.pdf</w:t>
        </w:r>
      </w:hyperlink>
      <w:r w:rsidR="008873D3">
        <w:t>.</w:t>
      </w:r>
    </w:p>
    <w:p w14:paraId="3A0889D2" w14:textId="00358A80" w:rsidR="008873D3" w:rsidRPr="0016344B" w:rsidRDefault="00053DFF" w:rsidP="008873D3">
      <w:pPr>
        <w:pStyle w:val="SDMPara"/>
        <w:numPr>
          <w:ilvl w:val="0"/>
          <w:numId w:val="0"/>
        </w:numPr>
        <w:suppressAutoHyphens/>
        <w:ind w:left="709"/>
        <w:rPr>
          <w:lang w:val="fr-FR"/>
        </w:rPr>
      </w:pPr>
      <w:r>
        <w:t>4C-</w:t>
      </w:r>
      <w:r w:rsidRPr="00DA6C28">
        <w:t xml:space="preserve"> Clean Cooking and Climate Consortium</w:t>
      </w:r>
      <w:r>
        <w:t xml:space="preserve"> (2025</w:t>
      </w:r>
      <w:r w:rsidR="00B14D6A">
        <w:t>b</w:t>
      </w:r>
      <w:r>
        <w:t>).</w:t>
      </w:r>
      <w:r w:rsidR="00022E8C" w:rsidRPr="00022E8C">
        <w:t xml:space="preserve"> </w:t>
      </w:r>
      <w:r w:rsidR="00395A5C">
        <w:t xml:space="preserve">Comprehensive Lowered Emission Assessment and Reporting (CLEAR) Methodology for Cooking Energy Transitions. </w:t>
      </w:r>
      <w:r w:rsidR="00053406" w:rsidRPr="0016344B">
        <w:rPr>
          <w:lang w:val="fr-FR"/>
        </w:rPr>
        <w:t>Version: August 2025.</w:t>
      </w:r>
      <w:r w:rsidR="00926235" w:rsidRPr="0016344B">
        <w:rPr>
          <w:lang w:val="fr-FR"/>
        </w:rPr>
        <w:t xml:space="preserve"> </w:t>
      </w:r>
      <w:hyperlink r:id="rId41" w:history="1">
        <w:r w:rsidR="00926235" w:rsidRPr="0016344B">
          <w:rPr>
            <w:rStyle w:val="Hyperlink"/>
            <w:lang w:val="fr-FR"/>
          </w:rPr>
          <w:t>https://cleancooking.org/wp-content/uploads/2025/12/CLEAR-methodology-Aug2025-DA-included.pdf</w:t>
        </w:r>
      </w:hyperlink>
      <w:r w:rsidR="008873D3" w:rsidRPr="0016344B">
        <w:rPr>
          <w:lang w:val="fr-FR"/>
        </w:rPr>
        <w:t>.</w:t>
      </w:r>
    </w:p>
    <w:p w14:paraId="3B8CC8C2" w14:textId="77777777" w:rsidR="008873D3" w:rsidRDefault="00DF3986" w:rsidP="008873D3">
      <w:pPr>
        <w:pStyle w:val="SDMPara"/>
        <w:numPr>
          <w:ilvl w:val="0"/>
          <w:numId w:val="0"/>
        </w:numPr>
        <w:suppressAutoHyphens/>
        <w:ind w:left="709"/>
      </w:pPr>
      <w:r w:rsidRPr="0016344B">
        <w:rPr>
          <w:lang w:val="fr-FR"/>
        </w:rPr>
        <w:t xml:space="preserve">Adeyemi, A. A., et al. </w:t>
      </w:r>
      <w:r w:rsidRPr="00DF3986">
        <w:t xml:space="preserve">(2017). Thermal performance of improved charcoal stove as a clean development mechanism project: A case study of Bauchi. </w:t>
      </w:r>
      <w:r w:rsidRPr="00DF3986">
        <w:rPr>
          <w:i/>
          <w:iCs/>
        </w:rPr>
        <w:t>International Journal of Engineering Research</w:t>
      </w:r>
      <w:r w:rsidRPr="00DF3986">
        <w:t>.</w:t>
      </w:r>
    </w:p>
    <w:p w14:paraId="2637C576" w14:textId="2B2E4AD3" w:rsidR="008873D3" w:rsidRDefault="00B658AC" w:rsidP="008873D3">
      <w:pPr>
        <w:pStyle w:val="SDMPara"/>
        <w:numPr>
          <w:ilvl w:val="0"/>
          <w:numId w:val="0"/>
        </w:numPr>
        <w:suppressAutoHyphens/>
        <w:ind w:left="709"/>
      </w:pPr>
      <w:r w:rsidRPr="00385147">
        <w:t xml:space="preserve">Akagi, S. K., R. J. Yokelson, C. Wiedinmyer, et al. </w:t>
      </w:r>
      <w:r>
        <w:t xml:space="preserve">“Emission Factors for Open and Domestic Biomass Burning for Use in Atmospheric Models.” Atmospheric Chemistry and Physics 11, no. 9 (2011): 4039–72. </w:t>
      </w:r>
      <w:hyperlink r:id="rId42" w:history="1">
        <w:r w:rsidR="00B1708F" w:rsidRPr="00E4588C">
          <w:rPr>
            <w:rStyle w:val="Hyperlink"/>
          </w:rPr>
          <w:t>https://doi.org/10.5194/acp-11-4039-2011</w:t>
        </w:r>
      </w:hyperlink>
      <w:r>
        <w:t>.</w:t>
      </w:r>
    </w:p>
    <w:p w14:paraId="7BA3BABB" w14:textId="591ADE9B" w:rsidR="008873D3" w:rsidRDefault="00052C46" w:rsidP="008873D3">
      <w:pPr>
        <w:pStyle w:val="SDMPara"/>
        <w:numPr>
          <w:ilvl w:val="0"/>
          <w:numId w:val="0"/>
        </w:numPr>
        <w:suppressAutoHyphens/>
        <w:ind w:left="709"/>
      </w:pPr>
      <w:r>
        <w:t>BAMG-</w:t>
      </w:r>
      <w:r w:rsidR="00193F3B" w:rsidRPr="00193F3B">
        <w:t xml:space="preserve">Berkeley Air Monitoring Group (2025). Research Brief: Biomass Energy Initiative for Africa: Hawthorne Effect Investigation. Available at: </w:t>
      </w:r>
      <w:hyperlink r:id="rId43" w:history="1">
        <w:r w:rsidR="00193F3B" w:rsidRPr="00364B95">
          <w:rPr>
            <w:rStyle w:val="Hyperlink"/>
          </w:rPr>
          <w:t>https://cleancooking.org/wp-content/uploads/2025/03/Berkeley-Air-Research-Frief_Hawthorne-Effect-Investigation.pdf</w:t>
        </w:r>
      </w:hyperlink>
      <w:r w:rsidR="007A77BF">
        <w:t>.</w:t>
      </w:r>
    </w:p>
    <w:p w14:paraId="3C20A863" w14:textId="42D5F670" w:rsidR="008873D3" w:rsidRDefault="0059779E" w:rsidP="008873D3">
      <w:pPr>
        <w:pStyle w:val="SDMPara"/>
        <w:numPr>
          <w:ilvl w:val="0"/>
          <w:numId w:val="0"/>
        </w:numPr>
        <w:suppressAutoHyphens/>
        <w:ind w:left="709"/>
      </w:pPr>
      <w:r w:rsidRPr="00761315">
        <w:t xml:space="preserve">Berkouwer, Susan B., and Joshua T. </w:t>
      </w:r>
      <w:r w:rsidR="00CA0613" w:rsidRPr="00761315">
        <w:t>Dean</w:t>
      </w:r>
      <w:r w:rsidRPr="00761315">
        <w:t xml:space="preserve"> (</w:t>
      </w:r>
      <w:r w:rsidR="00CA0613" w:rsidRPr="00761315">
        <w:t>2026</w:t>
      </w:r>
      <w:r w:rsidRPr="00761315">
        <w:t xml:space="preserve">). </w:t>
      </w:r>
      <w:r w:rsidR="00A62AC6" w:rsidRPr="00761315">
        <w:t>“</w:t>
      </w:r>
      <w:r w:rsidR="00CC2AC8" w:rsidRPr="00761315">
        <w:t>The cost-effectiveness of clean cookstove carbon mitigation after adjusting for additionality and impact.</w:t>
      </w:r>
      <w:r w:rsidR="00A62AC6" w:rsidRPr="00761315">
        <w:t>”</w:t>
      </w:r>
      <w:r w:rsidR="00CC2AC8" w:rsidRPr="00761315">
        <w:t xml:space="preserve"> </w:t>
      </w:r>
      <w:r w:rsidR="00A62AC6" w:rsidRPr="00761315">
        <w:t>Climate Change EconomicsVol. 17, No. 04, 2650008</w:t>
      </w:r>
      <w:r w:rsidR="001A447F" w:rsidRPr="00761315">
        <w:t>.</w:t>
      </w:r>
      <w:r w:rsidR="008C332A" w:rsidRPr="00761315">
        <w:t xml:space="preserve"> </w:t>
      </w:r>
      <w:hyperlink r:id="rId44" w:history="1">
        <w:r w:rsidR="008873D3" w:rsidRPr="00761315">
          <w:rPr>
            <w:rStyle w:val="Hyperlink"/>
          </w:rPr>
          <w:t>https://doi.org/10.1142/S2010007826500089</w:t>
        </w:r>
      </w:hyperlink>
      <w:r w:rsidR="007A77BF" w:rsidRPr="00761315">
        <w:t>.</w:t>
      </w:r>
    </w:p>
    <w:p w14:paraId="42EC3E38" w14:textId="77777777" w:rsidR="008873D3" w:rsidRDefault="00A37BE6" w:rsidP="008873D3">
      <w:pPr>
        <w:pStyle w:val="SDMPara"/>
        <w:numPr>
          <w:ilvl w:val="0"/>
          <w:numId w:val="0"/>
        </w:numPr>
        <w:suppressAutoHyphens/>
        <w:ind w:left="709"/>
      </w:pPr>
      <w:r>
        <w:t>Bertschi, Isaac T., Robert J. Yokelson, Darold E. Ward, Ted J. Christian, and Wei Min Hao. “Trace Gas Emissions from the Production and Use of Domestic Biofuels in Zambia Measured by Open-Path Fourier Transform Infrared Spectroscopy.” Journal of Geophysical Research-Atmosphere 108 (2003): 5–1, 5–13.</w:t>
      </w:r>
    </w:p>
    <w:p w14:paraId="4AA2F07D" w14:textId="77777777" w:rsidR="008873D3" w:rsidRDefault="00A37BE6" w:rsidP="008873D3">
      <w:pPr>
        <w:pStyle w:val="SDMPara"/>
        <w:numPr>
          <w:ilvl w:val="0"/>
          <w:numId w:val="0"/>
        </w:numPr>
        <w:suppressAutoHyphens/>
        <w:ind w:left="709"/>
      </w:pPr>
      <w:r>
        <w:t>Brocard, D., C. Lacaux, J. P. Lacaux, G. Kouadio, and V. Yoboue. “Emissions from the Combustion of Biofuels in Western Africa.” In Biomass Burning and Global Change, vol.</w:t>
      </w:r>
      <w:r w:rsidR="00706EF6">
        <w:t> </w:t>
      </w:r>
      <w:r>
        <w:t>1, edited by J. S. Levine. MIT Press, 1996.</w:t>
      </w:r>
    </w:p>
    <w:p w14:paraId="1646C48D" w14:textId="77777777" w:rsidR="008873D3" w:rsidRDefault="00ED4668" w:rsidP="008873D3">
      <w:pPr>
        <w:pStyle w:val="SDMPara"/>
        <w:numPr>
          <w:ilvl w:val="0"/>
          <w:numId w:val="0"/>
        </w:numPr>
        <w:suppressAutoHyphens/>
        <w:ind w:left="709"/>
      </w:pPr>
      <w:r w:rsidRPr="00ED4668">
        <w:t xml:space="preserve">Clean Cooking Alliance. (2015). </w:t>
      </w:r>
      <w:r w:rsidRPr="00ED4668">
        <w:rPr>
          <w:i/>
          <w:iCs/>
        </w:rPr>
        <w:t>Testing protocols</w:t>
      </w:r>
      <w:r w:rsidR="00380488" w:rsidRPr="00ED4668">
        <w:rPr>
          <w:i/>
          <w:iCs/>
        </w:rPr>
        <w:t xml:space="preserve"> and </w:t>
      </w:r>
      <w:r w:rsidRPr="00ED4668">
        <w:rPr>
          <w:i/>
          <w:iCs/>
        </w:rPr>
        <w:t>standards for clean cookstove performance assessment</w:t>
      </w:r>
      <w:r w:rsidRPr="00ED4668">
        <w:t>. Washington, DC: Clean Cooking Alliance.</w:t>
      </w:r>
    </w:p>
    <w:p w14:paraId="25FCE57C" w14:textId="77777777" w:rsidR="008873D3" w:rsidRDefault="00380488" w:rsidP="008873D3">
      <w:pPr>
        <w:pStyle w:val="SDMPara"/>
        <w:numPr>
          <w:ilvl w:val="0"/>
          <w:numId w:val="0"/>
        </w:numPr>
        <w:suppressAutoHyphens/>
        <w:ind w:left="709"/>
      </w:pPr>
      <w:r w:rsidRPr="001C2394">
        <w:t>DeCarlo, and Michael D. Hays (2012), Pollutant Emissions and Energy Efficiency under Controlled Conditions for Household Biomass Cookstoves and Implications for Metrics Useful in Setting International Test Standards, Environmental Science &amp; Technology, 46</w:t>
      </w:r>
      <w:r>
        <w:t> </w:t>
      </w:r>
      <w:r w:rsidRPr="001C2394">
        <w:t>(19), 10827-10834, DOI: 10.1021/es301693f</w:t>
      </w:r>
      <w:r>
        <w:t>.</w:t>
      </w:r>
    </w:p>
    <w:p w14:paraId="0EED0342" w14:textId="56C37EBF" w:rsidR="008873D3" w:rsidRDefault="00380488" w:rsidP="008873D3">
      <w:pPr>
        <w:pStyle w:val="SDMPara"/>
        <w:numPr>
          <w:ilvl w:val="0"/>
          <w:numId w:val="0"/>
        </w:numPr>
        <w:suppressAutoHyphens/>
        <w:ind w:left="709"/>
      </w:pPr>
      <w:r w:rsidRPr="00B525B8">
        <w:t xml:space="preserve">Destaw, D., et al. (2025). </w:t>
      </w:r>
      <w:r w:rsidRPr="00B525B8">
        <w:rPr>
          <w:i/>
          <w:iCs/>
        </w:rPr>
        <w:t>Performance evaluation of improved biomass cookstoves and comparison with traditional cookstoves in refugee camp settings</w:t>
      </w:r>
      <w:r w:rsidRPr="00B525B8">
        <w:t xml:space="preserve">. </w:t>
      </w:r>
      <w:r w:rsidRPr="00380488">
        <w:t>Discover Sustainability.</w:t>
      </w:r>
      <w:r w:rsidRPr="00B525B8">
        <w:t xml:space="preserve"> </w:t>
      </w:r>
      <w:hyperlink r:id="rId45" w:history="1">
        <w:r w:rsidRPr="00B1243A">
          <w:rPr>
            <w:rStyle w:val="Hyperlink"/>
            <w:lang w:val="en-US"/>
          </w:rPr>
          <w:t>https://doi.org/10.1007/s43937-025-00101-8</w:t>
        </w:r>
      </w:hyperlink>
      <w:r w:rsidR="007A77BF">
        <w:t>.</w:t>
      </w:r>
    </w:p>
    <w:p w14:paraId="4A13C3FC" w14:textId="77777777" w:rsidR="008873D3" w:rsidRDefault="001C2394" w:rsidP="008873D3">
      <w:pPr>
        <w:pStyle w:val="SDMPara"/>
        <w:numPr>
          <w:ilvl w:val="0"/>
          <w:numId w:val="0"/>
        </w:numPr>
        <w:suppressAutoHyphens/>
        <w:ind w:left="709"/>
      </w:pPr>
      <w:r w:rsidRPr="001C2394">
        <w:t xml:space="preserve">Gill-Wiehl, </w:t>
      </w:r>
      <w:r w:rsidR="00A37BE6" w:rsidRPr="001C2394">
        <w:t>Annelise</w:t>
      </w:r>
      <w:r w:rsidR="00A37BE6">
        <w:t>,</w:t>
      </w:r>
      <w:r w:rsidRPr="001C2394">
        <w:t xml:space="preserve"> Marie Hogan &amp; Barbara K. Haya (2026) Quantifying the additionality of cookstove carbon projects, Carbon Management, 17:1, DOI:</w:t>
      </w:r>
      <w:r w:rsidR="00706EF6">
        <w:t> </w:t>
      </w:r>
      <w:r w:rsidRPr="001C2394">
        <w:t>10.1080/17583004.2026.2618350</w:t>
      </w:r>
      <w:r w:rsidR="007A77BF">
        <w:t>.</w:t>
      </w:r>
    </w:p>
    <w:p w14:paraId="7E631E19" w14:textId="77777777" w:rsidR="008873D3" w:rsidRDefault="001C2394" w:rsidP="008873D3">
      <w:pPr>
        <w:pStyle w:val="SDMPara"/>
        <w:numPr>
          <w:ilvl w:val="0"/>
          <w:numId w:val="0"/>
        </w:numPr>
        <w:suppressAutoHyphens/>
        <w:ind w:left="709"/>
      </w:pPr>
      <w:r w:rsidRPr="001C2394">
        <w:t xml:space="preserve">Gill-Wiehl, </w:t>
      </w:r>
      <w:r w:rsidR="00A37BE6" w:rsidRPr="001C2394">
        <w:t>Annelise</w:t>
      </w:r>
      <w:r w:rsidR="00A37BE6">
        <w:t>,</w:t>
      </w:r>
      <w:r w:rsidRPr="001C2394">
        <w:t xml:space="preserve"> Marie Hogan &amp; Barbara K. Haya (under review) Quantifying leakage from cookstove projects. Submitted in 2025</w:t>
      </w:r>
      <w:r w:rsidR="007A77BF">
        <w:t>.</w:t>
      </w:r>
    </w:p>
    <w:p w14:paraId="5C200D16" w14:textId="24988E51" w:rsidR="008873D3" w:rsidRDefault="001C2394" w:rsidP="008873D3">
      <w:pPr>
        <w:pStyle w:val="SDMPara"/>
        <w:numPr>
          <w:ilvl w:val="0"/>
          <w:numId w:val="0"/>
        </w:numPr>
        <w:suppressAutoHyphens/>
        <w:ind w:left="709"/>
      </w:pPr>
      <w:r w:rsidRPr="001C2394">
        <w:t>Gill-Wiehl, A.; Kammen, D. M.; Haya, B. K. (2024) Pervasive Over-Crediting from Cookstove Offset Methodologies. Nat. Sustain, 7(2), 191−202. DOI: 10.1038/s41893-023-01259-6</w:t>
      </w:r>
      <w:r w:rsidR="008873D3">
        <w:t>.</w:t>
      </w:r>
    </w:p>
    <w:p w14:paraId="501B0687" w14:textId="18D98C23" w:rsidR="008873D3" w:rsidRDefault="001C2394" w:rsidP="008873D3">
      <w:pPr>
        <w:pStyle w:val="SDMPara"/>
        <w:numPr>
          <w:ilvl w:val="0"/>
          <w:numId w:val="0"/>
        </w:numPr>
        <w:suppressAutoHyphens/>
        <w:ind w:left="709"/>
      </w:pPr>
      <w:r w:rsidRPr="001C2394">
        <w:t xml:space="preserve">IEA (2025), Tracking SDG7: The energy progress report 2025, International Energy Agency, International Renewable Energy Agency, United Nations Statistics Division, World Bank and World Health Organization, Geneva, </w:t>
      </w:r>
      <w:hyperlink r:id="rId46" w:history="1">
        <w:r w:rsidRPr="00D267C9">
          <w:rPr>
            <w:color w:val="0000FF"/>
            <w:u w:val="single"/>
          </w:rPr>
          <w:t>www.irena.org/-/media/Files/IRENA/Agency/Publication/2025/Jun/IRENA_POL_Tracking_SDG7_energy_progress_2025.pdf</w:t>
        </w:r>
      </w:hyperlink>
      <w:r w:rsidR="008873D3">
        <w:t>.</w:t>
      </w:r>
    </w:p>
    <w:p w14:paraId="33AD2023" w14:textId="77777777" w:rsidR="008873D3" w:rsidRDefault="002C2470" w:rsidP="008873D3">
      <w:pPr>
        <w:pStyle w:val="SDMPara"/>
        <w:numPr>
          <w:ilvl w:val="0"/>
          <w:numId w:val="0"/>
        </w:numPr>
        <w:suppressAutoHyphens/>
        <w:ind w:left="709"/>
      </w:pPr>
      <w:r w:rsidRPr="001C695C">
        <w:rPr>
          <w:lang w:val="en-US"/>
        </w:rPr>
        <w:t xml:space="preserve">Jagger, P., Das, I., Handa, V., Nylander-French, L., &amp; Yeatts, K. (2017). </w:t>
      </w:r>
      <w:r w:rsidRPr="002C2470">
        <w:t xml:space="preserve">Fuel efficiency and air pollutant concentrations of wood-burning improved cookstoves compared to traditional three-stone fires in household cooking settings. </w:t>
      </w:r>
      <w:r w:rsidRPr="002C2470">
        <w:rPr>
          <w:i/>
          <w:iCs/>
        </w:rPr>
        <w:t>Environmental Research Letters, 12</w:t>
      </w:r>
      <w:r w:rsidRPr="002C2470">
        <w:t>(4).</w:t>
      </w:r>
    </w:p>
    <w:p w14:paraId="79ED1992" w14:textId="31D1CFE2" w:rsidR="008873D3" w:rsidRDefault="001C2394" w:rsidP="008873D3">
      <w:pPr>
        <w:pStyle w:val="SDMPara"/>
        <w:numPr>
          <w:ilvl w:val="0"/>
          <w:numId w:val="0"/>
        </w:numPr>
        <w:suppressAutoHyphens/>
        <w:ind w:left="709"/>
      </w:pPr>
      <w:r w:rsidRPr="001C2394">
        <w:t>Jetter,</w:t>
      </w:r>
      <w:r w:rsidR="00A37BE6">
        <w:t xml:space="preserve"> </w:t>
      </w:r>
      <w:r w:rsidR="005004B2" w:rsidRPr="005004B2">
        <w:t xml:space="preserve">J., Zhao, Y., Smith, K. R., Khan, B., Yelverton, T., DeCarlo, P., &amp; Hays, M. D. (2012). </w:t>
      </w:r>
      <w:r w:rsidR="005004B2" w:rsidRPr="005004B2">
        <w:rPr>
          <w:i/>
          <w:iCs/>
        </w:rPr>
        <w:t>Pollutant emissions and energy efficiency under controlled conditions for household biomass cookstoves and implications for metrics useful in setting international test standards</w:t>
      </w:r>
      <w:r w:rsidR="005004B2" w:rsidRPr="005004B2">
        <w:t xml:space="preserve">. </w:t>
      </w:r>
      <w:r w:rsidR="005004B2" w:rsidRPr="005004B2">
        <w:rPr>
          <w:i/>
          <w:iCs/>
        </w:rPr>
        <w:t>Environmental Science &amp; Technology, 46</w:t>
      </w:r>
      <w:r w:rsidR="005004B2" w:rsidRPr="005004B2">
        <w:t xml:space="preserve">(19), 10827–10834. </w:t>
      </w:r>
      <w:hyperlink r:id="rId47" w:history="1">
        <w:r w:rsidR="004E008E" w:rsidRPr="002E4108">
          <w:rPr>
            <w:rStyle w:val="Hyperlink"/>
          </w:rPr>
          <w:t>https://doi.org/10.1021/es30169</w:t>
        </w:r>
      </w:hyperlink>
      <w:r w:rsidR="007A77BF">
        <w:t>.</w:t>
      </w:r>
    </w:p>
    <w:p w14:paraId="3AF6B055" w14:textId="77777777" w:rsidR="008873D3" w:rsidRDefault="00380488" w:rsidP="008873D3">
      <w:pPr>
        <w:pStyle w:val="SDMPara"/>
        <w:numPr>
          <w:ilvl w:val="0"/>
          <w:numId w:val="0"/>
        </w:numPr>
        <w:suppressAutoHyphens/>
        <w:ind w:left="709"/>
      </w:pPr>
      <w:r w:rsidRPr="00B1243A">
        <w:t xml:space="preserve">Hafner, J. M., Uckert, G., Hoffmann, H., Rosenstock, T. S., Sieber, S., &amp; Kimaro, A. A. (2020). </w:t>
      </w:r>
      <w:r w:rsidRPr="00380488">
        <w:rPr>
          <w:i/>
          <w:iCs/>
        </w:rPr>
        <w:t>Efficiency of three-stone fire and improved cooking stoves using on-farm and off-farm fuels in semi-arid Tanzania</w:t>
      </w:r>
      <w:r w:rsidRPr="00380488">
        <w:t xml:space="preserve">. </w:t>
      </w:r>
      <w:r w:rsidRPr="003E3188">
        <w:t>Energy for Sustainable Development, 59,</w:t>
      </w:r>
      <w:r w:rsidRPr="00380488">
        <w:t xml:space="preserve"> 135–143.</w:t>
      </w:r>
    </w:p>
    <w:p w14:paraId="43734991" w14:textId="77777777" w:rsidR="008873D3" w:rsidRDefault="00E67FA3" w:rsidP="008873D3">
      <w:pPr>
        <w:pStyle w:val="SDMPara"/>
        <w:numPr>
          <w:ilvl w:val="0"/>
          <w:numId w:val="0"/>
        </w:numPr>
        <w:suppressAutoHyphens/>
        <w:ind w:left="709"/>
      </w:pPr>
      <w:r w:rsidRPr="00E67FA3">
        <w:t xml:space="preserve">MacCarty, N., Ogle, D., Still, D., Bond, T., &amp; Roden, C. (2008). A laboratory comparison of the global warming impact of five major types of biomass cooking stoves. </w:t>
      </w:r>
      <w:r w:rsidRPr="00E67FA3">
        <w:rPr>
          <w:i/>
          <w:iCs/>
        </w:rPr>
        <w:t>Energy for Sustainable Development, 12</w:t>
      </w:r>
      <w:r w:rsidRPr="00E67FA3">
        <w:t>(2), 56–65.</w:t>
      </w:r>
    </w:p>
    <w:p w14:paraId="197E2574" w14:textId="77777777" w:rsidR="008873D3" w:rsidRDefault="00D312F3" w:rsidP="008873D3">
      <w:pPr>
        <w:pStyle w:val="SDMPara"/>
        <w:numPr>
          <w:ilvl w:val="0"/>
          <w:numId w:val="0"/>
        </w:numPr>
        <w:suppressAutoHyphens/>
        <w:ind w:left="709"/>
      </w:pPr>
      <w:r>
        <w:t xml:space="preserve">MacCarty, Nordica, </w:t>
      </w:r>
      <w:r w:rsidR="00887F26">
        <w:t xml:space="preserve">Dean Still, and Damon Ogle, </w:t>
      </w:r>
      <w:r w:rsidR="009D5577">
        <w:t xml:space="preserve">(2010), </w:t>
      </w:r>
      <w:r w:rsidR="00011786">
        <w:t>“Fuel use and emissions performance of fifty cooking stoves in the laboratory and related benchmarks of performance</w:t>
      </w:r>
      <w:r w:rsidR="009D5577">
        <w:t>.</w:t>
      </w:r>
      <w:r w:rsidR="00011786">
        <w:t>”</w:t>
      </w:r>
      <w:r w:rsidR="009D5577">
        <w:t xml:space="preserve"> </w:t>
      </w:r>
      <w:r w:rsidR="00EF38E9">
        <w:t>Energy for Sustainable Development 14(2010) 161-171</w:t>
      </w:r>
      <w:r w:rsidR="002B4D65">
        <w:t>, DOI:</w:t>
      </w:r>
      <w:r w:rsidR="009B700F">
        <w:t> </w:t>
      </w:r>
      <w:r w:rsidR="002B4D65" w:rsidRPr="002B4D65">
        <w:t>10.1016/j.esd.2010.06.002</w:t>
      </w:r>
      <w:r w:rsidR="002B4D65">
        <w:t>.</w:t>
      </w:r>
    </w:p>
    <w:p w14:paraId="57591B93" w14:textId="77777777" w:rsidR="008873D3" w:rsidRDefault="004D0758" w:rsidP="008873D3">
      <w:pPr>
        <w:pStyle w:val="SDMPara"/>
        <w:numPr>
          <w:ilvl w:val="0"/>
          <w:numId w:val="0"/>
        </w:numPr>
        <w:suppressAutoHyphens/>
        <w:ind w:left="709"/>
      </w:pPr>
      <w:r w:rsidRPr="004D0758">
        <w:t>Pennise, D., K. R. Smith, J. P. Kithinji, M. E. Rezende, T. J. Raad, J. Zhang, and C. Fan. “Emissions of Greenhouse Gases and Other Airborne Pollutants from Charcoal-Making in Kenya and Brazil.” Journal of Geophysical Research-Atmosphere 106 (2001): 24143–55</w:t>
      </w:r>
      <w:r w:rsidR="00615311">
        <w:t>.</w:t>
      </w:r>
    </w:p>
    <w:p w14:paraId="228FDFB8" w14:textId="77777777" w:rsidR="008873D3" w:rsidRDefault="00A51EB1" w:rsidP="008873D3">
      <w:pPr>
        <w:pStyle w:val="SDMPara"/>
        <w:numPr>
          <w:ilvl w:val="0"/>
          <w:numId w:val="0"/>
        </w:numPr>
        <w:suppressAutoHyphens/>
        <w:ind w:left="709"/>
      </w:pPr>
      <w:r>
        <w:t xml:space="preserve">Simons, A. M., Beltramo, T., Blalock, G. &amp; Levine, D. I., (2017), Using unobtrusive sensors </w:t>
      </w:r>
      <w:r w:rsidRPr="003F15DB">
        <w:t>to measure and minimize Hawthorne effects: evidence from cookstoves. J. Environ. Econ. Manage. 86, 68–80 (2017).</w:t>
      </w:r>
    </w:p>
    <w:p w14:paraId="0BECA003" w14:textId="77777777" w:rsidR="008873D3" w:rsidRDefault="004D0758" w:rsidP="008873D3">
      <w:pPr>
        <w:pStyle w:val="SDMPara"/>
        <w:numPr>
          <w:ilvl w:val="0"/>
          <w:numId w:val="0"/>
        </w:numPr>
        <w:suppressAutoHyphens/>
        <w:ind w:left="709"/>
      </w:pPr>
      <w:r w:rsidRPr="003F15DB">
        <w:t>Smith, K. R., D. P. Pennise, P. Khummongkol, V. Chaiwong, K. Ritgeen, J. Zhang, W.</w:t>
      </w:r>
      <w:r w:rsidR="00D52E6D" w:rsidRPr="003F15DB">
        <w:t> </w:t>
      </w:r>
      <w:r w:rsidRPr="003F15DB">
        <w:t>Panyathanya, R. A. Rasmussen, and M. A. K. Khalil. “Greenhouse Gases from Small-Scale Combustion in Developing Countries: Charcoal Making Kilns in Thailand.” Research Triangle Park, NC: US EPA, 1999</w:t>
      </w:r>
      <w:r w:rsidR="00615311" w:rsidRPr="003F15DB">
        <w:t>.</w:t>
      </w:r>
    </w:p>
    <w:p w14:paraId="743A9B57" w14:textId="77777777" w:rsidR="008873D3" w:rsidRDefault="00A37BE6" w:rsidP="008873D3">
      <w:pPr>
        <w:pStyle w:val="SDMPara"/>
        <w:numPr>
          <w:ilvl w:val="0"/>
          <w:numId w:val="0"/>
        </w:numPr>
        <w:suppressAutoHyphens/>
        <w:ind w:left="709"/>
      </w:pPr>
      <w:r w:rsidRPr="003F15DB">
        <w:t>Smith, Kirk, R. Uma, V. V. N. Kishore, et al. Greenhouse Gases From Small-Scale Combustion Devices In Developing Countries Phase IIa: Household Stoves In India. EPA-600/R-00-052. US Environmental Protection Agency, 2000.</w:t>
      </w:r>
    </w:p>
    <w:p w14:paraId="415DC57A" w14:textId="5BC894EA" w:rsidR="008873D3" w:rsidRDefault="00E7486C" w:rsidP="008873D3">
      <w:pPr>
        <w:pStyle w:val="SDMPara"/>
        <w:numPr>
          <w:ilvl w:val="0"/>
          <w:numId w:val="0"/>
        </w:numPr>
        <w:suppressAutoHyphens/>
        <w:ind w:left="709"/>
        <w:rPr>
          <w:lang w:val="fr-FR"/>
        </w:rPr>
      </w:pPr>
      <w:r w:rsidRPr="003F15DB">
        <w:t xml:space="preserve">Still, </w:t>
      </w:r>
      <w:r w:rsidR="00D453DB" w:rsidRPr="003F15DB">
        <w:t xml:space="preserve">Dean, Bentson, Samuel, and Li, Haixi, </w:t>
      </w:r>
      <w:r w:rsidR="00F165BC" w:rsidRPr="003F15DB">
        <w:t>(2015</w:t>
      </w:r>
      <w:r w:rsidR="00C6019D" w:rsidRPr="003F15DB">
        <w:t>)</w:t>
      </w:r>
      <w:r w:rsidR="00F165BC" w:rsidRPr="003F15DB">
        <w:t xml:space="preserve">, Results of Laboratory Testing of 15 Cookstove Designs in Accordance with the ISO/IWA Tiers of Performance. </w:t>
      </w:r>
      <w:r w:rsidR="00741F22" w:rsidRPr="003F15DB">
        <w:t>EcoHealth 12, 12–24, 2015</w:t>
      </w:r>
      <w:r w:rsidR="00B964CD" w:rsidRPr="003F15DB">
        <w:t xml:space="preserve">, </w:t>
      </w:r>
      <w:r w:rsidR="00741F22" w:rsidRPr="003F15DB">
        <w:t>DOI: 10.1007/s10393-014-0955-6</w:t>
      </w:r>
      <w:r w:rsidR="00B964CD" w:rsidRPr="003F15DB">
        <w:t>.</w:t>
      </w:r>
      <w:r w:rsidR="00615311" w:rsidRPr="003F15DB">
        <w:br/>
      </w:r>
      <w:r w:rsidR="00615311" w:rsidRPr="003F15DB">
        <w:br/>
      </w:r>
      <w:r w:rsidR="0090035F" w:rsidRPr="003F15DB">
        <w:t>Stoner, O., Lewis, J., Martínez, I.L. et al.</w:t>
      </w:r>
      <w:r w:rsidR="00DB1EF3" w:rsidRPr="003F15DB">
        <w:t>, (2021),</w:t>
      </w:r>
      <w:r w:rsidR="0090035F" w:rsidRPr="003F15DB">
        <w:t xml:space="preserve"> Household cooking fuel estimates at global and country level for 1990 to 2030. </w:t>
      </w:r>
      <w:r w:rsidR="0090035F" w:rsidRPr="001B1236">
        <w:rPr>
          <w:lang w:val="fr-FR"/>
        </w:rPr>
        <w:t xml:space="preserve">Nat Commun 12, 5793 (2021). </w:t>
      </w:r>
      <w:hyperlink r:id="rId48" w:history="1">
        <w:r w:rsidR="0090035F" w:rsidRPr="001B1236">
          <w:rPr>
            <w:rStyle w:val="Hyperlink"/>
            <w:lang w:val="fr-FR"/>
          </w:rPr>
          <w:t>https://doi.org/10.1038/s41467-021-26036-x</w:t>
        </w:r>
      </w:hyperlink>
      <w:r w:rsidR="0090035F" w:rsidRPr="001B1236">
        <w:rPr>
          <w:lang w:val="fr-FR"/>
        </w:rPr>
        <w:t>.</w:t>
      </w:r>
    </w:p>
    <w:p w14:paraId="2F6B5330" w14:textId="77777777" w:rsidR="008873D3" w:rsidRDefault="00A170FA" w:rsidP="008873D3">
      <w:pPr>
        <w:pStyle w:val="SDMPara"/>
        <w:numPr>
          <w:ilvl w:val="0"/>
          <w:numId w:val="0"/>
        </w:numPr>
        <w:suppressAutoHyphens/>
        <w:ind w:left="709"/>
      </w:pPr>
      <w:r w:rsidRPr="001B1236">
        <w:rPr>
          <w:lang w:val="fr-FR"/>
        </w:rPr>
        <w:t xml:space="preserve">Sutar, K. B., Kohli, S., Ravi, M. R., &amp; Ray, A. (2018). </w:t>
      </w:r>
      <w:r w:rsidRPr="003F15DB">
        <w:t xml:space="preserve">Experimental investigation on thermal performance of three natural draft biomass cookstoves. </w:t>
      </w:r>
      <w:r w:rsidRPr="003F15DB">
        <w:rPr>
          <w:i/>
          <w:iCs/>
        </w:rPr>
        <w:t>Energy Efficiency, 11</w:t>
      </w:r>
      <w:r w:rsidRPr="003F15DB">
        <w:t>(5), 1157–1174.</w:t>
      </w:r>
    </w:p>
    <w:p w14:paraId="0BFC4B34" w14:textId="77777777" w:rsidR="008873D3" w:rsidRDefault="000E027D" w:rsidP="008873D3">
      <w:pPr>
        <w:pStyle w:val="SDMPara"/>
        <w:numPr>
          <w:ilvl w:val="0"/>
          <w:numId w:val="0"/>
        </w:numPr>
        <w:suppressAutoHyphens/>
        <w:ind w:left="709"/>
      </w:pPr>
      <w:r w:rsidRPr="003F15DB">
        <w:t xml:space="preserve">Sultane, A. (2018). </w:t>
      </w:r>
      <w:r w:rsidRPr="003F15DB">
        <w:rPr>
          <w:i/>
          <w:iCs/>
        </w:rPr>
        <w:t>Studies of energy efficiency and market access of domestic charcoal stoves in Maputo, Mozambique</w:t>
      </w:r>
      <w:r w:rsidRPr="003F15DB">
        <w:t xml:space="preserve"> (Master’s thesis). KTH Royal Institute of Technology.</w:t>
      </w:r>
    </w:p>
    <w:p w14:paraId="1321C489" w14:textId="77777777" w:rsidR="008873D3" w:rsidRDefault="00C73E20" w:rsidP="008873D3">
      <w:pPr>
        <w:pStyle w:val="SDMPara"/>
        <w:numPr>
          <w:ilvl w:val="0"/>
          <w:numId w:val="0"/>
        </w:numPr>
        <w:suppressAutoHyphens/>
        <w:ind w:left="709"/>
      </w:pPr>
      <w:r w:rsidRPr="003F15DB">
        <w:t>Urban,</w:t>
      </w:r>
      <w:r w:rsidR="00A37BE6" w:rsidRPr="003F15DB">
        <w:t xml:space="preserve"> Jessie</w:t>
      </w:r>
      <w:r w:rsidRPr="003F15DB">
        <w:t xml:space="preserve">, Jaden Berger, Yamungu Botha, Gloria Boafo-Mensah, Patience Agbedor, Samuel Bentson, and Nordica MacCarty (2026) Quantifying charcoal conversion factors throughout the value chain in Malawi and Ghana, </w:t>
      </w:r>
      <w:r w:rsidR="0094740D" w:rsidRPr="003F15DB">
        <w:t>Biomass and Bioenergy</w:t>
      </w:r>
      <w:r w:rsidRPr="003F15DB">
        <w:t xml:space="preserve"> </w:t>
      </w:r>
      <w:r w:rsidR="0094740D" w:rsidRPr="003F15DB">
        <w:t>209</w:t>
      </w:r>
      <w:r w:rsidRPr="003F15DB">
        <w:t xml:space="preserve"> (</w:t>
      </w:r>
      <w:r w:rsidR="00A67CA1" w:rsidRPr="003F15DB">
        <w:t>2026</w:t>
      </w:r>
      <w:r w:rsidRPr="003F15DB">
        <w:t xml:space="preserve">), </w:t>
      </w:r>
      <w:r w:rsidR="003E52B3" w:rsidRPr="003F15DB">
        <w:t>108914</w:t>
      </w:r>
      <w:r w:rsidRPr="003F15DB">
        <w:t>,</w:t>
      </w:r>
      <w:r w:rsidR="00CB1F3C" w:rsidRPr="003F15DB">
        <w:t xml:space="preserve"> DOI: </w:t>
      </w:r>
      <w:r w:rsidR="00007029" w:rsidRPr="003F15DB">
        <w:t>10.1016/j.biombioe.2025.108914</w:t>
      </w:r>
      <w:r w:rsidRPr="003F15DB">
        <w:t>.</w:t>
      </w:r>
    </w:p>
    <w:p w14:paraId="69796982" w14:textId="77777777" w:rsidR="008873D3" w:rsidRDefault="001C2394" w:rsidP="008873D3">
      <w:pPr>
        <w:pStyle w:val="SDMPara"/>
        <w:numPr>
          <w:ilvl w:val="0"/>
          <w:numId w:val="0"/>
        </w:numPr>
        <w:suppressAutoHyphens/>
        <w:ind w:left="709"/>
      </w:pPr>
      <w:r w:rsidRPr="003F15DB">
        <w:t>Urban,</w:t>
      </w:r>
      <w:r w:rsidR="00A37BE6" w:rsidRPr="003F15DB">
        <w:t xml:space="preserve"> Jessie</w:t>
      </w:r>
      <w:r w:rsidRPr="003F15DB">
        <w:t>, Jaden Berger, Yamungu Botha, Gloria Boafo-Mensah, Joan Khalifa, Aubrey Mkwate, Ferdinand Tornyie, Kofi Ampomah-Benefo, Patience Agbedor, Nathan Bogonko, Samuel Bentson, and Nordica MacCarty (2025) Quantifying the Efficiency and Fuel Consumption of Cooking with Traditional Wood and Charcoal Stoves in Malawi, Ghana, and Kenya, Environmental Science &amp; Technology 59 (32), 16913-16922, DOI:</w:t>
      </w:r>
      <w:r w:rsidR="00706EF6" w:rsidRPr="003F15DB">
        <w:t> </w:t>
      </w:r>
      <w:r w:rsidRPr="003F15DB">
        <w:t>10.1021/acs.est.5c03702</w:t>
      </w:r>
      <w:r w:rsidR="00236BDA" w:rsidRPr="003F15DB">
        <w:t>.</w:t>
      </w:r>
    </w:p>
    <w:p w14:paraId="146AA232" w14:textId="77777777" w:rsidR="008873D3" w:rsidRDefault="00CB62FF" w:rsidP="008873D3">
      <w:pPr>
        <w:pStyle w:val="SDMPara"/>
        <w:numPr>
          <w:ilvl w:val="0"/>
          <w:numId w:val="0"/>
        </w:numPr>
        <w:suppressAutoHyphens/>
        <w:ind w:left="709"/>
      </w:pPr>
      <w:r w:rsidRPr="003F15DB">
        <w:t>Wilson, D.L., D.R. Talancon, R.L. Winslow, X. Linares</w:t>
      </w:r>
      <w:r w:rsidR="00AE488F" w:rsidRPr="003F15DB">
        <w:t xml:space="preserve">, and A.J. Gadgil (2016) Avoided emissions of a fuel-efficient biomass cookstove </w:t>
      </w:r>
      <w:r w:rsidR="005028C9" w:rsidRPr="003F15DB">
        <w:t>dwarf</w:t>
      </w:r>
      <w:r w:rsidR="00AE488F" w:rsidRPr="003F15DB">
        <w:t xml:space="preserve"> embodied emissions</w:t>
      </w:r>
      <w:r w:rsidR="00C55AAA" w:rsidRPr="003F15DB">
        <w:t xml:space="preserve">, Development Engineering Volume 1, June 2016, 45-52, DOI: </w:t>
      </w:r>
      <w:r w:rsidR="005E5F48" w:rsidRPr="003F15DB">
        <w:t>10.1016/j.deveng.2016.01.001</w:t>
      </w:r>
      <w:r w:rsidR="00CE1609" w:rsidRPr="003F15DB">
        <w:t>.</w:t>
      </w:r>
    </w:p>
    <w:p w14:paraId="174E8206" w14:textId="0EA6146F" w:rsidR="00CB62FF" w:rsidRPr="001C2394" w:rsidRDefault="004458A0" w:rsidP="008873D3">
      <w:pPr>
        <w:pStyle w:val="SDMPara"/>
        <w:numPr>
          <w:ilvl w:val="0"/>
          <w:numId w:val="0"/>
        </w:numPr>
        <w:suppressAutoHyphens/>
        <w:ind w:left="709"/>
      </w:pPr>
      <w:r w:rsidRPr="003F15DB">
        <w:t xml:space="preserve">Zhang, Y., et al. (2018). Assessment of pollutant emissions and energy efficiency of charcoal stoves. </w:t>
      </w:r>
      <w:r w:rsidRPr="003F15DB">
        <w:rPr>
          <w:i/>
          <w:iCs/>
        </w:rPr>
        <w:t>Energy for Sustainable Development</w:t>
      </w:r>
      <w:r w:rsidRPr="003F15DB">
        <w:t>.</w:t>
      </w:r>
    </w:p>
    <w:bookmarkEnd w:id="22"/>
    <w:bookmarkEnd w:id="23"/>
    <w:bookmarkEnd w:id="24"/>
    <w:bookmarkEnd w:id="25"/>
    <w:bookmarkEnd w:id="26"/>
    <w:bookmarkEnd w:id="27"/>
    <w:p w14:paraId="0132A59F" w14:textId="77777777" w:rsidR="002454C9" w:rsidRDefault="002454C9" w:rsidP="002454C9">
      <w:pPr>
        <w:spacing w:before="240"/>
        <w:jc w:val="center"/>
        <w:rPr>
          <w:rFonts w:cs="Arial"/>
        </w:rPr>
      </w:pPr>
      <w:r>
        <w:rPr>
          <w:rFonts w:cs="Arial"/>
        </w:rPr>
        <w:t>- - - - -</w:t>
      </w:r>
    </w:p>
    <w:p w14:paraId="12F7AAA9" w14:textId="37A5AB87" w:rsidR="004B41FE" w:rsidRPr="004B41FE" w:rsidRDefault="00F640D5" w:rsidP="004B41FE">
      <w:pPr>
        <w:keepNext/>
        <w:keepLines/>
        <w:spacing w:before="480" w:after="240"/>
        <w:jc w:val="center"/>
        <w:rPr>
          <w:rFonts w:cs="Arial"/>
          <w:b/>
          <w:szCs w:val="22"/>
        </w:rPr>
      </w:pPr>
      <w:r>
        <w:rPr>
          <w:rFonts w:cs="Arial"/>
          <w:b/>
          <w:szCs w:val="22"/>
        </w:rPr>
        <w:t>Document information</w:t>
      </w:r>
    </w:p>
    <w:tbl>
      <w:tblPr>
        <w:tblW w:w="5000" w:type="pct"/>
        <w:jc w:val="center"/>
        <w:tblLayout w:type="fixed"/>
        <w:tblLook w:val="0000" w:firstRow="0" w:lastRow="0" w:firstColumn="0" w:lastColumn="0" w:noHBand="0" w:noVBand="0"/>
      </w:tblPr>
      <w:tblGrid>
        <w:gridCol w:w="1560"/>
        <w:gridCol w:w="2409"/>
        <w:gridCol w:w="5386"/>
      </w:tblGrid>
      <w:tr w:rsidR="004B41FE" w:rsidRPr="004B41FE" w14:paraId="14397C49" w14:textId="77777777" w:rsidTr="00A84E64">
        <w:trPr>
          <w:trHeight w:val="113"/>
          <w:tblHeader/>
          <w:jc w:val="center"/>
        </w:trPr>
        <w:tc>
          <w:tcPr>
            <w:tcW w:w="1560" w:type="dxa"/>
            <w:tcBorders>
              <w:top w:val="single" w:sz="4" w:space="0" w:color="auto"/>
              <w:bottom w:val="single" w:sz="12" w:space="0" w:color="auto"/>
            </w:tcBorders>
            <w:tcMar>
              <w:top w:w="80" w:type="dxa"/>
              <w:bottom w:w="80" w:type="dxa"/>
            </w:tcMar>
            <w:vAlign w:val="center"/>
          </w:tcPr>
          <w:p w14:paraId="425AC833" w14:textId="77777777" w:rsidR="004B41FE" w:rsidRPr="004B41FE" w:rsidRDefault="004B41FE" w:rsidP="004B41FE">
            <w:pPr>
              <w:keepNext/>
              <w:keepLines/>
              <w:rPr>
                <w:rFonts w:cs="Arial"/>
                <w:i/>
                <w:sz w:val="16"/>
                <w:szCs w:val="16"/>
              </w:rPr>
            </w:pPr>
            <w:r w:rsidRPr="004B41FE">
              <w:rPr>
                <w:rFonts w:cs="Arial"/>
                <w:i/>
                <w:sz w:val="16"/>
                <w:szCs w:val="16"/>
              </w:rPr>
              <w:t>Version</w:t>
            </w:r>
          </w:p>
        </w:tc>
        <w:tc>
          <w:tcPr>
            <w:tcW w:w="2409" w:type="dxa"/>
            <w:tcBorders>
              <w:top w:val="single" w:sz="4" w:space="0" w:color="auto"/>
              <w:bottom w:val="single" w:sz="12" w:space="0" w:color="auto"/>
            </w:tcBorders>
            <w:tcMar>
              <w:top w:w="80" w:type="dxa"/>
              <w:bottom w:w="80" w:type="dxa"/>
            </w:tcMar>
            <w:vAlign w:val="center"/>
          </w:tcPr>
          <w:p w14:paraId="2FBF115A" w14:textId="77777777" w:rsidR="004B41FE" w:rsidRPr="004B41FE" w:rsidRDefault="004B41FE" w:rsidP="004B41FE">
            <w:pPr>
              <w:keepNext/>
              <w:keepLines/>
              <w:rPr>
                <w:rFonts w:cs="Arial"/>
                <w:i/>
                <w:sz w:val="16"/>
                <w:szCs w:val="16"/>
              </w:rPr>
            </w:pPr>
            <w:r w:rsidRPr="004B41FE">
              <w:rPr>
                <w:rFonts w:cs="Arial"/>
                <w:i/>
                <w:sz w:val="16"/>
                <w:szCs w:val="16"/>
              </w:rPr>
              <w:t>Date</w:t>
            </w:r>
          </w:p>
        </w:tc>
        <w:tc>
          <w:tcPr>
            <w:tcW w:w="5386" w:type="dxa"/>
            <w:tcBorders>
              <w:top w:val="single" w:sz="4" w:space="0" w:color="auto"/>
              <w:bottom w:val="single" w:sz="12" w:space="0" w:color="auto"/>
            </w:tcBorders>
            <w:tcMar>
              <w:top w:w="80" w:type="dxa"/>
              <w:bottom w:w="80" w:type="dxa"/>
            </w:tcMar>
            <w:vAlign w:val="center"/>
          </w:tcPr>
          <w:p w14:paraId="50096A22" w14:textId="77777777" w:rsidR="004B41FE" w:rsidRPr="004B41FE" w:rsidRDefault="004B41FE" w:rsidP="004B41FE">
            <w:pPr>
              <w:keepNext/>
              <w:keepLines/>
              <w:rPr>
                <w:rFonts w:cs="Arial"/>
                <w:i/>
                <w:sz w:val="16"/>
                <w:szCs w:val="16"/>
              </w:rPr>
            </w:pPr>
            <w:r w:rsidRPr="004B41FE">
              <w:rPr>
                <w:rFonts w:cs="Arial"/>
                <w:i/>
                <w:sz w:val="16"/>
                <w:szCs w:val="16"/>
              </w:rPr>
              <w:t>Description</w:t>
            </w:r>
          </w:p>
        </w:tc>
      </w:tr>
      <w:tr w:rsidR="00D14468" w:rsidRPr="004B41FE" w14:paraId="7AB5BB3F" w14:textId="77777777" w:rsidTr="00A84E64">
        <w:trPr>
          <w:trHeight w:val="113"/>
          <w:jc w:val="center"/>
        </w:trPr>
        <w:tc>
          <w:tcPr>
            <w:tcW w:w="1560" w:type="dxa"/>
            <w:tcBorders>
              <w:bottom w:val="single" w:sz="4" w:space="0" w:color="auto"/>
            </w:tcBorders>
          </w:tcPr>
          <w:p w14:paraId="7CF86BF7" w14:textId="5E192C58" w:rsidR="00D14468" w:rsidRPr="004B41FE" w:rsidRDefault="00D14468" w:rsidP="00ED554C">
            <w:pPr>
              <w:keepLines/>
              <w:spacing w:before="80" w:after="80" w:line="259" w:lineRule="auto"/>
              <w:ind w:left="142"/>
              <w:rPr>
                <w:rFonts w:cs="Arial"/>
                <w:sz w:val="20"/>
              </w:rPr>
            </w:pPr>
            <w:r w:rsidRPr="00D14468">
              <w:rPr>
                <w:rFonts w:cs="Arial"/>
                <w:sz w:val="20"/>
              </w:rPr>
              <w:t>01.0</w:t>
            </w:r>
          </w:p>
        </w:tc>
        <w:tc>
          <w:tcPr>
            <w:tcW w:w="2409" w:type="dxa"/>
            <w:tcBorders>
              <w:bottom w:val="single" w:sz="4" w:space="0" w:color="auto"/>
            </w:tcBorders>
          </w:tcPr>
          <w:p w14:paraId="6152DD76" w14:textId="6D8BD085" w:rsidR="00D14468" w:rsidRPr="004B41FE" w:rsidRDefault="008929A0" w:rsidP="00ED554C">
            <w:pPr>
              <w:keepLines/>
              <w:spacing w:before="80" w:after="80"/>
              <w:ind w:left="142"/>
              <w:rPr>
                <w:rFonts w:cs="Arial"/>
                <w:sz w:val="20"/>
              </w:rPr>
            </w:pPr>
            <w:r>
              <w:rPr>
                <w:rFonts w:cs="Arial"/>
                <w:sz w:val="20"/>
              </w:rPr>
              <w:t>09</w:t>
            </w:r>
            <w:r w:rsidR="00D14468" w:rsidRPr="00D14468">
              <w:rPr>
                <w:rFonts w:cs="Arial"/>
                <w:sz w:val="20"/>
              </w:rPr>
              <w:t xml:space="preserve"> </w:t>
            </w:r>
            <w:r>
              <w:rPr>
                <w:rFonts w:cs="Arial"/>
                <w:sz w:val="20"/>
              </w:rPr>
              <w:t>October</w:t>
            </w:r>
            <w:r w:rsidR="00D14468" w:rsidRPr="00D14468">
              <w:rPr>
                <w:rFonts w:cs="Arial"/>
                <w:sz w:val="20"/>
              </w:rPr>
              <w:t xml:space="preserve"> 2026</w:t>
            </w:r>
          </w:p>
        </w:tc>
        <w:tc>
          <w:tcPr>
            <w:tcW w:w="5386" w:type="dxa"/>
            <w:tcBorders>
              <w:bottom w:val="single" w:sz="4" w:space="0" w:color="auto"/>
            </w:tcBorders>
          </w:tcPr>
          <w:p w14:paraId="3A8BFDF7" w14:textId="77777777" w:rsidR="006D7610" w:rsidRPr="006D7610" w:rsidRDefault="006D7610" w:rsidP="006D7610">
            <w:pPr>
              <w:suppressAutoHyphens/>
              <w:spacing w:before="80" w:after="80"/>
              <w:ind w:left="142"/>
              <w:rPr>
                <w:rFonts w:cs="Arial"/>
                <w:sz w:val="20"/>
                <w:lang w:val="en-US"/>
              </w:rPr>
            </w:pPr>
            <w:r w:rsidRPr="006D7610">
              <w:rPr>
                <w:rFonts w:cs="Arial"/>
                <w:sz w:val="20"/>
              </w:rPr>
              <w:t>SBM 023, Annex 19.</w:t>
            </w:r>
          </w:p>
          <w:p w14:paraId="4306E616" w14:textId="279ABE8E" w:rsidR="00D14468" w:rsidRPr="004B41FE" w:rsidRDefault="006D7610" w:rsidP="006D7610">
            <w:pPr>
              <w:suppressAutoHyphens/>
              <w:spacing w:before="80" w:after="80"/>
              <w:ind w:left="142"/>
              <w:rPr>
                <w:rFonts w:cs="Arial"/>
                <w:sz w:val="20"/>
              </w:rPr>
            </w:pPr>
            <w:r w:rsidRPr="006D7610">
              <w:rPr>
                <w:rFonts w:cs="Arial"/>
                <w:sz w:val="20"/>
              </w:rPr>
              <w:t>Initial adoption.</w:t>
            </w:r>
          </w:p>
        </w:tc>
      </w:tr>
      <w:tr w:rsidR="004B41FE" w:rsidRPr="00D14468" w14:paraId="03D66451" w14:textId="77777777" w:rsidTr="00D14468">
        <w:trPr>
          <w:trHeight w:val="113"/>
          <w:jc w:val="center"/>
        </w:trPr>
        <w:tc>
          <w:tcPr>
            <w:tcW w:w="9355" w:type="dxa"/>
            <w:gridSpan w:val="3"/>
            <w:tcBorders>
              <w:top w:val="single" w:sz="4" w:space="0" w:color="auto"/>
              <w:bottom w:val="single" w:sz="12" w:space="0" w:color="auto"/>
            </w:tcBorders>
          </w:tcPr>
          <w:p w14:paraId="603F9F7D" w14:textId="610F4332" w:rsidR="00D14468" w:rsidRPr="00D14468" w:rsidRDefault="004B41FE" w:rsidP="00D14468">
            <w:pPr>
              <w:keepLines/>
              <w:spacing w:before="80" w:after="80"/>
              <w:ind w:left="142"/>
              <w:rPr>
                <w:rFonts w:cs="Arial"/>
                <w:sz w:val="20"/>
              </w:rPr>
            </w:pPr>
            <w:r w:rsidRPr="00D14468">
              <w:rPr>
                <w:sz w:val="20"/>
              </w:rPr>
              <w:t>Decision Class: Regulatory</w:t>
            </w:r>
            <w:r w:rsidR="00D14468">
              <w:rPr>
                <w:sz w:val="20"/>
              </w:rPr>
              <w:br/>
            </w:r>
            <w:r w:rsidRPr="00D14468">
              <w:rPr>
                <w:rFonts w:cs="Arial"/>
                <w:sz w:val="20"/>
              </w:rPr>
              <w:t>Document Type: Standard</w:t>
            </w:r>
            <w:r w:rsidR="00D14468">
              <w:rPr>
                <w:rFonts w:cs="Arial"/>
                <w:sz w:val="20"/>
              </w:rPr>
              <w:br/>
            </w:r>
            <w:r w:rsidR="00D14468" w:rsidRPr="00D14468">
              <w:rPr>
                <w:rFonts w:cs="Arial"/>
                <w:sz w:val="20"/>
              </w:rPr>
              <w:t>Business Function: Methodology</w:t>
            </w:r>
            <w:r w:rsidR="00D14468">
              <w:rPr>
                <w:rFonts w:cs="Arial"/>
                <w:sz w:val="20"/>
              </w:rPr>
              <w:br/>
            </w:r>
            <w:r w:rsidR="00D14468" w:rsidRPr="00D14468">
              <w:rPr>
                <w:rFonts w:cs="Arial"/>
                <w:sz w:val="20"/>
              </w:rPr>
              <w:t>Keywords: A6.4 mechanism, biomass, energy efficiency, household appliances</w:t>
            </w:r>
            <w:r w:rsidR="00A964A3">
              <w:rPr>
                <w:rFonts w:cs="Arial"/>
                <w:sz w:val="20"/>
              </w:rPr>
              <w:t>, methodologies</w:t>
            </w:r>
            <w:r w:rsidR="00CC58C0">
              <w:rPr>
                <w:rFonts w:cs="Arial"/>
                <w:sz w:val="20"/>
              </w:rPr>
              <w:t>.</w:t>
            </w:r>
          </w:p>
        </w:tc>
      </w:tr>
    </w:tbl>
    <w:p w14:paraId="52D32C19" w14:textId="77777777" w:rsidR="004B41FE" w:rsidRPr="004B41FE" w:rsidRDefault="004B41FE" w:rsidP="004B41FE">
      <w:pPr>
        <w:rPr>
          <w:sz w:val="2"/>
          <w:szCs w:val="2"/>
        </w:rPr>
      </w:pPr>
    </w:p>
    <w:p w14:paraId="6C93F533" w14:textId="77777777" w:rsidR="004B41FE" w:rsidRDefault="004B41FE" w:rsidP="002454C9">
      <w:pPr>
        <w:spacing w:before="240"/>
        <w:jc w:val="center"/>
        <w:rPr>
          <w:rFonts w:cs="Arial"/>
        </w:rPr>
      </w:pPr>
    </w:p>
    <w:p w14:paraId="76E5874D" w14:textId="77777777" w:rsidR="00235FD4" w:rsidRDefault="00235FD4" w:rsidP="00ED7CB5">
      <w:pPr>
        <w:rPr>
          <w:sz w:val="2"/>
          <w:szCs w:val="2"/>
        </w:rPr>
      </w:pPr>
    </w:p>
    <w:sectPr w:rsidR="00235FD4" w:rsidSect="00C6087A">
      <w:footnotePr>
        <w:numRestart w:val="eachSect"/>
      </w:footnotePr>
      <w:pgSz w:w="11907" w:h="16840" w:code="9"/>
      <w:pgMar w:top="2269" w:right="1134" w:bottom="1418" w:left="1418" w:header="851"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8AB91" w14:textId="77777777" w:rsidR="001549D8" w:rsidRDefault="001549D8">
      <w:r>
        <w:separator/>
      </w:r>
    </w:p>
  </w:endnote>
  <w:endnote w:type="continuationSeparator" w:id="0">
    <w:p w14:paraId="6BEF53F3" w14:textId="77777777" w:rsidR="001549D8" w:rsidRDefault="001549D8">
      <w:r>
        <w:continuationSeparator/>
      </w:r>
    </w:p>
  </w:endnote>
  <w:endnote w:type="continuationNotice" w:id="1">
    <w:p w14:paraId="2AE49120" w14:textId="77777777" w:rsidR="001549D8" w:rsidRDefault="00154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F89BE" w14:textId="00BC1447" w:rsidR="007D2451" w:rsidRDefault="007D2451" w:rsidP="005307EB">
    <w:pPr>
      <w:pStyle w:val="Footer"/>
      <w:pBdr>
        <w:bottom w:val="single" w:sz="24" w:space="1" w:color="auto"/>
      </w:pBdr>
      <w:spacing w:after="300"/>
      <w:rPr>
        <w:rFonts w:cs="Arial"/>
        <w:szCs w:val="22"/>
        <w:lang w:val="de-DE"/>
      </w:rPr>
    </w:pPr>
  </w:p>
  <w:p w14:paraId="54B3F206" w14:textId="77777777" w:rsidR="007D2451" w:rsidRPr="005307EB" w:rsidRDefault="007D2451">
    <w:pPr>
      <w:pStyle w:val="Footer"/>
      <w:rPr>
        <w:lang w:val="de-DE"/>
      </w:rPr>
    </w:pPr>
    <w:r>
      <w:rPr>
        <w:noProof/>
        <w:lang w:eastAsia="en-GB"/>
      </w:rPr>
      <w:drawing>
        <wp:inline distT="0" distB="0" distL="0" distR="0" wp14:anchorId="0A3DD838" wp14:editId="019C8B1A">
          <wp:extent cx="2434590" cy="542290"/>
          <wp:effectExtent l="0" t="0" r="3810" b="0"/>
          <wp:docPr id="735296689" name="Picture 735296689" descr="unfccc-lwm-fccc-4c-cmyk-15-medium"/>
          <wp:cNvGraphicFramePr/>
          <a:graphic xmlns:a="http://schemas.openxmlformats.org/drawingml/2006/main">
            <a:graphicData uri="http://schemas.openxmlformats.org/drawingml/2006/picture">
              <pic:pic xmlns:pic="http://schemas.openxmlformats.org/drawingml/2006/picture">
                <pic:nvPicPr>
                  <pic:cNvPr id="3" name="Picture 3" descr="unfccc-lwm-fccc-4c-cmyk-15-medium"/>
                  <pic:cNvPicPr/>
                </pic:nvPicPr>
                <pic:blipFill>
                  <a:blip r:embed="rId1">
                    <a:biLevel thresh="75000"/>
                    <a:extLst>
                      <a:ext uri="{28A0092B-C50C-407E-A947-70E740481C1C}">
                        <a14:useLocalDpi xmlns:a14="http://schemas.microsoft.com/office/drawing/2010/main" val="0"/>
                      </a:ext>
                    </a:extLst>
                  </a:blip>
                  <a:srcRect/>
                  <a:stretch>
                    <a:fillRect/>
                  </a:stretch>
                </pic:blipFill>
                <pic:spPr bwMode="auto">
                  <a:xfrm>
                    <a:off x="0" y="0"/>
                    <a:ext cx="2434590" cy="54229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F9F3" w14:textId="77777777" w:rsidR="00C64441" w:rsidRPr="00F306F1" w:rsidRDefault="00C64441" w:rsidP="00F306F1">
    <w:pPr>
      <w:pStyle w:val="SDMFooter"/>
    </w:pPr>
    <w:r w:rsidRPr="00F306F1">
      <w:fldChar w:fldCharType="begin"/>
    </w:r>
    <w:r w:rsidRPr="00F306F1">
      <w:instrText xml:space="preserve"> PAGE </w:instrText>
    </w:r>
    <w:r w:rsidRPr="00F306F1">
      <w:fldChar w:fldCharType="separate"/>
    </w:r>
    <w:r>
      <w:rPr>
        <w:noProof/>
      </w:rPr>
      <w:t>4</w:t>
    </w:r>
    <w:r w:rsidRPr="00F306F1">
      <w:fldChar w:fldCharType="end"/>
    </w:r>
    <w:r w:rsidRPr="00F306F1">
      <w:t xml:space="preserve"> of </w:t>
    </w:r>
    <w:r>
      <w:fldChar w:fldCharType="begin"/>
    </w:r>
    <w:r>
      <w:instrText>NUMPAGES</w:instrText>
    </w:r>
    <w:r>
      <w:fldChar w:fldCharType="separate"/>
    </w:r>
    <w:r>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F310" w14:textId="77777777" w:rsidR="001C2394" w:rsidRPr="00F306F1" w:rsidRDefault="001C2394" w:rsidP="00F306F1">
    <w:pPr>
      <w:pStyle w:val="SDMFooter"/>
    </w:pPr>
    <w:r w:rsidRPr="00F306F1">
      <w:fldChar w:fldCharType="begin"/>
    </w:r>
    <w:r w:rsidRPr="00F306F1">
      <w:instrText xml:space="preserve"> PAGE </w:instrText>
    </w:r>
    <w:r w:rsidRPr="00F306F1">
      <w:fldChar w:fldCharType="separate"/>
    </w:r>
    <w:r>
      <w:rPr>
        <w:noProof/>
      </w:rPr>
      <w:t>10</w:t>
    </w:r>
    <w:r w:rsidRPr="00F306F1">
      <w:fldChar w:fldCharType="end"/>
    </w:r>
    <w:r w:rsidRPr="00F306F1">
      <w:t xml:space="preserve"> of </w:t>
    </w:r>
    <w:r>
      <w:fldChar w:fldCharType="begin"/>
    </w:r>
    <w:r>
      <w:instrText>NUMPAGES</w:instrText>
    </w:r>
    <w:r>
      <w:fldChar w:fldCharType="separate"/>
    </w:r>
    <w:r>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159D" w14:textId="77777777" w:rsidR="00FE1F99" w:rsidRPr="00F306F1" w:rsidRDefault="00FE1F99" w:rsidP="00F306F1">
    <w:pPr>
      <w:pStyle w:val="SDMFooter"/>
    </w:pPr>
    <w:r w:rsidRPr="00F306F1">
      <w:fldChar w:fldCharType="begin"/>
    </w:r>
    <w:r w:rsidRPr="00F306F1">
      <w:instrText xml:space="preserve"> PAGE </w:instrText>
    </w:r>
    <w:r w:rsidRPr="00F306F1">
      <w:fldChar w:fldCharType="separate"/>
    </w:r>
    <w:r>
      <w:rPr>
        <w:noProof/>
      </w:rPr>
      <w:t>9</w:t>
    </w:r>
    <w:r w:rsidRPr="00F306F1">
      <w:fldChar w:fldCharType="end"/>
    </w:r>
    <w:r w:rsidRPr="00F306F1">
      <w:t xml:space="preserve"> of </w:t>
    </w:r>
    <w:r>
      <w:fldChar w:fldCharType="begin"/>
    </w:r>
    <w:r>
      <w:instrText>NUMPAGES</w:instrText>
    </w:r>
    <w:r>
      <w:fldChar w:fldCharType="separate"/>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CB066" w14:textId="77777777" w:rsidR="001549D8" w:rsidRDefault="001549D8">
      <w:r>
        <w:separator/>
      </w:r>
    </w:p>
  </w:footnote>
  <w:footnote w:type="continuationSeparator" w:id="0">
    <w:p w14:paraId="1EB159DF" w14:textId="77777777" w:rsidR="001549D8" w:rsidRDefault="001549D8">
      <w:r>
        <w:continuationSeparator/>
      </w:r>
    </w:p>
  </w:footnote>
  <w:footnote w:type="continuationNotice" w:id="1">
    <w:p w14:paraId="446A7B83" w14:textId="77777777" w:rsidR="001549D8" w:rsidRDefault="001549D8"/>
  </w:footnote>
  <w:footnote w:id="2">
    <w:p w14:paraId="36128036" w14:textId="470E6170" w:rsidR="009C7977" w:rsidRPr="009F63DF" w:rsidRDefault="009C7977">
      <w:pPr>
        <w:pStyle w:val="FootnoteText"/>
      </w:pPr>
      <w:r w:rsidRPr="009F63DF">
        <w:rPr>
          <w:rStyle w:val="FootnoteReference"/>
        </w:rPr>
        <w:footnoteRef/>
      </w:r>
      <w:r w:rsidR="00615311" w:rsidRPr="009F63DF">
        <w:tab/>
      </w:r>
      <w:r w:rsidR="00C3392C" w:rsidRPr="009F63DF">
        <w:t>The mechanism methodology proposes alternative approaches to certain elements of the “Standard: Requirements for activities involving removals under the Article 6.4 mechanism” (A6.4-STAN-METH-002) (hereinafter the “</w:t>
      </w:r>
      <w:r w:rsidR="001B6337">
        <w:rPr>
          <w:rFonts w:eastAsia="MS Mincho" w:hint="eastAsia"/>
          <w:lang w:eastAsia="ja-JP"/>
        </w:rPr>
        <w:t>r</w:t>
      </w:r>
      <w:r w:rsidR="00C3392C" w:rsidRPr="009F63DF">
        <w:t xml:space="preserve">emovals </w:t>
      </w:r>
      <w:r w:rsidR="001B6337">
        <w:rPr>
          <w:rFonts w:eastAsia="MS Mincho" w:hint="eastAsia"/>
          <w:lang w:eastAsia="ja-JP"/>
        </w:rPr>
        <w:t>s</w:t>
      </w:r>
      <w:r w:rsidR="00C3392C" w:rsidRPr="009F63DF">
        <w:t xml:space="preserve">tandard”) since </w:t>
      </w:r>
      <w:r w:rsidR="00131778" w:rsidRPr="009F63DF">
        <w:t xml:space="preserve">the affected greenhouse gas </w:t>
      </w:r>
      <w:r w:rsidR="00844CE5" w:rsidRPr="009F63DF">
        <w:t>(GHG)</w:t>
      </w:r>
      <w:r w:rsidR="00131778" w:rsidRPr="009F63DF">
        <w:t xml:space="preserve"> reservoir</w:t>
      </w:r>
      <w:r w:rsidR="001610A8" w:rsidRPr="009F63DF">
        <w:t xml:space="preserve"> complies with all three conditions of p</w:t>
      </w:r>
      <w:r w:rsidR="00BA69AC" w:rsidRPr="009F63DF">
        <w:t>aragraph 13 of version 01.0 of the “Standard: Addressing non-permanence in mechanism methodologies” (A6.4-STAN-METH-007) (hereinafter the “</w:t>
      </w:r>
      <w:r w:rsidR="001B6337">
        <w:rPr>
          <w:rFonts w:eastAsia="MS Mincho" w:hint="eastAsia"/>
          <w:lang w:eastAsia="ja-JP"/>
        </w:rPr>
        <w:t>r</w:t>
      </w:r>
      <w:r w:rsidR="00BA69AC" w:rsidRPr="009F63DF">
        <w:t xml:space="preserve">eversals </w:t>
      </w:r>
      <w:r w:rsidR="001B6337">
        <w:rPr>
          <w:rFonts w:eastAsia="MS Mincho" w:hint="eastAsia"/>
          <w:lang w:eastAsia="ja-JP"/>
        </w:rPr>
        <w:t>s</w:t>
      </w:r>
      <w:r w:rsidR="00BA69AC" w:rsidRPr="009F63DF">
        <w:t>tandard”)</w:t>
      </w:r>
      <w:r w:rsidR="001610A8" w:rsidRPr="009F63DF">
        <w:t>.</w:t>
      </w:r>
    </w:p>
  </w:footnote>
  <w:footnote w:id="3">
    <w:p w14:paraId="70A09793" w14:textId="4725512B" w:rsidR="001C2394" w:rsidRPr="009F63DF" w:rsidRDefault="001C2394" w:rsidP="001C2394">
      <w:pPr>
        <w:pStyle w:val="FootnoteText"/>
      </w:pPr>
      <w:r w:rsidRPr="009F63DF">
        <w:rPr>
          <w:rStyle w:val="FootnoteReference"/>
        </w:rPr>
        <w:footnoteRef/>
      </w:r>
      <w:r w:rsidRPr="009F63DF">
        <w:tab/>
        <w:t xml:space="preserve">See </w:t>
      </w:r>
      <w:hyperlink r:id="rId1" w:history="1">
        <w:r w:rsidRPr="009F63DF">
          <w:rPr>
            <w:rStyle w:val="Hyperlink"/>
          </w:rPr>
          <w:t>https://unfccc.int/sites/default/files/resource/A6.4-PROC-METH-001.pdf</w:t>
        </w:r>
      </w:hyperlink>
      <w:r w:rsidRPr="009F63DF">
        <w:t>.</w:t>
      </w:r>
    </w:p>
  </w:footnote>
  <w:footnote w:id="4">
    <w:p w14:paraId="3038F1F9" w14:textId="19086186" w:rsidR="0080158D" w:rsidRPr="009F63DF" w:rsidRDefault="0080158D">
      <w:pPr>
        <w:pStyle w:val="FootnoteText"/>
      </w:pPr>
      <w:r w:rsidRPr="009F63DF">
        <w:rPr>
          <w:rStyle w:val="FootnoteReference"/>
        </w:rPr>
        <w:footnoteRef/>
      </w:r>
      <w:r w:rsidR="006D2932" w:rsidRPr="009F63DF">
        <w:tab/>
      </w:r>
      <w:r w:rsidR="00BC4C6A" w:rsidRPr="009F63DF">
        <w:t>Information, r</w:t>
      </w:r>
      <w:r w:rsidR="00D13C60" w:rsidRPr="009F63DF">
        <w:t>equirements and best-practice</w:t>
      </w:r>
      <w:r w:rsidRPr="009F63DF">
        <w:t xml:space="preserve"> guidance related to SUMs </w:t>
      </w:r>
      <w:r w:rsidR="00D13C60" w:rsidRPr="009F63DF">
        <w:t>are</w:t>
      </w:r>
      <w:r w:rsidRPr="009F63DF">
        <w:t xml:space="preserve"> available in</w:t>
      </w:r>
      <w:r w:rsidR="00BC4C6A" w:rsidRPr="009F63DF">
        <w:t xml:space="preserve"> </w:t>
      </w:r>
      <w:r w:rsidR="00BC4C6A" w:rsidRPr="009F63DF">
        <w:fldChar w:fldCharType="begin"/>
      </w:r>
      <w:r w:rsidR="00BC4C6A" w:rsidRPr="009F63DF">
        <w:instrText xml:space="preserve"> REF _Ref227234895 \r \h </w:instrText>
      </w:r>
      <w:r w:rsidR="00BC4C6A" w:rsidRPr="009F63DF">
        <w:fldChar w:fldCharType="separate"/>
      </w:r>
      <w:r w:rsidR="00831DAE">
        <w:rPr>
          <w:cs/>
        </w:rPr>
        <w:t>‎</w:t>
      </w:r>
      <w:r w:rsidR="00831DAE">
        <w:t>Appendix 6</w:t>
      </w:r>
      <w:r w:rsidR="00BC4C6A" w:rsidRPr="009F63DF">
        <w:fldChar w:fldCharType="end"/>
      </w:r>
      <w:r w:rsidRPr="009F63DF">
        <w:t>.</w:t>
      </w:r>
    </w:p>
  </w:footnote>
  <w:footnote w:id="5">
    <w:p w14:paraId="11C804EB" w14:textId="77777777" w:rsidR="00710927" w:rsidRPr="009F63DF" w:rsidRDefault="00710927" w:rsidP="00710927">
      <w:pPr>
        <w:pStyle w:val="FootnoteText"/>
      </w:pPr>
      <w:r w:rsidRPr="009F63DF">
        <w:rPr>
          <w:rStyle w:val="FootnoteReference"/>
        </w:rPr>
        <w:footnoteRef/>
      </w:r>
      <w:r w:rsidRPr="009F63DF">
        <w:tab/>
        <w:t xml:space="preserve">See </w:t>
      </w:r>
      <w:hyperlink r:id="rId2" w:history="1">
        <w:r w:rsidRPr="009F63DF">
          <w:rPr>
            <w:rStyle w:val="Hyperlink"/>
          </w:rPr>
          <w:t>https://cdm.unfccc.int/methodologies/DB/5V2D9RXNOWLQII5N26KJK0J3A0JJV8</w:t>
        </w:r>
      </w:hyperlink>
      <w:r w:rsidRPr="009F63DF">
        <w:t>.</w:t>
      </w:r>
    </w:p>
  </w:footnote>
  <w:footnote w:id="6">
    <w:p w14:paraId="7D0E788B" w14:textId="3A45C385" w:rsidR="00BD6B40" w:rsidRPr="00A82755" w:rsidRDefault="00BD6B40">
      <w:pPr>
        <w:pStyle w:val="FootnoteText"/>
        <w:rPr>
          <w:lang w:val="en-US"/>
        </w:rPr>
      </w:pPr>
      <w:r w:rsidRPr="009F63DF">
        <w:rPr>
          <w:rStyle w:val="FootnoteReference"/>
        </w:rPr>
        <w:footnoteRef/>
      </w:r>
      <w:r w:rsidR="006D2932" w:rsidRPr="00A82755">
        <w:rPr>
          <w:lang w:val="en-US"/>
        </w:rPr>
        <w:tab/>
      </w:r>
      <w:r w:rsidR="0024030C" w:rsidRPr="00A82755">
        <w:rPr>
          <w:lang w:val="en-US"/>
        </w:rPr>
        <w:t>A6.4-</w:t>
      </w:r>
      <w:r w:rsidR="00A82755" w:rsidRPr="00A82755">
        <w:rPr>
          <w:lang w:val="en-US"/>
        </w:rPr>
        <w:t>PNM004, available at</w:t>
      </w:r>
      <w:r w:rsidR="00C52EC4" w:rsidRPr="00A82755">
        <w:rPr>
          <w:lang w:val="en-US"/>
        </w:rPr>
        <w:t xml:space="preserve"> </w:t>
      </w:r>
      <w:hyperlink r:id="rId3" w:history="1">
        <w:r w:rsidR="00575A54" w:rsidRPr="00A82755">
          <w:rPr>
            <w:rStyle w:val="Hyperlink"/>
            <w:lang w:val="en-US"/>
          </w:rPr>
          <w:t>https://unfccc.int/node/647448</w:t>
        </w:r>
      </w:hyperlink>
      <w:r w:rsidR="00575A54" w:rsidRPr="00A82755">
        <w:rPr>
          <w:lang w:val="en-US"/>
        </w:rPr>
        <w:t xml:space="preserve"> </w:t>
      </w:r>
    </w:p>
  </w:footnote>
  <w:footnote w:id="7">
    <w:p w14:paraId="658AA1B7" w14:textId="4868B9D3" w:rsidR="002F0EA9" w:rsidRPr="00961C41" w:rsidRDefault="002F0EA9">
      <w:pPr>
        <w:pStyle w:val="FootnoteText"/>
        <w:rPr>
          <w:lang w:val="en-US"/>
        </w:rPr>
      </w:pPr>
      <w:r>
        <w:rPr>
          <w:rStyle w:val="FootnoteReference"/>
        </w:rPr>
        <w:footnoteRef/>
      </w:r>
      <w:r w:rsidRPr="00961C41">
        <w:rPr>
          <w:lang w:val="en-US"/>
        </w:rPr>
        <w:t xml:space="preserve"> </w:t>
      </w:r>
      <w:r w:rsidRPr="00961C41">
        <w:rPr>
          <w:lang w:val="en-US"/>
        </w:rPr>
        <w:tab/>
      </w:r>
      <w:r w:rsidR="00961C41" w:rsidRPr="00961C41">
        <w:rPr>
          <w:lang w:val="en-US"/>
        </w:rPr>
        <w:t xml:space="preserve">A6.4-AMT-010, </w:t>
      </w:r>
      <w:r w:rsidR="00961C41" w:rsidRPr="00A82755">
        <w:rPr>
          <w:lang w:val="en-US"/>
        </w:rPr>
        <w:t xml:space="preserve">available at </w:t>
      </w:r>
      <w:hyperlink r:id="rId4" w:history="1">
        <w:r w:rsidR="00961C41" w:rsidRPr="00961C41">
          <w:rPr>
            <w:rStyle w:val="Hyperlink"/>
            <w:lang w:val="en-US"/>
          </w:rPr>
          <w:t>https://unfccc.int/node/661187</w:t>
        </w:r>
      </w:hyperlink>
      <w:r w:rsidR="00455B28" w:rsidRPr="00961C41">
        <w:rPr>
          <w:lang w:val="en-US"/>
        </w:rPr>
        <w:t xml:space="preserve"> </w:t>
      </w:r>
    </w:p>
  </w:footnote>
  <w:footnote w:id="8">
    <w:p w14:paraId="4F163215" w14:textId="7C139767" w:rsidR="002F0EA9" w:rsidRPr="00115F3D" w:rsidRDefault="002F0EA9">
      <w:pPr>
        <w:pStyle w:val="FootnoteText"/>
        <w:rPr>
          <w:lang w:val="en-US"/>
        </w:rPr>
      </w:pPr>
      <w:r>
        <w:rPr>
          <w:rStyle w:val="FootnoteReference"/>
        </w:rPr>
        <w:footnoteRef/>
      </w:r>
      <w:r w:rsidRPr="00115F3D">
        <w:rPr>
          <w:lang w:val="en-US"/>
        </w:rPr>
        <w:t xml:space="preserve"> </w:t>
      </w:r>
      <w:r w:rsidRPr="00115F3D">
        <w:rPr>
          <w:lang w:val="en-US"/>
        </w:rPr>
        <w:tab/>
      </w:r>
      <w:r w:rsidR="00961C41" w:rsidRPr="00115F3D">
        <w:rPr>
          <w:lang w:val="en-US"/>
        </w:rPr>
        <w:t>A6.4-A</w:t>
      </w:r>
      <w:r w:rsidR="00115F3D" w:rsidRPr="00115F3D">
        <w:rPr>
          <w:lang w:val="en-US"/>
        </w:rPr>
        <w:t xml:space="preserve">MT-011, </w:t>
      </w:r>
      <w:r w:rsidR="00115F3D" w:rsidRPr="00A82755">
        <w:rPr>
          <w:lang w:val="en-US"/>
        </w:rPr>
        <w:t xml:space="preserve">available at </w:t>
      </w:r>
      <w:hyperlink r:id="rId5" w:history="1">
        <w:r w:rsidR="00115F3D" w:rsidRPr="00115F3D">
          <w:rPr>
            <w:rStyle w:val="Hyperlink"/>
            <w:lang w:val="en-US"/>
          </w:rPr>
          <w:t>https://unfccc.int/node/661207</w:t>
        </w:r>
      </w:hyperlink>
      <w:r w:rsidR="00456503" w:rsidRPr="00115F3D">
        <w:rPr>
          <w:lang w:val="en-US"/>
        </w:rPr>
        <w:t xml:space="preserve"> </w:t>
      </w:r>
    </w:p>
  </w:footnote>
  <w:footnote w:id="9">
    <w:p w14:paraId="61D0FAE8" w14:textId="7FE76EC8" w:rsidR="008327CB" w:rsidRPr="007360D5" w:rsidRDefault="00EE6841" w:rsidP="00837003">
      <w:pPr>
        <w:pStyle w:val="FootnoteText"/>
        <w:suppressAutoHyphens/>
        <w:rPr>
          <w:lang w:val="en-US"/>
        </w:rPr>
      </w:pPr>
      <w:r w:rsidRPr="009F63DF">
        <w:rPr>
          <w:rStyle w:val="FootnoteReference"/>
        </w:rPr>
        <w:footnoteRef/>
      </w:r>
      <w:r w:rsidR="00615311" w:rsidRPr="007360D5">
        <w:rPr>
          <w:lang w:val="en-US"/>
        </w:rPr>
        <w:tab/>
      </w:r>
      <w:r w:rsidR="00115F3D" w:rsidRPr="007360D5">
        <w:rPr>
          <w:lang w:val="en-US"/>
        </w:rPr>
        <w:t xml:space="preserve">A6.4-AMT-009. </w:t>
      </w:r>
      <w:r w:rsidR="00115F3D" w:rsidRPr="00A82755">
        <w:rPr>
          <w:lang w:val="en-US"/>
        </w:rPr>
        <w:t xml:space="preserve">available at </w:t>
      </w:r>
      <w:hyperlink r:id="rId6" w:history="1">
        <w:r w:rsidR="007360D5" w:rsidRPr="00EE1559">
          <w:rPr>
            <w:rStyle w:val="Hyperlink"/>
            <w:lang w:val="en-US"/>
          </w:rPr>
          <w:t>https://unfccc.int/node/657606</w:t>
        </w:r>
      </w:hyperlink>
    </w:p>
  </w:footnote>
  <w:footnote w:id="10">
    <w:p w14:paraId="765DAB2A" w14:textId="356F6D1B" w:rsidR="00090E4C" w:rsidRPr="009F63DF" w:rsidRDefault="00090E4C" w:rsidP="00837003">
      <w:pPr>
        <w:pStyle w:val="FootnoteText"/>
        <w:suppressAutoHyphens/>
      </w:pPr>
      <w:r w:rsidRPr="009F63DF">
        <w:rPr>
          <w:rStyle w:val="FootnoteReference"/>
        </w:rPr>
        <w:footnoteRef/>
      </w:r>
      <w:r w:rsidR="00615311" w:rsidRPr="009F63DF">
        <w:tab/>
      </w:r>
      <w:r w:rsidRPr="009F63DF">
        <w:t xml:space="preserve">See: </w:t>
      </w:r>
      <w:r w:rsidR="008C6B2F" w:rsidRPr="009F63DF">
        <w:t>https://unfccc.int/sites/default/files/resource/A6.4-AMT-002-v01.0.pdf</w:t>
      </w:r>
      <w:r w:rsidR="00837003" w:rsidRPr="009F63DF">
        <w:t>.</w:t>
      </w:r>
    </w:p>
  </w:footnote>
  <w:footnote w:id="11">
    <w:p w14:paraId="3D3F92E2" w14:textId="70A2CC93" w:rsidR="00546D55" w:rsidRPr="009F63DF" w:rsidRDefault="00546D55" w:rsidP="00837003">
      <w:pPr>
        <w:pStyle w:val="FootnoteText"/>
        <w:suppressAutoHyphens/>
        <w:jc w:val="left"/>
      </w:pPr>
      <w:r w:rsidRPr="009F63DF">
        <w:rPr>
          <w:rStyle w:val="FootnoteReference"/>
        </w:rPr>
        <w:footnoteRef/>
      </w:r>
      <w:r w:rsidR="006D2932" w:rsidRPr="009F63DF">
        <w:tab/>
      </w:r>
      <w:r w:rsidRPr="009F63DF">
        <w:t xml:space="preserve">See </w:t>
      </w:r>
      <w:hyperlink r:id="rId7" w:history="1">
        <w:r w:rsidRPr="009F63DF">
          <w:rPr>
            <w:rStyle w:val="Hyperlink"/>
          </w:rPr>
          <w:t>https://www.ipcc.ch/report/2019-refinement-to-the-2006-ipcc-guidelines-for-national-greenhouse-gas-inventories/</w:t>
        </w:r>
      </w:hyperlink>
      <w:r w:rsidRPr="009F63DF">
        <w:t>.</w:t>
      </w:r>
    </w:p>
  </w:footnote>
  <w:footnote w:id="12">
    <w:p w14:paraId="5559E571" w14:textId="7B5C0566" w:rsidR="00546D55" w:rsidRPr="009F63DF" w:rsidRDefault="00546D55" w:rsidP="00837003">
      <w:pPr>
        <w:pStyle w:val="FootnoteText"/>
        <w:suppressAutoHyphens/>
      </w:pPr>
      <w:r w:rsidRPr="009F63DF">
        <w:rPr>
          <w:rStyle w:val="FootnoteReference"/>
        </w:rPr>
        <w:footnoteRef/>
      </w:r>
      <w:r w:rsidR="006D2932" w:rsidRPr="009F63DF">
        <w:tab/>
      </w:r>
      <w:r w:rsidR="00B9780B" w:rsidRPr="009F63DF">
        <w:t xml:space="preserve">See </w:t>
      </w:r>
      <w:hyperlink r:id="rId8" w:history="1">
        <w:r w:rsidR="00B9780B" w:rsidRPr="009F63DF">
          <w:rPr>
            <w:rStyle w:val="Hyperlink"/>
          </w:rPr>
          <w:t>https://www.ipcc-nggip.iges.or.jp/public/2006gl/</w:t>
        </w:r>
      </w:hyperlink>
      <w:r w:rsidR="00B9780B" w:rsidRPr="009F63DF">
        <w:t>.</w:t>
      </w:r>
    </w:p>
  </w:footnote>
  <w:footnote w:id="13">
    <w:p w14:paraId="40D7089C" w14:textId="2C18D3D4" w:rsidR="00940C47" w:rsidRPr="009F63DF" w:rsidRDefault="00940C47" w:rsidP="00837003">
      <w:pPr>
        <w:pStyle w:val="FootnoteText"/>
        <w:suppressAutoHyphens/>
      </w:pPr>
      <w:r w:rsidRPr="009F63DF">
        <w:rPr>
          <w:rStyle w:val="FootnoteReference"/>
        </w:rPr>
        <w:footnoteRef/>
      </w:r>
      <w:r w:rsidR="00615311" w:rsidRPr="009F63DF">
        <w:tab/>
      </w:r>
      <w:hyperlink r:id="rId9" w:anchor="/indicies/MPI" w:history="1">
        <w:r w:rsidR="00837003" w:rsidRPr="009F63DF">
          <w:rPr>
            <w:rStyle w:val="Hyperlink"/>
          </w:rPr>
          <w:t>https://hdr.undp.org/content/2025-global-multidimensional-poverty-index-mpi#/indicies/MPI</w:t>
        </w:r>
      </w:hyperlink>
      <w:r w:rsidR="00837003" w:rsidRPr="009F63DF">
        <w:t>.</w:t>
      </w:r>
    </w:p>
  </w:footnote>
  <w:footnote w:id="14">
    <w:p w14:paraId="395F3BE3" w14:textId="25E50A45" w:rsidR="00C41FA3" w:rsidRPr="009F63DF" w:rsidRDefault="00C41FA3" w:rsidP="00837003">
      <w:pPr>
        <w:pStyle w:val="FootnoteText"/>
        <w:suppressAutoHyphens/>
      </w:pPr>
      <w:r w:rsidRPr="009F63DF">
        <w:rPr>
          <w:rStyle w:val="FootnoteReference"/>
        </w:rPr>
        <w:footnoteRef/>
      </w:r>
      <w:r w:rsidR="00615311" w:rsidRPr="009F63DF">
        <w:tab/>
      </w:r>
      <w:r w:rsidR="00FF4139" w:rsidRPr="009F63DF">
        <w:t xml:space="preserve">For </w:t>
      </w:r>
      <w:r w:rsidR="007261E4" w:rsidRPr="009F63DF">
        <w:t xml:space="preserve">activities implemented in </w:t>
      </w:r>
      <w:r w:rsidR="00A26A9F" w:rsidRPr="009F63DF">
        <w:t>other scopes than just households</w:t>
      </w:r>
      <w:r w:rsidR="00F34504" w:rsidRPr="009F63DF">
        <w:t xml:space="preserve"> (e.g. in an institutional setting)</w:t>
      </w:r>
      <w:r w:rsidR="00A26A9F" w:rsidRPr="009F63DF">
        <w:t>,</w:t>
      </w:r>
      <w:r w:rsidR="007261E4" w:rsidRPr="009F63DF">
        <w:t xml:space="preserve"> stakeholders may submit a request for revision to this methodology or propose a new mechanism methodology.</w:t>
      </w:r>
    </w:p>
  </w:footnote>
  <w:footnote w:id="15">
    <w:p w14:paraId="5BE3D9B0" w14:textId="73138B81" w:rsidR="001C2394" w:rsidRPr="009F63DF" w:rsidRDefault="001C2394" w:rsidP="00837003">
      <w:pPr>
        <w:pStyle w:val="FootnoteText"/>
        <w:suppressAutoHyphens/>
      </w:pPr>
      <w:r w:rsidRPr="009F63DF">
        <w:rPr>
          <w:rStyle w:val="FootnoteReference"/>
        </w:rPr>
        <w:footnoteRef/>
      </w:r>
      <w:r w:rsidRPr="009F63DF">
        <w:tab/>
        <w:t xml:space="preserve">For example, where the government provides criteria for classifying rural areas, the </w:t>
      </w:r>
      <w:r w:rsidR="00C77D1C" w:rsidRPr="009F63DF">
        <w:t xml:space="preserve">Article 6.4 </w:t>
      </w:r>
      <w:r w:rsidRPr="009F63DF">
        <w:t xml:space="preserve">activity shall be implemented inside these areas; whereas, where the government provides criteria for classifying urban and peri-urban areas, the </w:t>
      </w:r>
      <w:r w:rsidR="002C2E8D" w:rsidRPr="009F63DF">
        <w:t xml:space="preserve">Article 6.4 </w:t>
      </w:r>
      <w:r w:rsidRPr="009F63DF">
        <w:t>activity shall be implemented outside these areas.</w:t>
      </w:r>
    </w:p>
  </w:footnote>
  <w:footnote w:id="16">
    <w:p w14:paraId="3FFF4FCF" w14:textId="6EEC251A" w:rsidR="00837003" w:rsidRPr="009F63DF" w:rsidRDefault="00837003" w:rsidP="00B07AF7">
      <w:pPr>
        <w:pStyle w:val="FootnoteText"/>
        <w:suppressAutoHyphens/>
      </w:pPr>
      <w:r w:rsidRPr="009F63DF">
        <w:rPr>
          <w:rStyle w:val="FootnoteReference"/>
        </w:rPr>
        <w:footnoteRef/>
      </w:r>
      <w:r w:rsidRPr="009F63DF">
        <w:tab/>
        <w:t>This condition is introduced as the emission reductions calculations are based only due to gain in thermal efficiency of cookstoves between the pre-activity and activity scenario. Fuel switch activities will be included in a separate mechanism methodology.</w:t>
      </w:r>
    </w:p>
  </w:footnote>
  <w:footnote w:id="17">
    <w:p w14:paraId="79BCB95E" w14:textId="2EA5F17C" w:rsidR="00D65C3A" w:rsidRPr="009F63DF" w:rsidRDefault="00D65C3A" w:rsidP="00B07AF7">
      <w:pPr>
        <w:pStyle w:val="FootnoteText"/>
        <w:suppressAutoHyphens/>
      </w:pPr>
      <w:r w:rsidRPr="009F63DF">
        <w:rPr>
          <w:rStyle w:val="FootnoteReference"/>
        </w:rPr>
        <w:footnoteRef/>
      </w:r>
      <w:r w:rsidR="00615311" w:rsidRPr="009F63DF">
        <w:tab/>
      </w:r>
      <w:r w:rsidR="00EE0C0C" w:rsidRPr="009F63DF">
        <w:t xml:space="preserve">For example, if </w:t>
      </w:r>
      <w:r w:rsidR="00B2236E" w:rsidRPr="009F63DF">
        <w:t xml:space="preserve">fuelwood was used for </w:t>
      </w:r>
      <w:r w:rsidR="004919CC" w:rsidRPr="009F63DF">
        <w:t>90 per cent</w:t>
      </w:r>
      <w:r w:rsidR="00B2236E" w:rsidRPr="009F63DF">
        <w:t xml:space="preserve"> of cooking events in the pre-activity situation,</w:t>
      </w:r>
      <w:r w:rsidR="004919CC" w:rsidRPr="009F63DF">
        <w:t xml:space="preserve"> then in the activity implementation its proportional use for cooking events shall not fall below </w:t>
      </w:r>
      <w:r w:rsidR="006E3FA9" w:rsidRPr="009F63DF">
        <w:t>72 per cent.</w:t>
      </w:r>
      <w:r w:rsidR="00B2236E" w:rsidRPr="009F63DF">
        <w:t xml:space="preserve"> </w:t>
      </w:r>
      <w:r w:rsidRPr="009F63DF">
        <w:t>A</w:t>
      </w:r>
      <w:r w:rsidR="00EE0C0C" w:rsidRPr="009F63DF">
        <w:t>ny</w:t>
      </w:r>
      <w:r w:rsidRPr="009F63DF">
        <w:t xml:space="preserve"> relative increase in the </w:t>
      </w:r>
      <w:r w:rsidR="00DD72AF" w:rsidRPr="009F63DF">
        <w:t xml:space="preserve">proportion of the primary </w:t>
      </w:r>
      <w:r w:rsidR="00C07DF7" w:rsidRPr="009F63DF">
        <w:t>energy source for cooking</w:t>
      </w:r>
      <w:r w:rsidR="00EE0C0C" w:rsidRPr="009F63DF">
        <w:t xml:space="preserve"> is acceptable.</w:t>
      </w:r>
    </w:p>
  </w:footnote>
  <w:footnote w:id="18">
    <w:p w14:paraId="22154222" w14:textId="0CFBBD41" w:rsidR="004A1378" w:rsidRPr="009F63DF" w:rsidRDefault="004A1378" w:rsidP="00B07AF7">
      <w:pPr>
        <w:pStyle w:val="FootnoteText"/>
        <w:suppressAutoHyphens/>
      </w:pPr>
      <w:r w:rsidRPr="009F63DF">
        <w:rPr>
          <w:rStyle w:val="FootnoteReference"/>
        </w:rPr>
        <w:footnoteRef/>
      </w:r>
      <w:r w:rsidRPr="009F63DF">
        <w:tab/>
        <w:t xml:space="preserve">See section </w:t>
      </w:r>
      <w:r w:rsidRPr="009F63DF">
        <w:fldChar w:fldCharType="begin"/>
      </w:r>
      <w:r w:rsidRPr="009F63DF">
        <w:instrText xml:space="preserve"> REF _Ref227185569 \w \h </w:instrText>
      </w:r>
      <w:r w:rsidRPr="009F63DF">
        <w:fldChar w:fldCharType="separate"/>
      </w:r>
      <w:r w:rsidR="00831DAE">
        <w:rPr>
          <w:cs/>
        </w:rPr>
        <w:t>‎</w:t>
      </w:r>
      <w:r w:rsidR="00831DAE">
        <w:t>16</w:t>
      </w:r>
      <w:r w:rsidRPr="009F63DF">
        <w:fldChar w:fldCharType="end"/>
      </w:r>
      <w:r w:rsidRPr="009F63DF">
        <w:t xml:space="preserve"> of the mechanism methodology.</w:t>
      </w:r>
    </w:p>
  </w:footnote>
  <w:footnote w:id="19">
    <w:p w14:paraId="5E4E8734" w14:textId="725C1C8B" w:rsidR="00760EE9" w:rsidRPr="009F63DF" w:rsidRDefault="00760EE9" w:rsidP="00B07AF7">
      <w:pPr>
        <w:pStyle w:val="FootnoteText"/>
        <w:suppressAutoHyphens/>
        <w:jc w:val="left"/>
      </w:pPr>
      <w:r w:rsidRPr="009F63DF">
        <w:rPr>
          <w:rStyle w:val="FootnoteReference"/>
        </w:rPr>
        <w:footnoteRef/>
      </w:r>
      <w:r w:rsidR="006D2932" w:rsidRPr="009F63DF">
        <w:tab/>
      </w:r>
      <w:r w:rsidR="00AF22F7" w:rsidRPr="009F63DF">
        <w:t xml:space="preserve">See </w:t>
      </w:r>
      <w:hyperlink r:id="rId10" w:history="1">
        <w:r w:rsidR="00C72230" w:rsidRPr="009F63DF">
          <w:rPr>
            <w:rStyle w:val="Hyperlink"/>
          </w:rPr>
          <w:t>https://ophi.org.uk/global-mpi/2025</w:t>
        </w:r>
      </w:hyperlink>
      <w:r w:rsidR="00C72230" w:rsidRPr="009F63DF">
        <w:t>.</w:t>
      </w:r>
    </w:p>
  </w:footnote>
  <w:footnote w:id="20">
    <w:p w14:paraId="6AF62612" w14:textId="7E5BC718" w:rsidR="00837003" w:rsidRPr="009F63DF" w:rsidRDefault="00837003">
      <w:pPr>
        <w:pStyle w:val="FootnoteText"/>
      </w:pPr>
      <w:r w:rsidRPr="009F63DF">
        <w:rPr>
          <w:rStyle w:val="FootnoteReference"/>
        </w:rPr>
        <w:footnoteRef/>
      </w:r>
      <w:r w:rsidRPr="009F63DF">
        <w:tab/>
        <w:t>The purpose of the permanent unique identifier ensures linkage of a particular cookstove to the household (i.e. one cookstove is mapped to only one household and vice versa); that one cookstove is accounted only once, i.e., only associated with one carbon credit activity claiming GHG emission re-ductions; and traceability for repair and replacement of the project cookstove in the event of damage or malfunctioning or when the cookstove is at the end of its technical lifetime.</w:t>
      </w:r>
    </w:p>
  </w:footnote>
  <w:footnote w:id="21">
    <w:p w14:paraId="6A8A900B" w14:textId="1D7ACD46" w:rsidR="00A015B6" w:rsidRPr="009F63DF" w:rsidRDefault="00A015B6" w:rsidP="00ED554C">
      <w:pPr>
        <w:pStyle w:val="FootnoteText"/>
      </w:pPr>
      <w:r w:rsidRPr="009F63DF">
        <w:rPr>
          <w:rStyle w:val="FootnoteReference"/>
        </w:rPr>
        <w:footnoteRef/>
      </w:r>
      <w:r w:rsidR="00615311" w:rsidRPr="009F63DF">
        <w:tab/>
      </w:r>
      <w:r w:rsidR="00981804" w:rsidRPr="009F63DF">
        <w:t>Cookstove</w:t>
      </w:r>
      <w:r w:rsidR="004E4A03" w:rsidRPr="009F63DF">
        <w:t>s</w:t>
      </w:r>
      <w:r w:rsidR="00981804" w:rsidRPr="009F63DF">
        <w:t xml:space="preserve"> not covered by SUMs monitoring after this date </w:t>
      </w:r>
      <w:r w:rsidRPr="009F63DF">
        <w:t xml:space="preserve">may claim zero </w:t>
      </w:r>
      <w:r w:rsidR="00981804" w:rsidRPr="009F63DF">
        <w:t>emission reductions</w:t>
      </w:r>
      <w:r w:rsidRPr="009F63DF">
        <w:t xml:space="preserve"> until </w:t>
      </w:r>
      <w:r w:rsidR="004E4A03" w:rsidRPr="009F63DF">
        <w:t xml:space="preserve">monitoring based on </w:t>
      </w:r>
      <w:r w:rsidRPr="009F63DF">
        <w:t>SUM</w:t>
      </w:r>
      <w:r w:rsidR="004E4A03" w:rsidRPr="009F63DF">
        <w:t>s is implemented</w:t>
      </w:r>
      <w:r w:rsidRPr="009F63DF">
        <w:t>.</w:t>
      </w:r>
    </w:p>
  </w:footnote>
  <w:footnote w:id="22">
    <w:p w14:paraId="4D6EE9D9" w14:textId="3D749375" w:rsidR="008F25B9" w:rsidRPr="009F63DF" w:rsidRDefault="008F25B9" w:rsidP="008F25B9">
      <w:pPr>
        <w:pStyle w:val="FootnoteText"/>
      </w:pPr>
      <w:r w:rsidRPr="009F63DF">
        <w:rPr>
          <w:rStyle w:val="FootnoteReference"/>
        </w:rPr>
        <w:footnoteRef/>
      </w:r>
      <w:r w:rsidRPr="009F63DF">
        <w:tab/>
        <w:t xml:space="preserve">For example, the location from which fuels are produced or collected is a subnational administrative boundary, </w:t>
      </w:r>
      <w:r w:rsidR="00CB2574" w:rsidRPr="009F63DF">
        <w:t>while</w:t>
      </w:r>
      <w:r w:rsidRPr="009F63DF">
        <w:t xml:space="preserve"> the Article 6.4 activity involves the operation of project cookstoves in any number of communities or households, but not the entire subnational administrative boundary as a whole.</w:t>
      </w:r>
    </w:p>
  </w:footnote>
  <w:footnote w:id="23">
    <w:p w14:paraId="5625F76F" w14:textId="13800491" w:rsidR="00B72633" w:rsidRPr="009F63DF" w:rsidRDefault="00B72633" w:rsidP="00B72633">
      <w:pPr>
        <w:pStyle w:val="FootnoteText"/>
      </w:pPr>
      <w:r w:rsidRPr="009F63DF">
        <w:rPr>
          <w:rStyle w:val="FootnoteReference"/>
        </w:rPr>
        <w:footnoteRef/>
      </w:r>
      <w:r w:rsidRPr="009F63DF">
        <w:tab/>
        <w:t>For example, where the regulations explicitly state that Article 6.4ERs and</w:t>
      </w:r>
      <w:r w:rsidRPr="009F63DF" w:rsidDel="006F6B0F">
        <w:t xml:space="preserve"> </w:t>
      </w:r>
      <w:r w:rsidRPr="009F63DF">
        <w:t>their generated revenues are to be used as incentives to achieve the emission reductions in a specific sector.</w:t>
      </w:r>
    </w:p>
  </w:footnote>
  <w:footnote w:id="24">
    <w:p w14:paraId="6941FF05" w14:textId="1EEFE2C4" w:rsidR="00B75887" w:rsidRPr="009F63DF" w:rsidRDefault="00B75887" w:rsidP="00B75887">
      <w:pPr>
        <w:pStyle w:val="FootnoteText"/>
      </w:pPr>
      <w:r w:rsidRPr="009F63DF">
        <w:rPr>
          <w:rStyle w:val="FootnoteReference"/>
        </w:rPr>
        <w:footnoteRef/>
      </w:r>
      <w:r w:rsidRPr="009F63DF">
        <w:tab/>
      </w:r>
      <w:r w:rsidR="00863BCE" w:rsidRPr="00863BCE">
        <w:t xml:space="preserve">A6.4-AMT-002, available at </w:t>
      </w:r>
      <w:hyperlink r:id="rId11" w:history="1">
        <w:r w:rsidR="006F4709" w:rsidRPr="00EE1559">
          <w:rPr>
            <w:rStyle w:val="Hyperlink"/>
          </w:rPr>
          <w:t>https://unfccc.int/node/651856</w:t>
        </w:r>
      </w:hyperlink>
      <w:r w:rsidR="006F4709">
        <w:t xml:space="preserve"> </w:t>
      </w:r>
    </w:p>
  </w:footnote>
  <w:footnote w:id="25">
    <w:p w14:paraId="2E61806E" w14:textId="109B85F9" w:rsidR="004D46D7" w:rsidRPr="009F63DF" w:rsidRDefault="004D46D7" w:rsidP="00ED554C">
      <w:pPr>
        <w:pStyle w:val="FootnoteText"/>
      </w:pPr>
      <w:r w:rsidRPr="009F63DF">
        <w:rPr>
          <w:rStyle w:val="FootnoteReference"/>
        </w:rPr>
        <w:footnoteRef/>
      </w:r>
      <w:r w:rsidR="00615311" w:rsidRPr="009F63DF">
        <w:tab/>
      </w:r>
      <w:r w:rsidRPr="009F63DF">
        <w:t>For example, whether griddle-based cooking, slow stewing, or deep-frying is the predominant cooking task and that the project cookstove suits the predominant cooking task. Many other characteristics of the cooking needs of the target population could be considered, such as preferred cooking location, fuel size (sticks, logs, etc.), safety issues, etc.</w:t>
      </w:r>
    </w:p>
  </w:footnote>
  <w:footnote w:id="26">
    <w:p w14:paraId="4F23155F" w14:textId="3A61CCC6" w:rsidR="001C2394" w:rsidRPr="009F63DF" w:rsidRDefault="001C2394" w:rsidP="001C2394">
      <w:pPr>
        <w:pStyle w:val="FootnoteText"/>
      </w:pPr>
      <w:r w:rsidRPr="009F63DF">
        <w:rPr>
          <w:rStyle w:val="FootnoteReference"/>
        </w:rPr>
        <w:footnoteRef/>
      </w:r>
      <w:r w:rsidRPr="009F63DF">
        <w:tab/>
        <w:t xml:space="preserve">Examples of reputable literature include sources that are peer-reviewed </w:t>
      </w:r>
      <w:r w:rsidR="00956B4D" w:rsidRPr="009F63DF">
        <w:t>or</w:t>
      </w:r>
      <w:r w:rsidRPr="009F63DF">
        <w:t xml:space="preserve"> published by a national </w:t>
      </w:r>
      <w:r w:rsidR="00721CC3" w:rsidRPr="009F63DF">
        <w:t>agency</w:t>
      </w:r>
      <w:r w:rsidRPr="009F63DF">
        <w:t xml:space="preserve"> or multi-</w:t>
      </w:r>
      <w:r w:rsidR="00721CC3" w:rsidRPr="009F63DF">
        <w:t>lateral organization</w:t>
      </w:r>
      <w:r w:rsidRPr="009F63DF">
        <w:t>.</w:t>
      </w:r>
    </w:p>
  </w:footnote>
  <w:footnote w:id="27">
    <w:p w14:paraId="65A411B4" w14:textId="5B0B25E0" w:rsidR="0036303E" w:rsidRPr="009F63DF" w:rsidRDefault="0036303E">
      <w:pPr>
        <w:pStyle w:val="FootnoteText"/>
      </w:pPr>
      <w:r w:rsidRPr="009F63DF">
        <w:rPr>
          <w:rStyle w:val="FootnoteReference"/>
        </w:rPr>
        <w:footnoteRef/>
      </w:r>
      <w:r w:rsidR="00615311" w:rsidRPr="009F63DF">
        <w:tab/>
      </w:r>
      <w:r w:rsidR="003E2FFA" w:rsidRPr="009F63DF">
        <w:t>In some cases, t</w:t>
      </w:r>
      <w:r w:rsidRPr="009F63DF">
        <w:t>his may not be the pre-activity survey</w:t>
      </w:r>
      <w:r w:rsidR="003E2FFA" w:rsidRPr="009F63DF">
        <w:t>.</w:t>
      </w:r>
    </w:p>
  </w:footnote>
  <w:footnote w:id="28">
    <w:p w14:paraId="21C6A4AF" w14:textId="77777777" w:rsidR="0057280E" w:rsidRPr="004727D5" w:rsidRDefault="0057280E" w:rsidP="0057280E">
      <w:pPr>
        <w:pStyle w:val="FootnoteText"/>
      </w:pPr>
      <w:r>
        <w:rPr>
          <w:rStyle w:val="FootnoteReference"/>
        </w:rPr>
        <w:footnoteRef/>
      </w:r>
      <w:r>
        <w:t xml:space="preserve"> </w:t>
      </w:r>
      <w:r w:rsidRPr="004727D5">
        <w:rPr>
          <w:lang w:val="en-US"/>
        </w:rPr>
        <w:t>For the purpose of validation, evidence demonstrating that a cooking technology falls under this exclusion shall include, as applicable: (i) the model or technology of the cookstove; (ii) unique cookstove identifiers, where available, or other records allowing the cooking technologies or supported households to be identified, where the technology was distributed or supported by a government, aid, or philanthropic programme; (iii) the geographical area and period during which the support was provided; (iv) the number of cooking technologies distributed or supported; and (v) data or statements provided by the relevant government, aid, or philanthropic support provider confirming the support.</w:t>
      </w:r>
    </w:p>
  </w:footnote>
  <w:footnote w:id="29">
    <w:p w14:paraId="2EE97BAF" w14:textId="63EB51EA" w:rsidR="00EC77A2" w:rsidRPr="00B71ACB" w:rsidRDefault="00EC77A2" w:rsidP="00EC77A2">
      <w:pPr>
        <w:pStyle w:val="FootnoteText"/>
        <w:rPr>
          <w:highlight w:val="yellow"/>
        </w:rPr>
      </w:pPr>
      <w:r w:rsidRPr="009F63DF">
        <w:rPr>
          <w:rStyle w:val="FootnoteReference"/>
        </w:rPr>
        <w:footnoteRef/>
      </w:r>
      <w:r w:rsidR="00201C3E" w:rsidRPr="009F63DF">
        <w:tab/>
        <w:t xml:space="preserve">The approach is selected </w:t>
      </w:r>
      <w:r w:rsidR="005E6FF0" w:rsidRPr="009F63DF">
        <w:t xml:space="preserve">based </w:t>
      </w:r>
      <w:r w:rsidR="00201C3E" w:rsidRPr="009F63DF">
        <w:t xml:space="preserve">on </w:t>
      </w:r>
      <w:r w:rsidR="008A7D86" w:rsidRPr="009F63DF">
        <w:t xml:space="preserve">the context of household cooking activities in rural areas with low economic development, </w:t>
      </w:r>
      <w:r w:rsidR="00F2734C" w:rsidRPr="009F63DF">
        <w:t xml:space="preserve">where </w:t>
      </w:r>
      <w:r w:rsidR="008A7D86" w:rsidRPr="009F63DF">
        <w:t>the baseline emissions are subject to the restrictions of limited purchasing power that correlate with the use of low-efficiency cooking technologies and unpriced or low-priced fuels including woody biomass or artisanal charcoal</w:t>
      </w:r>
      <w:r w:rsidR="00201C3E" w:rsidRPr="009F63DF">
        <w:t>.</w:t>
      </w:r>
    </w:p>
  </w:footnote>
  <w:footnote w:id="30">
    <w:p w14:paraId="4C4CE209" w14:textId="56E5ADC0" w:rsidR="00882E78" w:rsidRPr="009F63DF" w:rsidRDefault="00882E78">
      <w:pPr>
        <w:pStyle w:val="FootnoteText"/>
      </w:pPr>
      <w:r w:rsidRPr="009F63DF">
        <w:rPr>
          <w:rStyle w:val="FootnoteReference"/>
        </w:rPr>
        <w:footnoteRef/>
      </w:r>
      <w:r w:rsidR="00615311" w:rsidRPr="009F63DF">
        <w:tab/>
      </w:r>
      <w:r w:rsidR="002E2C90" w:rsidRPr="009F63DF">
        <w:t xml:space="preserve">See </w:t>
      </w:r>
      <w:r w:rsidR="00E73392">
        <w:rPr>
          <w:highlight w:val="red"/>
        </w:rPr>
        <w:fldChar w:fldCharType="begin"/>
      </w:r>
      <w:r w:rsidR="00E73392">
        <w:instrText xml:space="preserve"> REF _Ref240561586 \r \h </w:instrText>
      </w:r>
      <w:r w:rsidR="00E73392">
        <w:rPr>
          <w:highlight w:val="red"/>
        </w:rPr>
      </w:r>
      <w:r w:rsidR="00E73392">
        <w:rPr>
          <w:highlight w:val="red"/>
        </w:rPr>
        <w:fldChar w:fldCharType="separate"/>
      </w:r>
      <w:r w:rsidR="00831DAE">
        <w:rPr>
          <w:cs/>
        </w:rPr>
        <w:t>‎</w:t>
      </w:r>
      <w:r w:rsidR="00831DAE">
        <w:t>Appendix 7</w:t>
      </w:r>
      <w:r w:rsidR="00E73392">
        <w:rPr>
          <w:highlight w:val="red"/>
        </w:rPr>
        <w:fldChar w:fldCharType="end"/>
      </w:r>
      <w:r w:rsidR="002E2C90" w:rsidRPr="009F63DF">
        <w:t xml:space="preserve"> for more information.</w:t>
      </w:r>
    </w:p>
  </w:footnote>
  <w:footnote w:id="31">
    <w:p w14:paraId="6C255D41" w14:textId="47EF785C" w:rsidR="0034171E" w:rsidRPr="009F63DF" w:rsidRDefault="0034171E" w:rsidP="00ED554C">
      <w:pPr>
        <w:pStyle w:val="FootnoteText"/>
      </w:pPr>
      <w:r w:rsidRPr="009F63DF">
        <w:rPr>
          <w:rStyle w:val="FootnoteReference"/>
        </w:rPr>
        <w:footnoteRef/>
      </w:r>
      <w:r w:rsidR="00615311" w:rsidRPr="009F63DF">
        <w:tab/>
      </w:r>
      <w:r w:rsidRPr="009F63DF">
        <w:t>All fuel types or energy sources reported in the pre-activity survey shall be included.</w:t>
      </w:r>
    </w:p>
  </w:footnote>
  <w:footnote w:id="32">
    <w:p w14:paraId="1BB430F6" w14:textId="273776DF" w:rsidR="00AB3D81" w:rsidRPr="009F63DF" w:rsidRDefault="00AB3D81" w:rsidP="00ED554C">
      <w:pPr>
        <w:pStyle w:val="FootnoteText"/>
      </w:pPr>
      <w:r w:rsidRPr="009F63DF">
        <w:rPr>
          <w:rStyle w:val="FootnoteReference"/>
        </w:rPr>
        <w:footnoteRef/>
      </w:r>
      <w:r w:rsidRPr="009F63DF">
        <w:tab/>
        <w:t>For example, if surveys indicate in the baseline that 80</w:t>
      </w:r>
      <w:r w:rsidR="0024739C" w:rsidRPr="009F63DF">
        <w:t xml:space="preserve"> per cent </w:t>
      </w:r>
      <w:r w:rsidRPr="009F63DF">
        <w:t>of cooking events are done on wood cookstoves</w:t>
      </w:r>
      <w:r w:rsidR="004F42F0" w:rsidRPr="009F63DF">
        <w:t>,</w:t>
      </w:r>
      <w:r w:rsidRPr="009F63DF">
        <w:t xml:space="preserve"> </w:t>
      </w:r>
      <w:r w:rsidR="004F42F0" w:rsidRPr="009F63DF">
        <w:t xml:space="preserve">15 </w:t>
      </w:r>
      <w:r w:rsidR="0024739C" w:rsidRPr="009F63DF">
        <w:t xml:space="preserve">per cent </w:t>
      </w:r>
      <w:r w:rsidRPr="009F63DF">
        <w:t>on cookstoves using artisanal charcoal,</w:t>
      </w:r>
      <w:r w:rsidR="004F42F0" w:rsidRPr="009F63DF">
        <w:t xml:space="preserve"> and 5 per cent using LPG cookstoves,</w:t>
      </w:r>
      <w:r w:rsidRPr="009F63DF">
        <w:t xml:space="preserve"> then the baseline energy consumption would be as follows: wood consumption: 0.80 x </w:t>
      </w:r>
      <w:r w:rsidR="009142A7" w:rsidRPr="009F63DF">
        <w:t>0.</w:t>
      </w:r>
      <w:r w:rsidR="009142A7" w:rsidRPr="009F63DF" w:rsidDel="006762EA">
        <w:t>001</w:t>
      </w:r>
      <w:r w:rsidR="009142A7" w:rsidRPr="009F63DF">
        <w:t>277</w:t>
      </w:r>
      <w:r w:rsidR="009142A7" w:rsidRPr="009F63DF" w:rsidDel="006762EA">
        <w:rPr>
          <w:rFonts w:cs="Arial"/>
        </w:rPr>
        <w:t> </w:t>
      </w:r>
      <w:r w:rsidRPr="009F63DF">
        <w:t>TJ / (person</w:t>
      </w:r>
      <w:r w:rsidR="008F30EE" w:rsidRPr="009F63DF">
        <w:t xml:space="preserve"> x </w:t>
      </w:r>
      <w:r w:rsidRPr="009F63DF">
        <w:t xml:space="preserve">year) / </w:t>
      </w:r>
      <w:r w:rsidR="00E13FC7" w:rsidRPr="009F63DF">
        <w:t xml:space="preserve">ambitious </w:t>
      </w:r>
      <w:r w:rsidRPr="009F63DF">
        <w:t>benchmark efficiency</w:t>
      </w:r>
      <w:r w:rsidR="0006731F" w:rsidRPr="009F63DF">
        <w:t xml:space="preserve"> fuelwood</w:t>
      </w:r>
      <w:r w:rsidRPr="009F63DF">
        <w:t xml:space="preserve"> = TJ wood fuel. Charcoal consumption: 0.</w:t>
      </w:r>
      <w:r w:rsidR="004F42F0" w:rsidRPr="009F63DF">
        <w:t xml:space="preserve">15 </w:t>
      </w:r>
      <w:r w:rsidRPr="009F63DF">
        <w:t xml:space="preserve">x </w:t>
      </w:r>
      <w:r w:rsidR="0024739C" w:rsidRPr="009F63DF">
        <w:t>0.</w:t>
      </w:r>
      <w:r w:rsidR="009142A7" w:rsidRPr="009F63DF" w:rsidDel="006762EA">
        <w:t>001</w:t>
      </w:r>
      <w:r w:rsidR="009142A7" w:rsidRPr="009F63DF">
        <w:t>277</w:t>
      </w:r>
      <w:r w:rsidR="009142A7" w:rsidRPr="009F63DF" w:rsidDel="006762EA">
        <w:rPr>
          <w:rFonts w:cs="Arial"/>
        </w:rPr>
        <w:t> </w:t>
      </w:r>
      <w:r w:rsidRPr="009F63DF">
        <w:t>TJ / (person</w:t>
      </w:r>
      <w:r w:rsidR="008F30EE" w:rsidRPr="009F63DF">
        <w:t xml:space="preserve"> x </w:t>
      </w:r>
      <w:r w:rsidRPr="009F63DF">
        <w:t xml:space="preserve">year) / </w:t>
      </w:r>
      <w:r w:rsidR="00E13FC7" w:rsidRPr="009F63DF">
        <w:t xml:space="preserve">ambitious </w:t>
      </w:r>
      <w:r w:rsidRPr="009F63DF">
        <w:t>benchmark efficiency</w:t>
      </w:r>
      <w:r w:rsidR="0006731F" w:rsidRPr="009F63DF">
        <w:t xml:space="preserve"> charcoal</w:t>
      </w:r>
      <w:r w:rsidRPr="009F63DF">
        <w:t xml:space="preserve"> = TJ artisanal charcoal fuel.</w:t>
      </w:r>
      <w:r w:rsidR="0006731F" w:rsidRPr="009F63DF">
        <w:t xml:space="preserve"> LPG consumption: 0.05 x 0.</w:t>
      </w:r>
      <w:r w:rsidR="0006731F" w:rsidRPr="009F63DF" w:rsidDel="006762EA">
        <w:t>001</w:t>
      </w:r>
      <w:r w:rsidR="0006731F" w:rsidRPr="009F63DF">
        <w:t>277</w:t>
      </w:r>
      <w:r w:rsidR="0006731F" w:rsidRPr="009F63DF" w:rsidDel="006762EA">
        <w:rPr>
          <w:rFonts w:cs="Arial"/>
        </w:rPr>
        <w:t> </w:t>
      </w:r>
      <w:r w:rsidR="0006731F" w:rsidRPr="009F63DF">
        <w:t>TJ / (person</w:t>
      </w:r>
      <w:r w:rsidR="008F30EE" w:rsidRPr="009F63DF">
        <w:t xml:space="preserve"> x </w:t>
      </w:r>
      <w:r w:rsidR="0006731F" w:rsidRPr="009F63DF">
        <w:t>year) / ambitious benchmark efficiency LPG = TJ LPG fuel.</w:t>
      </w:r>
    </w:p>
  </w:footnote>
  <w:footnote w:id="33">
    <w:p w14:paraId="000FC88D" w14:textId="381E376B" w:rsidR="00690104" w:rsidRPr="009F63DF" w:rsidRDefault="00690104">
      <w:pPr>
        <w:pStyle w:val="FootnoteText"/>
      </w:pPr>
      <w:r w:rsidRPr="009F63DF">
        <w:rPr>
          <w:rStyle w:val="FootnoteReference"/>
        </w:rPr>
        <w:footnoteRef/>
      </w:r>
      <w:r w:rsidR="00615311" w:rsidRPr="009F63DF">
        <w:tab/>
      </w:r>
      <w:r w:rsidR="008824B0">
        <w:t>Appendix 7</w:t>
      </w:r>
      <w:r w:rsidRPr="009F63DF">
        <w:t xml:space="preserve"> describes how these parameters were derived.</w:t>
      </w:r>
    </w:p>
  </w:footnote>
  <w:footnote w:id="34">
    <w:p w14:paraId="68C22F4B" w14:textId="339257BC" w:rsidR="004434C1" w:rsidRPr="009F63DF" w:rsidRDefault="004434C1" w:rsidP="00DF3633">
      <w:pPr>
        <w:pStyle w:val="FootnoteText"/>
        <w:suppressAutoHyphens/>
      </w:pPr>
      <w:r w:rsidRPr="009F63DF">
        <w:rPr>
          <w:rStyle w:val="FootnoteReference"/>
        </w:rPr>
        <w:footnoteRef/>
      </w:r>
      <w:r w:rsidR="00615311" w:rsidRPr="009F63DF">
        <w:tab/>
      </w:r>
      <w:r w:rsidRPr="009F63DF">
        <w:t>The extent to which the policy frameworks in place are sufficient to enable the achievement of the policies/targets may be considered in determining their relevance for the BAU scenario.</w:t>
      </w:r>
    </w:p>
  </w:footnote>
  <w:footnote w:id="35">
    <w:p w14:paraId="400FCC10" w14:textId="021E0075" w:rsidR="00D2207C" w:rsidRPr="009F63DF" w:rsidRDefault="00D2207C" w:rsidP="00DF3633">
      <w:pPr>
        <w:pStyle w:val="FootnoteText"/>
        <w:suppressAutoHyphens/>
      </w:pPr>
      <w:r w:rsidRPr="009F63DF">
        <w:rPr>
          <w:rStyle w:val="FootnoteReference"/>
        </w:rPr>
        <w:footnoteRef/>
      </w:r>
      <w:r w:rsidR="00615311" w:rsidRPr="009F63DF">
        <w:tab/>
      </w:r>
      <w:r w:rsidRPr="009F63DF">
        <w:t>The extent to which the policy frameworks in place are sufficient to enable the achievement of the policies/targets may be considered in determining their relevance for the BAU scenario.</w:t>
      </w:r>
    </w:p>
  </w:footnote>
  <w:footnote w:id="36">
    <w:p w14:paraId="0D2A1A10" w14:textId="77777777" w:rsidR="00255F6C" w:rsidRPr="009F63DF" w:rsidRDefault="00255F6C" w:rsidP="00255F6C">
      <w:pPr>
        <w:pStyle w:val="FootnoteText"/>
      </w:pPr>
      <w:r w:rsidRPr="009F63DF">
        <w:rPr>
          <w:rStyle w:val="FootnoteReference"/>
        </w:rPr>
        <w:footnoteRef/>
      </w:r>
      <w:r w:rsidRPr="009F63DF">
        <w:tab/>
        <w:t xml:space="preserve">Defined in line with the procedure of paragraph 77(a)(iii) of the </w:t>
      </w:r>
      <w:r>
        <w:rPr>
          <w:rFonts w:eastAsia="MS Mincho" w:hint="eastAsia"/>
          <w:lang w:eastAsia="ja-JP"/>
        </w:rPr>
        <w:t>b</w:t>
      </w:r>
      <w:r w:rsidRPr="009F63DF">
        <w:t xml:space="preserve">aseline </w:t>
      </w:r>
      <w:r>
        <w:rPr>
          <w:rFonts w:eastAsia="MS Mincho" w:hint="eastAsia"/>
          <w:lang w:eastAsia="ja-JP"/>
        </w:rPr>
        <w:t>s</w:t>
      </w:r>
      <w:r w:rsidRPr="009F63DF">
        <w:t>tandard.</w:t>
      </w:r>
    </w:p>
  </w:footnote>
  <w:footnote w:id="37">
    <w:p w14:paraId="754D4742" w14:textId="2001715A" w:rsidR="00626FD3" w:rsidRPr="009F63DF" w:rsidRDefault="00626FD3" w:rsidP="009A616B">
      <w:pPr>
        <w:pStyle w:val="FootnoteText"/>
        <w:suppressAutoHyphens/>
      </w:pPr>
      <w:r w:rsidRPr="009F63DF">
        <w:rPr>
          <w:rStyle w:val="FootnoteReference"/>
        </w:rPr>
        <w:footnoteRef/>
      </w:r>
      <w:r w:rsidR="00615311" w:rsidRPr="009F63DF">
        <w:tab/>
      </w:r>
      <w:r w:rsidRPr="009F63DF">
        <w:t xml:space="preserve">For example, if </w:t>
      </w:r>
      <w:r w:rsidR="00931427" w:rsidRPr="009F63DF">
        <w:t>this analysis</w:t>
      </w:r>
      <w:r w:rsidRPr="009F63DF">
        <w:t xml:space="preserve"> </w:t>
      </w:r>
      <w:r w:rsidR="00931427" w:rsidRPr="009F63DF">
        <w:t>determines that</w:t>
      </w:r>
      <w:r w:rsidR="003A5050" w:rsidRPr="009F63DF">
        <w:t xml:space="preserve"> the activity scenario provides</w:t>
      </w:r>
      <w:r w:rsidR="00931427" w:rsidRPr="009F63DF">
        <w:t xml:space="preserve"> 0.001</w:t>
      </w:r>
      <w:r w:rsidR="00C27A89" w:rsidRPr="009F63DF">
        <w:t>100</w:t>
      </w:r>
      <w:r w:rsidR="00931427" w:rsidRPr="009F63DF">
        <w:t xml:space="preserve"> TJ</w:t>
      </w:r>
      <w:r w:rsidR="008F30EE" w:rsidRPr="009F63DF">
        <w:t xml:space="preserve"> </w:t>
      </w:r>
      <w:r w:rsidR="00931427" w:rsidRPr="009F63DF">
        <w:t>/</w:t>
      </w:r>
      <w:r w:rsidR="008F30EE" w:rsidRPr="009F63DF">
        <w:t xml:space="preserve"> </w:t>
      </w:r>
      <w:r w:rsidR="00931427" w:rsidRPr="009F63DF">
        <w:t>(person</w:t>
      </w:r>
      <w:r w:rsidR="008F30EE" w:rsidRPr="009F63DF">
        <w:t xml:space="preserve"> x </w:t>
      </w:r>
      <w:r w:rsidR="00931427" w:rsidRPr="009F63DF">
        <w:t>year</w:t>
      </w:r>
      <w:r w:rsidR="00C27A89" w:rsidRPr="009F63DF">
        <w:t>)</w:t>
      </w:r>
      <w:r w:rsidR="00170090" w:rsidRPr="009F63DF">
        <w:t xml:space="preserve"> useful energy delivered</w:t>
      </w:r>
      <w:r w:rsidR="00931427" w:rsidRPr="009F63DF">
        <w:t xml:space="preserve"> for fuelwood as the primary fuel</w:t>
      </w:r>
      <w:r w:rsidR="003A5050" w:rsidRPr="009F63DF">
        <w:t xml:space="preserve">, </w:t>
      </w:r>
      <w:r w:rsidR="00482C5B" w:rsidRPr="009F63DF">
        <w:t xml:space="preserve">where 80 per cent of cooking </w:t>
      </w:r>
      <w:r w:rsidR="00587B2F" w:rsidRPr="009F63DF">
        <w:t>energy</w:t>
      </w:r>
      <w:r w:rsidR="00CD239B" w:rsidRPr="009F63DF">
        <w:t xml:space="preserve"> is from wood</w:t>
      </w:r>
      <w:r w:rsidR="00482C5B" w:rsidRPr="009F63DF">
        <w:t xml:space="preserve">, 15 per cent </w:t>
      </w:r>
      <w:r w:rsidR="00CD239B" w:rsidRPr="009F63DF">
        <w:t>from</w:t>
      </w:r>
      <w:r w:rsidR="00482C5B" w:rsidRPr="009F63DF">
        <w:t xml:space="preserve"> artisanal charcoal, and 5 per cent </w:t>
      </w:r>
      <w:r w:rsidR="00CD239B" w:rsidRPr="009F63DF">
        <w:t>from</w:t>
      </w:r>
      <w:r w:rsidR="00482C5B" w:rsidRPr="009F63DF">
        <w:t xml:space="preserve"> LPG, </w:t>
      </w:r>
      <w:r w:rsidR="003A5050" w:rsidRPr="009F63DF">
        <w:t xml:space="preserve">then </w:t>
      </w:r>
      <w:r w:rsidR="00035313" w:rsidRPr="009F63DF">
        <w:t xml:space="preserve">the </w:t>
      </w:r>
      <w:r w:rsidR="00434B5E" w:rsidRPr="009F63DF">
        <w:t xml:space="preserve">baseline fuel energy </w:t>
      </w:r>
      <w:r w:rsidR="00482C5B" w:rsidRPr="009F63DF">
        <w:t xml:space="preserve">consumption would be </w:t>
      </w:r>
      <w:r w:rsidR="00D2201C" w:rsidRPr="009F63DF">
        <w:t xml:space="preserve">re-determined </w:t>
      </w:r>
      <w:r w:rsidR="00482C5B" w:rsidRPr="009F63DF">
        <w:t xml:space="preserve">as follows: </w:t>
      </w:r>
      <w:r w:rsidRPr="009F63DF">
        <w:t>wood consumption: 0.80 x 0.001</w:t>
      </w:r>
      <w:r w:rsidR="00D2201C" w:rsidRPr="009F63DF">
        <w:t>100</w:t>
      </w:r>
      <w:r w:rsidRPr="009F63DF">
        <w:t xml:space="preserve"> TJ / (person</w:t>
      </w:r>
      <w:r w:rsidR="008F30EE" w:rsidRPr="009F63DF">
        <w:t xml:space="preserve"> x </w:t>
      </w:r>
      <w:r w:rsidRPr="009F63DF">
        <w:t>year) / ambitious benchmark efficiency fuelwood = TJ wood fuel. Charcoal consumption: 0.15 x 0.001</w:t>
      </w:r>
      <w:r w:rsidR="00EF5697" w:rsidRPr="009F63DF">
        <w:t>100</w:t>
      </w:r>
      <w:r w:rsidRPr="009F63DF">
        <w:t xml:space="preserve"> TJ / (person</w:t>
      </w:r>
      <w:r w:rsidR="008F30EE" w:rsidRPr="009F63DF">
        <w:t xml:space="preserve"> x </w:t>
      </w:r>
      <w:r w:rsidRPr="009F63DF">
        <w:t>year) / ambitious benchmark efficiency charcoal = TJ artisanal charcoal fuel. LPG consumption: 0.05 x 0.001</w:t>
      </w:r>
      <w:r w:rsidR="00EF5697" w:rsidRPr="009F63DF">
        <w:t>100</w:t>
      </w:r>
      <w:r w:rsidRPr="009F63DF">
        <w:t xml:space="preserve"> TJ / (person x year) / ambitious benchmark efficiency LPG = TJ LPG fuel.</w:t>
      </w:r>
    </w:p>
  </w:footnote>
  <w:footnote w:id="38">
    <w:p w14:paraId="3725D38B" w14:textId="62B9DB46" w:rsidR="00BA2423" w:rsidRPr="009F63DF" w:rsidRDefault="00BA2423">
      <w:pPr>
        <w:pStyle w:val="FootnoteText"/>
      </w:pPr>
      <w:r w:rsidRPr="009F63DF">
        <w:rPr>
          <w:rStyle w:val="FootnoteReference"/>
        </w:rPr>
        <w:footnoteRef/>
      </w:r>
      <w:r w:rsidR="006D2932" w:rsidRPr="009F63DF">
        <w:tab/>
      </w:r>
      <w:r w:rsidRPr="009F63DF">
        <w:t xml:space="preserve">See </w:t>
      </w:r>
      <w:r w:rsidR="007944AC">
        <w:t>Appendix 7</w:t>
      </w:r>
      <w:r w:rsidR="00DA1466" w:rsidRPr="009F63DF">
        <w:t xml:space="preserve"> </w:t>
      </w:r>
      <w:r w:rsidRPr="009F63DF">
        <w:t>for further details</w:t>
      </w:r>
      <w:r w:rsidR="00746E66" w:rsidRPr="009F63DF">
        <w:t xml:space="preserve"> on</w:t>
      </w:r>
      <w:r w:rsidR="00C9410B" w:rsidRPr="009F63DF">
        <w:t xml:space="preserve"> the Hawthorne effect, the </w:t>
      </w:r>
      <w:r w:rsidR="004C5040" w:rsidRPr="009F63DF">
        <w:t>activity</w:t>
      </w:r>
      <w:r w:rsidR="00C9410B" w:rsidRPr="009F63DF">
        <w:t xml:space="preserve"> emissions adjustment, and</w:t>
      </w:r>
      <w:r w:rsidR="00746E66" w:rsidRPr="009F63DF">
        <w:t xml:space="preserve"> how the default percentage </w:t>
      </w:r>
      <w:r w:rsidR="00C9410B" w:rsidRPr="009F63DF">
        <w:t>wa</w:t>
      </w:r>
      <w:r w:rsidR="00746E66" w:rsidRPr="009F63DF">
        <w:t>s derived.</w:t>
      </w:r>
    </w:p>
  </w:footnote>
  <w:footnote w:id="39">
    <w:p w14:paraId="042C1F0B" w14:textId="2CC6F4B4" w:rsidR="000037EA" w:rsidRPr="009F63DF" w:rsidRDefault="000037EA">
      <w:pPr>
        <w:pStyle w:val="FootnoteText"/>
      </w:pPr>
      <w:r w:rsidRPr="009F63DF">
        <w:rPr>
          <w:rStyle w:val="FootnoteReference"/>
        </w:rPr>
        <w:footnoteRef/>
      </w:r>
      <w:r w:rsidR="006D2932" w:rsidRPr="009F63DF">
        <w:tab/>
      </w:r>
      <w:r w:rsidR="003B706D" w:rsidRPr="009F63DF">
        <w:t xml:space="preserve">Following the requirements of the “Procedure: Article 6.4 mechanism registry” (A6.4-PROC-REGS-001). </w:t>
      </w:r>
      <w:r w:rsidR="00A86969" w:rsidRPr="009F63DF">
        <w:t xml:space="preserve">See </w:t>
      </w:r>
      <w:hyperlink r:id="rId12" w:history="1">
        <w:r w:rsidR="00A86969" w:rsidRPr="009F63DF">
          <w:rPr>
            <w:rStyle w:val="Hyperlink"/>
          </w:rPr>
          <w:t>https://unfccc.int/sites/default/files/resource/A6.4-PROC-REGS-001.pdf</w:t>
        </w:r>
      </w:hyperlink>
      <w:r w:rsidR="00A86969" w:rsidRPr="009F63DF">
        <w:t>.</w:t>
      </w:r>
    </w:p>
  </w:footnote>
  <w:footnote w:id="40">
    <w:p w14:paraId="4C262934" w14:textId="5F138048" w:rsidR="00FC5CCF" w:rsidRPr="009F63DF" w:rsidRDefault="00FC5CCF" w:rsidP="0060169D">
      <w:pPr>
        <w:pStyle w:val="FootnoteText"/>
        <w:suppressAutoHyphens/>
      </w:pPr>
      <w:r w:rsidRPr="009F63DF">
        <w:rPr>
          <w:rStyle w:val="FootnoteReference"/>
        </w:rPr>
        <w:footnoteRef/>
      </w:r>
      <w:r w:rsidR="00615311" w:rsidRPr="009F63DF">
        <w:tab/>
      </w:r>
      <w:r w:rsidRPr="009F63DF">
        <w:t>Paragraph 13 in the Annex to the “Standard: Setting the baseline in mechanism methodologies” requires that emission reductions are very unlikely to be overestimated. To ensure that this requirement is met, the MEP conducted a Monte Carlo analysis to assess the distribution of the likely emission reductions, noted the emission reductions at the P10 percentile of this distribution, and determined that the emission reductions resulting from the methodology generally are around the P10 quantity, i.e. the mechanism methodology is unlikely to overestimate emission reductions with 90</w:t>
      </w:r>
      <w:r w:rsidR="00BB1873">
        <w:t xml:space="preserve"> per cent</w:t>
      </w:r>
      <w:r w:rsidRPr="009F63DF">
        <w:t xml:space="preserve"> confidence. Based on the analysis, the MEP concluded that the use of conservative values, as specified under this mechanism methodology, ensures that the requirement in paragraph 13 in the Annex to the “Standard: Setting the baseline in mechanism methodologies” is met.</w:t>
      </w:r>
    </w:p>
  </w:footnote>
  <w:footnote w:id="41">
    <w:p w14:paraId="028F78A3" w14:textId="77777777" w:rsidR="001C2394" w:rsidRPr="00B71ACB" w:rsidRDefault="001C2394" w:rsidP="001C2394">
      <w:pPr>
        <w:pStyle w:val="FootnoteText"/>
        <w:rPr>
          <w:highlight w:val="yellow"/>
        </w:rPr>
      </w:pPr>
      <w:r w:rsidRPr="009F63DF">
        <w:rPr>
          <w:rStyle w:val="FootnoteReference"/>
        </w:rPr>
        <w:footnoteRef/>
      </w:r>
      <w:r w:rsidRPr="009F63DF">
        <w:tab/>
        <w:t>When full or partial impact of the activity is covered under mandatory domestic mitigation scheme and counted towards the achievement of targets and obligations under mandatory domestic mitigation scheme, the relevant share of the impact shall be deducted by the activity participants from the amount requested for issuance.</w:t>
      </w:r>
    </w:p>
  </w:footnote>
  <w:footnote w:id="42">
    <w:p w14:paraId="6F678E7D" w14:textId="06E7BAA7" w:rsidR="0099174D" w:rsidRPr="009F63DF" w:rsidRDefault="0099174D" w:rsidP="00A61041">
      <w:pPr>
        <w:pStyle w:val="FootnoteText"/>
      </w:pPr>
      <w:r w:rsidRPr="009F63DF">
        <w:rPr>
          <w:rStyle w:val="FootnoteReference"/>
        </w:rPr>
        <w:footnoteRef/>
      </w:r>
      <w:r w:rsidR="008C332A">
        <w:tab/>
      </w:r>
      <w:r w:rsidR="00716035" w:rsidRPr="009F63DF">
        <w:t>This information is available in MoFuSS and could be incorporated in a f</w:t>
      </w:r>
      <w:r w:rsidRPr="009F63DF">
        <w:t>uture version</w:t>
      </w:r>
      <w:r w:rsidR="00716035" w:rsidRPr="009F63DF">
        <w:t xml:space="preserve"> of the fNRB Tool.</w:t>
      </w:r>
    </w:p>
  </w:footnote>
  <w:footnote w:id="43">
    <w:p w14:paraId="62EFD1BE" w14:textId="05D276EE" w:rsidR="002B2F0E" w:rsidRPr="009F63DF" w:rsidRDefault="002B2F0E">
      <w:pPr>
        <w:pStyle w:val="FootnoteText"/>
      </w:pPr>
      <w:r w:rsidRPr="00584010">
        <w:rPr>
          <w:rStyle w:val="FootnoteReference"/>
        </w:rPr>
        <w:footnoteRef/>
      </w:r>
      <w:r w:rsidR="008C332A" w:rsidRPr="00584010">
        <w:tab/>
      </w:r>
      <w:r w:rsidRPr="00584010">
        <w:t>This approach may be revisited in the future, for example following any changes in methods for determining fNRB</w:t>
      </w:r>
      <w:r w:rsidR="00AF76D9" w:rsidRPr="00584010">
        <w:rPr>
          <w:rFonts w:eastAsia="MS Mincho" w:hint="eastAsia"/>
          <w:lang w:eastAsia="ja-JP"/>
        </w:rPr>
        <w:t xml:space="preserve"> values</w:t>
      </w:r>
      <w:r w:rsidRPr="00584010">
        <w:t>.</w:t>
      </w:r>
    </w:p>
  </w:footnote>
  <w:footnote w:id="44">
    <w:p w14:paraId="6992D208" w14:textId="32F1A5E2" w:rsidR="00EE447A" w:rsidRPr="009F63DF" w:rsidRDefault="00EE447A">
      <w:pPr>
        <w:pStyle w:val="FootnoteText"/>
      </w:pPr>
      <w:r w:rsidRPr="009F63DF">
        <w:rPr>
          <w:rStyle w:val="FootnoteReference"/>
        </w:rPr>
        <w:footnoteRef/>
      </w:r>
      <w:r w:rsidRPr="009F63DF">
        <w:tab/>
        <w:t>Where ISO 19867 (or equivalent national standards) is used to determine thermal efficiency, CO, or PM tiers, the corresponding carbon balance shall be reported.</w:t>
      </w:r>
    </w:p>
  </w:footnote>
  <w:footnote w:id="45">
    <w:p w14:paraId="1649B009" w14:textId="75DA5F64" w:rsidR="00970B55" w:rsidRPr="009F63DF" w:rsidRDefault="00970B55" w:rsidP="00262DD2">
      <w:pPr>
        <w:pStyle w:val="FootnoteText"/>
        <w:jc w:val="left"/>
      </w:pPr>
      <w:r w:rsidRPr="009F63DF">
        <w:rPr>
          <w:rStyle w:val="FootnoteReference"/>
        </w:rPr>
        <w:footnoteRef/>
      </w:r>
      <w:r w:rsidR="006D2932" w:rsidRPr="009F63DF">
        <w:tab/>
      </w:r>
      <w:r w:rsidRPr="009F63DF">
        <w:t xml:space="preserve">See </w:t>
      </w:r>
      <w:hyperlink r:id="rId13" w:history="1">
        <w:r w:rsidR="00825A01" w:rsidRPr="009F63DF">
          <w:rPr>
            <w:rStyle w:val="Hyperlink"/>
          </w:rPr>
          <w:t>https://cleancooking.org/wp-content/uploads/2024/05/The-Principles-for-Responsible-Carbon-Finance-in-Clean-Cooking.pdf</w:t>
        </w:r>
      </w:hyperlink>
      <w:r w:rsidR="00825A01" w:rsidRPr="009F63DF">
        <w:t>.</w:t>
      </w:r>
    </w:p>
  </w:footnote>
  <w:footnote w:id="46">
    <w:p w14:paraId="4C6A675A" w14:textId="5D89F006" w:rsidR="00B214EF" w:rsidRPr="009F63DF" w:rsidRDefault="00B214EF">
      <w:pPr>
        <w:pStyle w:val="FootnoteText"/>
      </w:pPr>
      <w:r w:rsidRPr="009F63DF">
        <w:rPr>
          <w:rStyle w:val="FootnoteReference"/>
        </w:rPr>
        <w:footnoteRef/>
      </w:r>
      <w:r w:rsidR="006D2932" w:rsidRPr="009F63DF">
        <w:tab/>
      </w:r>
      <w:r w:rsidRPr="009F63DF">
        <w:t>The IQR is the range of the middle 50</w:t>
      </w:r>
      <w:r w:rsidR="00BB1873">
        <w:t xml:space="preserve"> per cent</w:t>
      </w:r>
      <w:r w:rsidRPr="009F63DF">
        <w:t xml:space="preserve"> of the data.</w:t>
      </w:r>
      <w:r w:rsidR="0026677D" w:rsidRPr="009F63DF">
        <w:t xml:space="preserve"> The 1.5 × IQR rule is a standard approximation for outlier identification (Tukey, 1977). It flags values falling below Q1 − 1.5 × IQR or above Q3 + 1.5 × IQR, where Q1 and Q3 are the 25th and 75th percentiles respectively. This threshold is robust to the right-skewed distributions typical of household fuel consumption data, where mean-based rules would over-flag legitimate high-consumption observations. Tukey, J.W. (1977). Exploratory Data Analysis. Addison-Wesley.</w:t>
      </w:r>
    </w:p>
  </w:footnote>
  <w:footnote w:id="47">
    <w:p w14:paraId="5F65FE98" w14:textId="46CABC90" w:rsidR="00916D1F" w:rsidRPr="009F63DF" w:rsidRDefault="00916D1F">
      <w:pPr>
        <w:pStyle w:val="FootnoteText"/>
      </w:pPr>
      <w:r w:rsidRPr="009F63DF">
        <w:rPr>
          <w:rStyle w:val="FootnoteReference"/>
        </w:rPr>
        <w:footnoteRef/>
      </w:r>
      <w:r w:rsidR="006D2932" w:rsidRPr="009F63DF">
        <w:tab/>
      </w:r>
      <w:r w:rsidR="009F410B" w:rsidRPr="009F63DF">
        <w:t xml:space="preserve">In the case of a combination of before and after, for example, </w:t>
      </w:r>
      <w:r w:rsidR="00B70FDE" w:rsidRPr="009F63DF">
        <w:t>the SUM would be placed 10 days before the start of the KPT, remain during the KPT, and then remain for a further 20 days after completing the KPT.</w:t>
      </w:r>
    </w:p>
  </w:footnote>
  <w:footnote w:id="48">
    <w:p w14:paraId="72C63745" w14:textId="77777777" w:rsidR="001C2394" w:rsidRPr="009F63DF" w:rsidRDefault="001C2394" w:rsidP="001C2394">
      <w:pPr>
        <w:pStyle w:val="FootnoteText"/>
      </w:pPr>
      <w:r w:rsidRPr="009F63DF">
        <w:rPr>
          <w:rStyle w:val="FootnoteReference"/>
        </w:rPr>
        <w:footnoteRef/>
      </w:r>
      <w:r w:rsidRPr="009F63DF">
        <w:tab/>
        <w:t>Of note, data analysis can be challenging for cookstoves that are frequently moved indoors and outdoors for cooking, due to solar radiation affecting heating and cooling rates, so piloting placement of temperature monitors or probes is critical for such applications.</w:t>
      </w:r>
    </w:p>
  </w:footnote>
  <w:footnote w:id="49">
    <w:p w14:paraId="0852D56E" w14:textId="3B4E8D1F" w:rsidR="00D24F60" w:rsidRPr="009F63DF" w:rsidRDefault="00D24F60">
      <w:pPr>
        <w:pStyle w:val="FootnoteText"/>
      </w:pPr>
      <w:r w:rsidRPr="009F63DF">
        <w:rPr>
          <w:rStyle w:val="FootnoteReference"/>
        </w:rPr>
        <w:footnoteRef/>
      </w:r>
      <w:r w:rsidR="006D2932" w:rsidRPr="009F63DF">
        <w:tab/>
      </w:r>
      <w:hyperlink r:id="rId14" w:anchor="/indicies/MPI" w:history="1">
        <w:r w:rsidR="00A6222B" w:rsidRPr="009F63DF">
          <w:rPr>
            <w:rStyle w:val="Hyperlink"/>
          </w:rPr>
          <w:t>https://hdr.undp.org/content/2025-global-multidimensional-poverty-index-mpi#/indicies/MPI</w:t>
        </w:r>
      </w:hyperlink>
      <w:r w:rsidR="009139AF" w:rsidRPr="009F63DF">
        <w:t>.</w:t>
      </w:r>
    </w:p>
  </w:footnote>
  <w:footnote w:id="50">
    <w:p w14:paraId="41FEBE85" w14:textId="4B3B1BF8" w:rsidR="00A6222B" w:rsidRPr="009F63DF" w:rsidRDefault="00A6222B">
      <w:pPr>
        <w:pStyle w:val="FootnoteText"/>
      </w:pPr>
      <w:r w:rsidRPr="009F63DF">
        <w:rPr>
          <w:rStyle w:val="FootnoteReference"/>
        </w:rPr>
        <w:footnoteRef/>
      </w:r>
      <w:r w:rsidR="006D2932" w:rsidRPr="009F63DF">
        <w:tab/>
      </w:r>
      <w:r w:rsidRPr="009F63DF">
        <w:t>https://ophi.org.uk/global-mpi/2025</w:t>
      </w:r>
      <w:r w:rsidR="009139AF" w:rsidRPr="009F63DF">
        <w:t>.</w:t>
      </w:r>
    </w:p>
  </w:footnote>
  <w:footnote w:id="51">
    <w:p w14:paraId="2CA501A2" w14:textId="07C1BD8D" w:rsidR="002830E9" w:rsidRPr="009F63DF" w:rsidRDefault="002830E9">
      <w:pPr>
        <w:pStyle w:val="FootnoteText"/>
      </w:pPr>
      <w:r w:rsidRPr="009F63DF">
        <w:rPr>
          <w:rStyle w:val="FootnoteReference"/>
        </w:rPr>
        <w:footnoteRef/>
      </w:r>
      <w:r w:rsidR="006D2932" w:rsidRPr="009F63DF">
        <w:tab/>
      </w:r>
      <w:r w:rsidRPr="009F63DF">
        <w:t>Wilson et al. 2016.</w:t>
      </w:r>
    </w:p>
  </w:footnote>
  <w:footnote w:id="52">
    <w:p w14:paraId="437ED78B" w14:textId="134739BE" w:rsidR="00FB631F" w:rsidRPr="009F63DF" w:rsidRDefault="00FB631F" w:rsidP="00FB631F">
      <w:pPr>
        <w:pStyle w:val="FootnoteText"/>
      </w:pPr>
      <w:r w:rsidRPr="009F63DF">
        <w:rPr>
          <w:rStyle w:val="FootnoteReference"/>
        </w:rPr>
        <w:footnoteRef/>
      </w:r>
      <w:r w:rsidRPr="009F63DF">
        <w:tab/>
        <w:t>The top 20</w:t>
      </w:r>
      <w:r w:rsidR="00BB1873">
        <w:t xml:space="preserve"> per cent</w:t>
      </w:r>
      <w:r w:rsidRPr="009F63DF">
        <w:t xml:space="preserve"> (the top quintile) is a common method for defining high performance or efficient households in energy benchmarking. It isolates true out</w:t>
      </w:r>
      <w:r w:rsidRPr="009F63DF">
        <w:rPr>
          <w:rFonts w:ascii="Cambria Math" w:hAnsi="Cambria Math" w:cs="Cambria Math"/>
        </w:rPr>
        <w:t>‑</w:t>
      </w:r>
      <w:r w:rsidRPr="009F63DF">
        <w:t>performers, not just slightly above-average households and avoids including the middle of the distribution, which may be influenced by normal variability. This aligns with how other benchmarking bodies define performance tiers e.g., ENERGY STAR frequently uses percentile</w:t>
      </w:r>
      <w:r w:rsidRPr="009F63DF">
        <w:rPr>
          <w:rFonts w:ascii="Cambria Math" w:hAnsi="Cambria Math" w:cs="Cambria Math"/>
        </w:rPr>
        <w:t>‑</w:t>
      </w:r>
      <w:r w:rsidRPr="009F63DF">
        <w:t>based groupings to segment building or household energy performance into statistically meaningful slices.</w:t>
      </w:r>
    </w:p>
  </w:footnote>
  <w:footnote w:id="53">
    <w:p w14:paraId="7A4A381F" w14:textId="47655926" w:rsidR="00806643" w:rsidRPr="009F63DF" w:rsidRDefault="00806643">
      <w:pPr>
        <w:pStyle w:val="FootnoteText"/>
      </w:pPr>
      <w:r w:rsidRPr="009F63DF">
        <w:rPr>
          <w:rStyle w:val="FootnoteReference"/>
        </w:rPr>
        <w:footnoteRef/>
      </w:r>
      <w:r w:rsidR="006D2932" w:rsidRPr="009F63DF">
        <w:tab/>
      </w:r>
      <w:r w:rsidRPr="009F63DF">
        <w:t xml:space="preserve">See </w:t>
      </w:r>
      <w:hyperlink r:id="rId15" w:history="1">
        <w:r w:rsidRPr="009F63DF">
          <w:rPr>
            <w:rStyle w:val="Hyperlink"/>
          </w:rPr>
          <w:t>https://unfccc.int/sites/default/files/resource/A6.4-INFO-METH-002.pdf</w:t>
        </w:r>
      </w:hyperlink>
      <w:r w:rsidRPr="009F63D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C547" w14:textId="6B331275" w:rsidR="007D2451" w:rsidRPr="005307EB" w:rsidRDefault="007D2451" w:rsidP="005307EB">
    <w:pPr>
      <w:pStyle w:val="SDMTiHead"/>
      <w:pBdr>
        <w:bottom w:val="single" w:sz="24" w:space="10" w:color="auto"/>
      </w:pBdr>
      <w:tabs>
        <w:tab w:val="clear" w:pos="4320"/>
        <w:tab w:val="clear" w:pos="8640"/>
      </w:tabs>
      <w:spacing w:after="240"/>
      <w:ind w:left="0" w:firstLine="0"/>
      <w:rPr>
        <w:lang w:val="de-DE"/>
      </w:rPr>
    </w:pPr>
    <w:r>
      <w:rPr>
        <w:lang w:val="de-DE"/>
      </w:rPr>
      <w:t>ARTICLE 6.4 Mechanism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1BFA" w14:textId="678514A5" w:rsidR="00371323" w:rsidRPr="00374325" w:rsidRDefault="00371323" w:rsidP="00454CEC">
    <w:pPr>
      <w:pStyle w:val="SDMHeader"/>
      <w:rPr>
        <w:lang w:val="en-US"/>
      </w:rPr>
    </w:pPr>
    <w:r w:rsidRPr="00454CEC">
      <w:fldChar w:fldCharType="begin"/>
    </w:r>
    <w:r w:rsidRPr="00374325">
      <w:rPr>
        <w:lang w:val="en-US"/>
      </w:rPr>
      <w:instrText xml:space="preserve"> REF  SDMDocRef \* Upper \h  \* MERGEFORMAT </w:instrText>
    </w:r>
    <w:r w:rsidRPr="00454CEC">
      <w:fldChar w:fldCharType="separate"/>
    </w:r>
    <w:sdt>
      <w:sdtPr>
        <w:alias w:val="SDMDocRef"/>
        <w:tag w:val="SDMDocRef"/>
        <w:id w:val="1110235632"/>
        <w:lock w:val="sdtLocked"/>
        <w:placeholder>
          <w:docPart w:val="CBF928E0736D4A809A0A597AED27377A"/>
        </w:placeholder>
      </w:sdtPr>
      <w:sdtEndPr>
        <w:rPr>
          <w:lang w:val="en-US"/>
        </w:rPr>
      </w:sdtEndPr>
      <w:sdtContent>
        <w:r w:rsidR="00831DAE" w:rsidRPr="001C695C">
          <w:rPr>
            <w:lang w:val="en-US"/>
          </w:rPr>
          <w:t>A6.4-AMM-005</w:t>
        </w:r>
      </w:sdtContent>
    </w:sdt>
    <w:r w:rsidRPr="00454CEC">
      <w:fldChar w:fldCharType="end"/>
    </w:r>
    <w:r w:rsidRPr="00374325">
      <w:rPr>
        <w:lang w:val="en-US"/>
      </w:rPr>
      <w:tab/>
    </w:r>
    <w:r w:rsidRPr="00454CEC">
      <w:fldChar w:fldCharType="begin"/>
    </w:r>
    <w:r w:rsidRPr="00374325">
      <w:rPr>
        <w:lang w:val="en-US"/>
      </w:rPr>
      <w:instrText xml:space="preserve"> REF  SDMConfidentialMark \* Upper \h  \* MERGEFORMAT </w:instrText>
    </w:r>
    <w:r w:rsidRPr="00454CEC">
      <w:fldChar w:fldCharType="separate"/>
    </w:r>
    <w:sdt>
      <w:sdtPr>
        <w:rPr>
          <w:lang w:val="en-US"/>
        </w:rPr>
        <w:alias w:val="SDMConfidentialMark"/>
        <w:tag w:val="SDMConfidentialMark"/>
        <w:id w:val="-1613664546"/>
        <w:lock w:val="sdtLocked"/>
        <w:placeholder>
          <w:docPart w:val="46C93374E106446A9B755AD39676056C"/>
        </w:placeholder>
        <w:dropDownList>
          <w:listItem w:displayText="Confidential" w:value="Confidential"/>
          <w:listItem w:displayText=" " w:value="  "/>
        </w:dropDownList>
      </w:sdtPr>
      <w:sdtContent>
        <w:r w:rsidR="00831DAE" w:rsidRPr="00831DAE">
          <w:rPr>
            <w:lang w:val="en-US"/>
          </w:rPr>
          <w:t xml:space="preserve"> </w:t>
        </w:r>
      </w:sdtContent>
    </w:sdt>
    <w:r w:rsidRPr="00454CEC">
      <w:fldChar w:fldCharType="end"/>
    </w:r>
  </w:p>
  <w:p w14:paraId="7EF63430" w14:textId="5A791656" w:rsidR="00371323" w:rsidRPr="004639DA" w:rsidRDefault="00371323" w:rsidP="004639DA">
    <w:pPr>
      <w:pStyle w:val="SDMHeader"/>
    </w:pPr>
    <w:r w:rsidRPr="004639DA">
      <w:fldChar w:fldCharType="begin"/>
    </w:r>
    <w:r w:rsidRPr="004639DA">
      <w:instrText xml:space="preserve"> REF  SDMTitle1 \h  \* MERGEFORMAT </w:instrText>
    </w:r>
    <w:r w:rsidRPr="004639DA">
      <w:fldChar w:fldCharType="separate"/>
    </w:r>
    <w:sdt>
      <w:sdtPr>
        <w:alias w:val="SDMTitle1"/>
        <w:tag w:val="SDMTitle1"/>
        <w:id w:val="473182572"/>
        <w:lock w:val="sdtLocked"/>
        <w:placeholder>
          <w:docPart w:val="274D9C239FC94A4FBCA95A1F084D87AE"/>
        </w:placeholder>
      </w:sdtPr>
      <w:sdtContent>
        <w:sdt>
          <w:sdtPr>
            <w:alias w:val="SDMDocType"/>
            <w:tag w:val="SDMDocType"/>
            <w:id w:val="1528374602"/>
            <w:lock w:val="sdtContentLocked"/>
            <w:placeholder>
              <w:docPart w:val="6EA20015A4F44816842C31B0D1265997"/>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831DAE">
              <w:t>Mechanism methodology</w:t>
            </w:r>
          </w:sdtContent>
        </w:sdt>
      </w:sdtContent>
    </w:sdt>
    <w:r w:rsidRPr="004639DA">
      <w:fldChar w:fldCharType="end"/>
    </w:r>
    <w:r w:rsidRPr="004639DA">
      <w:t xml:space="preserve">: </w:t>
    </w:r>
    <w:r w:rsidRPr="004639DA">
      <w:fldChar w:fldCharType="begin"/>
    </w:r>
    <w:r w:rsidRPr="004639DA">
      <w:instrText xml:space="preserve"> REF  SDMTitle2 \h  \* MERGEFORMAT </w:instrText>
    </w:r>
    <w:r w:rsidRPr="004639DA">
      <w:fldChar w:fldCharType="separate"/>
    </w:r>
    <w:sdt>
      <w:sdtPr>
        <w:alias w:val="SDMTitle2"/>
        <w:tag w:val="SDMTitle2"/>
        <w:id w:val="-945152732"/>
        <w:lock w:val="sdtLocked"/>
        <w:placeholder>
          <w:docPart w:val="1899E9A1F6744E30BB92597F5B7861C9"/>
        </w:placeholder>
      </w:sdtPr>
      <w:sdtEndPr>
        <w:rPr>
          <w:lang w:val="de-DE"/>
        </w:rPr>
      </w:sdtEndPr>
      <w:sdtContent>
        <w:r w:rsidR="00831DAE" w:rsidRPr="00EA2A7A">
          <w:t xml:space="preserve">Energy </w:t>
        </w:r>
        <w:r w:rsidR="00831DAE">
          <w:t>e</w:t>
        </w:r>
        <w:r w:rsidR="00831DAE" w:rsidRPr="00EA2A7A">
          <w:t>fficiency measures in household cooking</w:t>
        </w:r>
      </w:sdtContent>
    </w:sdt>
    <w:r w:rsidRPr="004639DA">
      <w:fldChar w:fldCharType="end"/>
    </w:r>
  </w:p>
  <w:p w14:paraId="463D04B5" w14:textId="768DDBEC" w:rsidR="00371323" w:rsidRDefault="00371323" w:rsidP="00454CEC">
    <w:pPr>
      <w:pStyle w:val="SDMHeader"/>
    </w:pPr>
    <w:r w:rsidRPr="00454CEC">
      <w:fldChar w:fldCharType="begin"/>
    </w:r>
    <w:r w:rsidRPr="00454CEC">
      <w:instrText xml:space="preserve"> REF  SDMDocVerLab \h  \* MERGEFORMAT </w:instrText>
    </w:r>
    <w:r w:rsidRPr="00454CEC">
      <w:fldChar w:fldCharType="separate"/>
    </w:r>
    <w:sdt>
      <w:sdtPr>
        <w:alias w:val="SDMDocVersionLabel"/>
        <w:tag w:val="SDMDocVersionLabel"/>
        <w:id w:val="730205429"/>
        <w:lock w:val="sdtLocked"/>
        <w:placeholder>
          <w:docPart w:val="AB46C0D163364D56AE5DA8E0B1135A5F"/>
        </w:placeholder>
      </w:sdtPr>
      <w:sdtContent>
        <w:r w:rsidR="00831DAE" w:rsidRPr="00152FB5">
          <w:t>Version</w:t>
        </w:r>
        <w:r w:rsidR="00831DAE">
          <w:t xml:space="preserve"> </w:t>
        </w:r>
      </w:sdtContent>
    </w:sdt>
    <w:r w:rsidRPr="00454CEC">
      <w:fldChar w:fldCharType="end"/>
    </w:r>
    <w:r w:rsidRPr="00454CEC">
      <w:fldChar w:fldCharType="begin"/>
    </w:r>
    <w:r w:rsidRPr="00454CEC">
      <w:instrText xml:space="preserve"> REF  SDMDocVer \h  \* MERGEFORMAT </w:instrText>
    </w:r>
    <w:r w:rsidRPr="00454CEC">
      <w:fldChar w:fldCharType="separate"/>
    </w:r>
    <w:sdt>
      <w:sdtPr>
        <w:alias w:val="SDMDocVer"/>
        <w:tag w:val="SDMDocVer"/>
        <w:id w:val="2017271925"/>
        <w:lock w:val="sdtLocked"/>
        <w:placeholder>
          <w:docPart w:val="ABA70F6E83BA4DCB84A9DFD396F97C6B"/>
        </w:placeholder>
      </w:sdtPr>
      <w:sdtContent>
        <w:r w:rsidR="00831DAE">
          <w:t>01.0</w:t>
        </w:r>
      </w:sdtContent>
    </w:sdt>
    <w:r w:rsidRPr="00454CEC">
      <w:fldChar w:fldCharType="end"/>
    </w:r>
  </w:p>
  <w:p w14:paraId="2DEA638E" w14:textId="770DD599" w:rsidR="00371323" w:rsidRPr="001F2AF9" w:rsidRDefault="00371323" w:rsidP="00FA57A1">
    <w:pPr>
      <w:pStyle w:val="SDMHeader"/>
      <w:rPr>
        <w:szCs w:val="20"/>
      </w:rPr>
    </w:pPr>
    <w:r w:rsidRPr="009B117B">
      <w:rPr>
        <w:rFonts w:eastAsia="MS Mincho" w:cs="Times New Roman"/>
        <w:sz w:val="22"/>
        <w:szCs w:val="20"/>
      </w:rPr>
      <w:t>Sectoral scope(s):</w:t>
    </w:r>
    <w:r>
      <w:rPr>
        <w:rFonts w:eastAsia="MS Mincho" w:cs="Times New Roman"/>
        <w:sz w:val="22"/>
        <w:szCs w:val="20"/>
      </w:rPr>
      <w:t xml:space="preserve"> 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D9FC" w14:textId="77777777" w:rsidR="001C2394" w:rsidRDefault="001C239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ED584" w14:textId="48F5F8EA" w:rsidR="001C2394" w:rsidRPr="00374325" w:rsidRDefault="001C2394" w:rsidP="00454CEC">
    <w:pPr>
      <w:pStyle w:val="SDMHeader"/>
      <w:rPr>
        <w:lang w:val="en-US"/>
      </w:rPr>
    </w:pPr>
    <w:r w:rsidRPr="00454CEC">
      <w:fldChar w:fldCharType="begin"/>
    </w:r>
    <w:r w:rsidRPr="001A7997">
      <w:instrText xml:space="preserve"> REF  SDMDocRef \* Upper \h  \* MERGEFORMAT </w:instrText>
    </w:r>
    <w:r w:rsidRPr="00454CEC">
      <w:fldChar w:fldCharType="separate"/>
    </w:r>
    <w:sdt>
      <w:sdtPr>
        <w:alias w:val="SDMDocRef"/>
        <w:tag w:val="SDMDocRef"/>
        <w:id w:val="622425844"/>
        <w:lock w:val="sdtLocked"/>
        <w:placeholder>
          <w:docPart w:val="BACB20D56AC344D0A8CCD4D9B3048B84"/>
        </w:placeholder>
      </w:sdtPr>
      <w:sdtEndPr>
        <w:rPr>
          <w:lang w:val="en-US"/>
        </w:rPr>
      </w:sdtEndPr>
      <w:sdtContent>
        <w:r w:rsidR="00831DAE" w:rsidRPr="001C695C">
          <w:rPr>
            <w:lang w:val="en-US"/>
          </w:rPr>
          <w:t>A6.4-AMM-005</w:t>
        </w:r>
      </w:sdtContent>
    </w:sdt>
    <w:r w:rsidRPr="00454CEC">
      <w:fldChar w:fldCharType="end"/>
    </w:r>
    <w:r w:rsidRPr="00374325">
      <w:rPr>
        <w:lang w:val="en-US"/>
      </w:rPr>
      <w:tab/>
    </w:r>
    <w:r w:rsidRPr="00454CEC">
      <w:fldChar w:fldCharType="begin"/>
    </w:r>
    <w:r w:rsidRPr="001A7997">
      <w:instrText xml:space="preserve"> REF  SDMConfidentialMark \* Upper \h  \* MERGEFORMAT </w:instrText>
    </w:r>
    <w:r w:rsidRPr="00454CEC">
      <w:fldChar w:fldCharType="separate"/>
    </w:r>
    <w:sdt>
      <w:sdtPr>
        <w:alias w:val="SDMConfidentialMark"/>
        <w:tag w:val="SDMConfidentialMark"/>
        <w:id w:val="-1166394952"/>
        <w:lock w:val="sdtLocked"/>
        <w:placeholder>
          <w:docPart w:val="A847D543D1FF4B7B868EC1533DA8D35E"/>
        </w:placeholder>
        <w:dropDownList>
          <w:listItem w:displayText="Confidential" w:value="Confidential"/>
          <w:listItem w:displayText=" " w:value="  "/>
        </w:dropDownList>
      </w:sdtPr>
      <w:sdtContent>
        <w:r w:rsidR="00831DAE">
          <w:t xml:space="preserve"> </w:t>
        </w:r>
      </w:sdtContent>
    </w:sdt>
    <w:r w:rsidRPr="00454CEC">
      <w:fldChar w:fldCharType="end"/>
    </w:r>
  </w:p>
  <w:p w14:paraId="76020AE2" w14:textId="4649548A" w:rsidR="001C2394" w:rsidRPr="004639DA" w:rsidRDefault="001C2394" w:rsidP="004639DA">
    <w:pPr>
      <w:pStyle w:val="SDMHeader"/>
    </w:pPr>
    <w:r w:rsidRPr="004639DA">
      <w:fldChar w:fldCharType="begin"/>
    </w:r>
    <w:r w:rsidRPr="004639DA">
      <w:instrText xml:space="preserve"> REF  SDMTitle1 \h  \* MERGEFORMAT </w:instrText>
    </w:r>
    <w:r w:rsidRPr="004639DA">
      <w:fldChar w:fldCharType="separate"/>
    </w:r>
    <w:sdt>
      <w:sdtPr>
        <w:alias w:val="SDMTitle1"/>
        <w:tag w:val="SDMTitle1"/>
        <w:id w:val="-1946231500"/>
        <w:lock w:val="sdtLocked"/>
        <w:placeholder>
          <w:docPart w:val="6C67E48B7F7D4C04BAA76F731A13D509"/>
        </w:placeholder>
      </w:sdtPr>
      <w:sdtContent>
        <w:sdt>
          <w:sdtPr>
            <w:alias w:val="SDMDocType"/>
            <w:tag w:val="SDMDocType"/>
            <w:id w:val="1942404390"/>
            <w:lock w:val="sdtContentLocked"/>
            <w:placeholder>
              <w:docPart w:val="23A6E4C33AD3469AA873E82C3DB7DC2D"/>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831DAE">
              <w:t>Mechanism methodology</w:t>
            </w:r>
          </w:sdtContent>
        </w:sdt>
      </w:sdtContent>
    </w:sdt>
    <w:r w:rsidRPr="004639DA">
      <w:fldChar w:fldCharType="end"/>
    </w:r>
    <w:r w:rsidRPr="004639DA">
      <w:t xml:space="preserve">: </w:t>
    </w:r>
    <w:r w:rsidRPr="004639DA">
      <w:fldChar w:fldCharType="begin"/>
    </w:r>
    <w:r w:rsidRPr="004639DA">
      <w:instrText xml:space="preserve"> REF  SDMTitle2 \h  \* MERGEFORMAT </w:instrText>
    </w:r>
    <w:r w:rsidRPr="004639DA">
      <w:fldChar w:fldCharType="separate"/>
    </w:r>
    <w:sdt>
      <w:sdtPr>
        <w:alias w:val="SDMTitle2"/>
        <w:tag w:val="SDMTitle2"/>
        <w:id w:val="1868330747"/>
        <w:lock w:val="sdtLocked"/>
        <w:placeholder>
          <w:docPart w:val="1619387CBFFF404D82ED39DC1044C99E"/>
        </w:placeholder>
      </w:sdtPr>
      <w:sdtEndPr>
        <w:rPr>
          <w:lang w:val="en-US"/>
        </w:rPr>
      </w:sdtEndPr>
      <w:sdtContent>
        <w:r w:rsidR="00831DAE" w:rsidRPr="00EA2A7A">
          <w:t xml:space="preserve">Energy </w:t>
        </w:r>
        <w:r w:rsidR="00831DAE">
          <w:t>e</w:t>
        </w:r>
        <w:r w:rsidR="00831DAE" w:rsidRPr="00EA2A7A">
          <w:t xml:space="preserve">fficiency </w:t>
        </w:r>
        <w:r w:rsidR="00831DAE" w:rsidRPr="00831DAE">
          <w:rPr>
            <w:lang w:val="en-US"/>
          </w:rPr>
          <w:t>measures in household cooking</w:t>
        </w:r>
      </w:sdtContent>
    </w:sdt>
    <w:r w:rsidRPr="004639DA">
      <w:fldChar w:fldCharType="end"/>
    </w:r>
  </w:p>
  <w:p w14:paraId="47686973" w14:textId="450CE2AC" w:rsidR="001C2394" w:rsidRDefault="001C2394" w:rsidP="00E44DDE">
    <w:pPr>
      <w:pStyle w:val="SDMHeader"/>
      <w:tabs>
        <w:tab w:val="clear" w:pos="9356"/>
        <w:tab w:val="clear" w:pos="14288"/>
        <w:tab w:val="left" w:pos="7160"/>
      </w:tabs>
    </w:pPr>
    <w:r w:rsidRPr="00454CEC">
      <w:fldChar w:fldCharType="begin"/>
    </w:r>
    <w:r w:rsidRPr="00454CEC">
      <w:instrText xml:space="preserve"> REF  SDMDocVerLab \h  \* MERGEFORMAT </w:instrText>
    </w:r>
    <w:r w:rsidRPr="00454CEC">
      <w:fldChar w:fldCharType="separate"/>
    </w:r>
    <w:sdt>
      <w:sdtPr>
        <w:alias w:val="SDMDocVersionLabel"/>
        <w:tag w:val="SDMDocVersionLabel"/>
        <w:id w:val="725260857"/>
        <w:lock w:val="sdtLocked"/>
        <w:placeholder>
          <w:docPart w:val="16BD50B52E1B4DD49C110A5DBC860A6C"/>
        </w:placeholder>
      </w:sdtPr>
      <w:sdtContent>
        <w:r w:rsidR="00831DAE" w:rsidRPr="00152FB5">
          <w:t>Version</w:t>
        </w:r>
        <w:r w:rsidR="00831DAE">
          <w:t xml:space="preserve"> </w:t>
        </w:r>
      </w:sdtContent>
    </w:sdt>
    <w:r w:rsidRPr="00454CEC">
      <w:fldChar w:fldCharType="end"/>
    </w:r>
    <w:r w:rsidRPr="00454CEC">
      <w:fldChar w:fldCharType="begin"/>
    </w:r>
    <w:r w:rsidRPr="00454CEC">
      <w:instrText xml:space="preserve"> REF  SDMDocVer \h  \* MERGEFORMAT </w:instrText>
    </w:r>
    <w:r w:rsidRPr="00454CEC">
      <w:fldChar w:fldCharType="separate"/>
    </w:r>
    <w:sdt>
      <w:sdtPr>
        <w:alias w:val="SDMDocVer"/>
        <w:tag w:val="SDMDocVer"/>
        <w:id w:val="419457608"/>
        <w:lock w:val="sdtLocked"/>
        <w:placeholder>
          <w:docPart w:val="86504ECF0D764B2E84793C88C3DCC859"/>
        </w:placeholder>
      </w:sdtPr>
      <w:sdtContent>
        <w:r w:rsidR="00831DAE">
          <w:t>01.0</w:t>
        </w:r>
      </w:sdtContent>
    </w:sdt>
    <w:r w:rsidRPr="00454CEC">
      <w:fldChar w:fldCharType="end"/>
    </w:r>
  </w:p>
  <w:p w14:paraId="0BA2499B" w14:textId="27BB7D53" w:rsidR="001C2394" w:rsidRPr="00454CEC" w:rsidRDefault="001C2394" w:rsidP="00454CEC">
    <w:pPr>
      <w:pStyle w:val="SDMHeader"/>
    </w:pPr>
    <w:r>
      <w:fldChar w:fldCharType="begin"/>
    </w:r>
    <w:r>
      <w:instrText xml:space="preserve"> REF SDMSectoralScopeLab \h </w:instrText>
    </w:r>
    <w:r>
      <w:fldChar w:fldCharType="separate"/>
    </w:r>
    <w:sdt>
      <w:sdtPr>
        <w:alias w:val="SDMSectoralScopeLabel"/>
        <w:tag w:val="SDMSectoralScopeLabel"/>
        <w:id w:val="-103499309"/>
        <w:placeholder>
          <w:docPart w:val="174DAE7E5BF0440A97CC5BA937BFB92B"/>
        </w:placeholder>
      </w:sdtPr>
      <w:sdtContent>
        <w:r w:rsidR="00831DAE" w:rsidRPr="007D2451">
          <w:t xml:space="preserve">Sectoral scope(s): </w:t>
        </w:r>
      </w:sdtContent>
    </w:sdt>
    <w:r>
      <w:fldChar w:fldCharType="end"/>
    </w:r>
    <w:r>
      <w:fldChar w:fldCharType="begin"/>
    </w:r>
    <w:r>
      <w:instrText xml:space="preserve"> REF SDMSectoralScope \h </w:instrText>
    </w:r>
    <w:r>
      <w:fldChar w:fldCharType="separate"/>
    </w:r>
    <w:sdt>
      <w:sdtPr>
        <w:alias w:val="SDMSectoralScope"/>
        <w:tag w:val="SDMSectoralScope"/>
        <w:id w:val="-834683818"/>
        <w:placeholder>
          <w:docPart w:val="E3EE9B3A5C874A59B7CDE5E4E891989E"/>
        </w:placeholder>
      </w:sdtPr>
      <w:sdtContent>
        <w:r w:rsidR="00831DAE" w:rsidRPr="007D2451">
          <w:t>03</w:t>
        </w:r>
      </w:sdtContent>
    </w:sdt>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DD5D" w14:textId="77777777" w:rsidR="001C2394" w:rsidRPr="00B5677C" w:rsidRDefault="001C2394" w:rsidP="00B5677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B0F19" w14:textId="7E66B3C3" w:rsidR="00371323" w:rsidRPr="00374325" w:rsidRDefault="00371323" w:rsidP="00454CEC">
    <w:pPr>
      <w:pStyle w:val="SDMHeader"/>
      <w:rPr>
        <w:lang w:val="en-US"/>
      </w:rPr>
    </w:pPr>
    <w:r w:rsidRPr="00454CEC">
      <w:fldChar w:fldCharType="begin"/>
    </w:r>
    <w:r w:rsidRPr="001A7997">
      <w:instrText xml:space="preserve"> REF  SDMDocRef \* Upper \h  \* MERGEFORMAT </w:instrText>
    </w:r>
    <w:r w:rsidRPr="00454CEC">
      <w:fldChar w:fldCharType="separate"/>
    </w:r>
    <w:sdt>
      <w:sdtPr>
        <w:alias w:val="SDMDocRef"/>
        <w:tag w:val="SDMDocRef"/>
        <w:id w:val="1722715338"/>
        <w:lock w:val="sdtLocked"/>
        <w:placeholder>
          <w:docPart w:val="C477CD21D8DD460C932FFF5CE470CEB0"/>
        </w:placeholder>
      </w:sdtPr>
      <w:sdtEndPr>
        <w:rPr>
          <w:lang w:val="en-US"/>
        </w:rPr>
      </w:sdtEndPr>
      <w:sdtContent>
        <w:r w:rsidR="00831DAE" w:rsidRPr="001C695C">
          <w:rPr>
            <w:lang w:val="en-US"/>
          </w:rPr>
          <w:t>A6.4-AMM-005</w:t>
        </w:r>
      </w:sdtContent>
    </w:sdt>
    <w:r w:rsidRPr="00454CEC">
      <w:fldChar w:fldCharType="end"/>
    </w:r>
    <w:r w:rsidRPr="00374325">
      <w:rPr>
        <w:lang w:val="en-US"/>
      </w:rPr>
      <w:tab/>
    </w:r>
    <w:r w:rsidRPr="00454CEC">
      <w:fldChar w:fldCharType="begin"/>
    </w:r>
    <w:r w:rsidRPr="001A7997">
      <w:instrText xml:space="preserve"> REF  SDMConfidentialMark \* Upper \h  \* MERGEFORMAT </w:instrText>
    </w:r>
    <w:r w:rsidRPr="00454CEC">
      <w:fldChar w:fldCharType="separate"/>
    </w:r>
    <w:sdt>
      <w:sdtPr>
        <w:alias w:val="SDMConfidentialMark"/>
        <w:tag w:val="SDMConfidentialMark"/>
        <w:id w:val="-313029994"/>
        <w:lock w:val="sdtLocked"/>
        <w:placeholder>
          <w:docPart w:val="45DF6453D5374209845BD449AB316130"/>
        </w:placeholder>
        <w:dropDownList>
          <w:listItem w:displayText="Confidential" w:value="Confidential"/>
          <w:listItem w:displayText=" " w:value="  "/>
        </w:dropDownList>
      </w:sdtPr>
      <w:sdtContent>
        <w:r w:rsidR="00831DAE">
          <w:t xml:space="preserve"> </w:t>
        </w:r>
      </w:sdtContent>
    </w:sdt>
    <w:r w:rsidRPr="00454CEC">
      <w:fldChar w:fldCharType="end"/>
    </w:r>
  </w:p>
  <w:p w14:paraId="153EFE10" w14:textId="56F94B5C" w:rsidR="00371323" w:rsidRPr="004639DA" w:rsidRDefault="00371323" w:rsidP="004639DA">
    <w:pPr>
      <w:pStyle w:val="SDMHeader"/>
    </w:pPr>
    <w:r w:rsidRPr="004639DA">
      <w:fldChar w:fldCharType="begin"/>
    </w:r>
    <w:r w:rsidRPr="004639DA">
      <w:instrText xml:space="preserve"> REF  SDMTitle1 \h  \* MERGEFORMAT </w:instrText>
    </w:r>
    <w:r w:rsidRPr="004639DA">
      <w:fldChar w:fldCharType="separate"/>
    </w:r>
    <w:sdt>
      <w:sdtPr>
        <w:alias w:val="SDMTitle1"/>
        <w:tag w:val="SDMTitle1"/>
        <w:id w:val="-1263534459"/>
        <w:lock w:val="sdtLocked"/>
        <w:placeholder>
          <w:docPart w:val="8B49C248FBC44212BD96F570D167E25D"/>
        </w:placeholder>
      </w:sdtPr>
      <w:sdtContent>
        <w:sdt>
          <w:sdtPr>
            <w:alias w:val="SDMDocType"/>
            <w:tag w:val="SDMDocType"/>
            <w:id w:val="-1284579730"/>
            <w:lock w:val="sdtContentLocked"/>
            <w:placeholder>
              <w:docPart w:val="166A67FFD101468EBAD67313EF23661D"/>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831DAE">
              <w:t>Mechanism methodology</w:t>
            </w:r>
          </w:sdtContent>
        </w:sdt>
      </w:sdtContent>
    </w:sdt>
    <w:r w:rsidRPr="004639DA">
      <w:fldChar w:fldCharType="end"/>
    </w:r>
    <w:r w:rsidRPr="004639DA">
      <w:t xml:space="preserve">: </w:t>
    </w:r>
    <w:r w:rsidRPr="004639DA">
      <w:fldChar w:fldCharType="begin"/>
    </w:r>
    <w:r w:rsidRPr="004639DA">
      <w:instrText xml:space="preserve"> REF  SDMTitle2 \h  \* MERGEFORMAT </w:instrText>
    </w:r>
    <w:r w:rsidRPr="004639DA">
      <w:fldChar w:fldCharType="separate"/>
    </w:r>
    <w:sdt>
      <w:sdtPr>
        <w:alias w:val="SDMTitle2"/>
        <w:tag w:val="SDMTitle2"/>
        <w:id w:val="-2025469928"/>
        <w:lock w:val="sdtLocked"/>
        <w:placeholder>
          <w:docPart w:val="8B2B79A64F1543C0B2E2EE47CB487107"/>
        </w:placeholder>
      </w:sdtPr>
      <w:sdtEndPr>
        <w:rPr>
          <w:lang w:val="en-US"/>
        </w:rPr>
      </w:sdtEndPr>
      <w:sdtContent>
        <w:r w:rsidR="00831DAE" w:rsidRPr="00EA2A7A">
          <w:t xml:space="preserve">Energy </w:t>
        </w:r>
        <w:r w:rsidR="00831DAE">
          <w:t>e</w:t>
        </w:r>
        <w:r w:rsidR="00831DAE" w:rsidRPr="00EA2A7A">
          <w:t xml:space="preserve">fficiency </w:t>
        </w:r>
        <w:r w:rsidR="00831DAE" w:rsidRPr="00831DAE">
          <w:rPr>
            <w:lang w:val="en-US"/>
          </w:rPr>
          <w:t>measures in household cooking</w:t>
        </w:r>
      </w:sdtContent>
    </w:sdt>
    <w:r w:rsidRPr="004639DA">
      <w:fldChar w:fldCharType="end"/>
    </w:r>
  </w:p>
  <w:p w14:paraId="2CA56655" w14:textId="7748B4FD" w:rsidR="00371323" w:rsidRDefault="00371323" w:rsidP="00E44DDE">
    <w:pPr>
      <w:pStyle w:val="SDMHeader"/>
      <w:tabs>
        <w:tab w:val="clear" w:pos="9356"/>
        <w:tab w:val="clear" w:pos="14288"/>
        <w:tab w:val="left" w:pos="7160"/>
      </w:tabs>
    </w:pPr>
    <w:r w:rsidRPr="00454CEC">
      <w:fldChar w:fldCharType="begin"/>
    </w:r>
    <w:r w:rsidRPr="00454CEC">
      <w:instrText xml:space="preserve"> REF  SDMDocVerLab \h  \* MERGEFORMAT </w:instrText>
    </w:r>
    <w:r w:rsidRPr="00454CEC">
      <w:fldChar w:fldCharType="separate"/>
    </w:r>
    <w:sdt>
      <w:sdtPr>
        <w:alias w:val="SDMDocVersionLabel"/>
        <w:tag w:val="SDMDocVersionLabel"/>
        <w:id w:val="1372345755"/>
        <w:lock w:val="sdtLocked"/>
        <w:placeholder>
          <w:docPart w:val="9D17C9B3F91C4F6796BF9560B965CE85"/>
        </w:placeholder>
      </w:sdtPr>
      <w:sdtContent>
        <w:r w:rsidR="00831DAE" w:rsidRPr="00152FB5">
          <w:t>Version</w:t>
        </w:r>
        <w:r w:rsidR="00831DAE">
          <w:t xml:space="preserve"> </w:t>
        </w:r>
      </w:sdtContent>
    </w:sdt>
    <w:r w:rsidRPr="00454CEC">
      <w:fldChar w:fldCharType="end"/>
    </w:r>
    <w:r w:rsidRPr="00454CEC">
      <w:fldChar w:fldCharType="begin"/>
    </w:r>
    <w:r w:rsidRPr="00454CEC">
      <w:instrText xml:space="preserve"> REF  SDMDocVer \h  \* MERGEFORMAT </w:instrText>
    </w:r>
    <w:r w:rsidRPr="00454CEC">
      <w:fldChar w:fldCharType="separate"/>
    </w:r>
    <w:sdt>
      <w:sdtPr>
        <w:alias w:val="SDMDocVer"/>
        <w:tag w:val="SDMDocVer"/>
        <w:id w:val="788314855"/>
        <w:lock w:val="sdtLocked"/>
        <w:placeholder>
          <w:docPart w:val="C7C837F4257B4642AA6D923DAACE6655"/>
        </w:placeholder>
      </w:sdtPr>
      <w:sdtContent>
        <w:r w:rsidR="00831DAE">
          <w:t>01.0</w:t>
        </w:r>
      </w:sdtContent>
    </w:sdt>
    <w:r w:rsidRPr="00454CEC">
      <w:fldChar w:fldCharType="end"/>
    </w:r>
    <w:r>
      <w:tab/>
    </w:r>
  </w:p>
  <w:p w14:paraId="60539F65" w14:textId="279EF533" w:rsidR="00371323" w:rsidRPr="00454CEC" w:rsidRDefault="00371323" w:rsidP="00454CEC">
    <w:pPr>
      <w:pStyle w:val="SDMHeader"/>
    </w:pPr>
    <w:r>
      <w:fldChar w:fldCharType="begin"/>
    </w:r>
    <w:r>
      <w:instrText xml:space="preserve"> REF SDMSectoralScopeLab \h </w:instrText>
    </w:r>
    <w:r>
      <w:fldChar w:fldCharType="separate"/>
    </w:r>
    <w:sdt>
      <w:sdtPr>
        <w:alias w:val="SDMSectoralScopeLabel"/>
        <w:tag w:val="SDMSectoralScopeLabel"/>
        <w:id w:val="-1793135150"/>
        <w:placeholder>
          <w:docPart w:val="02EC66EE620D47248D7E5E5539D08883"/>
        </w:placeholder>
      </w:sdtPr>
      <w:sdtContent>
        <w:r w:rsidR="00831DAE" w:rsidRPr="007D2451">
          <w:t xml:space="preserve">Sectoral scope(s): </w:t>
        </w:r>
      </w:sdtContent>
    </w:sdt>
    <w:r>
      <w:fldChar w:fldCharType="end"/>
    </w:r>
    <w:r>
      <w:fldChar w:fldCharType="begin"/>
    </w:r>
    <w:r>
      <w:instrText xml:space="preserve"> REF SDMSectoralScope \h </w:instrText>
    </w:r>
    <w:r>
      <w:fldChar w:fldCharType="separate"/>
    </w:r>
    <w:sdt>
      <w:sdtPr>
        <w:alias w:val="SDMSectoralScope"/>
        <w:tag w:val="SDMSectoralScope"/>
        <w:id w:val="-1737391038"/>
        <w:placeholder>
          <w:docPart w:val="4EE4BD159B5345799137803C17701A6C"/>
        </w:placeholder>
      </w:sdtPr>
      <w:sdtContent>
        <w:r w:rsidR="00831DAE" w:rsidRPr="007D2451">
          <w:t>03</w:t>
        </w:r>
      </w:sdtContent>
    </w:sdt>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88FB" w14:textId="77777777" w:rsidR="00FE1F99" w:rsidRDefault="00FE1F9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7DB2" w14:textId="2579C57A" w:rsidR="00FE1F99" w:rsidRPr="001A7997" w:rsidRDefault="00FE1F99" w:rsidP="00454CEC">
    <w:pPr>
      <w:pStyle w:val="SDMHeader"/>
    </w:pPr>
    <w:r w:rsidRPr="00454CEC">
      <w:fldChar w:fldCharType="begin"/>
    </w:r>
    <w:r w:rsidRPr="001A7997">
      <w:instrText xml:space="preserve"> REF  SDMDocRef \* Upper \h  \* MERGEFORMAT </w:instrText>
    </w:r>
    <w:r w:rsidRPr="00454CEC">
      <w:fldChar w:fldCharType="separate"/>
    </w:r>
    <w:sdt>
      <w:sdtPr>
        <w:alias w:val="SDMDocRef"/>
        <w:tag w:val="SDMDocRef"/>
        <w:id w:val="-579682946"/>
        <w:lock w:val="sdtLocked"/>
        <w:placeholder>
          <w:docPart w:val="A7EB0936502C4381B561B372BA2088FE"/>
        </w:placeholder>
      </w:sdtPr>
      <w:sdtContent>
        <w:r w:rsidR="00831DAE" w:rsidRPr="00831DAE">
          <w:t>A6.4-AMM-005</w:t>
        </w:r>
      </w:sdtContent>
    </w:sdt>
    <w:r w:rsidRPr="00454CEC">
      <w:fldChar w:fldCharType="end"/>
    </w:r>
    <w:r w:rsidRPr="001A7997">
      <w:tab/>
    </w:r>
    <w:r w:rsidRPr="00454CEC">
      <w:fldChar w:fldCharType="begin"/>
    </w:r>
    <w:r w:rsidRPr="001A7997">
      <w:instrText xml:space="preserve"> REF  SDMConfidentialMark \* Upper \h  \* MERGEFORMAT </w:instrText>
    </w:r>
    <w:r w:rsidRPr="00454CEC">
      <w:fldChar w:fldCharType="separate"/>
    </w:r>
    <w:sdt>
      <w:sdtPr>
        <w:alias w:val="SDMConfidentialMark"/>
        <w:tag w:val="SDMConfidentialMark"/>
        <w:id w:val="-63651131"/>
        <w:lock w:val="sdtLocked"/>
        <w:placeholder>
          <w:docPart w:val="E9F2030420584E27952B29D604FB1EFC"/>
        </w:placeholder>
        <w:dropDownList>
          <w:listItem w:displayText="Confidential" w:value="Confidential"/>
          <w:listItem w:displayText=" " w:value="  "/>
        </w:dropDownList>
      </w:sdtPr>
      <w:sdtContent>
        <w:r w:rsidR="00831DAE">
          <w:t xml:space="preserve"> </w:t>
        </w:r>
      </w:sdtContent>
    </w:sdt>
    <w:r w:rsidRPr="00454CEC">
      <w:fldChar w:fldCharType="end"/>
    </w:r>
  </w:p>
  <w:p w14:paraId="3E7CFCFE" w14:textId="294D867A" w:rsidR="00FE1F99" w:rsidRPr="00CB1EB3" w:rsidRDefault="00FE1F99" w:rsidP="004639DA">
    <w:pPr>
      <w:pStyle w:val="SDMHeader"/>
      <w:rPr>
        <w:lang w:val="en-US"/>
      </w:rPr>
    </w:pPr>
    <w:r w:rsidRPr="004639DA">
      <w:fldChar w:fldCharType="begin"/>
    </w:r>
    <w:r w:rsidRPr="00A93EEE">
      <w:rPr>
        <w:lang w:val="en-US"/>
      </w:rPr>
      <w:instrText xml:space="preserve"> REF  SDMTitle1 \h  \* MERGEFORMAT </w:instrText>
    </w:r>
    <w:r w:rsidRPr="004639DA">
      <w:fldChar w:fldCharType="separate"/>
    </w:r>
    <w:sdt>
      <w:sdtPr>
        <w:alias w:val="SDMTitle1"/>
        <w:tag w:val="SDMTitle1"/>
        <w:id w:val="1135378517"/>
        <w:lock w:val="sdtLocked"/>
        <w:placeholder>
          <w:docPart w:val="678F105F42524AB7859DDEDD6B64B22C"/>
        </w:placeholder>
      </w:sdtPr>
      <w:sdtContent>
        <w:sdt>
          <w:sdtPr>
            <w:rPr>
              <w:lang w:val="en-US"/>
            </w:rPr>
            <w:alias w:val="SDMDocType"/>
            <w:tag w:val="SDMDocType"/>
            <w:id w:val="-1564101549"/>
            <w:lock w:val="sdtContentLocked"/>
            <w:placeholder>
              <w:docPart w:val="1A302ABFB42548AA83A373D5771AF3C7"/>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rPr>
              <w:lang w:val="en-GB"/>
            </w:rPr>
          </w:sdtEndPr>
          <w:sdtContent>
            <w:r w:rsidR="00831DAE" w:rsidRPr="00831DAE">
              <w:rPr>
                <w:lang w:val="en-US"/>
              </w:rPr>
              <w:t>Mechanism</w:t>
            </w:r>
            <w:r w:rsidR="00831DAE">
              <w:t xml:space="preserve"> methodology</w:t>
            </w:r>
          </w:sdtContent>
        </w:sdt>
      </w:sdtContent>
    </w:sdt>
    <w:r w:rsidRPr="004639DA">
      <w:fldChar w:fldCharType="end"/>
    </w:r>
    <w:r w:rsidRPr="00CB1EB3">
      <w:rPr>
        <w:lang w:val="en-US"/>
      </w:rPr>
      <w:t xml:space="preserve">: </w:t>
    </w:r>
    <w:r w:rsidRPr="004639DA">
      <w:fldChar w:fldCharType="begin"/>
    </w:r>
    <w:r w:rsidRPr="00A93EEE">
      <w:rPr>
        <w:lang w:val="en-US"/>
      </w:rPr>
      <w:instrText xml:space="preserve"> REF  SDMTitle2 \h  \* MERGEFORMAT </w:instrText>
    </w:r>
    <w:r w:rsidRPr="004639DA">
      <w:fldChar w:fldCharType="separate"/>
    </w:r>
    <w:sdt>
      <w:sdtPr>
        <w:alias w:val="SDMTitle2"/>
        <w:tag w:val="SDMTitle2"/>
        <w:id w:val="-975915452"/>
        <w:lock w:val="sdtLocked"/>
        <w:placeholder>
          <w:docPart w:val="15594029DDB94460AF9A0362ECD76733"/>
        </w:placeholder>
      </w:sdtPr>
      <w:sdtEndPr>
        <w:rPr>
          <w:lang w:val="de-DE"/>
        </w:rPr>
      </w:sdtEndPr>
      <w:sdtContent>
        <w:r w:rsidR="00831DAE" w:rsidRPr="00831DAE">
          <w:rPr>
            <w:lang w:val="en-US"/>
          </w:rPr>
          <w:t>Energy efficiency measures in household cooking</w:t>
        </w:r>
      </w:sdtContent>
    </w:sdt>
    <w:r w:rsidRPr="004639DA">
      <w:fldChar w:fldCharType="end"/>
    </w:r>
  </w:p>
  <w:p w14:paraId="5C026241" w14:textId="5E8F5580" w:rsidR="00FE1F99" w:rsidRDefault="00FE1F99" w:rsidP="00454CEC">
    <w:pPr>
      <w:pStyle w:val="SDMHeader"/>
    </w:pPr>
    <w:r w:rsidRPr="00454CEC">
      <w:fldChar w:fldCharType="begin"/>
    </w:r>
    <w:r w:rsidRPr="006A1443">
      <w:rPr>
        <w:lang w:val="en-US"/>
      </w:rPr>
      <w:instrText xml:space="preserve"> REF  SDMDocVerLab \h  \* MERGEFORMAT </w:instrText>
    </w:r>
    <w:r w:rsidRPr="00454CEC">
      <w:fldChar w:fldCharType="separate"/>
    </w:r>
    <w:sdt>
      <w:sdtPr>
        <w:alias w:val="SDMDocVersionLabel"/>
        <w:tag w:val="SDMDocVersionLabel"/>
        <w:id w:val="186722823"/>
        <w:lock w:val="sdtLocked"/>
        <w:placeholder>
          <w:docPart w:val="2DFC9D3713D443DCB4049115D2776067"/>
        </w:placeholder>
      </w:sdtPr>
      <w:sdtContent>
        <w:r w:rsidR="00831DAE" w:rsidRPr="00831DAE">
          <w:rPr>
            <w:lang w:val="en-US"/>
          </w:rPr>
          <w:t xml:space="preserve">Version </w:t>
        </w:r>
      </w:sdtContent>
    </w:sdt>
    <w:r w:rsidRPr="00454CEC">
      <w:fldChar w:fldCharType="end"/>
    </w:r>
    <w:r w:rsidRPr="00454CEC">
      <w:fldChar w:fldCharType="begin"/>
    </w:r>
    <w:r w:rsidRPr="006A1443">
      <w:rPr>
        <w:lang w:val="en-US"/>
      </w:rPr>
      <w:instrText xml:space="preserve"> REF  SDMDocVer \h  \* MERGEFORMAT </w:instrText>
    </w:r>
    <w:r w:rsidRPr="00454CEC">
      <w:fldChar w:fldCharType="separate"/>
    </w:r>
    <w:sdt>
      <w:sdtPr>
        <w:alias w:val="SDMDocVer"/>
        <w:tag w:val="SDMDocVer"/>
        <w:id w:val="-755360555"/>
        <w:lock w:val="sdtLocked"/>
        <w:placeholder>
          <w:docPart w:val="E5BD536E03174A14987D6EA4128FF87A"/>
        </w:placeholder>
      </w:sdtPr>
      <w:sdtContent>
        <w:r w:rsidR="00831DAE">
          <w:t>01.0</w:t>
        </w:r>
      </w:sdtContent>
    </w:sdt>
    <w:r w:rsidRPr="00454CEC">
      <w:fldChar w:fldCharType="end"/>
    </w:r>
  </w:p>
  <w:p w14:paraId="46797871" w14:textId="3AC8FDF9" w:rsidR="006F211A" w:rsidRPr="00454CEC" w:rsidRDefault="006F211A" w:rsidP="00454CEC">
    <w:pPr>
      <w:pStyle w:val="SDMHeader"/>
    </w:pPr>
    <w:r>
      <w:rPr>
        <w:lang w:val="de-DE"/>
      </w:rPr>
      <w:fldChar w:fldCharType="begin"/>
    </w:r>
    <w:r w:rsidRPr="004941E1">
      <w:rPr>
        <w:lang w:val="en-US"/>
      </w:rPr>
      <w:instrText xml:space="preserve"> REF SDMSectoralScopeLab \h </w:instrText>
    </w:r>
    <w:r>
      <w:rPr>
        <w:lang w:val="de-DE"/>
      </w:rPr>
    </w:r>
    <w:r>
      <w:rPr>
        <w:lang w:val="de-DE"/>
      </w:rPr>
      <w:fldChar w:fldCharType="separate"/>
    </w:r>
    <w:sdt>
      <w:sdtPr>
        <w:alias w:val="SDMSectoralScopeLabel"/>
        <w:tag w:val="SDMSectoralScopeLabel"/>
        <w:id w:val="2111010165"/>
        <w:placeholder>
          <w:docPart w:val="EBD004D7FBFF4701B52A01C69AB2E8EC"/>
        </w:placeholder>
      </w:sdtPr>
      <w:sdtContent>
        <w:r w:rsidR="00831DAE" w:rsidRPr="007D2451">
          <w:t xml:space="preserve">Sectoral scope(s): </w:t>
        </w:r>
      </w:sdtContent>
    </w:sdt>
    <w:r>
      <w:rPr>
        <w:lang w:val="de-DE"/>
      </w:rPr>
      <w:fldChar w:fldCharType="end"/>
    </w:r>
    <w:r>
      <w:rPr>
        <w:lang w:val="de-DE"/>
      </w:rPr>
      <w:fldChar w:fldCharType="begin"/>
    </w:r>
    <w:r w:rsidRPr="004941E1">
      <w:rPr>
        <w:lang w:val="en-US"/>
      </w:rPr>
      <w:instrText xml:space="preserve"> REF SDMSectoralScope \h </w:instrText>
    </w:r>
    <w:r>
      <w:rPr>
        <w:lang w:val="de-DE"/>
      </w:rPr>
    </w:r>
    <w:r>
      <w:rPr>
        <w:lang w:val="de-DE"/>
      </w:rPr>
      <w:fldChar w:fldCharType="separate"/>
    </w:r>
    <w:sdt>
      <w:sdtPr>
        <w:alias w:val="SDMSectoralScope"/>
        <w:tag w:val="SDMSectoralScope"/>
        <w:id w:val="-866749783"/>
        <w:placeholder>
          <w:docPart w:val="BD1A3E95FC274D50A34DB66EA99B4BCB"/>
        </w:placeholder>
      </w:sdtPr>
      <w:sdtContent>
        <w:r w:rsidR="00831DAE" w:rsidRPr="007D2451">
          <w:t>03</w:t>
        </w:r>
      </w:sdtContent>
    </w:sdt>
    <w:r>
      <w:rPr>
        <w:lang w:val="de-D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D76AA" w14:textId="77777777" w:rsidR="00FE1F99" w:rsidRPr="00B5677C" w:rsidRDefault="00FE1F99" w:rsidP="00B5677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CD683" w14:textId="7C36271A" w:rsidR="00371323" w:rsidRPr="001A7997" w:rsidRDefault="00371323" w:rsidP="00454CEC">
    <w:pPr>
      <w:pStyle w:val="SDMHeader"/>
    </w:pPr>
    <w:r w:rsidRPr="00454CEC">
      <w:fldChar w:fldCharType="begin"/>
    </w:r>
    <w:r w:rsidRPr="001A7997">
      <w:instrText xml:space="preserve"> REF  SDMDocRef \* Upper \h  \* MERGEFORMAT </w:instrText>
    </w:r>
    <w:r w:rsidRPr="00454CEC">
      <w:fldChar w:fldCharType="separate"/>
    </w:r>
    <w:sdt>
      <w:sdtPr>
        <w:alias w:val="SDMDocRef"/>
        <w:tag w:val="SDMDocRef"/>
        <w:id w:val="-720133016"/>
        <w:lock w:val="sdtLocked"/>
        <w:placeholder>
          <w:docPart w:val="F896B519445C4DF08599558E0E57EFD8"/>
        </w:placeholder>
      </w:sdtPr>
      <w:sdtContent>
        <w:r w:rsidR="00831DAE" w:rsidRPr="00831DAE">
          <w:t>A6.4-AMM-005</w:t>
        </w:r>
      </w:sdtContent>
    </w:sdt>
    <w:r w:rsidRPr="00454CEC">
      <w:fldChar w:fldCharType="end"/>
    </w:r>
    <w:r w:rsidRPr="001A7997">
      <w:tab/>
    </w:r>
    <w:r w:rsidRPr="00454CEC">
      <w:fldChar w:fldCharType="begin"/>
    </w:r>
    <w:r w:rsidRPr="001A7997">
      <w:instrText xml:space="preserve"> REF  SDMConfidentialMark \* Upper \h  \* MERGEFORMAT </w:instrText>
    </w:r>
    <w:r w:rsidRPr="00454CEC">
      <w:fldChar w:fldCharType="separate"/>
    </w:r>
    <w:sdt>
      <w:sdtPr>
        <w:alias w:val="SDMConfidentialMark"/>
        <w:tag w:val="SDMConfidentialMark"/>
        <w:id w:val="2038702421"/>
        <w:lock w:val="sdtLocked"/>
        <w:placeholder>
          <w:docPart w:val="BC7277E0FF474C4A95F99586AFC49AE8"/>
        </w:placeholder>
        <w:dropDownList>
          <w:listItem w:displayText="Confidential" w:value="Confidential"/>
          <w:listItem w:displayText=" " w:value="  "/>
        </w:dropDownList>
      </w:sdtPr>
      <w:sdtContent>
        <w:r w:rsidR="00831DAE">
          <w:t xml:space="preserve"> </w:t>
        </w:r>
      </w:sdtContent>
    </w:sdt>
    <w:r w:rsidRPr="00454CEC">
      <w:fldChar w:fldCharType="end"/>
    </w:r>
  </w:p>
  <w:p w14:paraId="575E4950" w14:textId="542B3EC2" w:rsidR="00371323" w:rsidRPr="00CB1EB3" w:rsidRDefault="00371323" w:rsidP="004639DA">
    <w:pPr>
      <w:pStyle w:val="SDMHeader"/>
      <w:rPr>
        <w:lang w:val="en-US"/>
      </w:rPr>
    </w:pPr>
    <w:r w:rsidRPr="004639DA">
      <w:fldChar w:fldCharType="begin"/>
    </w:r>
    <w:r w:rsidRPr="00A93EEE">
      <w:rPr>
        <w:lang w:val="en-US"/>
      </w:rPr>
      <w:instrText xml:space="preserve"> REF  SDMTitle1 \h  \* MERGEFORMAT </w:instrText>
    </w:r>
    <w:r w:rsidRPr="004639DA">
      <w:fldChar w:fldCharType="separate"/>
    </w:r>
    <w:sdt>
      <w:sdtPr>
        <w:alias w:val="SDMTitle1"/>
        <w:tag w:val="SDMTitle1"/>
        <w:id w:val="-953785472"/>
        <w:lock w:val="sdtLocked"/>
        <w:placeholder>
          <w:docPart w:val="0410BA9DE5F242B2904F7191F3FEFD8C"/>
        </w:placeholder>
      </w:sdtPr>
      <w:sdtContent>
        <w:sdt>
          <w:sdtPr>
            <w:rPr>
              <w:lang w:val="en-US"/>
            </w:rPr>
            <w:alias w:val="SDMDocType"/>
            <w:tag w:val="SDMDocType"/>
            <w:id w:val="2038846176"/>
            <w:lock w:val="sdtContentLocked"/>
            <w:placeholder>
              <w:docPart w:val="4859DD6970BD42EF9C4E6E58D645AEF8"/>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rPr>
              <w:lang w:val="en-GB"/>
            </w:rPr>
          </w:sdtEndPr>
          <w:sdtContent>
            <w:r w:rsidR="00831DAE" w:rsidRPr="00831DAE">
              <w:rPr>
                <w:lang w:val="en-US"/>
              </w:rPr>
              <w:t>Mechanism</w:t>
            </w:r>
            <w:r w:rsidR="00831DAE">
              <w:t xml:space="preserve"> methodology</w:t>
            </w:r>
          </w:sdtContent>
        </w:sdt>
      </w:sdtContent>
    </w:sdt>
    <w:r w:rsidRPr="004639DA">
      <w:fldChar w:fldCharType="end"/>
    </w:r>
    <w:r w:rsidRPr="00CB1EB3">
      <w:rPr>
        <w:lang w:val="en-US"/>
      </w:rPr>
      <w:t xml:space="preserve">: </w:t>
    </w:r>
    <w:r w:rsidRPr="004639DA">
      <w:fldChar w:fldCharType="begin"/>
    </w:r>
    <w:r w:rsidRPr="00A93EEE">
      <w:rPr>
        <w:lang w:val="en-US"/>
      </w:rPr>
      <w:instrText xml:space="preserve"> REF  SDMTitle2 \h  \* MERGEFORMAT </w:instrText>
    </w:r>
    <w:r w:rsidRPr="004639DA">
      <w:fldChar w:fldCharType="separate"/>
    </w:r>
    <w:sdt>
      <w:sdtPr>
        <w:alias w:val="SDMTitle2"/>
        <w:tag w:val="SDMTitle2"/>
        <w:id w:val="1378976991"/>
        <w:lock w:val="sdtLocked"/>
        <w:placeholder>
          <w:docPart w:val="EAB80A1230DA4DBD83A87195AA19F49B"/>
        </w:placeholder>
      </w:sdtPr>
      <w:sdtEndPr>
        <w:rPr>
          <w:lang w:val="de-DE"/>
        </w:rPr>
      </w:sdtEndPr>
      <w:sdtContent>
        <w:r w:rsidR="00831DAE" w:rsidRPr="00831DAE">
          <w:rPr>
            <w:lang w:val="en-US"/>
          </w:rPr>
          <w:t>Energy efficiency measures in household cooking</w:t>
        </w:r>
      </w:sdtContent>
    </w:sdt>
    <w:r w:rsidRPr="004639DA">
      <w:fldChar w:fldCharType="end"/>
    </w:r>
  </w:p>
  <w:p w14:paraId="572F674A" w14:textId="21321FB9" w:rsidR="00371323" w:rsidRDefault="00371323" w:rsidP="00454CEC">
    <w:pPr>
      <w:pStyle w:val="SDMHeader"/>
    </w:pPr>
    <w:r w:rsidRPr="00454CEC">
      <w:fldChar w:fldCharType="begin"/>
    </w:r>
    <w:r w:rsidRPr="006A1443">
      <w:rPr>
        <w:lang w:val="en-US"/>
      </w:rPr>
      <w:instrText xml:space="preserve"> REF  SDMDocVerLab \h  \* MERGEFORMAT </w:instrText>
    </w:r>
    <w:r w:rsidRPr="00454CEC">
      <w:fldChar w:fldCharType="separate"/>
    </w:r>
    <w:sdt>
      <w:sdtPr>
        <w:alias w:val="SDMDocVersionLabel"/>
        <w:tag w:val="SDMDocVersionLabel"/>
        <w:id w:val="106939538"/>
        <w:lock w:val="sdtLocked"/>
        <w:placeholder>
          <w:docPart w:val="10AF77B9AA634E6DA51EB2729CE9390B"/>
        </w:placeholder>
      </w:sdtPr>
      <w:sdtContent>
        <w:r w:rsidR="00831DAE" w:rsidRPr="00831DAE">
          <w:rPr>
            <w:lang w:val="en-US"/>
          </w:rPr>
          <w:t xml:space="preserve">Version </w:t>
        </w:r>
      </w:sdtContent>
    </w:sdt>
    <w:r w:rsidRPr="00454CEC">
      <w:fldChar w:fldCharType="end"/>
    </w:r>
    <w:r w:rsidRPr="00454CEC">
      <w:fldChar w:fldCharType="begin"/>
    </w:r>
    <w:r w:rsidRPr="006A1443">
      <w:rPr>
        <w:lang w:val="en-US"/>
      </w:rPr>
      <w:instrText xml:space="preserve"> REF  SDMDocVer \h  \* MERGEFORMAT </w:instrText>
    </w:r>
    <w:r w:rsidRPr="00454CEC">
      <w:fldChar w:fldCharType="separate"/>
    </w:r>
    <w:sdt>
      <w:sdtPr>
        <w:alias w:val="SDMDocVer"/>
        <w:tag w:val="SDMDocVer"/>
        <w:id w:val="-1229920576"/>
        <w:lock w:val="sdtLocked"/>
        <w:placeholder>
          <w:docPart w:val="96299BE91536453ABBAB62C1881A37D3"/>
        </w:placeholder>
      </w:sdtPr>
      <w:sdtContent>
        <w:r w:rsidR="00831DAE">
          <w:t>01.0</w:t>
        </w:r>
      </w:sdtContent>
    </w:sdt>
    <w:r w:rsidRPr="00454CEC">
      <w:fldChar w:fldCharType="end"/>
    </w:r>
  </w:p>
  <w:p w14:paraId="509A6AEE" w14:textId="0F6EEB29" w:rsidR="00371323" w:rsidRPr="00454CEC" w:rsidRDefault="00371323" w:rsidP="00454CEC">
    <w:pPr>
      <w:pStyle w:val="SDMHeader"/>
    </w:pPr>
    <w:r>
      <w:rPr>
        <w:lang w:val="de-DE"/>
      </w:rPr>
      <w:fldChar w:fldCharType="begin"/>
    </w:r>
    <w:r w:rsidRPr="004941E1">
      <w:rPr>
        <w:lang w:val="en-US"/>
      </w:rPr>
      <w:instrText xml:space="preserve"> REF SDMSectoralScopeLab \h </w:instrText>
    </w:r>
    <w:r>
      <w:rPr>
        <w:lang w:val="de-DE"/>
      </w:rPr>
    </w:r>
    <w:r>
      <w:rPr>
        <w:lang w:val="de-DE"/>
      </w:rPr>
      <w:fldChar w:fldCharType="separate"/>
    </w:r>
    <w:sdt>
      <w:sdtPr>
        <w:alias w:val="SDMSectoralScopeLabel"/>
        <w:tag w:val="SDMSectoralScopeLabel"/>
        <w:id w:val="-1925259408"/>
        <w:placeholder>
          <w:docPart w:val="4B11D669BC244E21856CC0418C54ECE0"/>
        </w:placeholder>
      </w:sdtPr>
      <w:sdtContent>
        <w:r w:rsidR="00831DAE" w:rsidRPr="007D2451">
          <w:t xml:space="preserve">Sectoral scope(s): </w:t>
        </w:r>
      </w:sdtContent>
    </w:sdt>
    <w:r>
      <w:rPr>
        <w:lang w:val="de-DE"/>
      </w:rPr>
      <w:fldChar w:fldCharType="end"/>
    </w:r>
    <w:r>
      <w:rPr>
        <w:lang w:val="de-DE"/>
      </w:rPr>
      <w:fldChar w:fldCharType="begin"/>
    </w:r>
    <w:r w:rsidRPr="004941E1">
      <w:rPr>
        <w:lang w:val="en-US"/>
      </w:rPr>
      <w:instrText xml:space="preserve"> REF SDMSectoralScope \h </w:instrText>
    </w:r>
    <w:r>
      <w:rPr>
        <w:lang w:val="de-DE"/>
      </w:rPr>
    </w:r>
    <w:r>
      <w:rPr>
        <w:lang w:val="de-DE"/>
      </w:rPr>
      <w:fldChar w:fldCharType="separate"/>
    </w:r>
    <w:sdt>
      <w:sdtPr>
        <w:alias w:val="SDMSectoralScope"/>
        <w:tag w:val="SDMSectoralScope"/>
        <w:id w:val="2017953397"/>
        <w:placeholder>
          <w:docPart w:val="939E3A7F9D6949FBBED8CA3DFC94F297"/>
        </w:placeholder>
      </w:sdtPr>
      <w:sdtContent>
        <w:r w:rsidR="00831DAE" w:rsidRPr="007D2451">
          <w:t>03</w:t>
        </w:r>
      </w:sdtContent>
    </w:sdt>
    <w:r>
      <w:rPr>
        <w:lang w:val="de-DE"/>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0895" w14:textId="565DE598" w:rsidR="00371323" w:rsidRPr="001A7997" w:rsidRDefault="00371323" w:rsidP="00454CEC">
    <w:pPr>
      <w:pStyle w:val="SDMHeader"/>
    </w:pPr>
    <w:r w:rsidRPr="00454CEC">
      <w:fldChar w:fldCharType="begin"/>
    </w:r>
    <w:r w:rsidRPr="001A7997">
      <w:instrText xml:space="preserve"> REF  SDMDocRef \* Upper \h  \* MERGEFORMAT </w:instrText>
    </w:r>
    <w:r w:rsidRPr="00454CEC">
      <w:fldChar w:fldCharType="separate"/>
    </w:r>
    <w:sdt>
      <w:sdtPr>
        <w:alias w:val="SDMDocRef"/>
        <w:tag w:val="SDMDocRef"/>
        <w:id w:val="-778110088"/>
        <w:lock w:val="sdtLocked"/>
        <w:placeholder>
          <w:docPart w:val="687D5D071C2B439892EC987BFE91D0F6"/>
        </w:placeholder>
      </w:sdtPr>
      <w:sdtContent>
        <w:r w:rsidR="00831DAE" w:rsidRPr="00831DAE">
          <w:t>A6.4-AMM-005</w:t>
        </w:r>
      </w:sdtContent>
    </w:sdt>
    <w:r w:rsidRPr="00454CEC">
      <w:fldChar w:fldCharType="end"/>
    </w:r>
    <w:r w:rsidRPr="001A7997">
      <w:tab/>
    </w:r>
    <w:r w:rsidRPr="00454CEC">
      <w:fldChar w:fldCharType="begin"/>
    </w:r>
    <w:r w:rsidRPr="001A7997">
      <w:instrText xml:space="preserve"> REF  SDMConfidentialMark \* Upper \h  \* MERGEFORMAT </w:instrText>
    </w:r>
    <w:r w:rsidRPr="00454CEC">
      <w:fldChar w:fldCharType="separate"/>
    </w:r>
    <w:sdt>
      <w:sdtPr>
        <w:alias w:val="SDMConfidentialMark"/>
        <w:tag w:val="SDMConfidentialMark"/>
        <w:id w:val="-452023404"/>
        <w:lock w:val="sdtLocked"/>
        <w:placeholder>
          <w:docPart w:val="67C53834DF6946A889A4017E20D37DFD"/>
        </w:placeholder>
        <w:dropDownList>
          <w:listItem w:displayText="Confidential" w:value="Confidential"/>
          <w:listItem w:displayText=" " w:value="  "/>
        </w:dropDownList>
      </w:sdtPr>
      <w:sdtContent>
        <w:r w:rsidR="00831DAE">
          <w:t xml:space="preserve"> </w:t>
        </w:r>
      </w:sdtContent>
    </w:sdt>
    <w:r w:rsidRPr="00454CEC">
      <w:fldChar w:fldCharType="end"/>
    </w:r>
  </w:p>
  <w:p w14:paraId="2F0D1931" w14:textId="4F24182C" w:rsidR="00371323" w:rsidRPr="00CB1EB3" w:rsidRDefault="00371323" w:rsidP="004639DA">
    <w:pPr>
      <w:pStyle w:val="SDMHeader"/>
      <w:rPr>
        <w:lang w:val="en-US"/>
      </w:rPr>
    </w:pPr>
    <w:r w:rsidRPr="004639DA">
      <w:fldChar w:fldCharType="begin"/>
    </w:r>
    <w:r w:rsidRPr="00A93EEE">
      <w:rPr>
        <w:lang w:val="en-US"/>
      </w:rPr>
      <w:instrText xml:space="preserve"> REF  SDMTitle1 \h  \* MERGEFORMAT </w:instrText>
    </w:r>
    <w:r w:rsidRPr="004639DA">
      <w:fldChar w:fldCharType="separate"/>
    </w:r>
    <w:sdt>
      <w:sdtPr>
        <w:alias w:val="SDMTitle1"/>
        <w:tag w:val="SDMTitle1"/>
        <w:id w:val="-1598014336"/>
        <w:lock w:val="sdtLocked"/>
        <w:placeholder>
          <w:docPart w:val="0735139D47DD498083A2E74102F2E7BB"/>
        </w:placeholder>
      </w:sdtPr>
      <w:sdtContent>
        <w:sdt>
          <w:sdtPr>
            <w:rPr>
              <w:lang w:val="en-US"/>
            </w:rPr>
            <w:alias w:val="SDMDocType"/>
            <w:tag w:val="SDMDocType"/>
            <w:id w:val="1398485444"/>
            <w:lock w:val="sdtContentLocked"/>
            <w:placeholder>
              <w:docPart w:val="573CEA3F624A4E8CB1BD08E9F32C02C1"/>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rPr>
              <w:lang w:val="en-GB"/>
            </w:rPr>
          </w:sdtEndPr>
          <w:sdtContent>
            <w:r w:rsidR="00831DAE" w:rsidRPr="00831DAE">
              <w:rPr>
                <w:lang w:val="en-US"/>
              </w:rPr>
              <w:t>Mechanism</w:t>
            </w:r>
            <w:r w:rsidR="00831DAE">
              <w:t xml:space="preserve"> methodology</w:t>
            </w:r>
          </w:sdtContent>
        </w:sdt>
      </w:sdtContent>
    </w:sdt>
    <w:r w:rsidRPr="004639DA">
      <w:fldChar w:fldCharType="end"/>
    </w:r>
    <w:r w:rsidRPr="00CB1EB3">
      <w:rPr>
        <w:lang w:val="en-US"/>
      </w:rPr>
      <w:t xml:space="preserve">: </w:t>
    </w:r>
    <w:r w:rsidRPr="004639DA">
      <w:fldChar w:fldCharType="begin"/>
    </w:r>
    <w:r w:rsidRPr="00A93EEE">
      <w:rPr>
        <w:lang w:val="en-US"/>
      </w:rPr>
      <w:instrText xml:space="preserve"> REF  SDMTitle2 \h  \* MERGEFORMAT </w:instrText>
    </w:r>
    <w:r w:rsidRPr="004639DA">
      <w:fldChar w:fldCharType="separate"/>
    </w:r>
    <w:sdt>
      <w:sdtPr>
        <w:alias w:val="SDMTitle2"/>
        <w:tag w:val="SDMTitle2"/>
        <w:id w:val="-625998226"/>
        <w:lock w:val="sdtLocked"/>
        <w:placeholder>
          <w:docPart w:val="77B2438098214ACC80ACFD8203FB7ADF"/>
        </w:placeholder>
      </w:sdtPr>
      <w:sdtEndPr>
        <w:rPr>
          <w:lang w:val="de-DE"/>
        </w:rPr>
      </w:sdtEndPr>
      <w:sdtContent>
        <w:r w:rsidR="00831DAE" w:rsidRPr="00831DAE">
          <w:rPr>
            <w:lang w:val="en-US"/>
          </w:rPr>
          <w:t>Energy efficiency measures in household cooking</w:t>
        </w:r>
      </w:sdtContent>
    </w:sdt>
    <w:r w:rsidRPr="004639DA">
      <w:fldChar w:fldCharType="end"/>
    </w:r>
  </w:p>
  <w:p w14:paraId="248C3735" w14:textId="657C0F17" w:rsidR="00371323" w:rsidRDefault="00371323" w:rsidP="00454CEC">
    <w:pPr>
      <w:pStyle w:val="SDMHeader"/>
    </w:pPr>
    <w:r w:rsidRPr="00454CEC">
      <w:fldChar w:fldCharType="begin"/>
    </w:r>
    <w:r w:rsidRPr="006A1443">
      <w:rPr>
        <w:lang w:val="en-US"/>
      </w:rPr>
      <w:instrText xml:space="preserve"> REF  SDMDocVerLab \h  \* MERGEFORMAT </w:instrText>
    </w:r>
    <w:r w:rsidRPr="00454CEC">
      <w:fldChar w:fldCharType="separate"/>
    </w:r>
    <w:sdt>
      <w:sdtPr>
        <w:alias w:val="SDMDocVersionLabel"/>
        <w:tag w:val="SDMDocVersionLabel"/>
        <w:id w:val="486522283"/>
        <w:lock w:val="sdtLocked"/>
        <w:placeholder>
          <w:docPart w:val="AFA349DB3C02431D961C736E460B68B8"/>
        </w:placeholder>
      </w:sdtPr>
      <w:sdtContent>
        <w:r w:rsidR="00831DAE" w:rsidRPr="00831DAE">
          <w:rPr>
            <w:lang w:val="en-US"/>
          </w:rPr>
          <w:t xml:space="preserve">Version </w:t>
        </w:r>
      </w:sdtContent>
    </w:sdt>
    <w:r w:rsidRPr="00454CEC">
      <w:fldChar w:fldCharType="end"/>
    </w:r>
    <w:r w:rsidRPr="00454CEC">
      <w:fldChar w:fldCharType="begin"/>
    </w:r>
    <w:r w:rsidRPr="006A1443">
      <w:rPr>
        <w:lang w:val="en-US"/>
      </w:rPr>
      <w:instrText xml:space="preserve"> REF  SDMDocVer \h  \* MERGEFORMAT </w:instrText>
    </w:r>
    <w:r w:rsidRPr="00454CEC">
      <w:fldChar w:fldCharType="separate"/>
    </w:r>
    <w:sdt>
      <w:sdtPr>
        <w:alias w:val="SDMDocVer"/>
        <w:tag w:val="SDMDocVer"/>
        <w:id w:val="1068845036"/>
        <w:lock w:val="sdtLocked"/>
        <w:placeholder>
          <w:docPart w:val="F0210646B5D44CDB8AAABB909E8A9639"/>
        </w:placeholder>
      </w:sdtPr>
      <w:sdtContent>
        <w:r w:rsidR="00831DAE">
          <w:t>01.0</w:t>
        </w:r>
      </w:sdtContent>
    </w:sdt>
    <w:r w:rsidRPr="00454CEC">
      <w:fldChar w:fldCharType="end"/>
    </w:r>
  </w:p>
  <w:p w14:paraId="322EADE4" w14:textId="6E3D23D2" w:rsidR="00371323" w:rsidRPr="00454CEC" w:rsidRDefault="00371323" w:rsidP="00454CEC">
    <w:pPr>
      <w:pStyle w:val="SDMHeader"/>
    </w:pPr>
    <w:r>
      <w:rPr>
        <w:lang w:val="de-DE"/>
      </w:rPr>
      <w:fldChar w:fldCharType="begin"/>
    </w:r>
    <w:r w:rsidRPr="004941E1">
      <w:rPr>
        <w:lang w:val="en-US"/>
      </w:rPr>
      <w:instrText xml:space="preserve"> REF SDMSectoralScopeLab \h </w:instrText>
    </w:r>
    <w:r>
      <w:rPr>
        <w:lang w:val="de-DE"/>
      </w:rPr>
    </w:r>
    <w:r>
      <w:rPr>
        <w:lang w:val="de-DE"/>
      </w:rPr>
      <w:fldChar w:fldCharType="separate"/>
    </w:r>
    <w:sdt>
      <w:sdtPr>
        <w:alias w:val="SDMSectoralScopeLabel"/>
        <w:tag w:val="SDMSectoralScopeLabel"/>
        <w:id w:val="-998508597"/>
        <w:placeholder>
          <w:docPart w:val="0F5F7A582F8D434BB73261D3A830D350"/>
        </w:placeholder>
      </w:sdtPr>
      <w:sdtContent>
        <w:r w:rsidR="00831DAE" w:rsidRPr="007D2451">
          <w:t xml:space="preserve">Sectoral scope(s): </w:t>
        </w:r>
      </w:sdtContent>
    </w:sdt>
    <w:r>
      <w:rPr>
        <w:lang w:val="de-DE"/>
      </w:rPr>
      <w:fldChar w:fldCharType="end"/>
    </w:r>
    <w:r>
      <w:rPr>
        <w:lang w:val="de-DE"/>
      </w:rPr>
      <w:fldChar w:fldCharType="begin"/>
    </w:r>
    <w:r w:rsidRPr="004941E1">
      <w:rPr>
        <w:lang w:val="en-US"/>
      </w:rPr>
      <w:instrText xml:space="preserve"> REF SDMSectoralScope \h </w:instrText>
    </w:r>
    <w:r>
      <w:rPr>
        <w:lang w:val="de-DE"/>
      </w:rPr>
    </w:r>
    <w:r>
      <w:rPr>
        <w:lang w:val="de-DE"/>
      </w:rPr>
      <w:fldChar w:fldCharType="separate"/>
    </w:r>
    <w:sdt>
      <w:sdtPr>
        <w:alias w:val="SDMSectoralScope"/>
        <w:tag w:val="SDMSectoralScope"/>
        <w:id w:val="-1918546563"/>
        <w:placeholder>
          <w:docPart w:val="ED87DE3BE0974C38B73FAE2ACC00734F"/>
        </w:placeholder>
      </w:sdtPr>
      <w:sdtContent>
        <w:r w:rsidR="00831DAE" w:rsidRPr="007D2451">
          <w:t>03</w:t>
        </w:r>
      </w:sdtContent>
    </w:sdt>
    <w:r>
      <w:rPr>
        <w:lang w:val="de-DE"/>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C5D1" w14:textId="66D3C763" w:rsidR="00371323" w:rsidRPr="001A7997" w:rsidRDefault="00371323" w:rsidP="00454CEC">
    <w:pPr>
      <w:pStyle w:val="SDMHeader"/>
    </w:pPr>
    <w:r w:rsidRPr="00454CEC">
      <w:fldChar w:fldCharType="begin"/>
    </w:r>
    <w:r w:rsidRPr="001A7997">
      <w:instrText xml:space="preserve"> REF  SDMDocRef \* Upper \h  \* MERGEFORMAT </w:instrText>
    </w:r>
    <w:r w:rsidRPr="00454CEC">
      <w:fldChar w:fldCharType="separate"/>
    </w:r>
    <w:sdt>
      <w:sdtPr>
        <w:alias w:val="SDMDocRef"/>
        <w:tag w:val="SDMDocRef"/>
        <w:id w:val="2110926916"/>
        <w:lock w:val="sdtLocked"/>
        <w:placeholder>
          <w:docPart w:val="946EC32E2E594D74A4F654A2A6ACE8AB"/>
        </w:placeholder>
      </w:sdtPr>
      <w:sdtContent>
        <w:r w:rsidR="00831DAE" w:rsidRPr="00831DAE">
          <w:t>A6.4-AMM-005</w:t>
        </w:r>
      </w:sdtContent>
    </w:sdt>
    <w:r w:rsidRPr="00454CEC">
      <w:fldChar w:fldCharType="end"/>
    </w:r>
    <w:r w:rsidRPr="001A7997">
      <w:tab/>
    </w:r>
    <w:r w:rsidRPr="00454CEC">
      <w:fldChar w:fldCharType="begin"/>
    </w:r>
    <w:r w:rsidRPr="001A7997">
      <w:instrText xml:space="preserve"> REF  SDMConfidentialMark \* Upper \h  \* MERGEFORMAT </w:instrText>
    </w:r>
    <w:r w:rsidRPr="00454CEC">
      <w:fldChar w:fldCharType="separate"/>
    </w:r>
    <w:sdt>
      <w:sdtPr>
        <w:alias w:val="SDMConfidentialMark"/>
        <w:tag w:val="SDMConfidentialMark"/>
        <w:id w:val="1276756683"/>
        <w:lock w:val="sdtLocked"/>
        <w:placeholder>
          <w:docPart w:val="CC44D5FE1D594826A7B5C68B4F8CB322"/>
        </w:placeholder>
        <w:dropDownList>
          <w:listItem w:displayText="Confidential" w:value="Confidential"/>
          <w:listItem w:displayText=" " w:value="  "/>
        </w:dropDownList>
      </w:sdtPr>
      <w:sdtContent>
        <w:r w:rsidR="00831DAE">
          <w:t xml:space="preserve"> </w:t>
        </w:r>
      </w:sdtContent>
    </w:sdt>
    <w:r w:rsidRPr="00454CEC">
      <w:fldChar w:fldCharType="end"/>
    </w:r>
  </w:p>
  <w:p w14:paraId="497AAC5B" w14:textId="43BAC0BE" w:rsidR="00371323" w:rsidRPr="00CB1EB3" w:rsidRDefault="00371323" w:rsidP="004639DA">
    <w:pPr>
      <w:pStyle w:val="SDMHeader"/>
      <w:rPr>
        <w:lang w:val="en-US"/>
      </w:rPr>
    </w:pPr>
    <w:r w:rsidRPr="004639DA">
      <w:fldChar w:fldCharType="begin"/>
    </w:r>
    <w:r w:rsidRPr="00A93EEE">
      <w:rPr>
        <w:lang w:val="en-US"/>
      </w:rPr>
      <w:instrText xml:space="preserve"> REF  SDMTitle1 \h  \* MERGEFORMAT </w:instrText>
    </w:r>
    <w:r w:rsidRPr="004639DA">
      <w:fldChar w:fldCharType="separate"/>
    </w:r>
    <w:sdt>
      <w:sdtPr>
        <w:alias w:val="SDMTitle1"/>
        <w:tag w:val="SDMTitle1"/>
        <w:id w:val="1778214155"/>
        <w:lock w:val="sdtLocked"/>
        <w:placeholder>
          <w:docPart w:val="0C65EA5C3F3A43128F5F3D9708170BD9"/>
        </w:placeholder>
      </w:sdtPr>
      <w:sdtContent>
        <w:sdt>
          <w:sdtPr>
            <w:rPr>
              <w:lang w:val="en-US"/>
            </w:rPr>
            <w:alias w:val="SDMDocType"/>
            <w:tag w:val="SDMDocType"/>
            <w:id w:val="-1367059674"/>
            <w:lock w:val="sdtContentLocked"/>
            <w:placeholder>
              <w:docPart w:val="317E692E8FF4497E91300FC3C551596D"/>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rPr>
              <w:lang w:val="en-GB"/>
            </w:rPr>
          </w:sdtEndPr>
          <w:sdtContent>
            <w:r w:rsidR="00831DAE" w:rsidRPr="00831DAE">
              <w:rPr>
                <w:lang w:val="en-US"/>
              </w:rPr>
              <w:t>Mechanism</w:t>
            </w:r>
            <w:r w:rsidR="00831DAE">
              <w:t xml:space="preserve"> methodology</w:t>
            </w:r>
          </w:sdtContent>
        </w:sdt>
      </w:sdtContent>
    </w:sdt>
    <w:r w:rsidRPr="004639DA">
      <w:fldChar w:fldCharType="end"/>
    </w:r>
    <w:r w:rsidRPr="00CB1EB3">
      <w:rPr>
        <w:lang w:val="en-US"/>
      </w:rPr>
      <w:t xml:space="preserve">: </w:t>
    </w:r>
    <w:r w:rsidRPr="004639DA">
      <w:fldChar w:fldCharType="begin"/>
    </w:r>
    <w:r w:rsidRPr="00A93EEE">
      <w:rPr>
        <w:lang w:val="en-US"/>
      </w:rPr>
      <w:instrText xml:space="preserve"> REF  SDMTitle2 \h  \* MERGEFORMAT </w:instrText>
    </w:r>
    <w:r w:rsidRPr="004639DA">
      <w:fldChar w:fldCharType="separate"/>
    </w:r>
    <w:sdt>
      <w:sdtPr>
        <w:alias w:val="SDMTitle2"/>
        <w:tag w:val="SDMTitle2"/>
        <w:id w:val="1988517515"/>
        <w:lock w:val="sdtLocked"/>
        <w:placeholder>
          <w:docPart w:val="4C6BEF88EEA34FEE890E2D375D9FAAEA"/>
        </w:placeholder>
      </w:sdtPr>
      <w:sdtEndPr>
        <w:rPr>
          <w:lang w:val="de-DE"/>
        </w:rPr>
      </w:sdtEndPr>
      <w:sdtContent>
        <w:r w:rsidR="00831DAE" w:rsidRPr="00831DAE">
          <w:rPr>
            <w:lang w:val="en-US"/>
          </w:rPr>
          <w:t>Energy efficiency measures in household cooking</w:t>
        </w:r>
      </w:sdtContent>
    </w:sdt>
    <w:r w:rsidRPr="004639DA">
      <w:fldChar w:fldCharType="end"/>
    </w:r>
  </w:p>
  <w:p w14:paraId="0232F934" w14:textId="5EFD4496" w:rsidR="00371323" w:rsidRDefault="00371323" w:rsidP="00454CEC">
    <w:pPr>
      <w:pStyle w:val="SDMHeader"/>
    </w:pPr>
    <w:r w:rsidRPr="00454CEC">
      <w:fldChar w:fldCharType="begin"/>
    </w:r>
    <w:r w:rsidRPr="006A1443">
      <w:rPr>
        <w:lang w:val="en-US"/>
      </w:rPr>
      <w:instrText xml:space="preserve"> REF  SDMDocVerLab \h  \* MERGEFORMAT </w:instrText>
    </w:r>
    <w:r w:rsidRPr="00454CEC">
      <w:fldChar w:fldCharType="separate"/>
    </w:r>
    <w:sdt>
      <w:sdtPr>
        <w:alias w:val="SDMDocVersionLabel"/>
        <w:tag w:val="SDMDocVersionLabel"/>
        <w:id w:val="-2085063590"/>
        <w:lock w:val="sdtLocked"/>
        <w:placeholder>
          <w:docPart w:val="E017E4169FD44DBFA9343E9C5124DD16"/>
        </w:placeholder>
      </w:sdtPr>
      <w:sdtContent>
        <w:r w:rsidR="00831DAE" w:rsidRPr="00831DAE">
          <w:rPr>
            <w:lang w:val="en-US"/>
          </w:rPr>
          <w:t xml:space="preserve">Version </w:t>
        </w:r>
      </w:sdtContent>
    </w:sdt>
    <w:r w:rsidRPr="00454CEC">
      <w:fldChar w:fldCharType="end"/>
    </w:r>
    <w:r w:rsidRPr="00454CEC">
      <w:fldChar w:fldCharType="begin"/>
    </w:r>
    <w:r w:rsidRPr="006A1443">
      <w:rPr>
        <w:lang w:val="en-US"/>
      </w:rPr>
      <w:instrText xml:space="preserve"> REF  SDMDocVer \h  \* MERGEFORMAT </w:instrText>
    </w:r>
    <w:r w:rsidRPr="00454CEC">
      <w:fldChar w:fldCharType="separate"/>
    </w:r>
    <w:sdt>
      <w:sdtPr>
        <w:alias w:val="SDMDocVer"/>
        <w:tag w:val="SDMDocVer"/>
        <w:id w:val="-1021159206"/>
        <w:lock w:val="sdtLocked"/>
        <w:placeholder>
          <w:docPart w:val="38D9989880A748F3A0EA7491829AECAF"/>
        </w:placeholder>
      </w:sdtPr>
      <w:sdtContent>
        <w:r w:rsidR="00831DAE">
          <w:t>01.0</w:t>
        </w:r>
      </w:sdtContent>
    </w:sdt>
    <w:r w:rsidRPr="00454CEC">
      <w:fldChar w:fldCharType="end"/>
    </w:r>
  </w:p>
  <w:p w14:paraId="788EE0B5" w14:textId="3BD88F54" w:rsidR="00371323" w:rsidRPr="00454CEC" w:rsidRDefault="00371323" w:rsidP="00454CEC">
    <w:pPr>
      <w:pStyle w:val="SDMHeader"/>
    </w:pPr>
    <w:r>
      <w:rPr>
        <w:lang w:val="de-DE"/>
      </w:rPr>
      <w:fldChar w:fldCharType="begin"/>
    </w:r>
    <w:r w:rsidRPr="004941E1">
      <w:rPr>
        <w:lang w:val="en-US"/>
      </w:rPr>
      <w:instrText xml:space="preserve"> REF SDMSectoralScopeLab \h </w:instrText>
    </w:r>
    <w:r>
      <w:rPr>
        <w:lang w:val="de-DE"/>
      </w:rPr>
    </w:r>
    <w:r>
      <w:rPr>
        <w:lang w:val="de-DE"/>
      </w:rPr>
      <w:fldChar w:fldCharType="separate"/>
    </w:r>
    <w:sdt>
      <w:sdtPr>
        <w:alias w:val="SDMSectoralScopeLabel"/>
        <w:tag w:val="SDMSectoralScopeLabel"/>
        <w:id w:val="-1483152865"/>
        <w:placeholder>
          <w:docPart w:val="EE49D39A63F14C2A95079D0151062981"/>
        </w:placeholder>
      </w:sdtPr>
      <w:sdtContent>
        <w:r w:rsidR="00831DAE" w:rsidRPr="007D2451">
          <w:t xml:space="preserve">Sectoral scope(s): </w:t>
        </w:r>
      </w:sdtContent>
    </w:sdt>
    <w:r>
      <w:rPr>
        <w:lang w:val="de-DE"/>
      </w:rPr>
      <w:fldChar w:fldCharType="end"/>
    </w:r>
    <w:r>
      <w:rPr>
        <w:lang w:val="de-DE"/>
      </w:rPr>
      <w:fldChar w:fldCharType="begin"/>
    </w:r>
    <w:r w:rsidRPr="004941E1">
      <w:rPr>
        <w:lang w:val="en-US"/>
      </w:rPr>
      <w:instrText xml:space="preserve"> REF SDMSectoralScope \h </w:instrText>
    </w:r>
    <w:r>
      <w:rPr>
        <w:lang w:val="de-DE"/>
      </w:rPr>
    </w:r>
    <w:r>
      <w:rPr>
        <w:lang w:val="de-DE"/>
      </w:rPr>
      <w:fldChar w:fldCharType="separate"/>
    </w:r>
    <w:sdt>
      <w:sdtPr>
        <w:alias w:val="SDMSectoralScope"/>
        <w:tag w:val="SDMSectoralScope"/>
        <w:id w:val="-1349869972"/>
        <w:placeholder>
          <w:docPart w:val="84D6AF895D0E4E9EBDFEB3F25C870BCC"/>
        </w:placeholder>
      </w:sdtPr>
      <w:sdtContent>
        <w:r w:rsidR="00831DAE" w:rsidRPr="007D2451">
          <w:t>03</w:t>
        </w:r>
      </w:sdtContent>
    </w:sdt>
    <w:r>
      <w:rPr>
        <w:lang w:val="de-DE"/>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AEFF" w14:textId="6FA335FA" w:rsidR="000A3770" w:rsidRPr="001A7997" w:rsidRDefault="000A3770" w:rsidP="00454CEC">
    <w:pPr>
      <w:pStyle w:val="SDMHeader"/>
    </w:pPr>
    <w:r w:rsidRPr="00454CEC">
      <w:fldChar w:fldCharType="begin"/>
    </w:r>
    <w:r w:rsidRPr="001A7997">
      <w:instrText xml:space="preserve"> REF  SDMDocRef \* Upper \h  \* MERGEFORMAT </w:instrText>
    </w:r>
    <w:r w:rsidRPr="00454CEC">
      <w:fldChar w:fldCharType="separate"/>
    </w:r>
    <w:sdt>
      <w:sdtPr>
        <w:alias w:val="SDMDocRef"/>
        <w:tag w:val="SDMDocRef"/>
        <w:id w:val="99994834"/>
        <w:lock w:val="sdtLocked"/>
        <w:placeholder>
          <w:docPart w:val="A8FE0CEADDD04A9A8F0E647ADE0D27E1"/>
        </w:placeholder>
      </w:sdtPr>
      <w:sdtContent>
        <w:r w:rsidR="00831DAE" w:rsidRPr="00831DAE">
          <w:t>A6.4-AMM-005</w:t>
        </w:r>
      </w:sdtContent>
    </w:sdt>
    <w:r w:rsidRPr="00454CEC">
      <w:fldChar w:fldCharType="end"/>
    </w:r>
    <w:r w:rsidRPr="001A7997">
      <w:tab/>
    </w:r>
    <w:r w:rsidRPr="00454CEC">
      <w:fldChar w:fldCharType="begin"/>
    </w:r>
    <w:r w:rsidRPr="001A7997">
      <w:instrText xml:space="preserve"> REF  SDMConfidentialMark \* Upper \h  \* MERGEFORMAT </w:instrText>
    </w:r>
    <w:r w:rsidRPr="00454CEC">
      <w:fldChar w:fldCharType="separate"/>
    </w:r>
    <w:sdt>
      <w:sdtPr>
        <w:alias w:val="SDMConfidentialMark"/>
        <w:tag w:val="SDMConfidentialMark"/>
        <w:id w:val="1573857074"/>
        <w:lock w:val="sdtLocked"/>
        <w:placeholder>
          <w:docPart w:val="D6ACA3F2FFFB4AFF9BFF358C6DED8E7B"/>
        </w:placeholder>
        <w:dropDownList>
          <w:listItem w:displayText="Confidential" w:value="Confidential"/>
          <w:listItem w:displayText=" " w:value="  "/>
        </w:dropDownList>
      </w:sdtPr>
      <w:sdtContent>
        <w:r w:rsidR="00831DAE">
          <w:t xml:space="preserve"> </w:t>
        </w:r>
      </w:sdtContent>
    </w:sdt>
    <w:r w:rsidRPr="00454CEC">
      <w:fldChar w:fldCharType="end"/>
    </w:r>
  </w:p>
  <w:p w14:paraId="3B08657F" w14:textId="6359B6CC" w:rsidR="000A3770" w:rsidRPr="00CB1EB3" w:rsidRDefault="000A3770" w:rsidP="004639DA">
    <w:pPr>
      <w:pStyle w:val="SDMHeader"/>
      <w:rPr>
        <w:lang w:val="en-US"/>
      </w:rPr>
    </w:pPr>
    <w:r w:rsidRPr="004639DA">
      <w:fldChar w:fldCharType="begin"/>
    </w:r>
    <w:r w:rsidRPr="00A93EEE">
      <w:rPr>
        <w:lang w:val="en-US"/>
      </w:rPr>
      <w:instrText xml:space="preserve"> REF  SDMTitle1 \h  \* MERGEFORMAT </w:instrText>
    </w:r>
    <w:r w:rsidRPr="004639DA">
      <w:fldChar w:fldCharType="separate"/>
    </w:r>
    <w:sdt>
      <w:sdtPr>
        <w:alias w:val="SDMTitle1"/>
        <w:tag w:val="SDMTitle1"/>
        <w:id w:val="-463502918"/>
        <w:lock w:val="sdtLocked"/>
        <w:placeholder>
          <w:docPart w:val="0214A3DFA60A46A39ADD55BAB64431BF"/>
        </w:placeholder>
      </w:sdtPr>
      <w:sdtContent>
        <w:sdt>
          <w:sdtPr>
            <w:rPr>
              <w:lang w:val="en-US"/>
            </w:rPr>
            <w:alias w:val="SDMDocType"/>
            <w:tag w:val="SDMDocType"/>
            <w:id w:val="582724650"/>
            <w:lock w:val="sdtContentLocked"/>
            <w:placeholder>
              <w:docPart w:val="438AC2E2DC7E4A549BD9B818468DA7BE"/>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rPr>
              <w:lang w:val="en-GB"/>
            </w:rPr>
          </w:sdtEndPr>
          <w:sdtContent>
            <w:r w:rsidR="00831DAE" w:rsidRPr="00831DAE">
              <w:rPr>
                <w:lang w:val="en-US"/>
              </w:rPr>
              <w:t>Mechanism</w:t>
            </w:r>
            <w:r w:rsidR="00831DAE">
              <w:t xml:space="preserve"> methodology</w:t>
            </w:r>
          </w:sdtContent>
        </w:sdt>
      </w:sdtContent>
    </w:sdt>
    <w:r w:rsidRPr="004639DA">
      <w:fldChar w:fldCharType="end"/>
    </w:r>
    <w:r w:rsidRPr="00CB1EB3">
      <w:rPr>
        <w:lang w:val="en-US"/>
      </w:rPr>
      <w:t xml:space="preserve">: </w:t>
    </w:r>
    <w:r w:rsidRPr="004639DA">
      <w:fldChar w:fldCharType="begin"/>
    </w:r>
    <w:r w:rsidRPr="00A93EEE">
      <w:rPr>
        <w:lang w:val="en-US"/>
      </w:rPr>
      <w:instrText xml:space="preserve"> REF  SDMTitle2 \h  \* MERGEFORMAT </w:instrText>
    </w:r>
    <w:r w:rsidRPr="004639DA">
      <w:fldChar w:fldCharType="separate"/>
    </w:r>
    <w:sdt>
      <w:sdtPr>
        <w:alias w:val="SDMTitle2"/>
        <w:tag w:val="SDMTitle2"/>
        <w:id w:val="1522817273"/>
        <w:lock w:val="sdtLocked"/>
        <w:placeholder>
          <w:docPart w:val="18D8CCA75FC14033AB0A1E7117756CCC"/>
        </w:placeholder>
      </w:sdtPr>
      <w:sdtEndPr>
        <w:rPr>
          <w:lang w:val="de-DE"/>
        </w:rPr>
      </w:sdtEndPr>
      <w:sdtContent>
        <w:r w:rsidR="00831DAE" w:rsidRPr="00831DAE">
          <w:rPr>
            <w:lang w:val="en-US"/>
          </w:rPr>
          <w:t>Energy efficiency measures in household cooking</w:t>
        </w:r>
      </w:sdtContent>
    </w:sdt>
    <w:r w:rsidRPr="004639DA">
      <w:fldChar w:fldCharType="end"/>
    </w:r>
  </w:p>
  <w:p w14:paraId="4C2A9287" w14:textId="03E5175C" w:rsidR="000A3770" w:rsidRDefault="000A3770" w:rsidP="00454CEC">
    <w:pPr>
      <w:pStyle w:val="SDMHeader"/>
    </w:pPr>
    <w:r w:rsidRPr="00454CEC">
      <w:fldChar w:fldCharType="begin"/>
    </w:r>
    <w:r w:rsidRPr="006A1443">
      <w:rPr>
        <w:lang w:val="en-US"/>
      </w:rPr>
      <w:instrText xml:space="preserve"> REF  SDMDocVerLab \h  \* MERGEFORMAT </w:instrText>
    </w:r>
    <w:r w:rsidRPr="00454CEC">
      <w:fldChar w:fldCharType="separate"/>
    </w:r>
    <w:sdt>
      <w:sdtPr>
        <w:alias w:val="SDMDocVersionLabel"/>
        <w:tag w:val="SDMDocVersionLabel"/>
        <w:id w:val="1788386818"/>
        <w:lock w:val="sdtLocked"/>
        <w:placeholder>
          <w:docPart w:val="6A71D2527E934D128DAA90D40A341CA8"/>
        </w:placeholder>
      </w:sdtPr>
      <w:sdtContent>
        <w:r w:rsidR="00831DAE" w:rsidRPr="00831DAE">
          <w:rPr>
            <w:lang w:val="en-US"/>
          </w:rPr>
          <w:t xml:space="preserve">Version </w:t>
        </w:r>
      </w:sdtContent>
    </w:sdt>
    <w:r w:rsidRPr="00454CEC">
      <w:fldChar w:fldCharType="end"/>
    </w:r>
    <w:r w:rsidRPr="00454CEC">
      <w:fldChar w:fldCharType="begin"/>
    </w:r>
    <w:r w:rsidRPr="006A1443">
      <w:rPr>
        <w:lang w:val="en-US"/>
      </w:rPr>
      <w:instrText xml:space="preserve"> REF  SDMDocVer \h  \* MERGEFORMAT </w:instrText>
    </w:r>
    <w:r w:rsidRPr="00454CEC">
      <w:fldChar w:fldCharType="separate"/>
    </w:r>
    <w:sdt>
      <w:sdtPr>
        <w:alias w:val="SDMDocVer"/>
        <w:tag w:val="SDMDocVer"/>
        <w:id w:val="371198572"/>
        <w:lock w:val="sdtLocked"/>
        <w:placeholder>
          <w:docPart w:val="FEA341F8FB73477C894965A0DDA38178"/>
        </w:placeholder>
      </w:sdtPr>
      <w:sdtContent>
        <w:r w:rsidR="00831DAE">
          <w:t>01.0</w:t>
        </w:r>
      </w:sdtContent>
    </w:sdt>
    <w:r w:rsidRPr="00454CEC">
      <w:fldChar w:fldCharType="end"/>
    </w:r>
  </w:p>
  <w:p w14:paraId="18441345" w14:textId="2BB20B0E" w:rsidR="000A3770" w:rsidRPr="00454CEC" w:rsidRDefault="000A3770" w:rsidP="00454CEC">
    <w:pPr>
      <w:pStyle w:val="SDMHeader"/>
    </w:pPr>
    <w:r>
      <w:rPr>
        <w:lang w:val="de-DE"/>
      </w:rPr>
      <w:fldChar w:fldCharType="begin"/>
    </w:r>
    <w:r w:rsidRPr="004941E1">
      <w:rPr>
        <w:lang w:val="en-US"/>
      </w:rPr>
      <w:instrText xml:space="preserve"> REF SDMSectoralScopeLab \h </w:instrText>
    </w:r>
    <w:r>
      <w:rPr>
        <w:lang w:val="de-DE"/>
      </w:rPr>
    </w:r>
    <w:r>
      <w:rPr>
        <w:lang w:val="de-DE"/>
      </w:rPr>
      <w:fldChar w:fldCharType="separate"/>
    </w:r>
    <w:sdt>
      <w:sdtPr>
        <w:alias w:val="SDMSectoralScopeLabel"/>
        <w:tag w:val="SDMSectoralScopeLabel"/>
        <w:id w:val="2074923448"/>
        <w:placeholder>
          <w:docPart w:val="D4A548EECEE34853A4DA6C4B1D64BB8E"/>
        </w:placeholder>
      </w:sdtPr>
      <w:sdtContent>
        <w:r w:rsidR="00831DAE" w:rsidRPr="007D2451">
          <w:t xml:space="preserve">Sectoral scope(s): </w:t>
        </w:r>
      </w:sdtContent>
    </w:sdt>
    <w:r>
      <w:rPr>
        <w:lang w:val="de-DE"/>
      </w:rPr>
      <w:fldChar w:fldCharType="end"/>
    </w:r>
    <w:r>
      <w:rPr>
        <w:lang w:val="de-DE"/>
      </w:rPr>
      <w:fldChar w:fldCharType="begin"/>
    </w:r>
    <w:r w:rsidRPr="004941E1">
      <w:rPr>
        <w:lang w:val="en-US"/>
      </w:rPr>
      <w:instrText xml:space="preserve"> REF SDMSectoralScope \h </w:instrText>
    </w:r>
    <w:r>
      <w:rPr>
        <w:lang w:val="de-DE"/>
      </w:rPr>
    </w:r>
    <w:r>
      <w:rPr>
        <w:lang w:val="de-DE"/>
      </w:rPr>
      <w:fldChar w:fldCharType="separate"/>
    </w:r>
    <w:sdt>
      <w:sdtPr>
        <w:alias w:val="SDMSectoralScope"/>
        <w:tag w:val="SDMSectoralScope"/>
        <w:id w:val="1125430608"/>
        <w:placeholder>
          <w:docPart w:val="A088F51017634ADBAA06E022D9D7FC07"/>
        </w:placeholder>
      </w:sdtPr>
      <w:sdtContent>
        <w:r w:rsidR="00831DAE" w:rsidRPr="007D2451">
          <w:t>03</w:t>
        </w:r>
      </w:sdtContent>
    </w:sdt>
    <w:r>
      <w:rPr>
        <w:lang w:val="de-D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B3"/>
    <w:multiLevelType w:val="multilevel"/>
    <w:tmpl w:val="F3D6E6FA"/>
    <w:name w:val="Reg26"/>
    <w:lvl w:ilvl="0">
      <w:start w:val="1"/>
      <w:numFmt w:val="upperRoman"/>
      <w:suff w:val="space"/>
      <w:lvlText w:val="%1. "/>
      <w:lvlJc w:val="center"/>
      <w:pPr>
        <w:ind w:left="-709" w:firstLine="0"/>
      </w:pPr>
      <w:rPr>
        <w:sz w:val="28"/>
      </w:rPr>
    </w:lvl>
    <w:lvl w:ilvl="1">
      <w:start w:val="1"/>
      <w:numFmt w:val="upperLetter"/>
      <w:suff w:val="space"/>
      <w:lvlText w:val="%2. "/>
      <w:lvlJc w:val="center"/>
      <w:pPr>
        <w:ind w:left="-709" w:firstLine="0"/>
      </w:pPr>
      <w:rPr>
        <w:b/>
        <w:sz w:val="22"/>
        <w:u w:val="none"/>
      </w:rPr>
    </w:lvl>
    <w:lvl w:ilvl="2">
      <w:start w:val="1"/>
      <w:numFmt w:val="decimal"/>
      <w:suff w:val="space"/>
      <w:lvlText w:val="%3. "/>
      <w:lvlJc w:val="center"/>
      <w:pPr>
        <w:ind w:left="-709" w:firstLine="0"/>
      </w:pPr>
      <w:rPr>
        <w:b w:val="0"/>
        <w:sz w:val="22"/>
        <w:u w:val="none"/>
      </w:rPr>
    </w:lvl>
    <w:lvl w:ilvl="3">
      <w:start w:val="1"/>
      <w:numFmt w:val="decimal"/>
      <w:lvlRestart w:val="0"/>
      <w:lvlText w:val="%4."/>
      <w:lvlJc w:val="left"/>
      <w:pPr>
        <w:tabs>
          <w:tab w:val="num" w:pos="11"/>
        </w:tabs>
        <w:ind w:left="-709" w:firstLine="0"/>
      </w:pPr>
      <w:rPr>
        <w:b w:val="0"/>
        <w:sz w:val="22"/>
      </w:rPr>
    </w:lvl>
    <w:lvl w:ilvl="4">
      <w:start w:val="1"/>
      <w:numFmt w:val="lowerLetter"/>
      <w:lvlText w:val="(%5)"/>
      <w:lvlJc w:val="left"/>
      <w:pPr>
        <w:tabs>
          <w:tab w:val="num" w:pos="731"/>
        </w:tabs>
        <w:ind w:left="731" w:hanging="720"/>
      </w:pPr>
      <w:rPr>
        <w:b w:val="0"/>
        <w:sz w:val="22"/>
      </w:rPr>
    </w:lvl>
    <w:lvl w:ilvl="5">
      <w:start w:val="1"/>
      <w:numFmt w:val="lowerRoman"/>
      <w:lvlText w:val="(%6)"/>
      <w:lvlJc w:val="right"/>
      <w:pPr>
        <w:tabs>
          <w:tab w:val="num" w:pos="1451"/>
        </w:tabs>
        <w:ind w:left="1451" w:hanging="573"/>
      </w:pPr>
    </w:lvl>
    <w:lvl w:ilvl="6">
      <w:start w:val="1"/>
      <w:numFmt w:val="lowerLetter"/>
      <w:lvlText w:val=""/>
      <w:lvlJc w:val="left"/>
      <w:pPr>
        <w:tabs>
          <w:tab w:val="num" w:pos="2171"/>
        </w:tabs>
        <w:ind w:left="2171" w:hanging="720"/>
      </w:pPr>
      <w:rPr>
        <w:rFonts w:ascii="Symbol" w:hAnsi="Symbol" w:hint="default"/>
      </w:rPr>
    </w:lvl>
    <w:lvl w:ilvl="7">
      <w:start w:val="1"/>
      <w:numFmt w:val="none"/>
      <w:lvlText w:val="[%4.%8"/>
      <w:lvlJc w:val="left"/>
      <w:pPr>
        <w:tabs>
          <w:tab w:val="num" w:pos="11"/>
        </w:tabs>
        <w:ind w:left="-709" w:firstLine="0"/>
      </w:pPr>
    </w:lvl>
    <w:lvl w:ilvl="8">
      <w:start w:val="1"/>
      <w:numFmt w:val="none"/>
      <w:lvlText w:val="[(%5)%9"/>
      <w:lvlJc w:val="left"/>
      <w:pPr>
        <w:tabs>
          <w:tab w:val="num" w:pos="731"/>
        </w:tabs>
        <w:ind w:left="731" w:hanging="720"/>
      </w:pPr>
    </w:lvl>
  </w:abstractNum>
  <w:abstractNum w:abstractNumId="1" w15:restartNumberingAfterBreak="0">
    <w:nsid w:val="01DF7C84"/>
    <w:multiLevelType w:val="multilevel"/>
    <w:tmpl w:val="F64666FC"/>
    <w:name w:val="Reg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 w15:restartNumberingAfterBreak="0">
    <w:nsid w:val="0AAC1DEE"/>
    <w:multiLevelType w:val="multilevel"/>
    <w:tmpl w:val="EBF238F8"/>
    <w:name w:val="Reg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 w15:restartNumberingAfterBreak="0">
    <w:nsid w:val="0AB21255"/>
    <w:multiLevelType w:val="multilevel"/>
    <w:tmpl w:val="A28EC812"/>
    <w:styleLink w:val="SDMAppHeadList1"/>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0BF2A88"/>
    <w:multiLevelType w:val="multilevel"/>
    <w:tmpl w:val="87F2B1A4"/>
    <w:name w:val="Reg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8" w15:restartNumberingAfterBreak="0">
    <w:nsid w:val="14233F79"/>
    <w:multiLevelType w:val="multilevel"/>
    <w:tmpl w:val="C60EC370"/>
    <w:name w:val="Reg2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9"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45420C1"/>
    <w:multiLevelType w:val="multilevel"/>
    <w:tmpl w:val="A17458AC"/>
    <w:name w:val="Reg1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1" w15:restartNumberingAfterBreak="0">
    <w:nsid w:val="155523F4"/>
    <w:multiLevelType w:val="multilevel"/>
    <w:tmpl w:val="A6C8D0E2"/>
    <w:name w:val="Reg30"/>
    <w:lvl w:ilvl="0">
      <w:start w:val="1"/>
      <w:numFmt w:val="upperRoman"/>
      <w:suff w:val="space"/>
      <w:lvlText w:val="%1. "/>
      <w:lvlJc w:val="center"/>
      <w:pPr>
        <w:ind w:left="0" w:firstLine="0"/>
      </w:pPr>
      <w:rPr>
        <w:rFonts w:ascii="Times New Roman" w:hAnsi="Times New Roman"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2" w15:restartNumberingAfterBreak="0">
    <w:nsid w:val="15DD70E3"/>
    <w:multiLevelType w:val="multilevel"/>
    <w:tmpl w:val="4F9ED6BC"/>
    <w:styleLink w:val="CurrentList3"/>
    <w:lvl w:ilvl="0">
      <w:start w:val="1"/>
      <w:numFmt w:val="decimal"/>
      <w:lvlText w:val="%1."/>
      <w:lvlJc w:val="left"/>
      <w:pPr>
        <w:tabs>
          <w:tab w:val="num" w:pos="709"/>
        </w:tabs>
        <w:ind w:left="709" w:hanging="709"/>
      </w:pPr>
    </w:lvl>
    <w:lvl w:ilvl="1">
      <w:start w:val="1"/>
      <w:numFmt w:val="decimal"/>
      <w:lvlText w:val="%1.%2."/>
      <w:lvlJc w:val="left"/>
      <w:pPr>
        <w:tabs>
          <w:tab w:val="num" w:pos="709"/>
        </w:tabs>
        <w:ind w:left="794" w:hanging="794"/>
      </w:pPr>
    </w:lvl>
    <w:lvl w:ilvl="2">
      <w:start w:val="1"/>
      <w:numFmt w:val="decimal"/>
      <w:lvlText w:val="%1.%2.%3."/>
      <w:lvlJc w:val="left"/>
      <w:pPr>
        <w:tabs>
          <w:tab w:val="num" w:pos="709"/>
        </w:tabs>
        <w:ind w:left="1191" w:hanging="1191"/>
      </w:pPr>
    </w:lvl>
    <w:lvl w:ilvl="3">
      <w:start w:val="1"/>
      <w:numFmt w:val="decimal"/>
      <w:suff w:val="nothing"/>
      <w:lvlText w:val=""/>
      <w:lvlJc w:val="left"/>
      <w:pPr>
        <w:ind w:left="0" w:firstLine="0"/>
      </w:pPr>
    </w:lvl>
    <w:lvl w:ilvl="4">
      <w:start w:val="1"/>
      <w:numFmt w:val="decimal"/>
      <w:suff w:val="nothing"/>
      <w:lvlText w:val=""/>
      <w:lvlJc w:val="left"/>
      <w:pPr>
        <w:ind w:left="0" w:firstLine="0"/>
      </w:pPr>
    </w:lvl>
    <w:lvl w:ilvl="5">
      <w:start w:val="1"/>
      <w:numFmt w:val="decimal"/>
      <w:suff w:val="nothing"/>
      <w:lvlText w:val=""/>
      <w:lvlJc w:val="left"/>
      <w:pPr>
        <w:ind w:left="0" w:firstLine="0"/>
      </w:pPr>
    </w:lvl>
    <w:lvl w:ilvl="6">
      <w:start w:val="1"/>
      <w:numFmt w:val="decimal"/>
      <w:suff w:val="nothing"/>
      <w:lvlText w:val=""/>
      <w:lvlJc w:val="left"/>
      <w:pPr>
        <w:ind w:left="0" w:firstLine="0"/>
      </w:pPr>
    </w:lvl>
    <w:lvl w:ilvl="7">
      <w:start w:val="1"/>
      <w:numFmt w:val="decimal"/>
      <w:suff w:val="nothing"/>
      <w:lvlText w:val=""/>
      <w:lvlJc w:val="left"/>
      <w:pPr>
        <w:ind w:left="0" w:firstLine="0"/>
      </w:pPr>
    </w:lvl>
    <w:lvl w:ilvl="8">
      <w:start w:val="1"/>
      <w:numFmt w:val="decimal"/>
      <w:suff w:val="nothing"/>
      <w:lvlText w:val=""/>
      <w:lvlJc w:val="left"/>
      <w:pPr>
        <w:ind w:left="0" w:firstLine="0"/>
      </w:pPr>
    </w:lvl>
  </w:abstractNum>
  <w:abstractNum w:abstractNumId="13" w15:restartNumberingAfterBreak="0">
    <w:nsid w:val="15EB1E20"/>
    <w:multiLevelType w:val="multilevel"/>
    <w:tmpl w:val="847045AE"/>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6404ED9"/>
    <w:multiLevelType w:val="multilevel"/>
    <w:tmpl w:val="3CC81634"/>
    <w:numStyleLink w:val="SDMTableBoxFigureFootnoteFullPageList"/>
  </w:abstractNum>
  <w:abstractNum w:abstractNumId="15" w15:restartNumberingAfterBreak="0">
    <w:nsid w:val="1728147F"/>
    <w:multiLevelType w:val="multilevel"/>
    <w:tmpl w:val="7B8621E0"/>
    <w:name w:val="Reg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6" w15:restartNumberingAfterBreak="0">
    <w:nsid w:val="18C15861"/>
    <w:multiLevelType w:val="multilevel"/>
    <w:tmpl w:val="5EDE06C6"/>
    <w:styleLink w:val="SDMParaList"/>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709"/>
        </w:tabs>
        <w:ind w:left="1418" w:hanging="709"/>
      </w:pPr>
      <w:rPr>
        <w:rFonts w:hint="default"/>
      </w:rPr>
    </w:lvl>
    <w:lvl w:ilvl="2">
      <w:start w:val="1"/>
      <w:numFmt w:val="lowerRoman"/>
      <w:lvlText w:val="(%3)"/>
      <w:lvlJc w:val="left"/>
      <w:pPr>
        <w:tabs>
          <w:tab w:val="num" w:pos="709"/>
        </w:tabs>
        <w:ind w:left="1985" w:hanging="567"/>
      </w:pPr>
      <w:rPr>
        <w:rFonts w:hint="default"/>
      </w:rPr>
    </w:lvl>
    <w:lvl w:ilvl="3">
      <w:start w:val="1"/>
      <w:numFmt w:val="lowerLetter"/>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7" w15:restartNumberingAfterBreak="0">
    <w:nsid w:val="1AFF55CC"/>
    <w:multiLevelType w:val="multilevel"/>
    <w:tmpl w:val="A22614FA"/>
    <w:name w:val="Reg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8" w15:restartNumberingAfterBreak="0">
    <w:nsid w:val="1B897AAA"/>
    <w:multiLevelType w:val="multilevel"/>
    <w:tmpl w:val="FD2ACF66"/>
    <w:name w:val="Reg2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9"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pStyle w:val="SDMApp1"/>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1BC515BF"/>
    <w:multiLevelType w:val="multilevel"/>
    <w:tmpl w:val="02D64298"/>
    <w:name w:val="Reg3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1" w15:restartNumberingAfterBreak="0">
    <w:nsid w:val="21364769"/>
    <w:multiLevelType w:val="multilevel"/>
    <w:tmpl w:val="C172A2B4"/>
    <w:name w:val="Reg2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2" w15:restartNumberingAfterBreak="0">
    <w:nsid w:val="221D74F9"/>
    <w:multiLevelType w:val="hybridMultilevel"/>
    <w:tmpl w:val="6A00022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6566C45"/>
    <w:multiLevelType w:val="multilevel"/>
    <w:tmpl w:val="4858EB8E"/>
    <w:numStyleLink w:val="SDMTableBoxFigureFootnoteList"/>
  </w:abstractNum>
  <w:abstractNum w:abstractNumId="24" w15:restartNumberingAfterBreak="0">
    <w:nsid w:val="2733E772"/>
    <w:multiLevelType w:val="multilevel"/>
    <w:tmpl w:val="FFFFFFFF"/>
    <w:styleLink w:val="SDMTablesFiguresNoteList1"/>
    <w:lvl w:ilvl="0">
      <w:start w:val="5"/>
      <w:numFmt w:val="upperLetter"/>
      <w:lvlText w:val="Equation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25" w15:restartNumberingAfterBreak="0">
    <w:nsid w:val="2B2037D9"/>
    <w:multiLevelType w:val="multilevel"/>
    <w:tmpl w:val="C182385A"/>
    <w:numStyleLink w:val="SDMAppHeadList"/>
  </w:abstractNum>
  <w:abstractNum w:abstractNumId="26" w15:restartNumberingAfterBreak="0">
    <w:nsid w:val="2B7C695F"/>
    <w:multiLevelType w:val="multilevel"/>
    <w:tmpl w:val="A0F8CABE"/>
    <w:numStyleLink w:val="MRProposedAgendaItemsList"/>
  </w:abstractNum>
  <w:abstractNum w:abstractNumId="27" w15:restartNumberingAfterBreak="0">
    <w:nsid w:val="2C5E4B99"/>
    <w:multiLevelType w:val="multilevel"/>
    <w:tmpl w:val="A0F8CABE"/>
    <w:styleLink w:val="MRProposedAgendaItemsList"/>
    <w:lvl w:ilvl="0">
      <w:start w:val="1"/>
      <w:numFmt w:val="decimal"/>
      <w:pStyle w:val="MRProposedAgendaItem"/>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D6E1A00"/>
    <w:multiLevelType w:val="multilevel"/>
    <w:tmpl w:val="568476D8"/>
    <w:name w:val="Reg"/>
    <w:lvl w:ilvl="0">
      <w:start w:val="1"/>
      <w:numFmt w:val="upperRoman"/>
      <w:suff w:val="space"/>
      <w:lvlText w:val="%1. "/>
      <w:lvlJc w:val="right"/>
      <w:pPr>
        <w:ind w:left="0" w:firstLine="0"/>
      </w:pPr>
    </w:lvl>
    <w:lvl w:ilvl="1">
      <w:start w:val="1"/>
      <w:numFmt w:val="upperLetter"/>
      <w:suff w:val="space"/>
      <w:lvlText w:val="%2. "/>
      <w:lvlJc w:val="left"/>
      <w:pPr>
        <w:ind w:left="0" w:firstLine="0"/>
      </w:pPr>
      <w:rPr>
        <w:b/>
        <w:u w:val="none"/>
      </w:rPr>
    </w:lvl>
    <w:lvl w:ilvl="2">
      <w:start w:val="1"/>
      <w:numFmt w:val="decimal"/>
      <w:lvlRestart w:val="0"/>
      <w:lvlText w:val="%3."/>
      <w:lvlJc w:val="left"/>
      <w:pPr>
        <w:tabs>
          <w:tab w:val="num" w:pos="720"/>
        </w:tabs>
        <w:ind w:left="0" w:firstLine="0"/>
      </w:pPr>
      <w:rPr>
        <w:b w:val="0"/>
      </w:rPr>
    </w:lvl>
    <w:lvl w:ilvl="3">
      <w:start w:val="1"/>
      <w:numFmt w:val="lowerLetter"/>
      <w:lvlText w:val="(%4)"/>
      <w:lvlJc w:val="left"/>
      <w:pPr>
        <w:tabs>
          <w:tab w:val="num" w:pos="1440"/>
        </w:tabs>
        <w:ind w:left="0" w:firstLine="720"/>
      </w:pPr>
      <w:rPr>
        <w:b w:val="0"/>
      </w:rPr>
    </w:lvl>
    <w:lvl w:ilvl="4">
      <w:start w:val="1"/>
      <w:numFmt w:val="lowerRoman"/>
      <w:lvlText w:val="(%5)"/>
      <w:lvlJc w:val="right"/>
      <w:pPr>
        <w:tabs>
          <w:tab w:val="num" w:pos="2160"/>
        </w:tabs>
        <w:ind w:left="2160" w:hanging="573"/>
      </w:pPr>
    </w:lvl>
    <w:lvl w:ilvl="5">
      <w:start w:val="1"/>
      <w:numFmt w:val="lowerLetter"/>
      <w:lvlText w:val=""/>
      <w:lvlJc w:val="left"/>
      <w:pPr>
        <w:tabs>
          <w:tab w:val="num" w:pos="2880"/>
        </w:tabs>
        <w:ind w:left="2880" w:hanging="720"/>
      </w:pPr>
      <w:rPr>
        <w:rFonts w:ascii="Symbol" w:hAnsi="Symbol" w:hint="default"/>
      </w:rPr>
    </w:lvl>
    <w:lvl w:ilvl="6">
      <w:start w:val="1"/>
      <w:numFmt w:val="none"/>
      <w:lvlText w:val="[%3.%7"/>
      <w:lvlJc w:val="left"/>
      <w:pPr>
        <w:tabs>
          <w:tab w:val="num" w:pos="720"/>
        </w:tabs>
        <w:ind w:left="0" w:firstLine="0"/>
      </w:pPr>
    </w:lvl>
    <w:lvl w:ilvl="7">
      <w:start w:val="1"/>
      <w:numFmt w:val="none"/>
      <w:lvlText w:val="[(%4)%8"/>
      <w:lvlJc w:val="left"/>
      <w:pPr>
        <w:tabs>
          <w:tab w:val="num" w:pos="1440"/>
        </w:tabs>
        <w:ind w:left="0" w:firstLine="720"/>
      </w:pPr>
    </w:lvl>
    <w:lvl w:ilvl="8">
      <w:start w:val="1"/>
      <w:numFmt w:val="none"/>
      <w:lvlText w:val="[(%5)%9"/>
      <w:lvlJc w:val="right"/>
      <w:pPr>
        <w:tabs>
          <w:tab w:val="num" w:pos="2160"/>
        </w:tabs>
        <w:ind w:left="0" w:firstLine="1587"/>
      </w:pPr>
    </w:lvl>
  </w:abstractNum>
  <w:abstractNum w:abstractNumId="29" w15:restartNumberingAfterBreak="0">
    <w:nsid w:val="2FA03A21"/>
    <w:multiLevelType w:val="multilevel"/>
    <w:tmpl w:val="40EAA4EC"/>
    <w:name w:val="Reg3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0" w15:restartNumberingAfterBreak="0">
    <w:nsid w:val="307B1BD9"/>
    <w:multiLevelType w:val="multilevel"/>
    <w:tmpl w:val="075A6334"/>
    <w:name w:val="Reg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31" w15:restartNumberingAfterBreak="0">
    <w:nsid w:val="318031D1"/>
    <w:multiLevelType w:val="multilevel"/>
    <w:tmpl w:val="E2A427E0"/>
    <w:name w:val="Toc13"/>
    <w:lvl w:ilvl="0">
      <w:start w:val="1"/>
      <w:numFmt w:val="upperRoman"/>
      <w:suff w:val="space"/>
      <w:lvlText w:val="%1. "/>
      <w:lvlJc w:val="center"/>
      <w:pPr>
        <w:ind w:left="0" w:firstLine="0"/>
      </w:pPr>
      <w:rPr>
        <w:sz w:val="22"/>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
      <w:lvlJc w:val="left"/>
      <w:pPr>
        <w:tabs>
          <w:tab w:val="num" w:pos="720"/>
        </w:tabs>
        <w:ind w:left="0" w:firstLine="0"/>
      </w:pPr>
      <w:rPr>
        <w:b w:val="0"/>
        <w:sz w:val="22"/>
      </w:rPr>
    </w:lvl>
    <w:lvl w:ilvl="4">
      <w:start w:val="1"/>
      <w:numFmt w:val="lowerLetter"/>
      <w:lvlText w:val="(%5)"/>
      <w:lvlJc w:val="left"/>
      <w:pPr>
        <w:tabs>
          <w:tab w:val="num" w:pos="1440"/>
        </w:tabs>
        <w:ind w:left="0" w:firstLine="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lvl>
    <w:lvl w:ilvl="8">
      <w:start w:val="1"/>
      <w:numFmt w:val="none"/>
      <w:lvlText w:val="[(%5)%9"/>
      <w:lvlJc w:val="left"/>
      <w:pPr>
        <w:tabs>
          <w:tab w:val="num" w:pos="1440"/>
        </w:tabs>
        <w:ind w:left="0" w:firstLine="720"/>
      </w:pPr>
    </w:lvl>
  </w:abstractNum>
  <w:abstractNum w:abstractNumId="32" w15:restartNumberingAfterBreak="0">
    <w:nsid w:val="31A3680B"/>
    <w:multiLevelType w:val="multilevel"/>
    <w:tmpl w:val="DEEC8B6A"/>
    <w:name w:val="Reg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33" w15:restartNumberingAfterBreak="0">
    <w:nsid w:val="35096057"/>
    <w:multiLevelType w:val="hybridMultilevel"/>
    <w:tmpl w:val="6BB0D5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5F958DD"/>
    <w:multiLevelType w:val="multilevel"/>
    <w:tmpl w:val="BE1267F6"/>
    <w:styleLink w:val="SDMTablesFiguresNoteList"/>
    <w:lvl w:ilvl="0">
      <w:start w:val="1"/>
      <w:numFmt w:val="lowerLetter"/>
      <w:suff w:val="space"/>
      <w:lvlText w:val="(%1)"/>
      <w:lvlJc w:val="left"/>
      <w:pPr>
        <w:ind w:left="907" w:hanging="198"/>
      </w:pPr>
      <w:rPr>
        <w:b w:val="0"/>
        <w:i w:val="0"/>
        <w:vertAlign w:val="superscript"/>
      </w:rPr>
    </w:lvl>
    <w:lvl w:ilvl="1">
      <w:start w:val="1"/>
      <w:numFmt w:val="decimal"/>
      <w:lvlText w:val="%2."/>
      <w:lvlJc w:val="left"/>
      <w:pPr>
        <w:tabs>
          <w:tab w:val="num" w:pos="936"/>
        </w:tabs>
        <w:ind w:left="1247" w:hanging="311"/>
      </w:pPr>
      <w:rPr>
        <w:rFonts w:hint="default"/>
      </w:rPr>
    </w:lvl>
    <w:lvl w:ilvl="2">
      <w:start w:val="1"/>
      <w:numFmt w:val="lowerLetter"/>
      <w:lvlText w:val="(%3)"/>
      <w:lvlJc w:val="left"/>
      <w:pPr>
        <w:tabs>
          <w:tab w:val="num" w:pos="1644"/>
        </w:tabs>
        <w:ind w:left="1644" w:hanging="397"/>
      </w:pPr>
      <w:rPr>
        <w:rFonts w:hint="default"/>
      </w:rPr>
    </w:lvl>
    <w:lvl w:ilvl="3">
      <w:start w:val="1"/>
      <w:numFmt w:val="lowerRoman"/>
      <w:lvlText w:val="(%4)"/>
      <w:lvlJc w:val="left"/>
      <w:pPr>
        <w:tabs>
          <w:tab w:val="num" w:pos="2041"/>
        </w:tabs>
        <w:ind w:left="2041" w:hanging="397"/>
      </w:pPr>
      <w:rPr>
        <w:rFonts w:hint="default"/>
      </w:rPr>
    </w:lvl>
    <w:lvl w:ilvl="4">
      <w:start w:val="1"/>
      <w:numFmt w:val="lowerLetter"/>
      <w:lvlText w:val="%5."/>
      <w:lvlJc w:val="left"/>
      <w:pPr>
        <w:tabs>
          <w:tab w:val="num" w:pos="2381"/>
        </w:tabs>
        <w:ind w:left="2381" w:hanging="340"/>
      </w:pPr>
      <w:rPr>
        <w:rFonts w:hint="default"/>
      </w:rPr>
    </w:lvl>
    <w:lvl w:ilvl="5">
      <w:start w:val="1"/>
      <w:numFmt w:val="lowerRoman"/>
      <w:lvlText w:val="%6."/>
      <w:lvlJc w:val="left"/>
      <w:pPr>
        <w:tabs>
          <w:tab w:val="num" w:pos="2722"/>
        </w:tabs>
        <w:ind w:left="2722" w:hanging="341"/>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5"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36924865"/>
    <w:multiLevelType w:val="multilevel"/>
    <w:tmpl w:val="AE6881FE"/>
    <w:name w:val="Reg2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7" w15:restartNumberingAfterBreak="0">
    <w:nsid w:val="39D70A51"/>
    <w:multiLevelType w:val="multilevel"/>
    <w:tmpl w:val="77CC315A"/>
    <w:styleLink w:val="SDMTableBoxPara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8" w15:restartNumberingAfterBreak="0">
    <w:nsid w:val="3C792321"/>
    <w:multiLevelType w:val="multilevel"/>
    <w:tmpl w:val="54D600CE"/>
    <w:name w:val="Reg2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9" w15:restartNumberingAfterBreak="0">
    <w:nsid w:val="3CFD042E"/>
    <w:multiLevelType w:val="multilevel"/>
    <w:tmpl w:val="C694A2DA"/>
    <w:name w:val="Reg1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0" w15:restartNumberingAfterBreak="0">
    <w:nsid w:val="3DC16119"/>
    <w:multiLevelType w:val="multilevel"/>
    <w:tmpl w:val="BCBAC81C"/>
    <w:name w:val="Reg1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1" w15:restartNumberingAfterBreak="0">
    <w:nsid w:val="3FDA42F1"/>
    <w:multiLevelType w:val="multilevel"/>
    <w:tmpl w:val="AE709A9A"/>
    <w:name w:val="Reg1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2" w15:restartNumberingAfterBreak="0">
    <w:nsid w:val="428120B6"/>
    <w:multiLevelType w:val="multilevel"/>
    <w:tmpl w:val="23DC3AAA"/>
    <w:name w:val="Reg32"/>
    <w:lvl w:ilvl="0">
      <w:start w:val="1"/>
      <w:numFmt w:val="upperRoman"/>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43" w15:restartNumberingAfterBreak="0">
    <w:nsid w:val="43F71AC2"/>
    <w:multiLevelType w:val="multilevel"/>
    <w:tmpl w:val="CE704A9A"/>
    <w:styleLink w:val="SDMMethEquationNumberingList"/>
    <w:lvl w:ilvl="0">
      <w:start w:val="1"/>
      <w:numFmt w:val="decimal"/>
      <w:lvlText w:val="%1)"/>
      <w:lvlJc w:val="left"/>
      <w:pPr>
        <w:tabs>
          <w:tab w:val="num" w:pos="709"/>
        </w:tabs>
        <w:ind w:left="709" w:hanging="709"/>
      </w:pPr>
    </w:lvl>
    <w:lvl w:ilvl="1">
      <w:start w:val="1"/>
      <w:numFmt w:val="lowerLetter"/>
      <w:lvlText w:val="(%2)"/>
      <w:lvlJc w:val="left"/>
      <w:pPr>
        <w:ind w:left="1069" w:hanging="360"/>
      </w:pPr>
      <w:rPr>
        <w:rFonts w:hint="default"/>
      </w:rPr>
    </w:lvl>
    <w:lvl w:ilvl="2">
      <w:start w:val="1"/>
      <w:numFmt w:val="lowerRoman"/>
      <w:lvlText w:val="%3)"/>
      <w:lvlJc w:val="right"/>
      <w:pPr>
        <w:tabs>
          <w:tab w:val="num" w:pos="709"/>
        </w:tabs>
        <w:ind w:left="1985" w:hanging="567"/>
      </w:pPr>
    </w:lvl>
    <w:lvl w:ilvl="3">
      <w:start w:val="1"/>
      <w:numFmt w:val="decimal"/>
      <w:lvlText w:val="(%4)"/>
      <w:lvlJc w:val="left"/>
      <w:pPr>
        <w:tabs>
          <w:tab w:val="num" w:pos="709"/>
        </w:tabs>
        <w:ind w:left="2722" w:hanging="596"/>
      </w:pPr>
    </w:lvl>
    <w:lvl w:ilvl="4">
      <w:start w:val="1"/>
      <w:numFmt w:val="lowerLetter"/>
      <w:lvlText w:val="(%5)"/>
      <w:lvlJc w:val="left"/>
      <w:pPr>
        <w:tabs>
          <w:tab w:val="num" w:pos="709"/>
        </w:tabs>
        <w:ind w:left="3232" w:hanging="397"/>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44" w15:restartNumberingAfterBreak="0">
    <w:nsid w:val="44C74830"/>
    <w:multiLevelType w:val="multilevel"/>
    <w:tmpl w:val="4372BFB6"/>
    <w:lvl w:ilvl="0">
      <w:start w:val="1"/>
      <w:numFmt w:val="decimal"/>
      <w:lvlText w:val="%1."/>
      <w:lvlJc w:val="left"/>
      <w:pPr>
        <w:ind w:left="360" w:hanging="36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5" w15:restartNumberingAfterBreak="0">
    <w:nsid w:val="45E052B9"/>
    <w:multiLevelType w:val="multilevel"/>
    <w:tmpl w:val="BAB8CCD8"/>
    <w:name w:val="Dec"/>
    <w:lvl w:ilvl="0">
      <w:start w:val="1"/>
      <w:numFmt w:val="upperRoman"/>
      <w:suff w:val="space"/>
      <w:lvlText w:val="%1. "/>
      <w:lvlJc w:val="right"/>
      <w:pPr>
        <w:ind w:left="0" w:firstLine="0"/>
      </w:pPr>
      <w:rPr>
        <w:rFonts w:hint="default"/>
        <w:sz w:val="24"/>
        <w:szCs w:val="24"/>
      </w:rPr>
    </w:lvl>
    <w:lvl w:ilvl="1">
      <w:start w:val="1"/>
      <w:numFmt w:val="decimal"/>
      <w:suff w:val="space"/>
      <w:lvlText w:val="%2. "/>
      <w:lvlJc w:val="left"/>
      <w:pPr>
        <w:ind w:left="0" w:firstLine="0"/>
      </w:pPr>
      <w:rPr>
        <w:rFonts w:hint="default"/>
        <w:u w:val="none"/>
      </w:rPr>
    </w:lvl>
    <w:lvl w:ilvl="2">
      <w:start w:val="1"/>
      <w:numFmt w:val="lowerLetter"/>
      <w:lvlText w:val="(%3)"/>
      <w:lvlJc w:val="left"/>
      <w:pPr>
        <w:tabs>
          <w:tab w:val="num" w:pos="360"/>
        </w:tabs>
        <w:ind w:left="0" w:firstLine="0"/>
      </w:pPr>
      <w:rPr>
        <w:rFonts w:hint="default"/>
        <w:b w:val="0"/>
        <w:i w:val="0"/>
        <w:u w:val="none"/>
      </w:rPr>
    </w:lvl>
    <w:lvl w:ilvl="3">
      <w:start w:val="1"/>
      <w:numFmt w:val="lowerRoman"/>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46"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4AC52DB2"/>
    <w:multiLevelType w:val="multilevel"/>
    <w:tmpl w:val="C694A2DA"/>
    <w:name w:val="Reg1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8" w15:restartNumberingAfterBreak="0">
    <w:nsid w:val="4B55483B"/>
    <w:multiLevelType w:val="multilevel"/>
    <w:tmpl w:val="BBA2A6C6"/>
    <w:name w:val="Reg1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9" w15:restartNumberingAfterBreak="0">
    <w:nsid w:val="4DF0353F"/>
    <w:multiLevelType w:val="multilevel"/>
    <w:tmpl w:val="7C72A55E"/>
    <w:name w:val="Reg1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0" w15:restartNumberingAfterBreak="0">
    <w:nsid w:val="524561C4"/>
    <w:multiLevelType w:val="multilevel"/>
    <w:tmpl w:val="A26A24AE"/>
    <w:name w:val="Reg1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1" w15:restartNumberingAfterBreak="0">
    <w:nsid w:val="5E65057A"/>
    <w:multiLevelType w:val="multilevel"/>
    <w:tmpl w:val="50041812"/>
    <w:name w:val="Reg1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2" w15:restartNumberingAfterBreak="0">
    <w:nsid w:val="602660BB"/>
    <w:multiLevelType w:val="hybridMultilevel"/>
    <w:tmpl w:val="562E7F38"/>
    <w:styleLink w:val="SDMDocInfoTextBullets1"/>
    <w:lvl w:ilvl="0" w:tplc="188E62C6">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39E5E02"/>
    <w:multiLevelType w:val="multilevel"/>
    <w:tmpl w:val="E9BEC3F6"/>
    <w:name w:val="Reg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54" w15:restartNumberingAfterBreak="0">
    <w:nsid w:val="64D345AC"/>
    <w:multiLevelType w:val="multilevel"/>
    <w:tmpl w:val="12C0BDFA"/>
    <w:name w:val="Reg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5" w15:restartNumberingAfterBreak="0">
    <w:nsid w:val="684C7482"/>
    <w:multiLevelType w:val="multilevel"/>
    <w:tmpl w:val="590E00C2"/>
    <w:lvl w:ilvl="0">
      <w:start w:val="1"/>
      <w:numFmt w:val="decimal"/>
      <w:lvlText w:val="Agenda item %1."/>
      <w:lvlJc w:val="left"/>
      <w:pPr>
        <w:tabs>
          <w:tab w:val="num" w:pos="2552"/>
        </w:tabs>
        <w:ind w:left="2552" w:hanging="2552"/>
      </w:pPr>
      <w:rPr>
        <w:rFonts w:hint="default"/>
      </w:rPr>
    </w:lvl>
    <w:lvl w:ilvl="1">
      <w:start w:val="1"/>
      <w:numFmt w:val="decimal"/>
      <w:lvlText w:val="Agenda item %1.%2."/>
      <w:lvlJc w:val="left"/>
      <w:pPr>
        <w:tabs>
          <w:tab w:val="num" w:pos="2552"/>
        </w:tabs>
        <w:ind w:left="2552" w:hanging="2552"/>
      </w:pPr>
      <w:rPr>
        <w:rFonts w:hint="default"/>
      </w:rPr>
    </w:lvl>
    <w:lvl w:ilvl="2">
      <w:start w:val="1"/>
      <w:numFmt w:val="decimal"/>
      <w:lvlText w:val="Agenda item %1.%2.%3."/>
      <w:lvlJc w:val="left"/>
      <w:pPr>
        <w:tabs>
          <w:tab w:val="num" w:pos="2552"/>
        </w:tabs>
        <w:ind w:left="2552" w:hanging="2552"/>
      </w:pPr>
      <w:rPr>
        <w:rFonts w:hint="default"/>
      </w:rPr>
    </w:lvl>
    <w:lvl w:ilvl="3">
      <w:start w:val="1"/>
      <w:numFmt w:val="decimal"/>
      <w:lvlText w:val="Agenda item %1.%2.%3.%4."/>
      <w:lvlJc w:val="left"/>
      <w:pPr>
        <w:tabs>
          <w:tab w:val="num" w:pos="2552"/>
        </w:tabs>
        <w:ind w:left="2552" w:hanging="2552"/>
      </w:pPr>
      <w:rPr>
        <w:rFonts w:hint="default"/>
      </w:rPr>
    </w:lvl>
    <w:lvl w:ilvl="4">
      <w:start w:val="1"/>
      <w:numFmt w:val="decimal"/>
      <w:pStyle w:val="SDMMRHead5"/>
      <w:lvlText w:val="Agenda item %1.%2.%3.%4.%5."/>
      <w:lvlJc w:val="left"/>
      <w:pPr>
        <w:tabs>
          <w:tab w:val="num" w:pos="2552"/>
        </w:tabs>
        <w:ind w:left="2552" w:hanging="2552"/>
      </w:pPr>
      <w:rPr>
        <w:rFonts w:hint="default"/>
      </w:rPr>
    </w:lvl>
    <w:lvl w:ilvl="5">
      <w:start w:val="1"/>
      <w:numFmt w:val="lowerLetter"/>
      <w:suff w:val="space"/>
      <w:lvlText w:val="(%6)"/>
      <w:lvlJc w:val="left"/>
      <w:pPr>
        <w:ind w:left="2552" w:hanging="2552"/>
      </w:pPr>
      <w:rPr>
        <w:rFonts w:hint="default"/>
      </w:rPr>
    </w:lvl>
    <w:lvl w:ilvl="6">
      <w:start w:val="1"/>
      <w:numFmt w:val="lowerRoman"/>
      <w:suff w:val="space"/>
      <w:lvlText w:val="(%7)"/>
      <w:lvlJc w:val="left"/>
      <w:pPr>
        <w:ind w:left="2552" w:hanging="2552"/>
      </w:pPr>
      <w:rPr>
        <w:rFonts w:hint="default"/>
      </w:rPr>
    </w:lvl>
    <w:lvl w:ilvl="7">
      <w:start w:val="1"/>
      <w:numFmt w:val="none"/>
      <w:suff w:val="nothing"/>
      <w:lvlText w:val=""/>
      <w:lvlJc w:val="left"/>
      <w:pPr>
        <w:ind w:left="2552" w:hanging="2552"/>
      </w:pPr>
      <w:rPr>
        <w:rFonts w:hint="default"/>
      </w:rPr>
    </w:lvl>
    <w:lvl w:ilvl="8">
      <w:start w:val="1"/>
      <w:numFmt w:val="none"/>
      <w:suff w:val="nothing"/>
      <w:lvlText w:val=""/>
      <w:lvlJc w:val="left"/>
      <w:pPr>
        <w:ind w:left="2552" w:hanging="2552"/>
      </w:pPr>
      <w:rPr>
        <w:rFonts w:hint="default"/>
      </w:rPr>
    </w:lvl>
  </w:abstractNum>
  <w:abstractNum w:abstractNumId="56" w15:restartNumberingAfterBreak="0">
    <w:nsid w:val="6B392DA7"/>
    <w:multiLevelType w:val="multilevel"/>
    <w:tmpl w:val="5EDE06C6"/>
    <w:styleLink w:val="SDMTableBoxFigureFootnoteFullPageList1"/>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57" w15:restartNumberingAfterBreak="0">
    <w:nsid w:val="6BAA183E"/>
    <w:multiLevelType w:val="multilevel"/>
    <w:tmpl w:val="AE40536C"/>
    <w:name w:val="Reg3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8" w15:restartNumberingAfterBreak="0">
    <w:nsid w:val="6C331F90"/>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59" w15:restartNumberingAfterBreak="0">
    <w:nsid w:val="6E1606BE"/>
    <w:multiLevelType w:val="multilevel"/>
    <w:tmpl w:val="CC264296"/>
    <w:name w:val="Reg2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60" w15:restartNumberingAfterBreak="0">
    <w:nsid w:val="6F060572"/>
    <w:multiLevelType w:val="multilevel"/>
    <w:tmpl w:val="5B66B3FC"/>
    <w:name w:val="Reg3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61" w15:restartNumberingAfterBreak="0">
    <w:nsid w:val="6FF560E4"/>
    <w:multiLevelType w:val="multilevel"/>
    <w:tmpl w:val="0E4A9DFC"/>
    <w:name w:val="Reg27"/>
    <w:lvl w:ilvl="0">
      <w:start w:val="1"/>
      <w:numFmt w:val="upperRoman"/>
      <w:suff w:val="space"/>
      <w:lvlText w:val="%1."/>
      <w:lvlJc w:val="left"/>
      <w:pPr>
        <w:ind w:left="720" w:hanging="720"/>
      </w:pPr>
      <w:rPr>
        <w:rFonts w:hint="default"/>
        <w:b/>
        <w:i w:val="0"/>
        <w:sz w:val="20"/>
      </w:rPr>
    </w:lvl>
    <w:lvl w:ilvl="1">
      <w:start w:val="1"/>
      <w:numFmt w:val="upperLetter"/>
      <w:suff w:val="space"/>
      <w:lvlText w:val="%2. "/>
      <w:lvlJc w:val="left"/>
      <w:pPr>
        <w:ind w:left="0" w:firstLine="0"/>
      </w:pPr>
      <w:rPr>
        <w:rFonts w:hint="default"/>
        <w:b w:val="0"/>
        <w:i w:val="0"/>
        <w:sz w:val="22"/>
        <w:u w:val="none"/>
      </w:rPr>
    </w:lvl>
    <w:lvl w:ilvl="2">
      <w:start w:val="1"/>
      <w:numFmt w:val="decimal"/>
      <w:lvlText w:val="%3."/>
      <w:lvlJc w:val="left"/>
      <w:pPr>
        <w:tabs>
          <w:tab w:val="num" w:pos="2160"/>
        </w:tabs>
        <w:ind w:left="2160" w:hanging="720"/>
      </w:pPr>
      <w:rPr>
        <w:rFonts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75906882"/>
    <w:multiLevelType w:val="hybridMultilevel"/>
    <w:tmpl w:val="028C0C32"/>
    <w:name w:val="Reg28"/>
    <w:lvl w:ilvl="0" w:tplc="03DEC4E8">
      <w:start w:val="1"/>
      <w:numFmt w:val="bullet"/>
      <w:lvlText w:val=""/>
      <w:lvlJc w:val="left"/>
      <w:pPr>
        <w:tabs>
          <w:tab w:val="num" w:pos="720"/>
        </w:tabs>
        <w:ind w:left="720" w:hanging="360"/>
      </w:pPr>
      <w:rPr>
        <w:rFonts w:ascii="Symbol" w:hAnsi="Symbol" w:hint="default"/>
      </w:rPr>
    </w:lvl>
    <w:lvl w:ilvl="1" w:tplc="8AA43FB0" w:tentative="1">
      <w:start w:val="1"/>
      <w:numFmt w:val="bullet"/>
      <w:lvlText w:val="o"/>
      <w:lvlJc w:val="left"/>
      <w:pPr>
        <w:tabs>
          <w:tab w:val="num" w:pos="1440"/>
        </w:tabs>
        <w:ind w:left="1440" w:hanging="360"/>
      </w:pPr>
      <w:rPr>
        <w:rFonts w:ascii="Courier New" w:hAnsi="Courier New" w:hint="default"/>
      </w:rPr>
    </w:lvl>
    <w:lvl w:ilvl="2" w:tplc="C86089E4" w:tentative="1">
      <w:start w:val="1"/>
      <w:numFmt w:val="bullet"/>
      <w:lvlText w:val=""/>
      <w:lvlJc w:val="left"/>
      <w:pPr>
        <w:tabs>
          <w:tab w:val="num" w:pos="2160"/>
        </w:tabs>
        <w:ind w:left="2160" w:hanging="360"/>
      </w:pPr>
      <w:rPr>
        <w:rFonts w:ascii="Wingdings" w:hAnsi="Wingdings" w:hint="default"/>
      </w:rPr>
    </w:lvl>
    <w:lvl w:ilvl="3" w:tplc="684CA72E" w:tentative="1">
      <w:start w:val="1"/>
      <w:numFmt w:val="bullet"/>
      <w:lvlText w:val=""/>
      <w:lvlJc w:val="left"/>
      <w:pPr>
        <w:tabs>
          <w:tab w:val="num" w:pos="2880"/>
        </w:tabs>
        <w:ind w:left="2880" w:hanging="360"/>
      </w:pPr>
      <w:rPr>
        <w:rFonts w:ascii="Symbol" w:hAnsi="Symbol" w:hint="default"/>
      </w:rPr>
    </w:lvl>
    <w:lvl w:ilvl="4" w:tplc="06A09FC6">
      <w:start w:val="1"/>
      <w:numFmt w:val="bullet"/>
      <w:lvlText w:val="o"/>
      <w:lvlJc w:val="left"/>
      <w:pPr>
        <w:tabs>
          <w:tab w:val="num" w:pos="3600"/>
        </w:tabs>
        <w:ind w:left="3600" w:hanging="360"/>
      </w:pPr>
      <w:rPr>
        <w:rFonts w:ascii="Courier New" w:hAnsi="Courier New" w:hint="default"/>
      </w:rPr>
    </w:lvl>
    <w:lvl w:ilvl="5" w:tplc="FDB82654" w:tentative="1">
      <w:start w:val="1"/>
      <w:numFmt w:val="bullet"/>
      <w:lvlText w:val=""/>
      <w:lvlJc w:val="left"/>
      <w:pPr>
        <w:tabs>
          <w:tab w:val="num" w:pos="4320"/>
        </w:tabs>
        <w:ind w:left="4320" w:hanging="360"/>
      </w:pPr>
      <w:rPr>
        <w:rFonts w:ascii="Wingdings" w:hAnsi="Wingdings" w:hint="default"/>
      </w:rPr>
    </w:lvl>
    <w:lvl w:ilvl="6" w:tplc="AAC861AE" w:tentative="1">
      <w:start w:val="1"/>
      <w:numFmt w:val="bullet"/>
      <w:lvlText w:val=""/>
      <w:lvlJc w:val="left"/>
      <w:pPr>
        <w:tabs>
          <w:tab w:val="num" w:pos="5040"/>
        </w:tabs>
        <w:ind w:left="5040" w:hanging="360"/>
      </w:pPr>
      <w:rPr>
        <w:rFonts w:ascii="Symbol" w:hAnsi="Symbol" w:hint="default"/>
      </w:rPr>
    </w:lvl>
    <w:lvl w:ilvl="7" w:tplc="ABC41C8E" w:tentative="1">
      <w:start w:val="1"/>
      <w:numFmt w:val="bullet"/>
      <w:lvlText w:val="o"/>
      <w:lvlJc w:val="left"/>
      <w:pPr>
        <w:tabs>
          <w:tab w:val="num" w:pos="5760"/>
        </w:tabs>
        <w:ind w:left="5760" w:hanging="360"/>
      </w:pPr>
      <w:rPr>
        <w:rFonts w:ascii="Courier New" w:hAnsi="Courier New" w:hint="default"/>
      </w:rPr>
    </w:lvl>
    <w:lvl w:ilvl="8" w:tplc="FDC41136"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pStyle w:val="SDMHead2"/>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64" w15:restartNumberingAfterBreak="0">
    <w:nsid w:val="7CBA47F7"/>
    <w:multiLevelType w:val="hybridMultilevel"/>
    <w:tmpl w:val="0A4A371A"/>
    <w:name w:val="Reg36"/>
    <w:lvl w:ilvl="0" w:tplc="FFFFFFFF">
      <w:start w:val="1"/>
      <w:numFmt w:val="lowerRoman"/>
      <w:lvlText w:val="(%1)"/>
      <w:lvlJc w:val="left"/>
      <w:pPr>
        <w:tabs>
          <w:tab w:val="num" w:pos="1440"/>
        </w:tabs>
        <w:ind w:left="887" w:hanging="1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D6F64A9"/>
    <w:multiLevelType w:val="hybridMultilevel"/>
    <w:tmpl w:val="7200FA00"/>
    <w:styleLink w:val="SDMCovNoteHeadList1"/>
    <w:lvl w:ilvl="0" w:tplc="188E62C6">
      <w:start w:val="1"/>
      <w:numFmt w:val="lowerLetter"/>
      <w:lvlText w:val="%1."/>
      <w:lvlJc w:val="left"/>
      <w:pPr>
        <w:ind w:left="360" w:hanging="360"/>
      </w:pPr>
    </w:lvl>
    <w:lvl w:ilvl="1" w:tplc="7DE41B40">
      <w:numFmt w:val="bullet"/>
      <w:lvlText w:val="-"/>
      <w:lvlJc w:val="left"/>
      <w:pPr>
        <w:ind w:left="1080" w:hanging="360"/>
      </w:pPr>
      <w:rPr>
        <w:rFonts w:ascii="Arial" w:eastAsia="Montserrat" w:hAnsi="Arial" w:cs="Aria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54818486">
    <w:abstractNumId w:val="2"/>
  </w:num>
  <w:num w:numId="2" w16cid:durableId="1130172755">
    <w:abstractNumId w:val="56"/>
  </w:num>
  <w:num w:numId="3" w16cid:durableId="242565033">
    <w:abstractNumId w:val="58"/>
  </w:num>
  <w:num w:numId="4" w16cid:durableId="1723405670">
    <w:abstractNumId w:val="56"/>
  </w:num>
  <w:num w:numId="5" w16cid:durableId="1485203231">
    <w:abstractNumId w:val="34"/>
  </w:num>
  <w:num w:numId="6" w16cid:durableId="297878110">
    <w:abstractNumId w:val="37"/>
  </w:num>
  <w:num w:numId="7" w16cid:durableId="1019551567">
    <w:abstractNumId w:val="24"/>
  </w:num>
  <w:num w:numId="8" w16cid:durableId="1343507387">
    <w:abstractNumId w:val="65"/>
  </w:num>
  <w:num w:numId="9" w16cid:durableId="550192581">
    <w:abstractNumId w:val="52"/>
  </w:num>
  <w:num w:numId="10" w16cid:durableId="791828428">
    <w:abstractNumId w:val="43"/>
  </w:num>
  <w:num w:numId="11" w16cid:durableId="733699914">
    <w:abstractNumId w:val="4"/>
  </w:num>
  <w:num w:numId="12" w16cid:durableId="544874152">
    <w:abstractNumId w:val="44"/>
  </w:num>
  <w:num w:numId="13" w16cid:durableId="703988061">
    <w:abstractNumId w:val="12"/>
  </w:num>
  <w:num w:numId="14" w16cid:durableId="308172950">
    <w:abstractNumId w:val="56"/>
  </w:num>
  <w:num w:numId="15" w16cid:durableId="1805156046">
    <w:abstractNumId w:val="19"/>
  </w:num>
  <w:num w:numId="16" w16cid:durableId="337117873">
    <w:abstractNumId w:val="25"/>
    <w:lvlOverride w:ilvl="2">
      <w:lvl w:ilvl="2">
        <w:start w:val="1"/>
        <w:numFmt w:val="decimal"/>
        <w:pStyle w:val="SDMApp2"/>
        <w:lvlText w:val="%2.%3."/>
        <w:lvlJc w:val="left"/>
        <w:pPr>
          <w:tabs>
            <w:tab w:val="num" w:pos="709"/>
          </w:tabs>
          <w:ind w:left="851" w:hanging="851"/>
        </w:pPr>
        <w:rPr>
          <w:rFonts w:hint="default"/>
        </w:rPr>
      </w:lvl>
    </w:lvlOverride>
    <w:lvlOverride w:ilvl="3">
      <w:lvl w:ilvl="3">
        <w:start w:val="1"/>
        <w:numFmt w:val="decimal"/>
        <w:pStyle w:val="SDMApp3"/>
        <w:lvlText w:val="%2.%3.%4."/>
        <w:lvlJc w:val="left"/>
        <w:pPr>
          <w:tabs>
            <w:tab w:val="num" w:pos="709"/>
          </w:tabs>
          <w:ind w:left="1191" w:hanging="1191"/>
        </w:pPr>
        <w:rPr>
          <w:rFonts w:hint="default"/>
        </w:rPr>
      </w:lvl>
    </w:lvlOverride>
  </w:num>
  <w:num w:numId="17" w16cid:durableId="185099494">
    <w:abstractNumId w:val="13"/>
    <w:lvlOverride w:ilvl="0">
      <w:lvl w:ilvl="0">
        <w:start w:val="1"/>
        <w:numFmt w:val="decimal"/>
        <w:pStyle w:val="SDMCovNoteHead1"/>
        <w:lvlText w:val="%1."/>
        <w:lvlJc w:val="left"/>
        <w:pPr>
          <w:tabs>
            <w:tab w:val="num" w:pos="709"/>
          </w:tabs>
          <w:ind w:left="709" w:hanging="709"/>
        </w:pPr>
        <w:rPr>
          <w:rFonts w:hint="default"/>
        </w:rPr>
      </w:lvl>
    </w:lvlOverride>
    <w:lvlOverride w:ilvl="1">
      <w:lvl w:ilvl="1">
        <w:start w:val="1"/>
        <w:numFmt w:val="decimal"/>
        <w:pStyle w:val="SDMCovNoteHead2"/>
        <w:lvlText w:val="%1.%2."/>
        <w:lvlJc w:val="left"/>
        <w:pPr>
          <w:tabs>
            <w:tab w:val="num" w:pos="709"/>
          </w:tabs>
          <w:ind w:left="794" w:hanging="794"/>
        </w:pPr>
        <w:rPr>
          <w:rFonts w:hint="default"/>
        </w:rPr>
      </w:lvl>
    </w:lvlOverride>
    <w:lvlOverride w:ilvl="2">
      <w:lvl w:ilvl="2">
        <w:start w:val="1"/>
        <w:numFmt w:val="decimal"/>
        <w:pStyle w:val="SDMCovNoteHead3"/>
        <w:lvlText w:val="%1.%2.%3."/>
        <w:lvlJc w:val="left"/>
        <w:pPr>
          <w:tabs>
            <w:tab w:val="num" w:pos="709"/>
          </w:tabs>
          <w:ind w:left="1191" w:hanging="1191"/>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8" w16cid:durableId="250310032">
    <w:abstractNumId w:val="35"/>
  </w:num>
  <w:num w:numId="19" w16cid:durableId="1765685635">
    <w:abstractNumId w:val="5"/>
  </w:num>
  <w:num w:numId="20" w16cid:durableId="353769888">
    <w:abstractNumId w:val="63"/>
    <w:lvlOverride w:ilvl="1">
      <w:lvl w:ilvl="1">
        <w:start w:val="1"/>
        <w:numFmt w:val="decimal"/>
        <w:pStyle w:val="SDMHead2"/>
        <w:lvlText w:val="%1.%2."/>
        <w:lvlJc w:val="left"/>
        <w:pPr>
          <w:tabs>
            <w:tab w:val="num" w:pos="709"/>
          </w:tabs>
          <w:ind w:left="709" w:hanging="709"/>
        </w:pPr>
        <w:rPr>
          <w:rFonts w:hint="default"/>
        </w:rPr>
      </w:lvl>
    </w:lvlOverride>
  </w:num>
  <w:num w:numId="21" w16cid:durableId="1694501527">
    <w:abstractNumId w:val="6"/>
  </w:num>
  <w:num w:numId="22" w16cid:durableId="2048481435">
    <w:abstractNumId w:val="16"/>
  </w:num>
  <w:num w:numId="23" w16cid:durableId="1418093756">
    <w:abstractNumId w:val="2"/>
  </w:num>
  <w:num w:numId="24" w16cid:durableId="869687638">
    <w:abstractNumId w:val="9"/>
  </w:num>
  <w:num w:numId="25" w16cid:durableId="1631667863">
    <w:abstractNumId w:val="46"/>
  </w:num>
  <w:num w:numId="26" w16cid:durableId="253704644">
    <w:abstractNumId w:val="23"/>
  </w:num>
  <w:num w:numId="27" w16cid:durableId="1348827634">
    <w:abstractNumId w:val="14"/>
  </w:num>
  <w:num w:numId="28" w16cid:durableId="98501114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0988803">
    <w:abstractNumId w:val="4"/>
    <w:lvlOverride w:ilvl="0">
      <w:lvl w:ilvl="0">
        <w:start w:val="1"/>
        <w:numFmt w:val="decimal"/>
        <w:suff w:val="nothing"/>
        <w:lvlText w:val="Equation (%1)"/>
        <w:lvlJc w:val="left"/>
        <w:pPr>
          <w:ind w:left="0" w:firstLine="0"/>
        </w:pPr>
        <w:rPr>
          <w:rFonts w:hint="default"/>
        </w:rPr>
      </w:lvl>
    </w:lvlOverride>
  </w:num>
  <w:num w:numId="30" w16cid:durableId="1886715936">
    <w:abstractNumId w:val="13"/>
  </w:num>
  <w:num w:numId="31" w16cid:durableId="1038892974">
    <w:abstractNumId w:val="63"/>
  </w:num>
  <w:num w:numId="32" w16cid:durableId="310403312">
    <w:abstractNumId w:val="33"/>
  </w:num>
  <w:num w:numId="33" w16cid:durableId="19978472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98977513">
    <w:abstractNumId w:val="4"/>
    <w:lvlOverride w:ilvl="0">
      <w:lvl w:ilvl="0">
        <w:start w:val="1"/>
        <w:numFmt w:val="decimal"/>
        <w:suff w:val="nothing"/>
        <w:lvlText w:val="Equation (%1)"/>
        <w:lvlJc w:val="left"/>
        <w:pPr>
          <w:ind w:left="0" w:firstLine="0"/>
        </w:pPr>
        <w:rPr>
          <w:rFonts w:hint="default"/>
        </w:rPr>
      </w:lvl>
    </w:lvlOverride>
  </w:num>
  <w:num w:numId="35" w16cid:durableId="1493835301">
    <w:abstractNumId w:val="55"/>
  </w:num>
  <w:num w:numId="36" w16cid:durableId="964430243">
    <w:abstractNumId w:val="27"/>
  </w:num>
  <w:num w:numId="37" w16cid:durableId="1177886413">
    <w:abstractNumId w:val="26"/>
  </w:num>
  <w:num w:numId="38" w16cid:durableId="189453553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2364858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406653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6044004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131699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345962">
    <w:abstractNumId w:val="56"/>
  </w:num>
  <w:num w:numId="44" w16cid:durableId="1225530304">
    <w:abstractNumId w:val="56"/>
  </w:num>
  <w:num w:numId="45" w16cid:durableId="342902680">
    <w:abstractNumId w:val="56"/>
  </w:num>
  <w:num w:numId="46" w16cid:durableId="2117813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46935882">
    <w:abstractNumId w:val="56"/>
  </w:num>
  <w:num w:numId="48" w16cid:durableId="836924227">
    <w:abstractNumId w:val="22"/>
  </w:num>
  <w:num w:numId="49" w16cid:durableId="1656179772">
    <w:abstractNumId w:val="56"/>
  </w:num>
  <w:num w:numId="50" w16cid:durableId="1218398267">
    <w:abstractNumId w:val="5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8"/>
  <w:removeDateAndTime/>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edit="forms" w:enforcement="0"/>
  <w:defaultTabStop w:val="709"/>
  <w:autoHyphenation/>
  <w:hyphenationZone w:val="425"/>
  <w:drawingGridHorizontalSpacing w:val="110"/>
  <w:drawingGridVerticalSpacing w:val="299"/>
  <w:displayHorizontalDrawingGridEvery w:val="0"/>
  <w:displayVerticalDrawingGridEvery w:val="0"/>
  <w:noPunctuationKerning/>
  <w:characterSpacingControl w:val="doNotCompress"/>
  <w:savePreviewPicture/>
  <w:hdrShapeDefaults>
    <o:shapedefaults v:ext="edit" spidmax="2050" style="mso-position-horizontal:center;mso-position-horizontal-relative:margin;mso-position-vertical:center;mso-position-vertical-relative:margin" fill="f" fillcolor="#a6a6a6" stroke="f">
      <v:fill color="#a6a6a6" on="f"/>
      <v:stroke on="f"/>
      <v:shadow color="#868686"/>
    </o:shapedefaults>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993"/>
    <w:rsid w:val="000000AD"/>
    <w:rsid w:val="000000E0"/>
    <w:rsid w:val="0000013B"/>
    <w:rsid w:val="0000017B"/>
    <w:rsid w:val="00000286"/>
    <w:rsid w:val="000003E5"/>
    <w:rsid w:val="0000045C"/>
    <w:rsid w:val="00000483"/>
    <w:rsid w:val="000004B7"/>
    <w:rsid w:val="0000055B"/>
    <w:rsid w:val="00000583"/>
    <w:rsid w:val="000005AC"/>
    <w:rsid w:val="0000074F"/>
    <w:rsid w:val="000007A6"/>
    <w:rsid w:val="00000864"/>
    <w:rsid w:val="0000088E"/>
    <w:rsid w:val="000008A3"/>
    <w:rsid w:val="000008BA"/>
    <w:rsid w:val="00000958"/>
    <w:rsid w:val="00000982"/>
    <w:rsid w:val="000009BC"/>
    <w:rsid w:val="00000A5D"/>
    <w:rsid w:val="00000AB5"/>
    <w:rsid w:val="00000ADB"/>
    <w:rsid w:val="00000AE2"/>
    <w:rsid w:val="00000B5E"/>
    <w:rsid w:val="00000B84"/>
    <w:rsid w:val="00000D05"/>
    <w:rsid w:val="00000D8C"/>
    <w:rsid w:val="00000DC2"/>
    <w:rsid w:val="000011EF"/>
    <w:rsid w:val="00001291"/>
    <w:rsid w:val="000012E9"/>
    <w:rsid w:val="00001363"/>
    <w:rsid w:val="000014D4"/>
    <w:rsid w:val="000014DB"/>
    <w:rsid w:val="00001524"/>
    <w:rsid w:val="00001579"/>
    <w:rsid w:val="00001657"/>
    <w:rsid w:val="00001717"/>
    <w:rsid w:val="000017C8"/>
    <w:rsid w:val="000017FA"/>
    <w:rsid w:val="0000195A"/>
    <w:rsid w:val="00001A84"/>
    <w:rsid w:val="00001AC8"/>
    <w:rsid w:val="00001CE2"/>
    <w:rsid w:val="00001E4D"/>
    <w:rsid w:val="00001F3E"/>
    <w:rsid w:val="00001F99"/>
    <w:rsid w:val="00002134"/>
    <w:rsid w:val="00002168"/>
    <w:rsid w:val="000021A0"/>
    <w:rsid w:val="0000223D"/>
    <w:rsid w:val="00002240"/>
    <w:rsid w:val="0000233D"/>
    <w:rsid w:val="000023A2"/>
    <w:rsid w:val="000023C1"/>
    <w:rsid w:val="00002545"/>
    <w:rsid w:val="000025AC"/>
    <w:rsid w:val="000025ED"/>
    <w:rsid w:val="000027B3"/>
    <w:rsid w:val="000027C4"/>
    <w:rsid w:val="000027D4"/>
    <w:rsid w:val="00002823"/>
    <w:rsid w:val="00002A1E"/>
    <w:rsid w:val="00002ABD"/>
    <w:rsid w:val="00002C46"/>
    <w:rsid w:val="00002CC3"/>
    <w:rsid w:val="00002D32"/>
    <w:rsid w:val="00002EF6"/>
    <w:rsid w:val="00002FBE"/>
    <w:rsid w:val="000031D5"/>
    <w:rsid w:val="0000322F"/>
    <w:rsid w:val="00003251"/>
    <w:rsid w:val="00003270"/>
    <w:rsid w:val="00003279"/>
    <w:rsid w:val="000032CF"/>
    <w:rsid w:val="00003343"/>
    <w:rsid w:val="00003462"/>
    <w:rsid w:val="00003473"/>
    <w:rsid w:val="000034F7"/>
    <w:rsid w:val="0000357B"/>
    <w:rsid w:val="00003582"/>
    <w:rsid w:val="00003595"/>
    <w:rsid w:val="00003596"/>
    <w:rsid w:val="0000362D"/>
    <w:rsid w:val="000036C6"/>
    <w:rsid w:val="0000376C"/>
    <w:rsid w:val="000037EA"/>
    <w:rsid w:val="000037F8"/>
    <w:rsid w:val="0000388D"/>
    <w:rsid w:val="00003981"/>
    <w:rsid w:val="000039C2"/>
    <w:rsid w:val="00003A21"/>
    <w:rsid w:val="00003A94"/>
    <w:rsid w:val="00003B13"/>
    <w:rsid w:val="00003BFF"/>
    <w:rsid w:val="00003CA1"/>
    <w:rsid w:val="00003DBE"/>
    <w:rsid w:val="00003F80"/>
    <w:rsid w:val="0000404D"/>
    <w:rsid w:val="000041E4"/>
    <w:rsid w:val="00004293"/>
    <w:rsid w:val="000042C3"/>
    <w:rsid w:val="0000430C"/>
    <w:rsid w:val="000043F7"/>
    <w:rsid w:val="0000467B"/>
    <w:rsid w:val="000046D1"/>
    <w:rsid w:val="00004755"/>
    <w:rsid w:val="00004B5C"/>
    <w:rsid w:val="00004B7A"/>
    <w:rsid w:val="00004B88"/>
    <w:rsid w:val="00004BF2"/>
    <w:rsid w:val="00004C06"/>
    <w:rsid w:val="00004D10"/>
    <w:rsid w:val="00004E3F"/>
    <w:rsid w:val="00004F12"/>
    <w:rsid w:val="00005078"/>
    <w:rsid w:val="000050AC"/>
    <w:rsid w:val="000050D7"/>
    <w:rsid w:val="00005111"/>
    <w:rsid w:val="000051F4"/>
    <w:rsid w:val="000051FF"/>
    <w:rsid w:val="0000523E"/>
    <w:rsid w:val="000053BC"/>
    <w:rsid w:val="000053E3"/>
    <w:rsid w:val="0000544C"/>
    <w:rsid w:val="000054E1"/>
    <w:rsid w:val="00005504"/>
    <w:rsid w:val="000055B3"/>
    <w:rsid w:val="00005843"/>
    <w:rsid w:val="000059C7"/>
    <w:rsid w:val="00005A08"/>
    <w:rsid w:val="00005A2F"/>
    <w:rsid w:val="00005A38"/>
    <w:rsid w:val="00005B98"/>
    <w:rsid w:val="00005C4D"/>
    <w:rsid w:val="00005CD4"/>
    <w:rsid w:val="00005E76"/>
    <w:rsid w:val="00005EF2"/>
    <w:rsid w:val="00005F02"/>
    <w:rsid w:val="00005FFE"/>
    <w:rsid w:val="00006007"/>
    <w:rsid w:val="00006018"/>
    <w:rsid w:val="00006215"/>
    <w:rsid w:val="0000629A"/>
    <w:rsid w:val="00006327"/>
    <w:rsid w:val="000063E4"/>
    <w:rsid w:val="00006458"/>
    <w:rsid w:val="00006478"/>
    <w:rsid w:val="00006510"/>
    <w:rsid w:val="000065BC"/>
    <w:rsid w:val="000066F6"/>
    <w:rsid w:val="00006726"/>
    <w:rsid w:val="00006762"/>
    <w:rsid w:val="000067C0"/>
    <w:rsid w:val="000067F3"/>
    <w:rsid w:val="00006850"/>
    <w:rsid w:val="00006917"/>
    <w:rsid w:val="00006966"/>
    <w:rsid w:val="00006979"/>
    <w:rsid w:val="000069AF"/>
    <w:rsid w:val="00006A75"/>
    <w:rsid w:val="00006AC5"/>
    <w:rsid w:val="00006C16"/>
    <w:rsid w:val="00006CBF"/>
    <w:rsid w:val="00006DCD"/>
    <w:rsid w:val="00006E57"/>
    <w:rsid w:val="00006EAD"/>
    <w:rsid w:val="00006F4F"/>
    <w:rsid w:val="00006FC4"/>
    <w:rsid w:val="00007029"/>
    <w:rsid w:val="000070FE"/>
    <w:rsid w:val="0000710E"/>
    <w:rsid w:val="00007144"/>
    <w:rsid w:val="000072AE"/>
    <w:rsid w:val="0000756E"/>
    <w:rsid w:val="000075AD"/>
    <w:rsid w:val="000075EC"/>
    <w:rsid w:val="000076A9"/>
    <w:rsid w:val="000076FE"/>
    <w:rsid w:val="0000771F"/>
    <w:rsid w:val="000077C1"/>
    <w:rsid w:val="00007A9C"/>
    <w:rsid w:val="00007AE8"/>
    <w:rsid w:val="00007B2F"/>
    <w:rsid w:val="00007B8E"/>
    <w:rsid w:val="00007C0A"/>
    <w:rsid w:val="00007D35"/>
    <w:rsid w:val="00007DF9"/>
    <w:rsid w:val="00007E31"/>
    <w:rsid w:val="00007E9B"/>
    <w:rsid w:val="00007F1C"/>
    <w:rsid w:val="00007FC6"/>
    <w:rsid w:val="000100C7"/>
    <w:rsid w:val="00010125"/>
    <w:rsid w:val="00010134"/>
    <w:rsid w:val="0001015C"/>
    <w:rsid w:val="000101F9"/>
    <w:rsid w:val="00010206"/>
    <w:rsid w:val="000102F7"/>
    <w:rsid w:val="00010300"/>
    <w:rsid w:val="00010357"/>
    <w:rsid w:val="0001037A"/>
    <w:rsid w:val="0001049C"/>
    <w:rsid w:val="000104B6"/>
    <w:rsid w:val="0001051A"/>
    <w:rsid w:val="0001052F"/>
    <w:rsid w:val="000105C9"/>
    <w:rsid w:val="00010735"/>
    <w:rsid w:val="0001073B"/>
    <w:rsid w:val="000108DF"/>
    <w:rsid w:val="00010910"/>
    <w:rsid w:val="00010CE4"/>
    <w:rsid w:val="00010D04"/>
    <w:rsid w:val="00010D38"/>
    <w:rsid w:val="00010F31"/>
    <w:rsid w:val="00010F55"/>
    <w:rsid w:val="000110C5"/>
    <w:rsid w:val="000110FE"/>
    <w:rsid w:val="0001110F"/>
    <w:rsid w:val="00011167"/>
    <w:rsid w:val="000111BB"/>
    <w:rsid w:val="00011233"/>
    <w:rsid w:val="0001140D"/>
    <w:rsid w:val="00011573"/>
    <w:rsid w:val="000115FF"/>
    <w:rsid w:val="00011648"/>
    <w:rsid w:val="0001165C"/>
    <w:rsid w:val="00011693"/>
    <w:rsid w:val="00011786"/>
    <w:rsid w:val="0001178F"/>
    <w:rsid w:val="00011812"/>
    <w:rsid w:val="00011B0E"/>
    <w:rsid w:val="00011B4D"/>
    <w:rsid w:val="00011B5E"/>
    <w:rsid w:val="00011BC7"/>
    <w:rsid w:val="00011BE0"/>
    <w:rsid w:val="00011C2D"/>
    <w:rsid w:val="00011C9E"/>
    <w:rsid w:val="00011CFA"/>
    <w:rsid w:val="00011D3F"/>
    <w:rsid w:val="00011E17"/>
    <w:rsid w:val="00011E6C"/>
    <w:rsid w:val="00011E9C"/>
    <w:rsid w:val="00011EBA"/>
    <w:rsid w:val="00011F5D"/>
    <w:rsid w:val="0001202D"/>
    <w:rsid w:val="000120C3"/>
    <w:rsid w:val="00012140"/>
    <w:rsid w:val="00012370"/>
    <w:rsid w:val="0001251E"/>
    <w:rsid w:val="00012556"/>
    <w:rsid w:val="00012790"/>
    <w:rsid w:val="000127E4"/>
    <w:rsid w:val="00012817"/>
    <w:rsid w:val="00012896"/>
    <w:rsid w:val="00012A91"/>
    <w:rsid w:val="00012AAB"/>
    <w:rsid w:val="00012ACF"/>
    <w:rsid w:val="00012B7E"/>
    <w:rsid w:val="00012BC1"/>
    <w:rsid w:val="00012BEC"/>
    <w:rsid w:val="00012C01"/>
    <w:rsid w:val="00012C51"/>
    <w:rsid w:val="00012C5D"/>
    <w:rsid w:val="00012DDB"/>
    <w:rsid w:val="00012E5A"/>
    <w:rsid w:val="00012EFA"/>
    <w:rsid w:val="00012F4D"/>
    <w:rsid w:val="00013183"/>
    <w:rsid w:val="00013203"/>
    <w:rsid w:val="00013225"/>
    <w:rsid w:val="00013234"/>
    <w:rsid w:val="0001324E"/>
    <w:rsid w:val="00013330"/>
    <w:rsid w:val="00013431"/>
    <w:rsid w:val="000134A2"/>
    <w:rsid w:val="0001360D"/>
    <w:rsid w:val="0001369E"/>
    <w:rsid w:val="00013817"/>
    <w:rsid w:val="0001390A"/>
    <w:rsid w:val="0001395F"/>
    <w:rsid w:val="00013B2E"/>
    <w:rsid w:val="00013B88"/>
    <w:rsid w:val="00013BDD"/>
    <w:rsid w:val="00013E90"/>
    <w:rsid w:val="00013EA2"/>
    <w:rsid w:val="0001417B"/>
    <w:rsid w:val="00014189"/>
    <w:rsid w:val="0001423C"/>
    <w:rsid w:val="00014345"/>
    <w:rsid w:val="000143F5"/>
    <w:rsid w:val="00014432"/>
    <w:rsid w:val="000144CE"/>
    <w:rsid w:val="00014661"/>
    <w:rsid w:val="000146C3"/>
    <w:rsid w:val="0001471C"/>
    <w:rsid w:val="00014752"/>
    <w:rsid w:val="0001479F"/>
    <w:rsid w:val="000147F0"/>
    <w:rsid w:val="00014814"/>
    <w:rsid w:val="000149D9"/>
    <w:rsid w:val="00014B46"/>
    <w:rsid w:val="00014D12"/>
    <w:rsid w:val="00014D2D"/>
    <w:rsid w:val="00014D72"/>
    <w:rsid w:val="00014DD8"/>
    <w:rsid w:val="00014E22"/>
    <w:rsid w:val="00014E42"/>
    <w:rsid w:val="00014E9E"/>
    <w:rsid w:val="00014FB5"/>
    <w:rsid w:val="00015097"/>
    <w:rsid w:val="000150B4"/>
    <w:rsid w:val="00015132"/>
    <w:rsid w:val="0001516D"/>
    <w:rsid w:val="0001526A"/>
    <w:rsid w:val="000152CA"/>
    <w:rsid w:val="00015349"/>
    <w:rsid w:val="00015473"/>
    <w:rsid w:val="0001551A"/>
    <w:rsid w:val="00015523"/>
    <w:rsid w:val="00015873"/>
    <w:rsid w:val="000158E2"/>
    <w:rsid w:val="00015904"/>
    <w:rsid w:val="0001597D"/>
    <w:rsid w:val="000159BC"/>
    <w:rsid w:val="000159E7"/>
    <w:rsid w:val="000159EF"/>
    <w:rsid w:val="00015ADA"/>
    <w:rsid w:val="00015AE6"/>
    <w:rsid w:val="00015B7F"/>
    <w:rsid w:val="00015D2C"/>
    <w:rsid w:val="00015D82"/>
    <w:rsid w:val="00015D8E"/>
    <w:rsid w:val="00015E29"/>
    <w:rsid w:val="0001603A"/>
    <w:rsid w:val="0001612E"/>
    <w:rsid w:val="00016131"/>
    <w:rsid w:val="0001627E"/>
    <w:rsid w:val="00016319"/>
    <w:rsid w:val="000163E9"/>
    <w:rsid w:val="000163F9"/>
    <w:rsid w:val="00016430"/>
    <w:rsid w:val="00016534"/>
    <w:rsid w:val="0001659A"/>
    <w:rsid w:val="000165AF"/>
    <w:rsid w:val="00016617"/>
    <w:rsid w:val="00016632"/>
    <w:rsid w:val="00016767"/>
    <w:rsid w:val="000169A8"/>
    <w:rsid w:val="000169BE"/>
    <w:rsid w:val="000169F9"/>
    <w:rsid w:val="00016A67"/>
    <w:rsid w:val="00016A8F"/>
    <w:rsid w:val="00016AA8"/>
    <w:rsid w:val="00016C0C"/>
    <w:rsid w:val="00016CA1"/>
    <w:rsid w:val="00016F8C"/>
    <w:rsid w:val="000170F4"/>
    <w:rsid w:val="0001713F"/>
    <w:rsid w:val="000171BC"/>
    <w:rsid w:val="00017205"/>
    <w:rsid w:val="000172FF"/>
    <w:rsid w:val="0001733E"/>
    <w:rsid w:val="000174BC"/>
    <w:rsid w:val="000174CB"/>
    <w:rsid w:val="00017568"/>
    <w:rsid w:val="000175C4"/>
    <w:rsid w:val="0001767B"/>
    <w:rsid w:val="000176B0"/>
    <w:rsid w:val="000176CE"/>
    <w:rsid w:val="0001772B"/>
    <w:rsid w:val="000177CD"/>
    <w:rsid w:val="000178CE"/>
    <w:rsid w:val="00017940"/>
    <w:rsid w:val="00017956"/>
    <w:rsid w:val="000179CF"/>
    <w:rsid w:val="00017A2F"/>
    <w:rsid w:val="00017B82"/>
    <w:rsid w:val="00017C32"/>
    <w:rsid w:val="00017C42"/>
    <w:rsid w:val="00017D33"/>
    <w:rsid w:val="00020041"/>
    <w:rsid w:val="0002007B"/>
    <w:rsid w:val="0002010B"/>
    <w:rsid w:val="000202BF"/>
    <w:rsid w:val="000202ED"/>
    <w:rsid w:val="0002031F"/>
    <w:rsid w:val="0002033B"/>
    <w:rsid w:val="000203F7"/>
    <w:rsid w:val="0002042A"/>
    <w:rsid w:val="0002068C"/>
    <w:rsid w:val="000206D7"/>
    <w:rsid w:val="00020753"/>
    <w:rsid w:val="00020754"/>
    <w:rsid w:val="0002075C"/>
    <w:rsid w:val="00020778"/>
    <w:rsid w:val="000207ED"/>
    <w:rsid w:val="00020810"/>
    <w:rsid w:val="0002084A"/>
    <w:rsid w:val="0002085E"/>
    <w:rsid w:val="000208CF"/>
    <w:rsid w:val="00020ACB"/>
    <w:rsid w:val="00020AEF"/>
    <w:rsid w:val="00020D3F"/>
    <w:rsid w:val="00020D52"/>
    <w:rsid w:val="00020DA8"/>
    <w:rsid w:val="00020E64"/>
    <w:rsid w:val="00020F9B"/>
    <w:rsid w:val="00020FBF"/>
    <w:rsid w:val="00020FC6"/>
    <w:rsid w:val="00021038"/>
    <w:rsid w:val="0002120C"/>
    <w:rsid w:val="00021280"/>
    <w:rsid w:val="00021323"/>
    <w:rsid w:val="000215A3"/>
    <w:rsid w:val="000215DB"/>
    <w:rsid w:val="000215F5"/>
    <w:rsid w:val="000217E5"/>
    <w:rsid w:val="0002191B"/>
    <w:rsid w:val="00021A2F"/>
    <w:rsid w:val="00021A4A"/>
    <w:rsid w:val="00021A8A"/>
    <w:rsid w:val="00021AAA"/>
    <w:rsid w:val="00021AD8"/>
    <w:rsid w:val="00021B33"/>
    <w:rsid w:val="00021BBF"/>
    <w:rsid w:val="00021E20"/>
    <w:rsid w:val="00021E5C"/>
    <w:rsid w:val="00021E68"/>
    <w:rsid w:val="00021F0C"/>
    <w:rsid w:val="00021F69"/>
    <w:rsid w:val="00021F73"/>
    <w:rsid w:val="00021FFE"/>
    <w:rsid w:val="00022071"/>
    <w:rsid w:val="0002207C"/>
    <w:rsid w:val="000220BD"/>
    <w:rsid w:val="0002213C"/>
    <w:rsid w:val="000222BD"/>
    <w:rsid w:val="000223C0"/>
    <w:rsid w:val="000224DA"/>
    <w:rsid w:val="0002262E"/>
    <w:rsid w:val="00022637"/>
    <w:rsid w:val="000226A7"/>
    <w:rsid w:val="000226DA"/>
    <w:rsid w:val="0002276F"/>
    <w:rsid w:val="00022799"/>
    <w:rsid w:val="000227C1"/>
    <w:rsid w:val="0002286D"/>
    <w:rsid w:val="0002291F"/>
    <w:rsid w:val="00022925"/>
    <w:rsid w:val="000229DA"/>
    <w:rsid w:val="00022A4E"/>
    <w:rsid w:val="00022A60"/>
    <w:rsid w:val="00022A86"/>
    <w:rsid w:val="00022ABE"/>
    <w:rsid w:val="00022C00"/>
    <w:rsid w:val="00022C56"/>
    <w:rsid w:val="00022CC8"/>
    <w:rsid w:val="00022D07"/>
    <w:rsid w:val="00022D08"/>
    <w:rsid w:val="00022E10"/>
    <w:rsid w:val="00022E2C"/>
    <w:rsid w:val="00022E3E"/>
    <w:rsid w:val="00022E8C"/>
    <w:rsid w:val="00022EAD"/>
    <w:rsid w:val="00022FEF"/>
    <w:rsid w:val="000230A2"/>
    <w:rsid w:val="000230D3"/>
    <w:rsid w:val="0002337E"/>
    <w:rsid w:val="000235EB"/>
    <w:rsid w:val="000236E7"/>
    <w:rsid w:val="00023777"/>
    <w:rsid w:val="00023876"/>
    <w:rsid w:val="000238DE"/>
    <w:rsid w:val="000239DB"/>
    <w:rsid w:val="00023AF4"/>
    <w:rsid w:val="00023B49"/>
    <w:rsid w:val="00023C0A"/>
    <w:rsid w:val="00023CDD"/>
    <w:rsid w:val="00023D46"/>
    <w:rsid w:val="00023D94"/>
    <w:rsid w:val="00023E52"/>
    <w:rsid w:val="00023F50"/>
    <w:rsid w:val="00023F5C"/>
    <w:rsid w:val="00023FC1"/>
    <w:rsid w:val="000240DA"/>
    <w:rsid w:val="000241A5"/>
    <w:rsid w:val="000242DB"/>
    <w:rsid w:val="00024386"/>
    <w:rsid w:val="0002447C"/>
    <w:rsid w:val="000244A0"/>
    <w:rsid w:val="000244AB"/>
    <w:rsid w:val="000244D5"/>
    <w:rsid w:val="000245B3"/>
    <w:rsid w:val="000246DA"/>
    <w:rsid w:val="00024755"/>
    <w:rsid w:val="000247D6"/>
    <w:rsid w:val="0002487B"/>
    <w:rsid w:val="0002492C"/>
    <w:rsid w:val="00024974"/>
    <w:rsid w:val="000249F6"/>
    <w:rsid w:val="00024ACC"/>
    <w:rsid w:val="00024B45"/>
    <w:rsid w:val="00024BA3"/>
    <w:rsid w:val="00024BBB"/>
    <w:rsid w:val="00024C03"/>
    <w:rsid w:val="00024C9D"/>
    <w:rsid w:val="00024D10"/>
    <w:rsid w:val="00024D2A"/>
    <w:rsid w:val="00024E88"/>
    <w:rsid w:val="00024F89"/>
    <w:rsid w:val="00024F9C"/>
    <w:rsid w:val="00024FCD"/>
    <w:rsid w:val="000252AE"/>
    <w:rsid w:val="000252C5"/>
    <w:rsid w:val="0002533C"/>
    <w:rsid w:val="00025465"/>
    <w:rsid w:val="00025504"/>
    <w:rsid w:val="00025536"/>
    <w:rsid w:val="0002562E"/>
    <w:rsid w:val="0002565B"/>
    <w:rsid w:val="00025823"/>
    <w:rsid w:val="00025862"/>
    <w:rsid w:val="00025881"/>
    <w:rsid w:val="000258F7"/>
    <w:rsid w:val="00025937"/>
    <w:rsid w:val="00025AD7"/>
    <w:rsid w:val="00025B7E"/>
    <w:rsid w:val="00025B94"/>
    <w:rsid w:val="00025B9C"/>
    <w:rsid w:val="00025DA0"/>
    <w:rsid w:val="00025FDB"/>
    <w:rsid w:val="00026020"/>
    <w:rsid w:val="00026059"/>
    <w:rsid w:val="0002607D"/>
    <w:rsid w:val="0002608A"/>
    <w:rsid w:val="00026099"/>
    <w:rsid w:val="00026115"/>
    <w:rsid w:val="00026269"/>
    <w:rsid w:val="000264A7"/>
    <w:rsid w:val="000264C4"/>
    <w:rsid w:val="00026568"/>
    <w:rsid w:val="000265F1"/>
    <w:rsid w:val="000265F5"/>
    <w:rsid w:val="000265F9"/>
    <w:rsid w:val="0002663E"/>
    <w:rsid w:val="0002664A"/>
    <w:rsid w:val="0002677D"/>
    <w:rsid w:val="0002679D"/>
    <w:rsid w:val="000268EB"/>
    <w:rsid w:val="0002690A"/>
    <w:rsid w:val="000269CB"/>
    <w:rsid w:val="00026A09"/>
    <w:rsid w:val="00026A0B"/>
    <w:rsid w:val="00026A1C"/>
    <w:rsid w:val="00026B93"/>
    <w:rsid w:val="00026BFC"/>
    <w:rsid w:val="00026C11"/>
    <w:rsid w:val="00026E15"/>
    <w:rsid w:val="00027046"/>
    <w:rsid w:val="0002710B"/>
    <w:rsid w:val="0002710F"/>
    <w:rsid w:val="000271CE"/>
    <w:rsid w:val="00027377"/>
    <w:rsid w:val="0002743F"/>
    <w:rsid w:val="000274ED"/>
    <w:rsid w:val="00027519"/>
    <w:rsid w:val="000276E8"/>
    <w:rsid w:val="00027885"/>
    <w:rsid w:val="000279BF"/>
    <w:rsid w:val="000279CA"/>
    <w:rsid w:val="00027B27"/>
    <w:rsid w:val="00027CA0"/>
    <w:rsid w:val="00027E32"/>
    <w:rsid w:val="00027E81"/>
    <w:rsid w:val="00027F1E"/>
    <w:rsid w:val="00027F27"/>
    <w:rsid w:val="00027F65"/>
    <w:rsid w:val="000300E3"/>
    <w:rsid w:val="0003016E"/>
    <w:rsid w:val="00030248"/>
    <w:rsid w:val="00030394"/>
    <w:rsid w:val="00030447"/>
    <w:rsid w:val="00030453"/>
    <w:rsid w:val="0003045E"/>
    <w:rsid w:val="0003055F"/>
    <w:rsid w:val="00030589"/>
    <w:rsid w:val="000305C8"/>
    <w:rsid w:val="000305D2"/>
    <w:rsid w:val="00030676"/>
    <w:rsid w:val="000306E5"/>
    <w:rsid w:val="000306ED"/>
    <w:rsid w:val="0003072B"/>
    <w:rsid w:val="0003078A"/>
    <w:rsid w:val="00030815"/>
    <w:rsid w:val="00030848"/>
    <w:rsid w:val="0003092A"/>
    <w:rsid w:val="00030991"/>
    <w:rsid w:val="00030AC3"/>
    <w:rsid w:val="00030BB2"/>
    <w:rsid w:val="00030C08"/>
    <w:rsid w:val="00030D59"/>
    <w:rsid w:val="00030DDC"/>
    <w:rsid w:val="00030E01"/>
    <w:rsid w:val="00030E69"/>
    <w:rsid w:val="00030F2C"/>
    <w:rsid w:val="00030F34"/>
    <w:rsid w:val="00030F65"/>
    <w:rsid w:val="00030F9C"/>
    <w:rsid w:val="00030FF5"/>
    <w:rsid w:val="00031003"/>
    <w:rsid w:val="000310A1"/>
    <w:rsid w:val="000310B6"/>
    <w:rsid w:val="00031143"/>
    <w:rsid w:val="00031304"/>
    <w:rsid w:val="0003133D"/>
    <w:rsid w:val="0003138B"/>
    <w:rsid w:val="000314C6"/>
    <w:rsid w:val="000314CC"/>
    <w:rsid w:val="0003157B"/>
    <w:rsid w:val="000315CA"/>
    <w:rsid w:val="00031725"/>
    <w:rsid w:val="0003173D"/>
    <w:rsid w:val="0003174A"/>
    <w:rsid w:val="0003191A"/>
    <w:rsid w:val="00031936"/>
    <w:rsid w:val="00031ACC"/>
    <w:rsid w:val="00031AF5"/>
    <w:rsid w:val="00031B62"/>
    <w:rsid w:val="00031BC1"/>
    <w:rsid w:val="00031C54"/>
    <w:rsid w:val="00031D85"/>
    <w:rsid w:val="00031D92"/>
    <w:rsid w:val="00031DB5"/>
    <w:rsid w:val="00031EFF"/>
    <w:rsid w:val="00031F90"/>
    <w:rsid w:val="00032021"/>
    <w:rsid w:val="00032135"/>
    <w:rsid w:val="00032149"/>
    <w:rsid w:val="00032207"/>
    <w:rsid w:val="00032453"/>
    <w:rsid w:val="00032514"/>
    <w:rsid w:val="00032537"/>
    <w:rsid w:val="000325BA"/>
    <w:rsid w:val="0003289B"/>
    <w:rsid w:val="000328E4"/>
    <w:rsid w:val="00032914"/>
    <w:rsid w:val="00032951"/>
    <w:rsid w:val="000329C4"/>
    <w:rsid w:val="00032A02"/>
    <w:rsid w:val="00032A0F"/>
    <w:rsid w:val="00032A52"/>
    <w:rsid w:val="00032A9E"/>
    <w:rsid w:val="00032B9D"/>
    <w:rsid w:val="00032C5F"/>
    <w:rsid w:val="00032D6B"/>
    <w:rsid w:val="00032DED"/>
    <w:rsid w:val="00032E10"/>
    <w:rsid w:val="00032E2C"/>
    <w:rsid w:val="00032EE7"/>
    <w:rsid w:val="00032EF2"/>
    <w:rsid w:val="00033161"/>
    <w:rsid w:val="000333CE"/>
    <w:rsid w:val="0003363E"/>
    <w:rsid w:val="00033640"/>
    <w:rsid w:val="0003364A"/>
    <w:rsid w:val="000336C0"/>
    <w:rsid w:val="00033707"/>
    <w:rsid w:val="0003376B"/>
    <w:rsid w:val="00033962"/>
    <w:rsid w:val="000339B5"/>
    <w:rsid w:val="00033A36"/>
    <w:rsid w:val="00033AED"/>
    <w:rsid w:val="00033B27"/>
    <w:rsid w:val="00033BF1"/>
    <w:rsid w:val="00033C72"/>
    <w:rsid w:val="00033EA5"/>
    <w:rsid w:val="00033F7B"/>
    <w:rsid w:val="00033FA1"/>
    <w:rsid w:val="0003403C"/>
    <w:rsid w:val="00034061"/>
    <w:rsid w:val="000340BD"/>
    <w:rsid w:val="000340C5"/>
    <w:rsid w:val="00034175"/>
    <w:rsid w:val="000341E4"/>
    <w:rsid w:val="00034325"/>
    <w:rsid w:val="00034330"/>
    <w:rsid w:val="000343F5"/>
    <w:rsid w:val="0003449E"/>
    <w:rsid w:val="000344A8"/>
    <w:rsid w:val="0003466F"/>
    <w:rsid w:val="00034708"/>
    <w:rsid w:val="00034827"/>
    <w:rsid w:val="0003494A"/>
    <w:rsid w:val="0003498C"/>
    <w:rsid w:val="000349DD"/>
    <w:rsid w:val="00034A56"/>
    <w:rsid w:val="00034AA4"/>
    <w:rsid w:val="00034AC2"/>
    <w:rsid w:val="00034B0D"/>
    <w:rsid w:val="00034B27"/>
    <w:rsid w:val="00034BB4"/>
    <w:rsid w:val="00034BDF"/>
    <w:rsid w:val="00034C56"/>
    <w:rsid w:val="00034C74"/>
    <w:rsid w:val="00034CA8"/>
    <w:rsid w:val="00034D1E"/>
    <w:rsid w:val="00034E58"/>
    <w:rsid w:val="00034EB3"/>
    <w:rsid w:val="00034F08"/>
    <w:rsid w:val="000350C3"/>
    <w:rsid w:val="0003514F"/>
    <w:rsid w:val="0003526B"/>
    <w:rsid w:val="0003529D"/>
    <w:rsid w:val="00035313"/>
    <w:rsid w:val="00035376"/>
    <w:rsid w:val="000354F0"/>
    <w:rsid w:val="00035606"/>
    <w:rsid w:val="0003572E"/>
    <w:rsid w:val="0003575F"/>
    <w:rsid w:val="000357EC"/>
    <w:rsid w:val="000358DF"/>
    <w:rsid w:val="00035957"/>
    <w:rsid w:val="000359FF"/>
    <w:rsid w:val="00035A67"/>
    <w:rsid w:val="00035AA9"/>
    <w:rsid w:val="00035C23"/>
    <w:rsid w:val="00035CBF"/>
    <w:rsid w:val="00035D05"/>
    <w:rsid w:val="00035DC9"/>
    <w:rsid w:val="00035F3E"/>
    <w:rsid w:val="000361DB"/>
    <w:rsid w:val="0003624C"/>
    <w:rsid w:val="000362BA"/>
    <w:rsid w:val="00036406"/>
    <w:rsid w:val="000366C8"/>
    <w:rsid w:val="0003674D"/>
    <w:rsid w:val="0003678E"/>
    <w:rsid w:val="00036793"/>
    <w:rsid w:val="00036799"/>
    <w:rsid w:val="00036818"/>
    <w:rsid w:val="00036857"/>
    <w:rsid w:val="00036902"/>
    <w:rsid w:val="00036938"/>
    <w:rsid w:val="00036AE9"/>
    <w:rsid w:val="00036AED"/>
    <w:rsid w:val="00036AF0"/>
    <w:rsid w:val="00036BCC"/>
    <w:rsid w:val="00036CFE"/>
    <w:rsid w:val="00036DD2"/>
    <w:rsid w:val="00036DF9"/>
    <w:rsid w:val="00036E0E"/>
    <w:rsid w:val="00036E15"/>
    <w:rsid w:val="00036E1B"/>
    <w:rsid w:val="00036E2D"/>
    <w:rsid w:val="00036F86"/>
    <w:rsid w:val="0003702B"/>
    <w:rsid w:val="00037036"/>
    <w:rsid w:val="0003705B"/>
    <w:rsid w:val="000370ED"/>
    <w:rsid w:val="0003716B"/>
    <w:rsid w:val="000372A2"/>
    <w:rsid w:val="0003743D"/>
    <w:rsid w:val="00037567"/>
    <w:rsid w:val="00037617"/>
    <w:rsid w:val="0003762F"/>
    <w:rsid w:val="0003769F"/>
    <w:rsid w:val="000376E8"/>
    <w:rsid w:val="00037756"/>
    <w:rsid w:val="0003784D"/>
    <w:rsid w:val="000378E7"/>
    <w:rsid w:val="00037A23"/>
    <w:rsid w:val="00037B56"/>
    <w:rsid w:val="00037B89"/>
    <w:rsid w:val="00037D20"/>
    <w:rsid w:val="00037DD6"/>
    <w:rsid w:val="00037E64"/>
    <w:rsid w:val="00037ECD"/>
    <w:rsid w:val="00040026"/>
    <w:rsid w:val="000400FA"/>
    <w:rsid w:val="0004019F"/>
    <w:rsid w:val="00040244"/>
    <w:rsid w:val="00040296"/>
    <w:rsid w:val="000402E9"/>
    <w:rsid w:val="0004039F"/>
    <w:rsid w:val="00040560"/>
    <w:rsid w:val="00040570"/>
    <w:rsid w:val="0004059F"/>
    <w:rsid w:val="0004068F"/>
    <w:rsid w:val="000406B4"/>
    <w:rsid w:val="00040773"/>
    <w:rsid w:val="000407F9"/>
    <w:rsid w:val="0004083F"/>
    <w:rsid w:val="0004086E"/>
    <w:rsid w:val="000408DA"/>
    <w:rsid w:val="00040A5A"/>
    <w:rsid w:val="00040CF8"/>
    <w:rsid w:val="00040CF9"/>
    <w:rsid w:val="00040D7A"/>
    <w:rsid w:val="00040F17"/>
    <w:rsid w:val="00040F3E"/>
    <w:rsid w:val="00040FEC"/>
    <w:rsid w:val="00041037"/>
    <w:rsid w:val="0004112F"/>
    <w:rsid w:val="000412BB"/>
    <w:rsid w:val="000412E2"/>
    <w:rsid w:val="000412E4"/>
    <w:rsid w:val="00041316"/>
    <w:rsid w:val="00041323"/>
    <w:rsid w:val="00041332"/>
    <w:rsid w:val="00041360"/>
    <w:rsid w:val="0004137B"/>
    <w:rsid w:val="00041390"/>
    <w:rsid w:val="0004166F"/>
    <w:rsid w:val="0004167A"/>
    <w:rsid w:val="00041704"/>
    <w:rsid w:val="00041737"/>
    <w:rsid w:val="000417D9"/>
    <w:rsid w:val="000418BB"/>
    <w:rsid w:val="0004192A"/>
    <w:rsid w:val="00041ACC"/>
    <w:rsid w:val="00041ACE"/>
    <w:rsid w:val="00041B4F"/>
    <w:rsid w:val="00041B9A"/>
    <w:rsid w:val="00041C3B"/>
    <w:rsid w:val="00041C65"/>
    <w:rsid w:val="00041D38"/>
    <w:rsid w:val="00041D52"/>
    <w:rsid w:val="00041D85"/>
    <w:rsid w:val="00041DEC"/>
    <w:rsid w:val="00041E3F"/>
    <w:rsid w:val="00041EB1"/>
    <w:rsid w:val="00042026"/>
    <w:rsid w:val="0004207C"/>
    <w:rsid w:val="000421E6"/>
    <w:rsid w:val="0004222E"/>
    <w:rsid w:val="0004223B"/>
    <w:rsid w:val="00042262"/>
    <w:rsid w:val="000422DE"/>
    <w:rsid w:val="0004239B"/>
    <w:rsid w:val="0004240D"/>
    <w:rsid w:val="00042516"/>
    <w:rsid w:val="0004261A"/>
    <w:rsid w:val="0004270B"/>
    <w:rsid w:val="000428BE"/>
    <w:rsid w:val="0004292D"/>
    <w:rsid w:val="00042A49"/>
    <w:rsid w:val="00042B37"/>
    <w:rsid w:val="00042B45"/>
    <w:rsid w:val="00042BF3"/>
    <w:rsid w:val="00042CB6"/>
    <w:rsid w:val="00042D78"/>
    <w:rsid w:val="00042EE5"/>
    <w:rsid w:val="0004301A"/>
    <w:rsid w:val="00043023"/>
    <w:rsid w:val="0004311A"/>
    <w:rsid w:val="0004313E"/>
    <w:rsid w:val="0004319B"/>
    <w:rsid w:val="000431FA"/>
    <w:rsid w:val="0004324F"/>
    <w:rsid w:val="0004327D"/>
    <w:rsid w:val="000432C3"/>
    <w:rsid w:val="000433B4"/>
    <w:rsid w:val="000433ED"/>
    <w:rsid w:val="000435F0"/>
    <w:rsid w:val="00043703"/>
    <w:rsid w:val="0004373F"/>
    <w:rsid w:val="0004380A"/>
    <w:rsid w:val="0004381C"/>
    <w:rsid w:val="00043998"/>
    <w:rsid w:val="00043A80"/>
    <w:rsid w:val="00043B18"/>
    <w:rsid w:val="00043B35"/>
    <w:rsid w:val="00043C05"/>
    <w:rsid w:val="00043C06"/>
    <w:rsid w:val="00043C6E"/>
    <w:rsid w:val="00043EF4"/>
    <w:rsid w:val="00043F03"/>
    <w:rsid w:val="00044229"/>
    <w:rsid w:val="0004424B"/>
    <w:rsid w:val="0004432F"/>
    <w:rsid w:val="000443A2"/>
    <w:rsid w:val="0004443B"/>
    <w:rsid w:val="000444D4"/>
    <w:rsid w:val="0004456C"/>
    <w:rsid w:val="0004456E"/>
    <w:rsid w:val="00044669"/>
    <w:rsid w:val="00044692"/>
    <w:rsid w:val="00044715"/>
    <w:rsid w:val="0004497C"/>
    <w:rsid w:val="00044BFB"/>
    <w:rsid w:val="00044C37"/>
    <w:rsid w:val="00044CDF"/>
    <w:rsid w:val="00044E6C"/>
    <w:rsid w:val="00044F86"/>
    <w:rsid w:val="00045030"/>
    <w:rsid w:val="00045088"/>
    <w:rsid w:val="000450C9"/>
    <w:rsid w:val="00045220"/>
    <w:rsid w:val="000452D4"/>
    <w:rsid w:val="00045376"/>
    <w:rsid w:val="0004573F"/>
    <w:rsid w:val="00045794"/>
    <w:rsid w:val="000457EA"/>
    <w:rsid w:val="0004586D"/>
    <w:rsid w:val="00045A65"/>
    <w:rsid w:val="00045B71"/>
    <w:rsid w:val="00045BE9"/>
    <w:rsid w:val="00045C2B"/>
    <w:rsid w:val="00045C79"/>
    <w:rsid w:val="00045C9B"/>
    <w:rsid w:val="00045E3E"/>
    <w:rsid w:val="00045F15"/>
    <w:rsid w:val="00045F40"/>
    <w:rsid w:val="0004606A"/>
    <w:rsid w:val="00046120"/>
    <w:rsid w:val="00046207"/>
    <w:rsid w:val="00046240"/>
    <w:rsid w:val="000463FB"/>
    <w:rsid w:val="00046424"/>
    <w:rsid w:val="00046492"/>
    <w:rsid w:val="000464D5"/>
    <w:rsid w:val="00046556"/>
    <w:rsid w:val="000465C7"/>
    <w:rsid w:val="00046606"/>
    <w:rsid w:val="00046704"/>
    <w:rsid w:val="0004677C"/>
    <w:rsid w:val="0004689F"/>
    <w:rsid w:val="000468E7"/>
    <w:rsid w:val="0004691A"/>
    <w:rsid w:val="00046930"/>
    <w:rsid w:val="000469C5"/>
    <w:rsid w:val="00046BA4"/>
    <w:rsid w:val="00046BA8"/>
    <w:rsid w:val="00046C13"/>
    <w:rsid w:val="00046C20"/>
    <w:rsid w:val="00046CB6"/>
    <w:rsid w:val="00046D7E"/>
    <w:rsid w:val="00046F1D"/>
    <w:rsid w:val="00046F3E"/>
    <w:rsid w:val="00046F53"/>
    <w:rsid w:val="00046FB1"/>
    <w:rsid w:val="000471DC"/>
    <w:rsid w:val="00047247"/>
    <w:rsid w:val="00047371"/>
    <w:rsid w:val="0004738E"/>
    <w:rsid w:val="000473B5"/>
    <w:rsid w:val="00047429"/>
    <w:rsid w:val="00047435"/>
    <w:rsid w:val="00047465"/>
    <w:rsid w:val="00047536"/>
    <w:rsid w:val="00047658"/>
    <w:rsid w:val="000476A6"/>
    <w:rsid w:val="000478BE"/>
    <w:rsid w:val="00047916"/>
    <w:rsid w:val="000479F3"/>
    <w:rsid w:val="00047A20"/>
    <w:rsid w:val="00047C20"/>
    <w:rsid w:val="00047DC2"/>
    <w:rsid w:val="00047DC8"/>
    <w:rsid w:val="00047EEB"/>
    <w:rsid w:val="00047F0B"/>
    <w:rsid w:val="00047FC7"/>
    <w:rsid w:val="00047FD4"/>
    <w:rsid w:val="000500A2"/>
    <w:rsid w:val="000501E2"/>
    <w:rsid w:val="00050204"/>
    <w:rsid w:val="000502D5"/>
    <w:rsid w:val="00050301"/>
    <w:rsid w:val="0005039D"/>
    <w:rsid w:val="0005043C"/>
    <w:rsid w:val="00050452"/>
    <w:rsid w:val="00050636"/>
    <w:rsid w:val="00050734"/>
    <w:rsid w:val="0005081F"/>
    <w:rsid w:val="00050940"/>
    <w:rsid w:val="00050967"/>
    <w:rsid w:val="00050A64"/>
    <w:rsid w:val="00050B5D"/>
    <w:rsid w:val="00050B78"/>
    <w:rsid w:val="00050C99"/>
    <w:rsid w:val="00050DD8"/>
    <w:rsid w:val="00050DED"/>
    <w:rsid w:val="00050EDA"/>
    <w:rsid w:val="00051031"/>
    <w:rsid w:val="000510C3"/>
    <w:rsid w:val="00051115"/>
    <w:rsid w:val="000512B2"/>
    <w:rsid w:val="00051323"/>
    <w:rsid w:val="000513DA"/>
    <w:rsid w:val="000515D0"/>
    <w:rsid w:val="000515D9"/>
    <w:rsid w:val="0005169C"/>
    <w:rsid w:val="000516CD"/>
    <w:rsid w:val="000516E7"/>
    <w:rsid w:val="00051784"/>
    <w:rsid w:val="0005192E"/>
    <w:rsid w:val="00051A49"/>
    <w:rsid w:val="00051B43"/>
    <w:rsid w:val="00051C19"/>
    <w:rsid w:val="00051CAB"/>
    <w:rsid w:val="00051DDC"/>
    <w:rsid w:val="00051E1A"/>
    <w:rsid w:val="00051E7F"/>
    <w:rsid w:val="00051F80"/>
    <w:rsid w:val="00052072"/>
    <w:rsid w:val="000520CA"/>
    <w:rsid w:val="00052105"/>
    <w:rsid w:val="000522FD"/>
    <w:rsid w:val="00052382"/>
    <w:rsid w:val="00052404"/>
    <w:rsid w:val="00052518"/>
    <w:rsid w:val="00052717"/>
    <w:rsid w:val="0005271E"/>
    <w:rsid w:val="00052780"/>
    <w:rsid w:val="00052837"/>
    <w:rsid w:val="00052861"/>
    <w:rsid w:val="0005293B"/>
    <w:rsid w:val="000529A2"/>
    <w:rsid w:val="00052A2C"/>
    <w:rsid w:val="00052A47"/>
    <w:rsid w:val="00052A75"/>
    <w:rsid w:val="00052BA2"/>
    <w:rsid w:val="00052BFA"/>
    <w:rsid w:val="00052C46"/>
    <w:rsid w:val="00052D44"/>
    <w:rsid w:val="00052DC7"/>
    <w:rsid w:val="00052F58"/>
    <w:rsid w:val="00052FCE"/>
    <w:rsid w:val="00053053"/>
    <w:rsid w:val="0005305E"/>
    <w:rsid w:val="000530C3"/>
    <w:rsid w:val="0005313E"/>
    <w:rsid w:val="00053366"/>
    <w:rsid w:val="000533F0"/>
    <w:rsid w:val="00053406"/>
    <w:rsid w:val="0005341D"/>
    <w:rsid w:val="0005352F"/>
    <w:rsid w:val="00053633"/>
    <w:rsid w:val="000536DC"/>
    <w:rsid w:val="00053706"/>
    <w:rsid w:val="00053834"/>
    <w:rsid w:val="0005387F"/>
    <w:rsid w:val="00053925"/>
    <w:rsid w:val="00053B06"/>
    <w:rsid w:val="00053C1A"/>
    <w:rsid w:val="00053C8B"/>
    <w:rsid w:val="00053CC3"/>
    <w:rsid w:val="00053CC7"/>
    <w:rsid w:val="00053D88"/>
    <w:rsid w:val="00053DFF"/>
    <w:rsid w:val="00053F0B"/>
    <w:rsid w:val="0005404D"/>
    <w:rsid w:val="00054151"/>
    <w:rsid w:val="00054247"/>
    <w:rsid w:val="000543C6"/>
    <w:rsid w:val="000545B1"/>
    <w:rsid w:val="000545B4"/>
    <w:rsid w:val="000545C2"/>
    <w:rsid w:val="000545EA"/>
    <w:rsid w:val="000546A6"/>
    <w:rsid w:val="000546BE"/>
    <w:rsid w:val="00054833"/>
    <w:rsid w:val="00054847"/>
    <w:rsid w:val="0005485D"/>
    <w:rsid w:val="00054879"/>
    <w:rsid w:val="00054A32"/>
    <w:rsid w:val="00054A79"/>
    <w:rsid w:val="00054B0B"/>
    <w:rsid w:val="00054B3B"/>
    <w:rsid w:val="00054B68"/>
    <w:rsid w:val="00054B71"/>
    <w:rsid w:val="00054C31"/>
    <w:rsid w:val="00054C8A"/>
    <w:rsid w:val="00054CE4"/>
    <w:rsid w:val="00054D31"/>
    <w:rsid w:val="00054E36"/>
    <w:rsid w:val="000550AB"/>
    <w:rsid w:val="000550BB"/>
    <w:rsid w:val="00055106"/>
    <w:rsid w:val="00055112"/>
    <w:rsid w:val="0005513B"/>
    <w:rsid w:val="00055154"/>
    <w:rsid w:val="000552A1"/>
    <w:rsid w:val="00055359"/>
    <w:rsid w:val="00055563"/>
    <w:rsid w:val="00055565"/>
    <w:rsid w:val="0005562D"/>
    <w:rsid w:val="00055662"/>
    <w:rsid w:val="00055692"/>
    <w:rsid w:val="0005569D"/>
    <w:rsid w:val="000557DA"/>
    <w:rsid w:val="0005587B"/>
    <w:rsid w:val="0005587C"/>
    <w:rsid w:val="00055948"/>
    <w:rsid w:val="000559CD"/>
    <w:rsid w:val="00055A5F"/>
    <w:rsid w:val="00055ACB"/>
    <w:rsid w:val="00055B7F"/>
    <w:rsid w:val="00055CBD"/>
    <w:rsid w:val="00056042"/>
    <w:rsid w:val="00056158"/>
    <w:rsid w:val="00056163"/>
    <w:rsid w:val="000561A2"/>
    <w:rsid w:val="00056364"/>
    <w:rsid w:val="00056569"/>
    <w:rsid w:val="00056680"/>
    <w:rsid w:val="00056695"/>
    <w:rsid w:val="00056763"/>
    <w:rsid w:val="000567C6"/>
    <w:rsid w:val="00056845"/>
    <w:rsid w:val="00056860"/>
    <w:rsid w:val="000568EF"/>
    <w:rsid w:val="00056970"/>
    <w:rsid w:val="00056BE5"/>
    <w:rsid w:val="00056C1D"/>
    <w:rsid w:val="00056CF3"/>
    <w:rsid w:val="00056D60"/>
    <w:rsid w:val="00056E8C"/>
    <w:rsid w:val="00057196"/>
    <w:rsid w:val="00057265"/>
    <w:rsid w:val="000574DA"/>
    <w:rsid w:val="0005751B"/>
    <w:rsid w:val="0005759A"/>
    <w:rsid w:val="00057612"/>
    <w:rsid w:val="00057691"/>
    <w:rsid w:val="000576D8"/>
    <w:rsid w:val="00057792"/>
    <w:rsid w:val="00057941"/>
    <w:rsid w:val="00057C95"/>
    <w:rsid w:val="00057CB8"/>
    <w:rsid w:val="00057F00"/>
    <w:rsid w:val="0006001B"/>
    <w:rsid w:val="00060099"/>
    <w:rsid w:val="00060186"/>
    <w:rsid w:val="000601AB"/>
    <w:rsid w:val="0006026B"/>
    <w:rsid w:val="0006037D"/>
    <w:rsid w:val="00060389"/>
    <w:rsid w:val="0006044A"/>
    <w:rsid w:val="00060522"/>
    <w:rsid w:val="00060578"/>
    <w:rsid w:val="00060599"/>
    <w:rsid w:val="000605F6"/>
    <w:rsid w:val="0006065D"/>
    <w:rsid w:val="0006071D"/>
    <w:rsid w:val="000607EA"/>
    <w:rsid w:val="000608F0"/>
    <w:rsid w:val="000609B0"/>
    <w:rsid w:val="00060A27"/>
    <w:rsid w:val="00060A71"/>
    <w:rsid w:val="00060BA0"/>
    <w:rsid w:val="00060C52"/>
    <w:rsid w:val="00060CE6"/>
    <w:rsid w:val="00060D09"/>
    <w:rsid w:val="00060D5A"/>
    <w:rsid w:val="00060E35"/>
    <w:rsid w:val="00060ED5"/>
    <w:rsid w:val="00060F41"/>
    <w:rsid w:val="00060FEC"/>
    <w:rsid w:val="00061060"/>
    <w:rsid w:val="000610E5"/>
    <w:rsid w:val="00061169"/>
    <w:rsid w:val="00061236"/>
    <w:rsid w:val="000612D0"/>
    <w:rsid w:val="00061330"/>
    <w:rsid w:val="00061496"/>
    <w:rsid w:val="00061583"/>
    <w:rsid w:val="000615AC"/>
    <w:rsid w:val="000616D3"/>
    <w:rsid w:val="000616E3"/>
    <w:rsid w:val="00061799"/>
    <w:rsid w:val="00061821"/>
    <w:rsid w:val="00061A15"/>
    <w:rsid w:val="00061A19"/>
    <w:rsid w:val="00061ABD"/>
    <w:rsid w:val="00061DE6"/>
    <w:rsid w:val="00061ED6"/>
    <w:rsid w:val="00061EFF"/>
    <w:rsid w:val="00061F11"/>
    <w:rsid w:val="00061F17"/>
    <w:rsid w:val="00061F3F"/>
    <w:rsid w:val="0006202D"/>
    <w:rsid w:val="0006203C"/>
    <w:rsid w:val="0006205B"/>
    <w:rsid w:val="00062146"/>
    <w:rsid w:val="00062180"/>
    <w:rsid w:val="00062322"/>
    <w:rsid w:val="00062341"/>
    <w:rsid w:val="000624B3"/>
    <w:rsid w:val="00062521"/>
    <w:rsid w:val="000625F9"/>
    <w:rsid w:val="00062737"/>
    <w:rsid w:val="000627A2"/>
    <w:rsid w:val="000628DA"/>
    <w:rsid w:val="00062924"/>
    <w:rsid w:val="00062A8C"/>
    <w:rsid w:val="00062AD3"/>
    <w:rsid w:val="00062AFD"/>
    <w:rsid w:val="00062C0C"/>
    <w:rsid w:val="00062CC9"/>
    <w:rsid w:val="00062CE4"/>
    <w:rsid w:val="00062CF0"/>
    <w:rsid w:val="00062D0C"/>
    <w:rsid w:val="00062FBD"/>
    <w:rsid w:val="00062FDF"/>
    <w:rsid w:val="000630C6"/>
    <w:rsid w:val="00063117"/>
    <w:rsid w:val="0006312B"/>
    <w:rsid w:val="0006318B"/>
    <w:rsid w:val="00063270"/>
    <w:rsid w:val="000632A5"/>
    <w:rsid w:val="00063302"/>
    <w:rsid w:val="00063344"/>
    <w:rsid w:val="0006334A"/>
    <w:rsid w:val="0006338C"/>
    <w:rsid w:val="000633F9"/>
    <w:rsid w:val="000637F7"/>
    <w:rsid w:val="00063800"/>
    <w:rsid w:val="00063807"/>
    <w:rsid w:val="00063811"/>
    <w:rsid w:val="000638F6"/>
    <w:rsid w:val="0006398B"/>
    <w:rsid w:val="000639FD"/>
    <w:rsid w:val="00063AB5"/>
    <w:rsid w:val="00063B57"/>
    <w:rsid w:val="00063E08"/>
    <w:rsid w:val="00063E69"/>
    <w:rsid w:val="00063F13"/>
    <w:rsid w:val="00063F4F"/>
    <w:rsid w:val="00063F7C"/>
    <w:rsid w:val="00063F89"/>
    <w:rsid w:val="00063FD1"/>
    <w:rsid w:val="00064079"/>
    <w:rsid w:val="00064156"/>
    <w:rsid w:val="000643DA"/>
    <w:rsid w:val="00064401"/>
    <w:rsid w:val="0006440B"/>
    <w:rsid w:val="0006458F"/>
    <w:rsid w:val="0006460C"/>
    <w:rsid w:val="00064651"/>
    <w:rsid w:val="000646F1"/>
    <w:rsid w:val="00064735"/>
    <w:rsid w:val="000649B0"/>
    <w:rsid w:val="00064C0B"/>
    <w:rsid w:val="00064EA8"/>
    <w:rsid w:val="00064FAF"/>
    <w:rsid w:val="00064FB5"/>
    <w:rsid w:val="00064FB6"/>
    <w:rsid w:val="000650B9"/>
    <w:rsid w:val="0006526A"/>
    <w:rsid w:val="00065344"/>
    <w:rsid w:val="000653B7"/>
    <w:rsid w:val="0006541A"/>
    <w:rsid w:val="00065516"/>
    <w:rsid w:val="0006577F"/>
    <w:rsid w:val="0006580D"/>
    <w:rsid w:val="000658E8"/>
    <w:rsid w:val="00065995"/>
    <w:rsid w:val="00065C85"/>
    <w:rsid w:val="00065DE7"/>
    <w:rsid w:val="00065E31"/>
    <w:rsid w:val="00065F3D"/>
    <w:rsid w:val="0006621A"/>
    <w:rsid w:val="000662AE"/>
    <w:rsid w:val="000662F0"/>
    <w:rsid w:val="00066304"/>
    <w:rsid w:val="00066327"/>
    <w:rsid w:val="00066393"/>
    <w:rsid w:val="000663AB"/>
    <w:rsid w:val="000663B9"/>
    <w:rsid w:val="00066509"/>
    <w:rsid w:val="0006651C"/>
    <w:rsid w:val="000665F7"/>
    <w:rsid w:val="000666DF"/>
    <w:rsid w:val="000666E9"/>
    <w:rsid w:val="0006674C"/>
    <w:rsid w:val="0006684F"/>
    <w:rsid w:val="00066863"/>
    <w:rsid w:val="00066AF7"/>
    <w:rsid w:val="00066B4B"/>
    <w:rsid w:val="00066C05"/>
    <w:rsid w:val="00066D37"/>
    <w:rsid w:val="00066EB0"/>
    <w:rsid w:val="00066F69"/>
    <w:rsid w:val="00066FC2"/>
    <w:rsid w:val="0006700D"/>
    <w:rsid w:val="0006704B"/>
    <w:rsid w:val="0006707C"/>
    <w:rsid w:val="00067083"/>
    <w:rsid w:val="000670E6"/>
    <w:rsid w:val="000671D5"/>
    <w:rsid w:val="0006723E"/>
    <w:rsid w:val="0006731F"/>
    <w:rsid w:val="0006739C"/>
    <w:rsid w:val="0006751B"/>
    <w:rsid w:val="00067713"/>
    <w:rsid w:val="00067730"/>
    <w:rsid w:val="000677B9"/>
    <w:rsid w:val="000677C9"/>
    <w:rsid w:val="00067826"/>
    <w:rsid w:val="0006794F"/>
    <w:rsid w:val="00067957"/>
    <w:rsid w:val="0006797C"/>
    <w:rsid w:val="00067B7E"/>
    <w:rsid w:val="00067C76"/>
    <w:rsid w:val="00067E87"/>
    <w:rsid w:val="00067F3B"/>
    <w:rsid w:val="00070046"/>
    <w:rsid w:val="000700D8"/>
    <w:rsid w:val="00070100"/>
    <w:rsid w:val="00070102"/>
    <w:rsid w:val="00070225"/>
    <w:rsid w:val="0007034A"/>
    <w:rsid w:val="000703BE"/>
    <w:rsid w:val="00070491"/>
    <w:rsid w:val="000704CE"/>
    <w:rsid w:val="00070553"/>
    <w:rsid w:val="00070688"/>
    <w:rsid w:val="00070706"/>
    <w:rsid w:val="000707D0"/>
    <w:rsid w:val="000708E8"/>
    <w:rsid w:val="000708EA"/>
    <w:rsid w:val="00070990"/>
    <w:rsid w:val="000709E9"/>
    <w:rsid w:val="00070B5F"/>
    <w:rsid w:val="00070CF8"/>
    <w:rsid w:val="00070D8D"/>
    <w:rsid w:val="000711FC"/>
    <w:rsid w:val="00071282"/>
    <w:rsid w:val="000713F9"/>
    <w:rsid w:val="0007140C"/>
    <w:rsid w:val="0007142E"/>
    <w:rsid w:val="0007146C"/>
    <w:rsid w:val="00071675"/>
    <w:rsid w:val="00071724"/>
    <w:rsid w:val="0007174C"/>
    <w:rsid w:val="00071956"/>
    <w:rsid w:val="00071B34"/>
    <w:rsid w:val="00071BDA"/>
    <w:rsid w:val="00071C65"/>
    <w:rsid w:val="00071E89"/>
    <w:rsid w:val="00071F15"/>
    <w:rsid w:val="00071FAF"/>
    <w:rsid w:val="00071FCC"/>
    <w:rsid w:val="00072050"/>
    <w:rsid w:val="000720B4"/>
    <w:rsid w:val="0007214F"/>
    <w:rsid w:val="0007221F"/>
    <w:rsid w:val="00072288"/>
    <w:rsid w:val="000722E4"/>
    <w:rsid w:val="000722FD"/>
    <w:rsid w:val="000723DB"/>
    <w:rsid w:val="00072435"/>
    <w:rsid w:val="00072441"/>
    <w:rsid w:val="00072451"/>
    <w:rsid w:val="000724BA"/>
    <w:rsid w:val="000725B5"/>
    <w:rsid w:val="000725EC"/>
    <w:rsid w:val="00072684"/>
    <w:rsid w:val="00072691"/>
    <w:rsid w:val="00072698"/>
    <w:rsid w:val="000726BA"/>
    <w:rsid w:val="000726C6"/>
    <w:rsid w:val="000726D8"/>
    <w:rsid w:val="00072807"/>
    <w:rsid w:val="000728D9"/>
    <w:rsid w:val="0007292F"/>
    <w:rsid w:val="00072994"/>
    <w:rsid w:val="00072A05"/>
    <w:rsid w:val="00072A8F"/>
    <w:rsid w:val="00072B2B"/>
    <w:rsid w:val="00072C4C"/>
    <w:rsid w:val="00072C9B"/>
    <w:rsid w:val="00072CB4"/>
    <w:rsid w:val="00072D02"/>
    <w:rsid w:val="00072D04"/>
    <w:rsid w:val="00072D3A"/>
    <w:rsid w:val="00072DE6"/>
    <w:rsid w:val="00072F65"/>
    <w:rsid w:val="00073014"/>
    <w:rsid w:val="00073038"/>
    <w:rsid w:val="0007303F"/>
    <w:rsid w:val="0007311E"/>
    <w:rsid w:val="000732CA"/>
    <w:rsid w:val="00073333"/>
    <w:rsid w:val="000736DB"/>
    <w:rsid w:val="000737C2"/>
    <w:rsid w:val="000737FA"/>
    <w:rsid w:val="0007381D"/>
    <w:rsid w:val="00073825"/>
    <w:rsid w:val="000738ED"/>
    <w:rsid w:val="0007391B"/>
    <w:rsid w:val="00073927"/>
    <w:rsid w:val="00073B3D"/>
    <w:rsid w:val="00073C1A"/>
    <w:rsid w:val="00073CE9"/>
    <w:rsid w:val="00073D11"/>
    <w:rsid w:val="00073D26"/>
    <w:rsid w:val="00073D78"/>
    <w:rsid w:val="00073D94"/>
    <w:rsid w:val="00073DC9"/>
    <w:rsid w:val="00073E67"/>
    <w:rsid w:val="00073E6E"/>
    <w:rsid w:val="00073E8A"/>
    <w:rsid w:val="00073FBE"/>
    <w:rsid w:val="00074071"/>
    <w:rsid w:val="00074094"/>
    <w:rsid w:val="0007411E"/>
    <w:rsid w:val="00074156"/>
    <w:rsid w:val="00074172"/>
    <w:rsid w:val="00074244"/>
    <w:rsid w:val="000744D2"/>
    <w:rsid w:val="000744F4"/>
    <w:rsid w:val="000746BB"/>
    <w:rsid w:val="0007471B"/>
    <w:rsid w:val="000747BE"/>
    <w:rsid w:val="000748F6"/>
    <w:rsid w:val="00074922"/>
    <w:rsid w:val="00074D0E"/>
    <w:rsid w:val="00074DB1"/>
    <w:rsid w:val="00074DEC"/>
    <w:rsid w:val="00074E43"/>
    <w:rsid w:val="00074E99"/>
    <w:rsid w:val="00074F92"/>
    <w:rsid w:val="00074FA7"/>
    <w:rsid w:val="00074FA9"/>
    <w:rsid w:val="00075036"/>
    <w:rsid w:val="000751F9"/>
    <w:rsid w:val="0007521F"/>
    <w:rsid w:val="0007525F"/>
    <w:rsid w:val="0007528D"/>
    <w:rsid w:val="00075375"/>
    <w:rsid w:val="0007546C"/>
    <w:rsid w:val="000754AC"/>
    <w:rsid w:val="00075504"/>
    <w:rsid w:val="00075541"/>
    <w:rsid w:val="00075683"/>
    <w:rsid w:val="000756F5"/>
    <w:rsid w:val="0007575B"/>
    <w:rsid w:val="0007579A"/>
    <w:rsid w:val="00075819"/>
    <w:rsid w:val="000758A0"/>
    <w:rsid w:val="00075923"/>
    <w:rsid w:val="00075A23"/>
    <w:rsid w:val="00075C01"/>
    <w:rsid w:val="00075C45"/>
    <w:rsid w:val="00075CB9"/>
    <w:rsid w:val="00075CEB"/>
    <w:rsid w:val="00075D92"/>
    <w:rsid w:val="00075E3C"/>
    <w:rsid w:val="00075E7D"/>
    <w:rsid w:val="00075EBF"/>
    <w:rsid w:val="0007614E"/>
    <w:rsid w:val="00076154"/>
    <w:rsid w:val="00076218"/>
    <w:rsid w:val="00076393"/>
    <w:rsid w:val="00076437"/>
    <w:rsid w:val="0007643C"/>
    <w:rsid w:val="000764AB"/>
    <w:rsid w:val="000764BB"/>
    <w:rsid w:val="000764EE"/>
    <w:rsid w:val="0007654F"/>
    <w:rsid w:val="000765AD"/>
    <w:rsid w:val="000767A3"/>
    <w:rsid w:val="000767EB"/>
    <w:rsid w:val="000768F8"/>
    <w:rsid w:val="00076987"/>
    <w:rsid w:val="00076997"/>
    <w:rsid w:val="000769E0"/>
    <w:rsid w:val="00076CF7"/>
    <w:rsid w:val="00076DEF"/>
    <w:rsid w:val="00076ECB"/>
    <w:rsid w:val="00076F6B"/>
    <w:rsid w:val="00076F97"/>
    <w:rsid w:val="00076FB4"/>
    <w:rsid w:val="0007704F"/>
    <w:rsid w:val="00077175"/>
    <w:rsid w:val="000771D4"/>
    <w:rsid w:val="00077240"/>
    <w:rsid w:val="00077241"/>
    <w:rsid w:val="000772D9"/>
    <w:rsid w:val="000773A5"/>
    <w:rsid w:val="00077412"/>
    <w:rsid w:val="00077467"/>
    <w:rsid w:val="0007749E"/>
    <w:rsid w:val="0007756E"/>
    <w:rsid w:val="000776B3"/>
    <w:rsid w:val="000776E5"/>
    <w:rsid w:val="000776FE"/>
    <w:rsid w:val="000778FC"/>
    <w:rsid w:val="000779A5"/>
    <w:rsid w:val="00077AF2"/>
    <w:rsid w:val="00077B0C"/>
    <w:rsid w:val="00077BFD"/>
    <w:rsid w:val="00077CF7"/>
    <w:rsid w:val="00077E18"/>
    <w:rsid w:val="00077E38"/>
    <w:rsid w:val="00077E4C"/>
    <w:rsid w:val="0007FFDF"/>
    <w:rsid w:val="000802A4"/>
    <w:rsid w:val="00080409"/>
    <w:rsid w:val="000804DE"/>
    <w:rsid w:val="000804F6"/>
    <w:rsid w:val="00080549"/>
    <w:rsid w:val="000805B1"/>
    <w:rsid w:val="0008062F"/>
    <w:rsid w:val="0008068E"/>
    <w:rsid w:val="00080741"/>
    <w:rsid w:val="000809A7"/>
    <w:rsid w:val="000809A8"/>
    <w:rsid w:val="00080CC3"/>
    <w:rsid w:val="00080D63"/>
    <w:rsid w:val="00080D72"/>
    <w:rsid w:val="00080E89"/>
    <w:rsid w:val="00080E96"/>
    <w:rsid w:val="0008101E"/>
    <w:rsid w:val="000810B9"/>
    <w:rsid w:val="000810D4"/>
    <w:rsid w:val="000810E9"/>
    <w:rsid w:val="0008114D"/>
    <w:rsid w:val="000813C1"/>
    <w:rsid w:val="000815DE"/>
    <w:rsid w:val="00081654"/>
    <w:rsid w:val="00081667"/>
    <w:rsid w:val="000816FC"/>
    <w:rsid w:val="000817A5"/>
    <w:rsid w:val="0008186B"/>
    <w:rsid w:val="000819B2"/>
    <w:rsid w:val="00081B5E"/>
    <w:rsid w:val="00081BAA"/>
    <w:rsid w:val="00081CC6"/>
    <w:rsid w:val="00081D61"/>
    <w:rsid w:val="00081DAD"/>
    <w:rsid w:val="00081E1E"/>
    <w:rsid w:val="00081E22"/>
    <w:rsid w:val="00081E2E"/>
    <w:rsid w:val="00081E5E"/>
    <w:rsid w:val="00081E91"/>
    <w:rsid w:val="00081F11"/>
    <w:rsid w:val="00081F55"/>
    <w:rsid w:val="00081F76"/>
    <w:rsid w:val="00082017"/>
    <w:rsid w:val="00082029"/>
    <w:rsid w:val="00082151"/>
    <w:rsid w:val="00082228"/>
    <w:rsid w:val="000822A0"/>
    <w:rsid w:val="000823C6"/>
    <w:rsid w:val="00082522"/>
    <w:rsid w:val="00082549"/>
    <w:rsid w:val="000825D3"/>
    <w:rsid w:val="000825D4"/>
    <w:rsid w:val="000826A0"/>
    <w:rsid w:val="000826D5"/>
    <w:rsid w:val="000826F7"/>
    <w:rsid w:val="000828E5"/>
    <w:rsid w:val="0008297E"/>
    <w:rsid w:val="00082986"/>
    <w:rsid w:val="00082A8A"/>
    <w:rsid w:val="00082C21"/>
    <w:rsid w:val="00082C26"/>
    <w:rsid w:val="00082C71"/>
    <w:rsid w:val="00082C9D"/>
    <w:rsid w:val="00082CC9"/>
    <w:rsid w:val="00082CE8"/>
    <w:rsid w:val="00082D39"/>
    <w:rsid w:val="00082E03"/>
    <w:rsid w:val="00082E10"/>
    <w:rsid w:val="00082F50"/>
    <w:rsid w:val="00083014"/>
    <w:rsid w:val="000830D4"/>
    <w:rsid w:val="000831D3"/>
    <w:rsid w:val="00083281"/>
    <w:rsid w:val="000832C8"/>
    <w:rsid w:val="00083385"/>
    <w:rsid w:val="00083387"/>
    <w:rsid w:val="000834F6"/>
    <w:rsid w:val="000836C7"/>
    <w:rsid w:val="00083787"/>
    <w:rsid w:val="00083790"/>
    <w:rsid w:val="000838BF"/>
    <w:rsid w:val="00083A35"/>
    <w:rsid w:val="00083B6C"/>
    <w:rsid w:val="00083C04"/>
    <w:rsid w:val="00083C26"/>
    <w:rsid w:val="00083C35"/>
    <w:rsid w:val="00083CCF"/>
    <w:rsid w:val="00083D85"/>
    <w:rsid w:val="00083F96"/>
    <w:rsid w:val="00084026"/>
    <w:rsid w:val="0008406E"/>
    <w:rsid w:val="000841C4"/>
    <w:rsid w:val="0008442D"/>
    <w:rsid w:val="00084594"/>
    <w:rsid w:val="000846E2"/>
    <w:rsid w:val="00084895"/>
    <w:rsid w:val="000848AC"/>
    <w:rsid w:val="00084934"/>
    <w:rsid w:val="00084AAF"/>
    <w:rsid w:val="00084B53"/>
    <w:rsid w:val="00084B79"/>
    <w:rsid w:val="00084CAB"/>
    <w:rsid w:val="00084D1F"/>
    <w:rsid w:val="00084DDC"/>
    <w:rsid w:val="00084DE8"/>
    <w:rsid w:val="00084DF1"/>
    <w:rsid w:val="00084E67"/>
    <w:rsid w:val="00084F4D"/>
    <w:rsid w:val="00084FA1"/>
    <w:rsid w:val="00085011"/>
    <w:rsid w:val="0008501A"/>
    <w:rsid w:val="00085044"/>
    <w:rsid w:val="00085049"/>
    <w:rsid w:val="00085187"/>
    <w:rsid w:val="00085377"/>
    <w:rsid w:val="0008541D"/>
    <w:rsid w:val="0008543B"/>
    <w:rsid w:val="000855A5"/>
    <w:rsid w:val="000855AD"/>
    <w:rsid w:val="00085604"/>
    <w:rsid w:val="00085606"/>
    <w:rsid w:val="0008583D"/>
    <w:rsid w:val="00085846"/>
    <w:rsid w:val="00085868"/>
    <w:rsid w:val="000858E3"/>
    <w:rsid w:val="00085982"/>
    <w:rsid w:val="0008598F"/>
    <w:rsid w:val="00085DFF"/>
    <w:rsid w:val="00086013"/>
    <w:rsid w:val="0008602D"/>
    <w:rsid w:val="00086268"/>
    <w:rsid w:val="00086393"/>
    <w:rsid w:val="000863DA"/>
    <w:rsid w:val="0008653F"/>
    <w:rsid w:val="000865B7"/>
    <w:rsid w:val="0008667B"/>
    <w:rsid w:val="000866AF"/>
    <w:rsid w:val="00086798"/>
    <w:rsid w:val="000867A7"/>
    <w:rsid w:val="00086829"/>
    <w:rsid w:val="0008699B"/>
    <w:rsid w:val="00086A14"/>
    <w:rsid w:val="00086A63"/>
    <w:rsid w:val="00086AE0"/>
    <w:rsid w:val="00086B29"/>
    <w:rsid w:val="00086BBA"/>
    <w:rsid w:val="00086C2E"/>
    <w:rsid w:val="00086D6B"/>
    <w:rsid w:val="00086D83"/>
    <w:rsid w:val="00086D8B"/>
    <w:rsid w:val="00086D9E"/>
    <w:rsid w:val="00086DCB"/>
    <w:rsid w:val="00086E65"/>
    <w:rsid w:val="00086ED7"/>
    <w:rsid w:val="00086F8F"/>
    <w:rsid w:val="00086FC7"/>
    <w:rsid w:val="00087038"/>
    <w:rsid w:val="0008716C"/>
    <w:rsid w:val="00087198"/>
    <w:rsid w:val="000871FA"/>
    <w:rsid w:val="000872C0"/>
    <w:rsid w:val="000872CB"/>
    <w:rsid w:val="000873AB"/>
    <w:rsid w:val="00087671"/>
    <w:rsid w:val="0008771C"/>
    <w:rsid w:val="00087727"/>
    <w:rsid w:val="0008783C"/>
    <w:rsid w:val="0008788F"/>
    <w:rsid w:val="000878E7"/>
    <w:rsid w:val="0008794F"/>
    <w:rsid w:val="00087985"/>
    <w:rsid w:val="000879DE"/>
    <w:rsid w:val="00087A0B"/>
    <w:rsid w:val="00087A3F"/>
    <w:rsid w:val="00087AE6"/>
    <w:rsid w:val="00087AEF"/>
    <w:rsid w:val="00087B50"/>
    <w:rsid w:val="00087EDF"/>
    <w:rsid w:val="00087F52"/>
    <w:rsid w:val="00090067"/>
    <w:rsid w:val="000900DD"/>
    <w:rsid w:val="00090150"/>
    <w:rsid w:val="0009022F"/>
    <w:rsid w:val="00090249"/>
    <w:rsid w:val="0009027F"/>
    <w:rsid w:val="000902D8"/>
    <w:rsid w:val="0009030B"/>
    <w:rsid w:val="00090321"/>
    <w:rsid w:val="00090382"/>
    <w:rsid w:val="0009043D"/>
    <w:rsid w:val="00090481"/>
    <w:rsid w:val="0009049B"/>
    <w:rsid w:val="000904A8"/>
    <w:rsid w:val="000904AF"/>
    <w:rsid w:val="000904CA"/>
    <w:rsid w:val="000904DB"/>
    <w:rsid w:val="000904EA"/>
    <w:rsid w:val="000905DC"/>
    <w:rsid w:val="000905F0"/>
    <w:rsid w:val="00090650"/>
    <w:rsid w:val="00090739"/>
    <w:rsid w:val="0009081C"/>
    <w:rsid w:val="0009089D"/>
    <w:rsid w:val="00090954"/>
    <w:rsid w:val="00090AD6"/>
    <w:rsid w:val="00090B6B"/>
    <w:rsid w:val="00090CBA"/>
    <w:rsid w:val="00090E4C"/>
    <w:rsid w:val="00090EDA"/>
    <w:rsid w:val="00090EE8"/>
    <w:rsid w:val="00090EF5"/>
    <w:rsid w:val="00090F6A"/>
    <w:rsid w:val="00090F75"/>
    <w:rsid w:val="00091130"/>
    <w:rsid w:val="00091137"/>
    <w:rsid w:val="00091192"/>
    <w:rsid w:val="00091247"/>
    <w:rsid w:val="0009131A"/>
    <w:rsid w:val="000913CF"/>
    <w:rsid w:val="0009141C"/>
    <w:rsid w:val="000914D2"/>
    <w:rsid w:val="000916C4"/>
    <w:rsid w:val="0009172E"/>
    <w:rsid w:val="00091794"/>
    <w:rsid w:val="000917A0"/>
    <w:rsid w:val="00091830"/>
    <w:rsid w:val="00091843"/>
    <w:rsid w:val="000918E9"/>
    <w:rsid w:val="0009194E"/>
    <w:rsid w:val="00091963"/>
    <w:rsid w:val="00091A47"/>
    <w:rsid w:val="00091BC3"/>
    <w:rsid w:val="00091C7B"/>
    <w:rsid w:val="00091D61"/>
    <w:rsid w:val="00091D65"/>
    <w:rsid w:val="00091EDE"/>
    <w:rsid w:val="00091F7B"/>
    <w:rsid w:val="00091F9F"/>
    <w:rsid w:val="000920C6"/>
    <w:rsid w:val="000920F6"/>
    <w:rsid w:val="0009234A"/>
    <w:rsid w:val="00092376"/>
    <w:rsid w:val="000924D0"/>
    <w:rsid w:val="000924E8"/>
    <w:rsid w:val="00092654"/>
    <w:rsid w:val="00092698"/>
    <w:rsid w:val="00092721"/>
    <w:rsid w:val="000927CB"/>
    <w:rsid w:val="00092915"/>
    <w:rsid w:val="00092A40"/>
    <w:rsid w:val="00092B3F"/>
    <w:rsid w:val="00092BA8"/>
    <w:rsid w:val="00092BD9"/>
    <w:rsid w:val="00092CBE"/>
    <w:rsid w:val="00092E9D"/>
    <w:rsid w:val="00093030"/>
    <w:rsid w:val="00093041"/>
    <w:rsid w:val="00093093"/>
    <w:rsid w:val="000930AB"/>
    <w:rsid w:val="00093145"/>
    <w:rsid w:val="000931BF"/>
    <w:rsid w:val="00093244"/>
    <w:rsid w:val="0009337B"/>
    <w:rsid w:val="000933A6"/>
    <w:rsid w:val="000933BD"/>
    <w:rsid w:val="0009349E"/>
    <w:rsid w:val="000934A0"/>
    <w:rsid w:val="000934C3"/>
    <w:rsid w:val="0009361C"/>
    <w:rsid w:val="00093767"/>
    <w:rsid w:val="000937C7"/>
    <w:rsid w:val="00093A8F"/>
    <w:rsid w:val="00093B25"/>
    <w:rsid w:val="00093B41"/>
    <w:rsid w:val="00093B76"/>
    <w:rsid w:val="00093B8F"/>
    <w:rsid w:val="00093BB6"/>
    <w:rsid w:val="00093C1C"/>
    <w:rsid w:val="00093D04"/>
    <w:rsid w:val="00093DB6"/>
    <w:rsid w:val="00093DBD"/>
    <w:rsid w:val="00093E2D"/>
    <w:rsid w:val="00093E32"/>
    <w:rsid w:val="00093E8F"/>
    <w:rsid w:val="00093EC2"/>
    <w:rsid w:val="00094043"/>
    <w:rsid w:val="000940DB"/>
    <w:rsid w:val="000940E6"/>
    <w:rsid w:val="00094104"/>
    <w:rsid w:val="0009418C"/>
    <w:rsid w:val="0009434D"/>
    <w:rsid w:val="00094482"/>
    <w:rsid w:val="000944FB"/>
    <w:rsid w:val="000945A0"/>
    <w:rsid w:val="000945E4"/>
    <w:rsid w:val="000946B3"/>
    <w:rsid w:val="000946BB"/>
    <w:rsid w:val="000946DB"/>
    <w:rsid w:val="000947D8"/>
    <w:rsid w:val="0009480E"/>
    <w:rsid w:val="0009483A"/>
    <w:rsid w:val="00094845"/>
    <w:rsid w:val="000948DD"/>
    <w:rsid w:val="00094B0B"/>
    <w:rsid w:val="00094D59"/>
    <w:rsid w:val="00094DBF"/>
    <w:rsid w:val="00094E4A"/>
    <w:rsid w:val="00094E92"/>
    <w:rsid w:val="00094F24"/>
    <w:rsid w:val="00094FEF"/>
    <w:rsid w:val="00095063"/>
    <w:rsid w:val="000950E4"/>
    <w:rsid w:val="00095289"/>
    <w:rsid w:val="00095297"/>
    <w:rsid w:val="000952FA"/>
    <w:rsid w:val="0009537E"/>
    <w:rsid w:val="0009541E"/>
    <w:rsid w:val="00095488"/>
    <w:rsid w:val="00095499"/>
    <w:rsid w:val="00095585"/>
    <w:rsid w:val="000956D1"/>
    <w:rsid w:val="00095723"/>
    <w:rsid w:val="0009573C"/>
    <w:rsid w:val="000957A0"/>
    <w:rsid w:val="00095871"/>
    <w:rsid w:val="000958B1"/>
    <w:rsid w:val="00095AE1"/>
    <w:rsid w:val="00095C20"/>
    <w:rsid w:val="00095EC6"/>
    <w:rsid w:val="00095FAF"/>
    <w:rsid w:val="000960A5"/>
    <w:rsid w:val="000960CA"/>
    <w:rsid w:val="000962AE"/>
    <w:rsid w:val="000963C9"/>
    <w:rsid w:val="000965DC"/>
    <w:rsid w:val="00096644"/>
    <w:rsid w:val="00096651"/>
    <w:rsid w:val="00096696"/>
    <w:rsid w:val="00096707"/>
    <w:rsid w:val="000967E5"/>
    <w:rsid w:val="000968C4"/>
    <w:rsid w:val="000968D1"/>
    <w:rsid w:val="00096948"/>
    <w:rsid w:val="000969AC"/>
    <w:rsid w:val="00096A6C"/>
    <w:rsid w:val="00096BAB"/>
    <w:rsid w:val="00096CBF"/>
    <w:rsid w:val="00096CC6"/>
    <w:rsid w:val="00096DBE"/>
    <w:rsid w:val="00096DDA"/>
    <w:rsid w:val="00096E48"/>
    <w:rsid w:val="00096E7C"/>
    <w:rsid w:val="00096EAB"/>
    <w:rsid w:val="00096F4A"/>
    <w:rsid w:val="00096F8F"/>
    <w:rsid w:val="0009707D"/>
    <w:rsid w:val="000971D9"/>
    <w:rsid w:val="000972D4"/>
    <w:rsid w:val="0009730B"/>
    <w:rsid w:val="000974F7"/>
    <w:rsid w:val="000974FE"/>
    <w:rsid w:val="000975EA"/>
    <w:rsid w:val="00097604"/>
    <w:rsid w:val="00097698"/>
    <w:rsid w:val="000976C3"/>
    <w:rsid w:val="00097708"/>
    <w:rsid w:val="0009778A"/>
    <w:rsid w:val="00097A8F"/>
    <w:rsid w:val="00097B96"/>
    <w:rsid w:val="00097C44"/>
    <w:rsid w:val="00097DB3"/>
    <w:rsid w:val="00097DD7"/>
    <w:rsid w:val="00097E5F"/>
    <w:rsid w:val="00097F66"/>
    <w:rsid w:val="00097FB3"/>
    <w:rsid w:val="00097FB6"/>
    <w:rsid w:val="00097FBB"/>
    <w:rsid w:val="000A0099"/>
    <w:rsid w:val="000A0110"/>
    <w:rsid w:val="000A01C0"/>
    <w:rsid w:val="000A03E2"/>
    <w:rsid w:val="000A03EA"/>
    <w:rsid w:val="000A0404"/>
    <w:rsid w:val="000A048C"/>
    <w:rsid w:val="000A04D0"/>
    <w:rsid w:val="000A0581"/>
    <w:rsid w:val="000A07CF"/>
    <w:rsid w:val="000A0854"/>
    <w:rsid w:val="000A0874"/>
    <w:rsid w:val="000A08FB"/>
    <w:rsid w:val="000A096E"/>
    <w:rsid w:val="000A0AC5"/>
    <w:rsid w:val="000A0B4D"/>
    <w:rsid w:val="000A0BD4"/>
    <w:rsid w:val="000A0BF3"/>
    <w:rsid w:val="000A0C7B"/>
    <w:rsid w:val="000A0E07"/>
    <w:rsid w:val="000A0E1E"/>
    <w:rsid w:val="000A0E3A"/>
    <w:rsid w:val="000A0EA7"/>
    <w:rsid w:val="000A0F60"/>
    <w:rsid w:val="000A0F9A"/>
    <w:rsid w:val="000A10DF"/>
    <w:rsid w:val="000A10F4"/>
    <w:rsid w:val="000A118B"/>
    <w:rsid w:val="000A11E4"/>
    <w:rsid w:val="000A1309"/>
    <w:rsid w:val="000A1355"/>
    <w:rsid w:val="000A138D"/>
    <w:rsid w:val="000A13FC"/>
    <w:rsid w:val="000A1429"/>
    <w:rsid w:val="000A1612"/>
    <w:rsid w:val="000A1652"/>
    <w:rsid w:val="000A17A5"/>
    <w:rsid w:val="000A17C0"/>
    <w:rsid w:val="000A18BA"/>
    <w:rsid w:val="000A18E9"/>
    <w:rsid w:val="000A195C"/>
    <w:rsid w:val="000A198B"/>
    <w:rsid w:val="000A199C"/>
    <w:rsid w:val="000A1A5F"/>
    <w:rsid w:val="000A1CC8"/>
    <w:rsid w:val="000A1D5A"/>
    <w:rsid w:val="000A1DD9"/>
    <w:rsid w:val="000A1EFA"/>
    <w:rsid w:val="000A210D"/>
    <w:rsid w:val="000A2138"/>
    <w:rsid w:val="000A2256"/>
    <w:rsid w:val="000A23F8"/>
    <w:rsid w:val="000A2480"/>
    <w:rsid w:val="000A2684"/>
    <w:rsid w:val="000A27F9"/>
    <w:rsid w:val="000A287D"/>
    <w:rsid w:val="000A2914"/>
    <w:rsid w:val="000A2A21"/>
    <w:rsid w:val="000A2AD7"/>
    <w:rsid w:val="000A2BA7"/>
    <w:rsid w:val="000A2D46"/>
    <w:rsid w:val="000A2D59"/>
    <w:rsid w:val="000A2E66"/>
    <w:rsid w:val="000A2E93"/>
    <w:rsid w:val="000A2F32"/>
    <w:rsid w:val="000A2FA0"/>
    <w:rsid w:val="000A2FA5"/>
    <w:rsid w:val="000A2FDB"/>
    <w:rsid w:val="000A3021"/>
    <w:rsid w:val="000A3126"/>
    <w:rsid w:val="000A3135"/>
    <w:rsid w:val="000A3145"/>
    <w:rsid w:val="000A31A6"/>
    <w:rsid w:val="000A31B0"/>
    <w:rsid w:val="000A3265"/>
    <w:rsid w:val="000A328E"/>
    <w:rsid w:val="000A32C1"/>
    <w:rsid w:val="000A33AC"/>
    <w:rsid w:val="000A33C7"/>
    <w:rsid w:val="000A33CC"/>
    <w:rsid w:val="000A342C"/>
    <w:rsid w:val="000A346D"/>
    <w:rsid w:val="000A35D9"/>
    <w:rsid w:val="000A35EE"/>
    <w:rsid w:val="000A36E6"/>
    <w:rsid w:val="000A3745"/>
    <w:rsid w:val="000A3770"/>
    <w:rsid w:val="000A3824"/>
    <w:rsid w:val="000A38A4"/>
    <w:rsid w:val="000A3921"/>
    <w:rsid w:val="000A3942"/>
    <w:rsid w:val="000A3952"/>
    <w:rsid w:val="000A397B"/>
    <w:rsid w:val="000A3BA4"/>
    <w:rsid w:val="000A3C43"/>
    <w:rsid w:val="000A3CDF"/>
    <w:rsid w:val="000A3D11"/>
    <w:rsid w:val="000A3E25"/>
    <w:rsid w:val="000A3FFC"/>
    <w:rsid w:val="000A400C"/>
    <w:rsid w:val="000A4135"/>
    <w:rsid w:val="000A4196"/>
    <w:rsid w:val="000A420F"/>
    <w:rsid w:val="000A424E"/>
    <w:rsid w:val="000A42C1"/>
    <w:rsid w:val="000A4352"/>
    <w:rsid w:val="000A4410"/>
    <w:rsid w:val="000A464D"/>
    <w:rsid w:val="000A474F"/>
    <w:rsid w:val="000A47EC"/>
    <w:rsid w:val="000A4A11"/>
    <w:rsid w:val="000A4C2A"/>
    <w:rsid w:val="000A4C63"/>
    <w:rsid w:val="000A4CD2"/>
    <w:rsid w:val="000A4D34"/>
    <w:rsid w:val="000A4D50"/>
    <w:rsid w:val="000A4D8F"/>
    <w:rsid w:val="000A4EB6"/>
    <w:rsid w:val="000A4F9B"/>
    <w:rsid w:val="000A517C"/>
    <w:rsid w:val="000A5183"/>
    <w:rsid w:val="000A52B8"/>
    <w:rsid w:val="000A5326"/>
    <w:rsid w:val="000A54D0"/>
    <w:rsid w:val="000A5605"/>
    <w:rsid w:val="000A565F"/>
    <w:rsid w:val="000A571A"/>
    <w:rsid w:val="000A57B4"/>
    <w:rsid w:val="000A57F2"/>
    <w:rsid w:val="000A590F"/>
    <w:rsid w:val="000A59CE"/>
    <w:rsid w:val="000A5ABD"/>
    <w:rsid w:val="000A5AD8"/>
    <w:rsid w:val="000A5CB4"/>
    <w:rsid w:val="000A5DBB"/>
    <w:rsid w:val="000A5E3E"/>
    <w:rsid w:val="000A5E55"/>
    <w:rsid w:val="000A5F2E"/>
    <w:rsid w:val="000A613A"/>
    <w:rsid w:val="000A618A"/>
    <w:rsid w:val="000A626B"/>
    <w:rsid w:val="000A62D4"/>
    <w:rsid w:val="000A63C4"/>
    <w:rsid w:val="000A655C"/>
    <w:rsid w:val="000A65E0"/>
    <w:rsid w:val="000A668C"/>
    <w:rsid w:val="000A6726"/>
    <w:rsid w:val="000A6847"/>
    <w:rsid w:val="000A68D8"/>
    <w:rsid w:val="000A6938"/>
    <w:rsid w:val="000A6970"/>
    <w:rsid w:val="000A699E"/>
    <w:rsid w:val="000A6A0B"/>
    <w:rsid w:val="000A6A23"/>
    <w:rsid w:val="000A6A28"/>
    <w:rsid w:val="000A6A60"/>
    <w:rsid w:val="000A6BB7"/>
    <w:rsid w:val="000A6D1A"/>
    <w:rsid w:val="000A6D47"/>
    <w:rsid w:val="000A6E28"/>
    <w:rsid w:val="000A6E5A"/>
    <w:rsid w:val="000A6EA0"/>
    <w:rsid w:val="000A6EAE"/>
    <w:rsid w:val="000A6FE4"/>
    <w:rsid w:val="000A7079"/>
    <w:rsid w:val="000A7170"/>
    <w:rsid w:val="000A7209"/>
    <w:rsid w:val="000A72E3"/>
    <w:rsid w:val="000A7382"/>
    <w:rsid w:val="000A74CB"/>
    <w:rsid w:val="000A754C"/>
    <w:rsid w:val="000A7600"/>
    <w:rsid w:val="000A791B"/>
    <w:rsid w:val="000A798D"/>
    <w:rsid w:val="000A7A4B"/>
    <w:rsid w:val="000A7AAF"/>
    <w:rsid w:val="000A7B9A"/>
    <w:rsid w:val="000A7BB3"/>
    <w:rsid w:val="000A7CFD"/>
    <w:rsid w:val="000A7D6E"/>
    <w:rsid w:val="000A7D7C"/>
    <w:rsid w:val="000A7DC5"/>
    <w:rsid w:val="000A7DCC"/>
    <w:rsid w:val="000A7E9E"/>
    <w:rsid w:val="000B0024"/>
    <w:rsid w:val="000B0087"/>
    <w:rsid w:val="000B00BD"/>
    <w:rsid w:val="000B00D2"/>
    <w:rsid w:val="000B0193"/>
    <w:rsid w:val="000B0230"/>
    <w:rsid w:val="000B024E"/>
    <w:rsid w:val="000B0337"/>
    <w:rsid w:val="000B04C1"/>
    <w:rsid w:val="000B058B"/>
    <w:rsid w:val="000B069B"/>
    <w:rsid w:val="000B086D"/>
    <w:rsid w:val="000B0883"/>
    <w:rsid w:val="000B0973"/>
    <w:rsid w:val="000B09AA"/>
    <w:rsid w:val="000B09D1"/>
    <w:rsid w:val="000B0A19"/>
    <w:rsid w:val="000B0BD8"/>
    <w:rsid w:val="000B0CA0"/>
    <w:rsid w:val="000B0CB3"/>
    <w:rsid w:val="000B0D2F"/>
    <w:rsid w:val="000B0D70"/>
    <w:rsid w:val="000B0E11"/>
    <w:rsid w:val="000B1002"/>
    <w:rsid w:val="000B100C"/>
    <w:rsid w:val="000B11A7"/>
    <w:rsid w:val="000B11B2"/>
    <w:rsid w:val="000B16F1"/>
    <w:rsid w:val="000B173A"/>
    <w:rsid w:val="000B1975"/>
    <w:rsid w:val="000B1A04"/>
    <w:rsid w:val="000B1B23"/>
    <w:rsid w:val="000B1C5F"/>
    <w:rsid w:val="000B1CF5"/>
    <w:rsid w:val="000B1D0E"/>
    <w:rsid w:val="000B1D78"/>
    <w:rsid w:val="000B1ED7"/>
    <w:rsid w:val="000B1F86"/>
    <w:rsid w:val="000B1FA0"/>
    <w:rsid w:val="000B1FE3"/>
    <w:rsid w:val="000B222A"/>
    <w:rsid w:val="000B2235"/>
    <w:rsid w:val="000B2250"/>
    <w:rsid w:val="000B22AE"/>
    <w:rsid w:val="000B22FA"/>
    <w:rsid w:val="000B2367"/>
    <w:rsid w:val="000B24DF"/>
    <w:rsid w:val="000B254D"/>
    <w:rsid w:val="000B2561"/>
    <w:rsid w:val="000B2562"/>
    <w:rsid w:val="000B2580"/>
    <w:rsid w:val="000B25AE"/>
    <w:rsid w:val="000B26E1"/>
    <w:rsid w:val="000B26EB"/>
    <w:rsid w:val="000B2703"/>
    <w:rsid w:val="000B27A9"/>
    <w:rsid w:val="000B27AD"/>
    <w:rsid w:val="000B282C"/>
    <w:rsid w:val="000B2846"/>
    <w:rsid w:val="000B2854"/>
    <w:rsid w:val="000B29D7"/>
    <w:rsid w:val="000B2A70"/>
    <w:rsid w:val="000B2ACA"/>
    <w:rsid w:val="000B2C3E"/>
    <w:rsid w:val="000B2CAB"/>
    <w:rsid w:val="000B2D7D"/>
    <w:rsid w:val="000B2DB1"/>
    <w:rsid w:val="000B2E41"/>
    <w:rsid w:val="000B2E8C"/>
    <w:rsid w:val="000B3009"/>
    <w:rsid w:val="000B30ED"/>
    <w:rsid w:val="000B32B6"/>
    <w:rsid w:val="000B32D2"/>
    <w:rsid w:val="000B331C"/>
    <w:rsid w:val="000B332D"/>
    <w:rsid w:val="000B34FA"/>
    <w:rsid w:val="000B3575"/>
    <w:rsid w:val="000B3593"/>
    <w:rsid w:val="000B35B0"/>
    <w:rsid w:val="000B3606"/>
    <w:rsid w:val="000B360F"/>
    <w:rsid w:val="000B3660"/>
    <w:rsid w:val="000B3767"/>
    <w:rsid w:val="000B381C"/>
    <w:rsid w:val="000B38AC"/>
    <w:rsid w:val="000B38CC"/>
    <w:rsid w:val="000B39DA"/>
    <w:rsid w:val="000B3A22"/>
    <w:rsid w:val="000B3A32"/>
    <w:rsid w:val="000B3B20"/>
    <w:rsid w:val="000B3B9F"/>
    <w:rsid w:val="000B3BD0"/>
    <w:rsid w:val="000B3C1A"/>
    <w:rsid w:val="000B3C3E"/>
    <w:rsid w:val="000B3DDD"/>
    <w:rsid w:val="000B3FAF"/>
    <w:rsid w:val="000B40E6"/>
    <w:rsid w:val="000B4106"/>
    <w:rsid w:val="000B4109"/>
    <w:rsid w:val="000B4242"/>
    <w:rsid w:val="000B429D"/>
    <w:rsid w:val="000B42CA"/>
    <w:rsid w:val="000B4312"/>
    <w:rsid w:val="000B45D7"/>
    <w:rsid w:val="000B4662"/>
    <w:rsid w:val="000B4738"/>
    <w:rsid w:val="000B4A02"/>
    <w:rsid w:val="000B4A16"/>
    <w:rsid w:val="000B4A5C"/>
    <w:rsid w:val="000B4A77"/>
    <w:rsid w:val="000B4AA0"/>
    <w:rsid w:val="000B4ADE"/>
    <w:rsid w:val="000B4B9C"/>
    <w:rsid w:val="000B4BFD"/>
    <w:rsid w:val="000B4C55"/>
    <w:rsid w:val="000B4C9D"/>
    <w:rsid w:val="000B4CBF"/>
    <w:rsid w:val="000B506E"/>
    <w:rsid w:val="000B50BD"/>
    <w:rsid w:val="000B5206"/>
    <w:rsid w:val="000B523D"/>
    <w:rsid w:val="000B56BB"/>
    <w:rsid w:val="000B570B"/>
    <w:rsid w:val="000B5770"/>
    <w:rsid w:val="000B57DB"/>
    <w:rsid w:val="000B5890"/>
    <w:rsid w:val="000B58AF"/>
    <w:rsid w:val="000B58D4"/>
    <w:rsid w:val="000B596F"/>
    <w:rsid w:val="000B5A4C"/>
    <w:rsid w:val="000B5B4B"/>
    <w:rsid w:val="000B5BC6"/>
    <w:rsid w:val="000B5CC9"/>
    <w:rsid w:val="000B5D8F"/>
    <w:rsid w:val="000B5EE2"/>
    <w:rsid w:val="000B5F9B"/>
    <w:rsid w:val="000B5FCC"/>
    <w:rsid w:val="000B6012"/>
    <w:rsid w:val="000B60BC"/>
    <w:rsid w:val="000B61A5"/>
    <w:rsid w:val="000B61D1"/>
    <w:rsid w:val="000B6333"/>
    <w:rsid w:val="000B6446"/>
    <w:rsid w:val="000B64BF"/>
    <w:rsid w:val="000B6574"/>
    <w:rsid w:val="000B65D7"/>
    <w:rsid w:val="000B6660"/>
    <w:rsid w:val="000B66AA"/>
    <w:rsid w:val="000B66D8"/>
    <w:rsid w:val="000B6755"/>
    <w:rsid w:val="000B6A10"/>
    <w:rsid w:val="000B6A28"/>
    <w:rsid w:val="000B6AD7"/>
    <w:rsid w:val="000B6B97"/>
    <w:rsid w:val="000B6BB7"/>
    <w:rsid w:val="000B6BE5"/>
    <w:rsid w:val="000B6C8D"/>
    <w:rsid w:val="000B6C91"/>
    <w:rsid w:val="000B6CB6"/>
    <w:rsid w:val="000B6CFB"/>
    <w:rsid w:val="000B6D21"/>
    <w:rsid w:val="000B6DD3"/>
    <w:rsid w:val="000B7027"/>
    <w:rsid w:val="000B70B6"/>
    <w:rsid w:val="000B712F"/>
    <w:rsid w:val="000B72B2"/>
    <w:rsid w:val="000B7366"/>
    <w:rsid w:val="000B73E0"/>
    <w:rsid w:val="000B7458"/>
    <w:rsid w:val="000B74DF"/>
    <w:rsid w:val="000B74FD"/>
    <w:rsid w:val="000B7658"/>
    <w:rsid w:val="000B76B6"/>
    <w:rsid w:val="000B770A"/>
    <w:rsid w:val="000B7763"/>
    <w:rsid w:val="000B7788"/>
    <w:rsid w:val="000B783A"/>
    <w:rsid w:val="000B78A6"/>
    <w:rsid w:val="000B78B7"/>
    <w:rsid w:val="000B7A50"/>
    <w:rsid w:val="000B7BA4"/>
    <w:rsid w:val="000B7C86"/>
    <w:rsid w:val="000B7CCF"/>
    <w:rsid w:val="000B7D09"/>
    <w:rsid w:val="000B7D9A"/>
    <w:rsid w:val="000B7E06"/>
    <w:rsid w:val="000B7E3A"/>
    <w:rsid w:val="000B7E5E"/>
    <w:rsid w:val="000B7ED9"/>
    <w:rsid w:val="000B7FD8"/>
    <w:rsid w:val="000B7FDD"/>
    <w:rsid w:val="000C0004"/>
    <w:rsid w:val="000C00B5"/>
    <w:rsid w:val="000C0172"/>
    <w:rsid w:val="000C01E8"/>
    <w:rsid w:val="000C01EC"/>
    <w:rsid w:val="000C028B"/>
    <w:rsid w:val="000C039C"/>
    <w:rsid w:val="000C04A1"/>
    <w:rsid w:val="000C050C"/>
    <w:rsid w:val="000C0532"/>
    <w:rsid w:val="000C0BB6"/>
    <w:rsid w:val="000C0BD0"/>
    <w:rsid w:val="000C0CC0"/>
    <w:rsid w:val="000C0F6E"/>
    <w:rsid w:val="000C0FBF"/>
    <w:rsid w:val="000C100F"/>
    <w:rsid w:val="000C1060"/>
    <w:rsid w:val="000C1082"/>
    <w:rsid w:val="000C1090"/>
    <w:rsid w:val="000C10CA"/>
    <w:rsid w:val="000C10D7"/>
    <w:rsid w:val="000C12AE"/>
    <w:rsid w:val="000C12CC"/>
    <w:rsid w:val="000C16FF"/>
    <w:rsid w:val="000C178D"/>
    <w:rsid w:val="000C1805"/>
    <w:rsid w:val="000C188C"/>
    <w:rsid w:val="000C18DD"/>
    <w:rsid w:val="000C190A"/>
    <w:rsid w:val="000C1932"/>
    <w:rsid w:val="000C195E"/>
    <w:rsid w:val="000C19A7"/>
    <w:rsid w:val="000C1AD2"/>
    <w:rsid w:val="000C1ADD"/>
    <w:rsid w:val="000C1B04"/>
    <w:rsid w:val="000C1B4D"/>
    <w:rsid w:val="000C1B5C"/>
    <w:rsid w:val="000C1B66"/>
    <w:rsid w:val="000C1B72"/>
    <w:rsid w:val="000C1C1D"/>
    <w:rsid w:val="000C1CCB"/>
    <w:rsid w:val="000C1CEA"/>
    <w:rsid w:val="000C1D50"/>
    <w:rsid w:val="000C1ED1"/>
    <w:rsid w:val="000C1F8A"/>
    <w:rsid w:val="000C1FBC"/>
    <w:rsid w:val="000C1FC5"/>
    <w:rsid w:val="000C2037"/>
    <w:rsid w:val="000C203E"/>
    <w:rsid w:val="000C2202"/>
    <w:rsid w:val="000C233B"/>
    <w:rsid w:val="000C242A"/>
    <w:rsid w:val="000C254B"/>
    <w:rsid w:val="000C274B"/>
    <w:rsid w:val="000C28A7"/>
    <w:rsid w:val="000C2915"/>
    <w:rsid w:val="000C2BCD"/>
    <w:rsid w:val="000C2BF5"/>
    <w:rsid w:val="000C2C30"/>
    <w:rsid w:val="000C2D1F"/>
    <w:rsid w:val="000C2D6F"/>
    <w:rsid w:val="000C2ED8"/>
    <w:rsid w:val="000C2EE2"/>
    <w:rsid w:val="000C2F20"/>
    <w:rsid w:val="000C30E2"/>
    <w:rsid w:val="000C31F9"/>
    <w:rsid w:val="000C324F"/>
    <w:rsid w:val="000C3322"/>
    <w:rsid w:val="000C3329"/>
    <w:rsid w:val="000C33D3"/>
    <w:rsid w:val="000C34D2"/>
    <w:rsid w:val="000C3597"/>
    <w:rsid w:val="000C35BE"/>
    <w:rsid w:val="000C35F9"/>
    <w:rsid w:val="000C366A"/>
    <w:rsid w:val="000C36A2"/>
    <w:rsid w:val="000C37A9"/>
    <w:rsid w:val="000C37ED"/>
    <w:rsid w:val="000C3823"/>
    <w:rsid w:val="000C3830"/>
    <w:rsid w:val="000C3888"/>
    <w:rsid w:val="000C3892"/>
    <w:rsid w:val="000C38F4"/>
    <w:rsid w:val="000C394B"/>
    <w:rsid w:val="000C3981"/>
    <w:rsid w:val="000C39A0"/>
    <w:rsid w:val="000C3B40"/>
    <w:rsid w:val="000C3BF3"/>
    <w:rsid w:val="000C3C3F"/>
    <w:rsid w:val="000C3C5D"/>
    <w:rsid w:val="000C3C6D"/>
    <w:rsid w:val="000C3FB9"/>
    <w:rsid w:val="000C4064"/>
    <w:rsid w:val="000C42A3"/>
    <w:rsid w:val="000C42C6"/>
    <w:rsid w:val="000C4450"/>
    <w:rsid w:val="000C4454"/>
    <w:rsid w:val="000C4465"/>
    <w:rsid w:val="000C461B"/>
    <w:rsid w:val="000C4723"/>
    <w:rsid w:val="000C47EB"/>
    <w:rsid w:val="000C486C"/>
    <w:rsid w:val="000C48E8"/>
    <w:rsid w:val="000C49D7"/>
    <w:rsid w:val="000C49E3"/>
    <w:rsid w:val="000C4A3A"/>
    <w:rsid w:val="000C4A46"/>
    <w:rsid w:val="000C4AA3"/>
    <w:rsid w:val="000C4AD6"/>
    <w:rsid w:val="000C4B7D"/>
    <w:rsid w:val="000C4B7F"/>
    <w:rsid w:val="000C4B8C"/>
    <w:rsid w:val="000C4C31"/>
    <w:rsid w:val="000C4CC8"/>
    <w:rsid w:val="000C4E30"/>
    <w:rsid w:val="000C51E5"/>
    <w:rsid w:val="000C523E"/>
    <w:rsid w:val="000C5246"/>
    <w:rsid w:val="000C5282"/>
    <w:rsid w:val="000C5349"/>
    <w:rsid w:val="000C5426"/>
    <w:rsid w:val="000C5467"/>
    <w:rsid w:val="000C54B6"/>
    <w:rsid w:val="000C54E9"/>
    <w:rsid w:val="000C5557"/>
    <w:rsid w:val="000C569B"/>
    <w:rsid w:val="000C5756"/>
    <w:rsid w:val="000C5788"/>
    <w:rsid w:val="000C5790"/>
    <w:rsid w:val="000C57A1"/>
    <w:rsid w:val="000C5829"/>
    <w:rsid w:val="000C589B"/>
    <w:rsid w:val="000C58EE"/>
    <w:rsid w:val="000C594B"/>
    <w:rsid w:val="000C5B60"/>
    <w:rsid w:val="000C5B97"/>
    <w:rsid w:val="000C5BD5"/>
    <w:rsid w:val="000C5CC7"/>
    <w:rsid w:val="000C5D10"/>
    <w:rsid w:val="000C5F59"/>
    <w:rsid w:val="000C601D"/>
    <w:rsid w:val="000C60DE"/>
    <w:rsid w:val="000C61EC"/>
    <w:rsid w:val="000C624B"/>
    <w:rsid w:val="000C63A3"/>
    <w:rsid w:val="000C63A8"/>
    <w:rsid w:val="000C63A9"/>
    <w:rsid w:val="000C63ED"/>
    <w:rsid w:val="000C6402"/>
    <w:rsid w:val="000C64B4"/>
    <w:rsid w:val="000C654F"/>
    <w:rsid w:val="000C6643"/>
    <w:rsid w:val="000C6655"/>
    <w:rsid w:val="000C66AC"/>
    <w:rsid w:val="000C6708"/>
    <w:rsid w:val="000C6833"/>
    <w:rsid w:val="000C68E7"/>
    <w:rsid w:val="000C692E"/>
    <w:rsid w:val="000C6C5A"/>
    <w:rsid w:val="000C6C90"/>
    <w:rsid w:val="000C6F31"/>
    <w:rsid w:val="000C6FF2"/>
    <w:rsid w:val="000C7090"/>
    <w:rsid w:val="000C72B9"/>
    <w:rsid w:val="000C742B"/>
    <w:rsid w:val="000C74D3"/>
    <w:rsid w:val="000C74E0"/>
    <w:rsid w:val="000C756F"/>
    <w:rsid w:val="000C75A0"/>
    <w:rsid w:val="000C75BC"/>
    <w:rsid w:val="000C7652"/>
    <w:rsid w:val="000C7673"/>
    <w:rsid w:val="000C7811"/>
    <w:rsid w:val="000C792C"/>
    <w:rsid w:val="000C7B5E"/>
    <w:rsid w:val="000C7BBC"/>
    <w:rsid w:val="000C7C18"/>
    <w:rsid w:val="000C7C23"/>
    <w:rsid w:val="000C7C9A"/>
    <w:rsid w:val="000C7CEE"/>
    <w:rsid w:val="000C7ECF"/>
    <w:rsid w:val="000D006F"/>
    <w:rsid w:val="000D023B"/>
    <w:rsid w:val="000D0274"/>
    <w:rsid w:val="000D0287"/>
    <w:rsid w:val="000D02AF"/>
    <w:rsid w:val="000D0303"/>
    <w:rsid w:val="000D0376"/>
    <w:rsid w:val="000D03A4"/>
    <w:rsid w:val="000D03E1"/>
    <w:rsid w:val="000D03E5"/>
    <w:rsid w:val="000D0464"/>
    <w:rsid w:val="000D04A6"/>
    <w:rsid w:val="000D0530"/>
    <w:rsid w:val="000D055B"/>
    <w:rsid w:val="000D0759"/>
    <w:rsid w:val="000D07FA"/>
    <w:rsid w:val="000D0861"/>
    <w:rsid w:val="000D0A55"/>
    <w:rsid w:val="000D0BE7"/>
    <w:rsid w:val="000D0C5A"/>
    <w:rsid w:val="000D0CFE"/>
    <w:rsid w:val="000D0D76"/>
    <w:rsid w:val="000D0E7A"/>
    <w:rsid w:val="000D0ED9"/>
    <w:rsid w:val="000D0FAF"/>
    <w:rsid w:val="000D0FC8"/>
    <w:rsid w:val="000D10EE"/>
    <w:rsid w:val="000D10F6"/>
    <w:rsid w:val="000D126E"/>
    <w:rsid w:val="000D1283"/>
    <w:rsid w:val="000D1310"/>
    <w:rsid w:val="000D13C3"/>
    <w:rsid w:val="000D149E"/>
    <w:rsid w:val="000D160F"/>
    <w:rsid w:val="000D1680"/>
    <w:rsid w:val="000D16AF"/>
    <w:rsid w:val="000D16F2"/>
    <w:rsid w:val="000D16FC"/>
    <w:rsid w:val="000D17D9"/>
    <w:rsid w:val="000D182B"/>
    <w:rsid w:val="000D18BC"/>
    <w:rsid w:val="000D191E"/>
    <w:rsid w:val="000D1975"/>
    <w:rsid w:val="000D19ED"/>
    <w:rsid w:val="000D1B23"/>
    <w:rsid w:val="000D1BD3"/>
    <w:rsid w:val="000D1BEF"/>
    <w:rsid w:val="000D1C8F"/>
    <w:rsid w:val="000D1CD8"/>
    <w:rsid w:val="000D1E5F"/>
    <w:rsid w:val="000D2187"/>
    <w:rsid w:val="000D2240"/>
    <w:rsid w:val="000D22A8"/>
    <w:rsid w:val="000D2433"/>
    <w:rsid w:val="000D2470"/>
    <w:rsid w:val="000D253E"/>
    <w:rsid w:val="000D26B4"/>
    <w:rsid w:val="000D27D3"/>
    <w:rsid w:val="000D2956"/>
    <w:rsid w:val="000D29A8"/>
    <w:rsid w:val="000D2A4E"/>
    <w:rsid w:val="000D2A53"/>
    <w:rsid w:val="000D2BE1"/>
    <w:rsid w:val="000D2C6E"/>
    <w:rsid w:val="000D2D2D"/>
    <w:rsid w:val="000D2D86"/>
    <w:rsid w:val="000D2E2E"/>
    <w:rsid w:val="000D2E5F"/>
    <w:rsid w:val="000D2E8A"/>
    <w:rsid w:val="000D2F94"/>
    <w:rsid w:val="000D302E"/>
    <w:rsid w:val="000D3054"/>
    <w:rsid w:val="000D30C8"/>
    <w:rsid w:val="000D30DB"/>
    <w:rsid w:val="000D30EF"/>
    <w:rsid w:val="000D325F"/>
    <w:rsid w:val="000D3373"/>
    <w:rsid w:val="000D337F"/>
    <w:rsid w:val="000D3460"/>
    <w:rsid w:val="000D34D9"/>
    <w:rsid w:val="000D359F"/>
    <w:rsid w:val="000D365A"/>
    <w:rsid w:val="000D3699"/>
    <w:rsid w:val="000D369E"/>
    <w:rsid w:val="000D36AA"/>
    <w:rsid w:val="000D36D8"/>
    <w:rsid w:val="000D392B"/>
    <w:rsid w:val="000D3954"/>
    <w:rsid w:val="000D3960"/>
    <w:rsid w:val="000D39DA"/>
    <w:rsid w:val="000D3A40"/>
    <w:rsid w:val="000D3B61"/>
    <w:rsid w:val="000D3B85"/>
    <w:rsid w:val="000D3BC9"/>
    <w:rsid w:val="000D3D61"/>
    <w:rsid w:val="000D3E05"/>
    <w:rsid w:val="000D3E09"/>
    <w:rsid w:val="000D3E95"/>
    <w:rsid w:val="000D3EA0"/>
    <w:rsid w:val="000D3F3D"/>
    <w:rsid w:val="000D3FC1"/>
    <w:rsid w:val="000D4010"/>
    <w:rsid w:val="000D404B"/>
    <w:rsid w:val="000D4068"/>
    <w:rsid w:val="000D4113"/>
    <w:rsid w:val="000D411B"/>
    <w:rsid w:val="000D415B"/>
    <w:rsid w:val="000D41CE"/>
    <w:rsid w:val="000D4251"/>
    <w:rsid w:val="000D4492"/>
    <w:rsid w:val="000D4538"/>
    <w:rsid w:val="000D4555"/>
    <w:rsid w:val="000D45C7"/>
    <w:rsid w:val="000D466B"/>
    <w:rsid w:val="000D47D0"/>
    <w:rsid w:val="000D4B24"/>
    <w:rsid w:val="000D4B36"/>
    <w:rsid w:val="000D4B98"/>
    <w:rsid w:val="000D4CFB"/>
    <w:rsid w:val="000D4ED0"/>
    <w:rsid w:val="000D4EE1"/>
    <w:rsid w:val="000D50DA"/>
    <w:rsid w:val="000D50F3"/>
    <w:rsid w:val="000D5165"/>
    <w:rsid w:val="000D51A7"/>
    <w:rsid w:val="000D51FD"/>
    <w:rsid w:val="000D522D"/>
    <w:rsid w:val="000D522F"/>
    <w:rsid w:val="000D52A6"/>
    <w:rsid w:val="000D5314"/>
    <w:rsid w:val="000D53D3"/>
    <w:rsid w:val="000D545C"/>
    <w:rsid w:val="000D5482"/>
    <w:rsid w:val="000D54D6"/>
    <w:rsid w:val="000D55BD"/>
    <w:rsid w:val="000D55C9"/>
    <w:rsid w:val="000D5797"/>
    <w:rsid w:val="000D5934"/>
    <w:rsid w:val="000D59E0"/>
    <w:rsid w:val="000D5A6F"/>
    <w:rsid w:val="000D5AA7"/>
    <w:rsid w:val="000D5B01"/>
    <w:rsid w:val="000D5BD3"/>
    <w:rsid w:val="000D5C6C"/>
    <w:rsid w:val="000D6014"/>
    <w:rsid w:val="000D6105"/>
    <w:rsid w:val="000D612B"/>
    <w:rsid w:val="000D616D"/>
    <w:rsid w:val="000D6349"/>
    <w:rsid w:val="000D6360"/>
    <w:rsid w:val="000D63D2"/>
    <w:rsid w:val="000D643B"/>
    <w:rsid w:val="000D64D9"/>
    <w:rsid w:val="000D65C8"/>
    <w:rsid w:val="000D6620"/>
    <w:rsid w:val="000D666E"/>
    <w:rsid w:val="000D671F"/>
    <w:rsid w:val="000D699A"/>
    <w:rsid w:val="000D6B0E"/>
    <w:rsid w:val="000D6C5B"/>
    <w:rsid w:val="000D6D11"/>
    <w:rsid w:val="000D6D7F"/>
    <w:rsid w:val="000D6DE1"/>
    <w:rsid w:val="000D6EB5"/>
    <w:rsid w:val="000D6ED1"/>
    <w:rsid w:val="000D6F64"/>
    <w:rsid w:val="000D6FC0"/>
    <w:rsid w:val="000D6FD2"/>
    <w:rsid w:val="000D7141"/>
    <w:rsid w:val="000D71F4"/>
    <w:rsid w:val="000D73A6"/>
    <w:rsid w:val="000D7445"/>
    <w:rsid w:val="000D750E"/>
    <w:rsid w:val="000D7615"/>
    <w:rsid w:val="000D772F"/>
    <w:rsid w:val="000D773D"/>
    <w:rsid w:val="000D77D9"/>
    <w:rsid w:val="000D7933"/>
    <w:rsid w:val="000D7938"/>
    <w:rsid w:val="000D799C"/>
    <w:rsid w:val="000D7BC0"/>
    <w:rsid w:val="000D7BC5"/>
    <w:rsid w:val="000D7EA0"/>
    <w:rsid w:val="000D7F05"/>
    <w:rsid w:val="000D7FF0"/>
    <w:rsid w:val="000E027D"/>
    <w:rsid w:val="000E029D"/>
    <w:rsid w:val="000E0327"/>
    <w:rsid w:val="000E0414"/>
    <w:rsid w:val="000E0493"/>
    <w:rsid w:val="000E04DA"/>
    <w:rsid w:val="000E04E0"/>
    <w:rsid w:val="000E053C"/>
    <w:rsid w:val="000E05C7"/>
    <w:rsid w:val="000E063D"/>
    <w:rsid w:val="000E07C4"/>
    <w:rsid w:val="000E07C7"/>
    <w:rsid w:val="000E081A"/>
    <w:rsid w:val="000E0840"/>
    <w:rsid w:val="000E087C"/>
    <w:rsid w:val="000E08CB"/>
    <w:rsid w:val="000E0991"/>
    <w:rsid w:val="000E0AF2"/>
    <w:rsid w:val="000E0B1B"/>
    <w:rsid w:val="000E0CAD"/>
    <w:rsid w:val="000E0CE5"/>
    <w:rsid w:val="000E0D37"/>
    <w:rsid w:val="000E0D9D"/>
    <w:rsid w:val="000E0EB9"/>
    <w:rsid w:val="000E0F37"/>
    <w:rsid w:val="000E0F97"/>
    <w:rsid w:val="000E1026"/>
    <w:rsid w:val="000E1051"/>
    <w:rsid w:val="000E1087"/>
    <w:rsid w:val="000E11F7"/>
    <w:rsid w:val="000E13B7"/>
    <w:rsid w:val="000E1471"/>
    <w:rsid w:val="000E154F"/>
    <w:rsid w:val="000E15B6"/>
    <w:rsid w:val="000E160B"/>
    <w:rsid w:val="000E1647"/>
    <w:rsid w:val="000E16DE"/>
    <w:rsid w:val="000E16DF"/>
    <w:rsid w:val="000E1739"/>
    <w:rsid w:val="000E18A3"/>
    <w:rsid w:val="000E1C39"/>
    <w:rsid w:val="000E1C6A"/>
    <w:rsid w:val="000E1D7A"/>
    <w:rsid w:val="000E1DC0"/>
    <w:rsid w:val="000E1DFF"/>
    <w:rsid w:val="000E1E80"/>
    <w:rsid w:val="000E1F27"/>
    <w:rsid w:val="000E1F29"/>
    <w:rsid w:val="000E20EE"/>
    <w:rsid w:val="000E2156"/>
    <w:rsid w:val="000E2159"/>
    <w:rsid w:val="000E21A5"/>
    <w:rsid w:val="000E2246"/>
    <w:rsid w:val="000E234D"/>
    <w:rsid w:val="000E239B"/>
    <w:rsid w:val="000E23DA"/>
    <w:rsid w:val="000E23FD"/>
    <w:rsid w:val="000E24D8"/>
    <w:rsid w:val="000E25DD"/>
    <w:rsid w:val="000E2787"/>
    <w:rsid w:val="000E29C8"/>
    <w:rsid w:val="000E2BA7"/>
    <w:rsid w:val="000E2BCA"/>
    <w:rsid w:val="000E2DC1"/>
    <w:rsid w:val="000E2E2C"/>
    <w:rsid w:val="000E2E50"/>
    <w:rsid w:val="000E3008"/>
    <w:rsid w:val="000E3070"/>
    <w:rsid w:val="000E3098"/>
    <w:rsid w:val="000E31BC"/>
    <w:rsid w:val="000E333B"/>
    <w:rsid w:val="000E338E"/>
    <w:rsid w:val="000E34BF"/>
    <w:rsid w:val="000E354D"/>
    <w:rsid w:val="000E3579"/>
    <w:rsid w:val="000E369E"/>
    <w:rsid w:val="000E37AC"/>
    <w:rsid w:val="000E3803"/>
    <w:rsid w:val="000E380C"/>
    <w:rsid w:val="000E38A4"/>
    <w:rsid w:val="000E3958"/>
    <w:rsid w:val="000E39BA"/>
    <w:rsid w:val="000E39C3"/>
    <w:rsid w:val="000E39E3"/>
    <w:rsid w:val="000E3A5C"/>
    <w:rsid w:val="000E3A6C"/>
    <w:rsid w:val="000E3CBE"/>
    <w:rsid w:val="000E3D42"/>
    <w:rsid w:val="000E3DB3"/>
    <w:rsid w:val="000E4030"/>
    <w:rsid w:val="000E40F5"/>
    <w:rsid w:val="000E42CF"/>
    <w:rsid w:val="000E4342"/>
    <w:rsid w:val="000E435A"/>
    <w:rsid w:val="000E4398"/>
    <w:rsid w:val="000E4420"/>
    <w:rsid w:val="000E442A"/>
    <w:rsid w:val="000E445E"/>
    <w:rsid w:val="000E453C"/>
    <w:rsid w:val="000E465B"/>
    <w:rsid w:val="000E4751"/>
    <w:rsid w:val="000E47D2"/>
    <w:rsid w:val="000E486B"/>
    <w:rsid w:val="000E48F0"/>
    <w:rsid w:val="000E4926"/>
    <w:rsid w:val="000E4998"/>
    <w:rsid w:val="000E4ACF"/>
    <w:rsid w:val="000E4AFE"/>
    <w:rsid w:val="000E4BA0"/>
    <w:rsid w:val="000E4C61"/>
    <w:rsid w:val="000E4C87"/>
    <w:rsid w:val="000E4CDC"/>
    <w:rsid w:val="000E4D07"/>
    <w:rsid w:val="000E4D15"/>
    <w:rsid w:val="000E4EB4"/>
    <w:rsid w:val="000E4FB3"/>
    <w:rsid w:val="000E5140"/>
    <w:rsid w:val="000E5183"/>
    <w:rsid w:val="000E51D4"/>
    <w:rsid w:val="000E5229"/>
    <w:rsid w:val="000E528A"/>
    <w:rsid w:val="000E5337"/>
    <w:rsid w:val="000E5339"/>
    <w:rsid w:val="000E535A"/>
    <w:rsid w:val="000E544A"/>
    <w:rsid w:val="000E5504"/>
    <w:rsid w:val="000E576F"/>
    <w:rsid w:val="000E5844"/>
    <w:rsid w:val="000E5959"/>
    <w:rsid w:val="000E5975"/>
    <w:rsid w:val="000E59E1"/>
    <w:rsid w:val="000E5A17"/>
    <w:rsid w:val="000E5A4A"/>
    <w:rsid w:val="000E5B8F"/>
    <w:rsid w:val="000E5BCA"/>
    <w:rsid w:val="000E5C39"/>
    <w:rsid w:val="000E5D3D"/>
    <w:rsid w:val="000E5E12"/>
    <w:rsid w:val="000E5E60"/>
    <w:rsid w:val="000E5EC5"/>
    <w:rsid w:val="000E5FE3"/>
    <w:rsid w:val="000E601B"/>
    <w:rsid w:val="000E605B"/>
    <w:rsid w:val="000E6146"/>
    <w:rsid w:val="000E616F"/>
    <w:rsid w:val="000E6241"/>
    <w:rsid w:val="000E62EB"/>
    <w:rsid w:val="000E63FD"/>
    <w:rsid w:val="000E64BF"/>
    <w:rsid w:val="000E6553"/>
    <w:rsid w:val="000E6559"/>
    <w:rsid w:val="000E67A8"/>
    <w:rsid w:val="000E68BD"/>
    <w:rsid w:val="000E68DA"/>
    <w:rsid w:val="000E6960"/>
    <w:rsid w:val="000E6A4A"/>
    <w:rsid w:val="000E6BA7"/>
    <w:rsid w:val="000E6DC0"/>
    <w:rsid w:val="000E6DE5"/>
    <w:rsid w:val="000E6EEB"/>
    <w:rsid w:val="000E6FFC"/>
    <w:rsid w:val="000E702F"/>
    <w:rsid w:val="000E70A9"/>
    <w:rsid w:val="000E722D"/>
    <w:rsid w:val="000E727C"/>
    <w:rsid w:val="000E742B"/>
    <w:rsid w:val="000E7585"/>
    <w:rsid w:val="000E75AF"/>
    <w:rsid w:val="000E7794"/>
    <w:rsid w:val="000E78F0"/>
    <w:rsid w:val="000E79EC"/>
    <w:rsid w:val="000E79FE"/>
    <w:rsid w:val="000E7AE4"/>
    <w:rsid w:val="000E7CF1"/>
    <w:rsid w:val="000E7F12"/>
    <w:rsid w:val="000E7F7D"/>
    <w:rsid w:val="000E7FDE"/>
    <w:rsid w:val="000F00B8"/>
    <w:rsid w:val="000F0111"/>
    <w:rsid w:val="000F01C3"/>
    <w:rsid w:val="000F01CE"/>
    <w:rsid w:val="000F01E2"/>
    <w:rsid w:val="000F01E9"/>
    <w:rsid w:val="000F0216"/>
    <w:rsid w:val="000F02DE"/>
    <w:rsid w:val="000F0352"/>
    <w:rsid w:val="000F04F4"/>
    <w:rsid w:val="000F0584"/>
    <w:rsid w:val="000F0921"/>
    <w:rsid w:val="000F093D"/>
    <w:rsid w:val="000F0A64"/>
    <w:rsid w:val="000F0ADB"/>
    <w:rsid w:val="000F0BBC"/>
    <w:rsid w:val="000F0BE1"/>
    <w:rsid w:val="000F0BF2"/>
    <w:rsid w:val="000F0C3C"/>
    <w:rsid w:val="000F0C91"/>
    <w:rsid w:val="000F0CED"/>
    <w:rsid w:val="000F0D17"/>
    <w:rsid w:val="000F0E9A"/>
    <w:rsid w:val="000F0F48"/>
    <w:rsid w:val="000F0F95"/>
    <w:rsid w:val="000F1023"/>
    <w:rsid w:val="000F1049"/>
    <w:rsid w:val="000F10CC"/>
    <w:rsid w:val="000F114C"/>
    <w:rsid w:val="000F129D"/>
    <w:rsid w:val="000F12D8"/>
    <w:rsid w:val="000F1316"/>
    <w:rsid w:val="000F1429"/>
    <w:rsid w:val="000F14C0"/>
    <w:rsid w:val="000F1514"/>
    <w:rsid w:val="000F1523"/>
    <w:rsid w:val="000F152F"/>
    <w:rsid w:val="000F1557"/>
    <w:rsid w:val="000F1607"/>
    <w:rsid w:val="000F1797"/>
    <w:rsid w:val="000F180D"/>
    <w:rsid w:val="000F18A6"/>
    <w:rsid w:val="000F1939"/>
    <w:rsid w:val="000F1A39"/>
    <w:rsid w:val="000F1B82"/>
    <w:rsid w:val="000F1BCE"/>
    <w:rsid w:val="000F1C15"/>
    <w:rsid w:val="000F1C55"/>
    <w:rsid w:val="000F1C75"/>
    <w:rsid w:val="000F1CE3"/>
    <w:rsid w:val="000F1D10"/>
    <w:rsid w:val="000F1D46"/>
    <w:rsid w:val="000F1E0B"/>
    <w:rsid w:val="000F1F0B"/>
    <w:rsid w:val="000F200A"/>
    <w:rsid w:val="000F206B"/>
    <w:rsid w:val="000F20B3"/>
    <w:rsid w:val="000F2205"/>
    <w:rsid w:val="000F229E"/>
    <w:rsid w:val="000F2320"/>
    <w:rsid w:val="000F2401"/>
    <w:rsid w:val="000F2464"/>
    <w:rsid w:val="000F253D"/>
    <w:rsid w:val="000F25A2"/>
    <w:rsid w:val="000F2617"/>
    <w:rsid w:val="000F2670"/>
    <w:rsid w:val="000F26F2"/>
    <w:rsid w:val="000F26F7"/>
    <w:rsid w:val="000F278E"/>
    <w:rsid w:val="000F2865"/>
    <w:rsid w:val="000F28D0"/>
    <w:rsid w:val="000F29DC"/>
    <w:rsid w:val="000F2CC4"/>
    <w:rsid w:val="000F2CCB"/>
    <w:rsid w:val="000F2DC1"/>
    <w:rsid w:val="000F2E11"/>
    <w:rsid w:val="000F2E52"/>
    <w:rsid w:val="000F2E6F"/>
    <w:rsid w:val="000F2E77"/>
    <w:rsid w:val="000F2F04"/>
    <w:rsid w:val="000F2FF6"/>
    <w:rsid w:val="000F317B"/>
    <w:rsid w:val="000F31EA"/>
    <w:rsid w:val="000F34C1"/>
    <w:rsid w:val="000F352E"/>
    <w:rsid w:val="000F35C4"/>
    <w:rsid w:val="000F3649"/>
    <w:rsid w:val="000F36BC"/>
    <w:rsid w:val="000F36FD"/>
    <w:rsid w:val="000F3718"/>
    <w:rsid w:val="000F3839"/>
    <w:rsid w:val="000F3944"/>
    <w:rsid w:val="000F395C"/>
    <w:rsid w:val="000F3B7E"/>
    <w:rsid w:val="000F3C3C"/>
    <w:rsid w:val="000F3CB9"/>
    <w:rsid w:val="000F3CCA"/>
    <w:rsid w:val="000F3DA4"/>
    <w:rsid w:val="000F3E3B"/>
    <w:rsid w:val="000F3F0A"/>
    <w:rsid w:val="000F3F2A"/>
    <w:rsid w:val="000F3FD7"/>
    <w:rsid w:val="000F3FF8"/>
    <w:rsid w:val="000F40B2"/>
    <w:rsid w:val="000F4236"/>
    <w:rsid w:val="000F428B"/>
    <w:rsid w:val="000F4409"/>
    <w:rsid w:val="000F441C"/>
    <w:rsid w:val="000F448B"/>
    <w:rsid w:val="000F44A1"/>
    <w:rsid w:val="000F4539"/>
    <w:rsid w:val="000F459D"/>
    <w:rsid w:val="000F45AE"/>
    <w:rsid w:val="000F4859"/>
    <w:rsid w:val="000F49CE"/>
    <w:rsid w:val="000F4A9D"/>
    <w:rsid w:val="000F4ACE"/>
    <w:rsid w:val="000F4E22"/>
    <w:rsid w:val="000F4F2B"/>
    <w:rsid w:val="000F4FD7"/>
    <w:rsid w:val="000F5015"/>
    <w:rsid w:val="000F515B"/>
    <w:rsid w:val="000F5178"/>
    <w:rsid w:val="000F51F8"/>
    <w:rsid w:val="000F5286"/>
    <w:rsid w:val="000F5305"/>
    <w:rsid w:val="000F53D0"/>
    <w:rsid w:val="000F5438"/>
    <w:rsid w:val="000F5576"/>
    <w:rsid w:val="000F5692"/>
    <w:rsid w:val="000F56A4"/>
    <w:rsid w:val="000F5736"/>
    <w:rsid w:val="000F5783"/>
    <w:rsid w:val="000F57D4"/>
    <w:rsid w:val="000F5867"/>
    <w:rsid w:val="000F5939"/>
    <w:rsid w:val="000F5A26"/>
    <w:rsid w:val="000F5A93"/>
    <w:rsid w:val="000F5AB3"/>
    <w:rsid w:val="000F5AD3"/>
    <w:rsid w:val="000F5B11"/>
    <w:rsid w:val="000F5C2F"/>
    <w:rsid w:val="000F5D26"/>
    <w:rsid w:val="000F5D33"/>
    <w:rsid w:val="000F5D54"/>
    <w:rsid w:val="000F5D87"/>
    <w:rsid w:val="000F5DA6"/>
    <w:rsid w:val="000F5DAD"/>
    <w:rsid w:val="000F5E83"/>
    <w:rsid w:val="000F5E94"/>
    <w:rsid w:val="000F5F60"/>
    <w:rsid w:val="000F5FFD"/>
    <w:rsid w:val="000F61DE"/>
    <w:rsid w:val="000F6258"/>
    <w:rsid w:val="000F6320"/>
    <w:rsid w:val="000F635C"/>
    <w:rsid w:val="000F66F3"/>
    <w:rsid w:val="000F6715"/>
    <w:rsid w:val="000F6737"/>
    <w:rsid w:val="000F67F3"/>
    <w:rsid w:val="000F67FD"/>
    <w:rsid w:val="000F68F1"/>
    <w:rsid w:val="000F699F"/>
    <w:rsid w:val="000F69D1"/>
    <w:rsid w:val="000F6B13"/>
    <w:rsid w:val="000F6B9B"/>
    <w:rsid w:val="000F6C35"/>
    <w:rsid w:val="000F6C43"/>
    <w:rsid w:val="000F6C96"/>
    <w:rsid w:val="000F6C9B"/>
    <w:rsid w:val="000F6D0D"/>
    <w:rsid w:val="000F6D13"/>
    <w:rsid w:val="000F6E87"/>
    <w:rsid w:val="000F6F29"/>
    <w:rsid w:val="000F6F94"/>
    <w:rsid w:val="000F6F9B"/>
    <w:rsid w:val="000F706E"/>
    <w:rsid w:val="000F709A"/>
    <w:rsid w:val="000F726C"/>
    <w:rsid w:val="000F72BC"/>
    <w:rsid w:val="000F7305"/>
    <w:rsid w:val="000F73DE"/>
    <w:rsid w:val="000F7453"/>
    <w:rsid w:val="000F74D0"/>
    <w:rsid w:val="000F74EF"/>
    <w:rsid w:val="000F75D5"/>
    <w:rsid w:val="000F7794"/>
    <w:rsid w:val="000F7908"/>
    <w:rsid w:val="000F795D"/>
    <w:rsid w:val="000F7B34"/>
    <w:rsid w:val="000F7B66"/>
    <w:rsid w:val="000F7B80"/>
    <w:rsid w:val="000F7C30"/>
    <w:rsid w:val="000F7C68"/>
    <w:rsid w:val="000F7D6C"/>
    <w:rsid w:val="000F7EAA"/>
    <w:rsid w:val="000F7EC4"/>
    <w:rsid w:val="00100001"/>
    <w:rsid w:val="0010005E"/>
    <w:rsid w:val="0010009A"/>
    <w:rsid w:val="001000FE"/>
    <w:rsid w:val="001002CF"/>
    <w:rsid w:val="00100311"/>
    <w:rsid w:val="00100413"/>
    <w:rsid w:val="0010063B"/>
    <w:rsid w:val="00100660"/>
    <w:rsid w:val="0010074A"/>
    <w:rsid w:val="001007EF"/>
    <w:rsid w:val="0010081A"/>
    <w:rsid w:val="00100B85"/>
    <w:rsid w:val="00100C1F"/>
    <w:rsid w:val="00100D90"/>
    <w:rsid w:val="00100EE5"/>
    <w:rsid w:val="00100EED"/>
    <w:rsid w:val="001010AE"/>
    <w:rsid w:val="00101177"/>
    <w:rsid w:val="001011E4"/>
    <w:rsid w:val="00101493"/>
    <w:rsid w:val="0010149F"/>
    <w:rsid w:val="001014DD"/>
    <w:rsid w:val="00101633"/>
    <w:rsid w:val="00101690"/>
    <w:rsid w:val="00101790"/>
    <w:rsid w:val="00101798"/>
    <w:rsid w:val="00101811"/>
    <w:rsid w:val="0010181A"/>
    <w:rsid w:val="00101BAA"/>
    <w:rsid w:val="00101C4A"/>
    <w:rsid w:val="00101D3E"/>
    <w:rsid w:val="00101D8E"/>
    <w:rsid w:val="00101E85"/>
    <w:rsid w:val="00101F26"/>
    <w:rsid w:val="00101FC9"/>
    <w:rsid w:val="0010214D"/>
    <w:rsid w:val="001022C5"/>
    <w:rsid w:val="0010237F"/>
    <w:rsid w:val="0010246C"/>
    <w:rsid w:val="001024AA"/>
    <w:rsid w:val="00102552"/>
    <w:rsid w:val="001025F4"/>
    <w:rsid w:val="00102603"/>
    <w:rsid w:val="00102680"/>
    <w:rsid w:val="001026A2"/>
    <w:rsid w:val="001029BB"/>
    <w:rsid w:val="001029D3"/>
    <w:rsid w:val="00102A62"/>
    <w:rsid w:val="00102AFD"/>
    <w:rsid w:val="00102B6E"/>
    <w:rsid w:val="00102BBA"/>
    <w:rsid w:val="00102CE5"/>
    <w:rsid w:val="00102E23"/>
    <w:rsid w:val="00102E86"/>
    <w:rsid w:val="00102F37"/>
    <w:rsid w:val="00102FD6"/>
    <w:rsid w:val="001030D6"/>
    <w:rsid w:val="001031D5"/>
    <w:rsid w:val="00103222"/>
    <w:rsid w:val="0010339C"/>
    <w:rsid w:val="001034AB"/>
    <w:rsid w:val="0010351E"/>
    <w:rsid w:val="00103545"/>
    <w:rsid w:val="001035B0"/>
    <w:rsid w:val="00103768"/>
    <w:rsid w:val="0010378B"/>
    <w:rsid w:val="001037A8"/>
    <w:rsid w:val="001037BA"/>
    <w:rsid w:val="001039E2"/>
    <w:rsid w:val="00103B1A"/>
    <w:rsid w:val="00103BB7"/>
    <w:rsid w:val="00103D34"/>
    <w:rsid w:val="00103DB4"/>
    <w:rsid w:val="00103DF5"/>
    <w:rsid w:val="00103FDC"/>
    <w:rsid w:val="00104071"/>
    <w:rsid w:val="001040B8"/>
    <w:rsid w:val="001042DB"/>
    <w:rsid w:val="0010431F"/>
    <w:rsid w:val="001043DC"/>
    <w:rsid w:val="001044FF"/>
    <w:rsid w:val="00104686"/>
    <w:rsid w:val="0010468E"/>
    <w:rsid w:val="00104734"/>
    <w:rsid w:val="00104864"/>
    <w:rsid w:val="001048E4"/>
    <w:rsid w:val="00104982"/>
    <w:rsid w:val="00104AC7"/>
    <w:rsid w:val="00104AE7"/>
    <w:rsid w:val="00104AED"/>
    <w:rsid w:val="00104B88"/>
    <w:rsid w:val="00104C7B"/>
    <w:rsid w:val="00104D01"/>
    <w:rsid w:val="00104D11"/>
    <w:rsid w:val="00104F25"/>
    <w:rsid w:val="00104F28"/>
    <w:rsid w:val="00104F38"/>
    <w:rsid w:val="00105059"/>
    <w:rsid w:val="001050BD"/>
    <w:rsid w:val="0010516B"/>
    <w:rsid w:val="00105183"/>
    <w:rsid w:val="001051C6"/>
    <w:rsid w:val="00105285"/>
    <w:rsid w:val="0010529B"/>
    <w:rsid w:val="001052A2"/>
    <w:rsid w:val="001053C8"/>
    <w:rsid w:val="00105527"/>
    <w:rsid w:val="00105555"/>
    <w:rsid w:val="0010556C"/>
    <w:rsid w:val="001056E7"/>
    <w:rsid w:val="001056F9"/>
    <w:rsid w:val="001056FE"/>
    <w:rsid w:val="00105788"/>
    <w:rsid w:val="001058D6"/>
    <w:rsid w:val="0010595D"/>
    <w:rsid w:val="00105969"/>
    <w:rsid w:val="00105993"/>
    <w:rsid w:val="001059FC"/>
    <w:rsid w:val="00105A2E"/>
    <w:rsid w:val="00105A90"/>
    <w:rsid w:val="00105BA7"/>
    <w:rsid w:val="00105BBE"/>
    <w:rsid w:val="00105C25"/>
    <w:rsid w:val="00105CFF"/>
    <w:rsid w:val="00105DAE"/>
    <w:rsid w:val="00105E55"/>
    <w:rsid w:val="00105E9D"/>
    <w:rsid w:val="00105F10"/>
    <w:rsid w:val="00105F9D"/>
    <w:rsid w:val="00106108"/>
    <w:rsid w:val="0010610B"/>
    <w:rsid w:val="00106197"/>
    <w:rsid w:val="001061B2"/>
    <w:rsid w:val="001062B6"/>
    <w:rsid w:val="00106308"/>
    <w:rsid w:val="00106380"/>
    <w:rsid w:val="00106396"/>
    <w:rsid w:val="0010657D"/>
    <w:rsid w:val="001065D4"/>
    <w:rsid w:val="00106691"/>
    <w:rsid w:val="00106730"/>
    <w:rsid w:val="0010685D"/>
    <w:rsid w:val="001068ED"/>
    <w:rsid w:val="00106A47"/>
    <w:rsid w:val="00106B06"/>
    <w:rsid w:val="00106B74"/>
    <w:rsid w:val="00106C08"/>
    <w:rsid w:val="00106CF0"/>
    <w:rsid w:val="00106DD7"/>
    <w:rsid w:val="00106EAA"/>
    <w:rsid w:val="00106FCE"/>
    <w:rsid w:val="00106FDD"/>
    <w:rsid w:val="001070DE"/>
    <w:rsid w:val="001071A4"/>
    <w:rsid w:val="001072D9"/>
    <w:rsid w:val="00107354"/>
    <w:rsid w:val="00107358"/>
    <w:rsid w:val="0010736D"/>
    <w:rsid w:val="001073A9"/>
    <w:rsid w:val="001073FF"/>
    <w:rsid w:val="00107401"/>
    <w:rsid w:val="00107402"/>
    <w:rsid w:val="00107481"/>
    <w:rsid w:val="00107482"/>
    <w:rsid w:val="0010749A"/>
    <w:rsid w:val="00107669"/>
    <w:rsid w:val="0010767D"/>
    <w:rsid w:val="00107735"/>
    <w:rsid w:val="00107736"/>
    <w:rsid w:val="00107747"/>
    <w:rsid w:val="001077C0"/>
    <w:rsid w:val="0010783C"/>
    <w:rsid w:val="00107BA8"/>
    <w:rsid w:val="00107C15"/>
    <w:rsid w:val="00107E6C"/>
    <w:rsid w:val="00107FBB"/>
    <w:rsid w:val="00110045"/>
    <w:rsid w:val="001100B7"/>
    <w:rsid w:val="001100D9"/>
    <w:rsid w:val="001100FF"/>
    <w:rsid w:val="00110124"/>
    <w:rsid w:val="00110138"/>
    <w:rsid w:val="001101E8"/>
    <w:rsid w:val="00110202"/>
    <w:rsid w:val="00110353"/>
    <w:rsid w:val="001103B8"/>
    <w:rsid w:val="001104B1"/>
    <w:rsid w:val="00110551"/>
    <w:rsid w:val="00110607"/>
    <w:rsid w:val="0011063E"/>
    <w:rsid w:val="001106BC"/>
    <w:rsid w:val="001106C2"/>
    <w:rsid w:val="001107B5"/>
    <w:rsid w:val="00110845"/>
    <w:rsid w:val="00110952"/>
    <w:rsid w:val="001109E1"/>
    <w:rsid w:val="00110A86"/>
    <w:rsid w:val="00110AB4"/>
    <w:rsid w:val="00110BBF"/>
    <w:rsid w:val="00110BC5"/>
    <w:rsid w:val="00110C11"/>
    <w:rsid w:val="00110D09"/>
    <w:rsid w:val="00110E75"/>
    <w:rsid w:val="00110E7B"/>
    <w:rsid w:val="00110FB7"/>
    <w:rsid w:val="0011106B"/>
    <w:rsid w:val="00111269"/>
    <w:rsid w:val="00111282"/>
    <w:rsid w:val="00111286"/>
    <w:rsid w:val="00111306"/>
    <w:rsid w:val="0011133C"/>
    <w:rsid w:val="001113F3"/>
    <w:rsid w:val="00111503"/>
    <w:rsid w:val="00111535"/>
    <w:rsid w:val="00111624"/>
    <w:rsid w:val="0011171C"/>
    <w:rsid w:val="0011178F"/>
    <w:rsid w:val="00111986"/>
    <w:rsid w:val="0011198C"/>
    <w:rsid w:val="001119C7"/>
    <w:rsid w:val="00111AA8"/>
    <w:rsid w:val="00111AE8"/>
    <w:rsid w:val="00111BD7"/>
    <w:rsid w:val="00111CA2"/>
    <w:rsid w:val="00111CD2"/>
    <w:rsid w:val="00111D7C"/>
    <w:rsid w:val="00111DD6"/>
    <w:rsid w:val="00111F88"/>
    <w:rsid w:val="00112005"/>
    <w:rsid w:val="0011239B"/>
    <w:rsid w:val="0011240C"/>
    <w:rsid w:val="001125D7"/>
    <w:rsid w:val="001125DE"/>
    <w:rsid w:val="00112607"/>
    <w:rsid w:val="001126D0"/>
    <w:rsid w:val="00112896"/>
    <w:rsid w:val="00112906"/>
    <w:rsid w:val="0011293E"/>
    <w:rsid w:val="00112A35"/>
    <w:rsid w:val="00112AB4"/>
    <w:rsid w:val="00112ADF"/>
    <w:rsid w:val="00112AE3"/>
    <w:rsid w:val="00112B53"/>
    <w:rsid w:val="00112BC9"/>
    <w:rsid w:val="00112CE2"/>
    <w:rsid w:val="00112D72"/>
    <w:rsid w:val="00112E85"/>
    <w:rsid w:val="00112EC0"/>
    <w:rsid w:val="00112F2D"/>
    <w:rsid w:val="00112F3F"/>
    <w:rsid w:val="00112F6D"/>
    <w:rsid w:val="00112FB3"/>
    <w:rsid w:val="0011302A"/>
    <w:rsid w:val="00113102"/>
    <w:rsid w:val="001131C1"/>
    <w:rsid w:val="001131D8"/>
    <w:rsid w:val="001133FD"/>
    <w:rsid w:val="0011351A"/>
    <w:rsid w:val="00113639"/>
    <w:rsid w:val="0011363B"/>
    <w:rsid w:val="001136DD"/>
    <w:rsid w:val="001136FF"/>
    <w:rsid w:val="00113717"/>
    <w:rsid w:val="0011371A"/>
    <w:rsid w:val="00113779"/>
    <w:rsid w:val="00113930"/>
    <w:rsid w:val="00113A19"/>
    <w:rsid w:val="00113A5E"/>
    <w:rsid w:val="00113A96"/>
    <w:rsid w:val="00113B57"/>
    <w:rsid w:val="00113B8B"/>
    <w:rsid w:val="00113C56"/>
    <w:rsid w:val="00113CA4"/>
    <w:rsid w:val="00113D40"/>
    <w:rsid w:val="00113E3A"/>
    <w:rsid w:val="00113E99"/>
    <w:rsid w:val="00113EA7"/>
    <w:rsid w:val="00114110"/>
    <w:rsid w:val="001141F1"/>
    <w:rsid w:val="001142DC"/>
    <w:rsid w:val="00114376"/>
    <w:rsid w:val="001143C2"/>
    <w:rsid w:val="0011446D"/>
    <w:rsid w:val="00114483"/>
    <w:rsid w:val="00114507"/>
    <w:rsid w:val="00114620"/>
    <w:rsid w:val="0011466E"/>
    <w:rsid w:val="001146DB"/>
    <w:rsid w:val="001146F0"/>
    <w:rsid w:val="001147F4"/>
    <w:rsid w:val="00114A0D"/>
    <w:rsid w:val="00114A2D"/>
    <w:rsid w:val="00114A3B"/>
    <w:rsid w:val="00114AAC"/>
    <w:rsid w:val="00114B85"/>
    <w:rsid w:val="00114BD8"/>
    <w:rsid w:val="00114C49"/>
    <w:rsid w:val="00114C61"/>
    <w:rsid w:val="00114D81"/>
    <w:rsid w:val="00114DC8"/>
    <w:rsid w:val="00114E94"/>
    <w:rsid w:val="00114EAF"/>
    <w:rsid w:val="00114F29"/>
    <w:rsid w:val="0011502F"/>
    <w:rsid w:val="0011503B"/>
    <w:rsid w:val="00115070"/>
    <w:rsid w:val="0011517A"/>
    <w:rsid w:val="001151A2"/>
    <w:rsid w:val="001151A3"/>
    <w:rsid w:val="00115290"/>
    <w:rsid w:val="00115434"/>
    <w:rsid w:val="001154AA"/>
    <w:rsid w:val="001155AC"/>
    <w:rsid w:val="00115685"/>
    <w:rsid w:val="001157A2"/>
    <w:rsid w:val="001157A4"/>
    <w:rsid w:val="001157D1"/>
    <w:rsid w:val="001157E4"/>
    <w:rsid w:val="0011581B"/>
    <w:rsid w:val="00115927"/>
    <w:rsid w:val="00115AA0"/>
    <w:rsid w:val="00115AC3"/>
    <w:rsid w:val="00115AE0"/>
    <w:rsid w:val="00115AF9"/>
    <w:rsid w:val="00115B26"/>
    <w:rsid w:val="00115B2A"/>
    <w:rsid w:val="00115BC1"/>
    <w:rsid w:val="00115BF0"/>
    <w:rsid w:val="00115C0C"/>
    <w:rsid w:val="00115CF4"/>
    <w:rsid w:val="00115D05"/>
    <w:rsid w:val="00115DD0"/>
    <w:rsid w:val="00115F3D"/>
    <w:rsid w:val="00115FB5"/>
    <w:rsid w:val="00116106"/>
    <w:rsid w:val="00116164"/>
    <w:rsid w:val="001162A7"/>
    <w:rsid w:val="001162E1"/>
    <w:rsid w:val="001162FE"/>
    <w:rsid w:val="00116387"/>
    <w:rsid w:val="001163B7"/>
    <w:rsid w:val="0011641E"/>
    <w:rsid w:val="0011676C"/>
    <w:rsid w:val="00116775"/>
    <w:rsid w:val="00116821"/>
    <w:rsid w:val="0011689F"/>
    <w:rsid w:val="001168A7"/>
    <w:rsid w:val="001168CF"/>
    <w:rsid w:val="00116946"/>
    <w:rsid w:val="00116AB0"/>
    <w:rsid w:val="00116AE2"/>
    <w:rsid w:val="00116CB7"/>
    <w:rsid w:val="00116D4E"/>
    <w:rsid w:val="00116F9E"/>
    <w:rsid w:val="0011708D"/>
    <w:rsid w:val="001170E8"/>
    <w:rsid w:val="0011715E"/>
    <w:rsid w:val="001172C0"/>
    <w:rsid w:val="001173B3"/>
    <w:rsid w:val="001173D4"/>
    <w:rsid w:val="001173F1"/>
    <w:rsid w:val="001174EC"/>
    <w:rsid w:val="00117565"/>
    <w:rsid w:val="001175BB"/>
    <w:rsid w:val="001177A2"/>
    <w:rsid w:val="001178A8"/>
    <w:rsid w:val="0011798E"/>
    <w:rsid w:val="00117BFE"/>
    <w:rsid w:val="00117C01"/>
    <w:rsid w:val="00117D4D"/>
    <w:rsid w:val="00117E47"/>
    <w:rsid w:val="00117E4C"/>
    <w:rsid w:val="00117E7E"/>
    <w:rsid w:val="00117F12"/>
    <w:rsid w:val="00117F23"/>
    <w:rsid w:val="00120011"/>
    <w:rsid w:val="0012007A"/>
    <w:rsid w:val="0012008F"/>
    <w:rsid w:val="001200A7"/>
    <w:rsid w:val="001200C0"/>
    <w:rsid w:val="00120118"/>
    <w:rsid w:val="001201A1"/>
    <w:rsid w:val="00120280"/>
    <w:rsid w:val="001204A3"/>
    <w:rsid w:val="0012057C"/>
    <w:rsid w:val="001205C8"/>
    <w:rsid w:val="001206C8"/>
    <w:rsid w:val="00120797"/>
    <w:rsid w:val="001207A8"/>
    <w:rsid w:val="001207DC"/>
    <w:rsid w:val="00120879"/>
    <w:rsid w:val="00120A5E"/>
    <w:rsid w:val="00120CF1"/>
    <w:rsid w:val="001210CF"/>
    <w:rsid w:val="001212F4"/>
    <w:rsid w:val="00121400"/>
    <w:rsid w:val="00121478"/>
    <w:rsid w:val="00121698"/>
    <w:rsid w:val="0012178F"/>
    <w:rsid w:val="001218DF"/>
    <w:rsid w:val="00121908"/>
    <w:rsid w:val="001219CE"/>
    <w:rsid w:val="00121A37"/>
    <w:rsid w:val="00121A84"/>
    <w:rsid w:val="00121AB4"/>
    <w:rsid w:val="00121B02"/>
    <w:rsid w:val="00121B8D"/>
    <w:rsid w:val="00121C10"/>
    <w:rsid w:val="00121C92"/>
    <w:rsid w:val="00121CDB"/>
    <w:rsid w:val="00121D27"/>
    <w:rsid w:val="00121E2A"/>
    <w:rsid w:val="0012202A"/>
    <w:rsid w:val="0012209F"/>
    <w:rsid w:val="001220FD"/>
    <w:rsid w:val="00122145"/>
    <w:rsid w:val="0012227A"/>
    <w:rsid w:val="0012239D"/>
    <w:rsid w:val="00122440"/>
    <w:rsid w:val="0012246B"/>
    <w:rsid w:val="0012253D"/>
    <w:rsid w:val="001225AF"/>
    <w:rsid w:val="001226A6"/>
    <w:rsid w:val="0012273F"/>
    <w:rsid w:val="00122770"/>
    <w:rsid w:val="001227CD"/>
    <w:rsid w:val="00122826"/>
    <w:rsid w:val="00122884"/>
    <w:rsid w:val="001228EB"/>
    <w:rsid w:val="00122A24"/>
    <w:rsid w:val="00122BDA"/>
    <w:rsid w:val="00122D2A"/>
    <w:rsid w:val="00122D61"/>
    <w:rsid w:val="00122E11"/>
    <w:rsid w:val="00122EDD"/>
    <w:rsid w:val="0012300B"/>
    <w:rsid w:val="00123161"/>
    <w:rsid w:val="00123196"/>
    <w:rsid w:val="00123215"/>
    <w:rsid w:val="001232BE"/>
    <w:rsid w:val="001232DF"/>
    <w:rsid w:val="001232EA"/>
    <w:rsid w:val="00123337"/>
    <w:rsid w:val="00123582"/>
    <w:rsid w:val="0012368B"/>
    <w:rsid w:val="001237A0"/>
    <w:rsid w:val="001238B5"/>
    <w:rsid w:val="001239F9"/>
    <w:rsid w:val="00123B25"/>
    <w:rsid w:val="00123CCE"/>
    <w:rsid w:val="00123D3E"/>
    <w:rsid w:val="00123E10"/>
    <w:rsid w:val="0012401E"/>
    <w:rsid w:val="00124071"/>
    <w:rsid w:val="00124245"/>
    <w:rsid w:val="00124273"/>
    <w:rsid w:val="001242A9"/>
    <w:rsid w:val="00124462"/>
    <w:rsid w:val="001244F8"/>
    <w:rsid w:val="00124665"/>
    <w:rsid w:val="00124847"/>
    <w:rsid w:val="0012484E"/>
    <w:rsid w:val="0012487C"/>
    <w:rsid w:val="0012488F"/>
    <w:rsid w:val="00124951"/>
    <w:rsid w:val="00124990"/>
    <w:rsid w:val="00124A4E"/>
    <w:rsid w:val="00124B4B"/>
    <w:rsid w:val="00124C6D"/>
    <w:rsid w:val="00124CB6"/>
    <w:rsid w:val="00124D3C"/>
    <w:rsid w:val="00124DF3"/>
    <w:rsid w:val="00124E53"/>
    <w:rsid w:val="00124E88"/>
    <w:rsid w:val="00125039"/>
    <w:rsid w:val="00125043"/>
    <w:rsid w:val="00125051"/>
    <w:rsid w:val="00125074"/>
    <w:rsid w:val="00125080"/>
    <w:rsid w:val="001250BF"/>
    <w:rsid w:val="0012513A"/>
    <w:rsid w:val="00125190"/>
    <w:rsid w:val="001251F0"/>
    <w:rsid w:val="0012525C"/>
    <w:rsid w:val="001252F8"/>
    <w:rsid w:val="00125347"/>
    <w:rsid w:val="00125397"/>
    <w:rsid w:val="001253F6"/>
    <w:rsid w:val="00125503"/>
    <w:rsid w:val="001256A3"/>
    <w:rsid w:val="001256C2"/>
    <w:rsid w:val="00125797"/>
    <w:rsid w:val="001257AC"/>
    <w:rsid w:val="0012582E"/>
    <w:rsid w:val="00125A0E"/>
    <w:rsid w:val="00125B0E"/>
    <w:rsid w:val="00125B2E"/>
    <w:rsid w:val="00125BD8"/>
    <w:rsid w:val="00125C45"/>
    <w:rsid w:val="00125C81"/>
    <w:rsid w:val="00125CAA"/>
    <w:rsid w:val="00125D01"/>
    <w:rsid w:val="00125D4F"/>
    <w:rsid w:val="00125DC3"/>
    <w:rsid w:val="00125E55"/>
    <w:rsid w:val="00125EE6"/>
    <w:rsid w:val="00126065"/>
    <w:rsid w:val="001260C6"/>
    <w:rsid w:val="00126101"/>
    <w:rsid w:val="00126123"/>
    <w:rsid w:val="001262D1"/>
    <w:rsid w:val="00126312"/>
    <w:rsid w:val="00126325"/>
    <w:rsid w:val="00126344"/>
    <w:rsid w:val="0012639E"/>
    <w:rsid w:val="00126473"/>
    <w:rsid w:val="0012659E"/>
    <w:rsid w:val="0012671F"/>
    <w:rsid w:val="00126757"/>
    <w:rsid w:val="00126883"/>
    <w:rsid w:val="001268D0"/>
    <w:rsid w:val="001268F7"/>
    <w:rsid w:val="001268FC"/>
    <w:rsid w:val="00126900"/>
    <w:rsid w:val="00126914"/>
    <w:rsid w:val="00126937"/>
    <w:rsid w:val="0012695E"/>
    <w:rsid w:val="0012697C"/>
    <w:rsid w:val="00126A75"/>
    <w:rsid w:val="00126BC4"/>
    <w:rsid w:val="00126C0F"/>
    <w:rsid w:val="00126C41"/>
    <w:rsid w:val="00126C99"/>
    <w:rsid w:val="00126CFC"/>
    <w:rsid w:val="00126D0D"/>
    <w:rsid w:val="00126DBF"/>
    <w:rsid w:val="00126DE0"/>
    <w:rsid w:val="00126F4C"/>
    <w:rsid w:val="0012704D"/>
    <w:rsid w:val="001270A4"/>
    <w:rsid w:val="0012715A"/>
    <w:rsid w:val="001271AE"/>
    <w:rsid w:val="001271E1"/>
    <w:rsid w:val="00127399"/>
    <w:rsid w:val="001273B6"/>
    <w:rsid w:val="001273E2"/>
    <w:rsid w:val="00127444"/>
    <w:rsid w:val="001274D9"/>
    <w:rsid w:val="001275BF"/>
    <w:rsid w:val="00127621"/>
    <w:rsid w:val="00127639"/>
    <w:rsid w:val="00127688"/>
    <w:rsid w:val="00127AB3"/>
    <w:rsid w:val="00127B86"/>
    <w:rsid w:val="00127E94"/>
    <w:rsid w:val="00127F43"/>
    <w:rsid w:val="00127F8E"/>
    <w:rsid w:val="001300D7"/>
    <w:rsid w:val="00130156"/>
    <w:rsid w:val="00130241"/>
    <w:rsid w:val="00130287"/>
    <w:rsid w:val="00130295"/>
    <w:rsid w:val="001302F8"/>
    <w:rsid w:val="00130392"/>
    <w:rsid w:val="001303B5"/>
    <w:rsid w:val="001303F8"/>
    <w:rsid w:val="00130596"/>
    <w:rsid w:val="00130710"/>
    <w:rsid w:val="001307E9"/>
    <w:rsid w:val="00130851"/>
    <w:rsid w:val="00130939"/>
    <w:rsid w:val="001309BC"/>
    <w:rsid w:val="00130A56"/>
    <w:rsid w:val="00130BB3"/>
    <w:rsid w:val="00130BCF"/>
    <w:rsid w:val="00130D35"/>
    <w:rsid w:val="00130DA0"/>
    <w:rsid w:val="00130DBA"/>
    <w:rsid w:val="00130DF4"/>
    <w:rsid w:val="00130E9D"/>
    <w:rsid w:val="00130F3D"/>
    <w:rsid w:val="001310DB"/>
    <w:rsid w:val="00131128"/>
    <w:rsid w:val="001311BF"/>
    <w:rsid w:val="001311E9"/>
    <w:rsid w:val="00131342"/>
    <w:rsid w:val="00131368"/>
    <w:rsid w:val="0013137D"/>
    <w:rsid w:val="00131462"/>
    <w:rsid w:val="00131532"/>
    <w:rsid w:val="00131696"/>
    <w:rsid w:val="0013172A"/>
    <w:rsid w:val="00131769"/>
    <w:rsid w:val="00131778"/>
    <w:rsid w:val="001317E0"/>
    <w:rsid w:val="0013183D"/>
    <w:rsid w:val="001318E3"/>
    <w:rsid w:val="001319AF"/>
    <w:rsid w:val="001319B1"/>
    <w:rsid w:val="001319BB"/>
    <w:rsid w:val="00131B5E"/>
    <w:rsid w:val="00131B94"/>
    <w:rsid w:val="00131CD7"/>
    <w:rsid w:val="00131DC5"/>
    <w:rsid w:val="00131E39"/>
    <w:rsid w:val="00131E72"/>
    <w:rsid w:val="00131F23"/>
    <w:rsid w:val="00131F48"/>
    <w:rsid w:val="00131F8A"/>
    <w:rsid w:val="00131FAE"/>
    <w:rsid w:val="00132062"/>
    <w:rsid w:val="0013208D"/>
    <w:rsid w:val="00132098"/>
    <w:rsid w:val="001320AE"/>
    <w:rsid w:val="0013212D"/>
    <w:rsid w:val="00132191"/>
    <w:rsid w:val="00132239"/>
    <w:rsid w:val="0013224D"/>
    <w:rsid w:val="00132267"/>
    <w:rsid w:val="00132306"/>
    <w:rsid w:val="00132316"/>
    <w:rsid w:val="001323C2"/>
    <w:rsid w:val="00132534"/>
    <w:rsid w:val="001325CB"/>
    <w:rsid w:val="00132706"/>
    <w:rsid w:val="00132790"/>
    <w:rsid w:val="00132800"/>
    <w:rsid w:val="00132924"/>
    <w:rsid w:val="00132944"/>
    <w:rsid w:val="001329C4"/>
    <w:rsid w:val="001329D0"/>
    <w:rsid w:val="00132BF1"/>
    <w:rsid w:val="00132C44"/>
    <w:rsid w:val="00132C7D"/>
    <w:rsid w:val="00132CBA"/>
    <w:rsid w:val="00132D56"/>
    <w:rsid w:val="00132D84"/>
    <w:rsid w:val="00132F90"/>
    <w:rsid w:val="00132FEC"/>
    <w:rsid w:val="00133069"/>
    <w:rsid w:val="00133072"/>
    <w:rsid w:val="001332A7"/>
    <w:rsid w:val="001333C4"/>
    <w:rsid w:val="00133645"/>
    <w:rsid w:val="001336FB"/>
    <w:rsid w:val="0013374F"/>
    <w:rsid w:val="001337AB"/>
    <w:rsid w:val="00133816"/>
    <w:rsid w:val="0013384D"/>
    <w:rsid w:val="00133859"/>
    <w:rsid w:val="001338A3"/>
    <w:rsid w:val="001339FD"/>
    <w:rsid w:val="00133A7A"/>
    <w:rsid w:val="00133DAE"/>
    <w:rsid w:val="00133EB2"/>
    <w:rsid w:val="00133F5E"/>
    <w:rsid w:val="001340D3"/>
    <w:rsid w:val="001341BA"/>
    <w:rsid w:val="00134264"/>
    <w:rsid w:val="00134271"/>
    <w:rsid w:val="0013428D"/>
    <w:rsid w:val="001342C0"/>
    <w:rsid w:val="00134396"/>
    <w:rsid w:val="00134397"/>
    <w:rsid w:val="001343EE"/>
    <w:rsid w:val="00134439"/>
    <w:rsid w:val="0013454D"/>
    <w:rsid w:val="0013462A"/>
    <w:rsid w:val="0013463E"/>
    <w:rsid w:val="0013464B"/>
    <w:rsid w:val="001347C7"/>
    <w:rsid w:val="00134800"/>
    <w:rsid w:val="0013490C"/>
    <w:rsid w:val="001349B3"/>
    <w:rsid w:val="00134C08"/>
    <w:rsid w:val="00134C3C"/>
    <w:rsid w:val="00134CA9"/>
    <w:rsid w:val="00134E31"/>
    <w:rsid w:val="00134E70"/>
    <w:rsid w:val="00134F74"/>
    <w:rsid w:val="00135051"/>
    <w:rsid w:val="00135053"/>
    <w:rsid w:val="001350F2"/>
    <w:rsid w:val="0013516C"/>
    <w:rsid w:val="00135260"/>
    <w:rsid w:val="00135291"/>
    <w:rsid w:val="001352A1"/>
    <w:rsid w:val="00135311"/>
    <w:rsid w:val="001353E5"/>
    <w:rsid w:val="001353EE"/>
    <w:rsid w:val="00135462"/>
    <w:rsid w:val="00135519"/>
    <w:rsid w:val="001355DF"/>
    <w:rsid w:val="00135624"/>
    <w:rsid w:val="001357C3"/>
    <w:rsid w:val="0013588E"/>
    <w:rsid w:val="001358E5"/>
    <w:rsid w:val="0013590C"/>
    <w:rsid w:val="00135B2D"/>
    <w:rsid w:val="00135C06"/>
    <w:rsid w:val="00135CC0"/>
    <w:rsid w:val="00135D4C"/>
    <w:rsid w:val="00135EC9"/>
    <w:rsid w:val="00135EDB"/>
    <w:rsid w:val="00135F4D"/>
    <w:rsid w:val="00135F59"/>
    <w:rsid w:val="00135F94"/>
    <w:rsid w:val="0013609B"/>
    <w:rsid w:val="001360E4"/>
    <w:rsid w:val="001362B8"/>
    <w:rsid w:val="00136434"/>
    <w:rsid w:val="00136444"/>
    <w:rsid w:val="00136466"/>
    <w:rsid w:val="00136531"/>
    <w:rsid w:val="001365BA"/>
    <w:rsid w:val="001365C5"/>
    <w:rsid w:val="001366BF"/>
    <w:rsid w:val="00136776"/>
    <w:rsid w:val="00136795"/>
    <w:rsid w:val="0013679C"/>
    <w:rsid w:val="001367AB"/>
    <w:rsid w:val="001367D7"/>
    <w:rsid w:val="0013691C"/>
    <w:rsid w:val="00136943"/>
    <w:rsid w:val="0013698C"/>
    <w:rsid w:val="001369D5"/>
    <w:rsid w:val="00136A2F"/>
    <w:rsid w:val="00136A56"/>
    <w:rsid w:val="00136ACD"/>
    <w:rsid w:val="00136B3C"/>
    <w:rsid w:val="00136B44"/>
    <w:rsid w:val="00136B74"/>
    <w:rsid w:val="00136C18"/>
    <w:rsid w:val="00136D8E"/>
    <w:rsid w:val="00136E91"/>
    <w:rsid w:val="00136FB2"/>
    <w:rsid w:val="00137043"/>
    <w:rsid w:val="001370DA"/>
    <w:rsid w:val="00137165"/>
    <w:rsid w:val="0013716C"/>
    <w:rsid w:val="0013723B"/>
    <w:rsid w:val="001372C4"/>
    <w:rsid w:val="0013737C"/>
    <w:rsid w:val="0013738B"/>
    <w:rsid w:val="0013741D"/>
    <w:rsid w:val="00137490"/>
    <w:rsid w:val="001375C5"/>
    <w:rsid w:val="001375EC"/>
    <w:rsid w:val="00137633"/>
    <w:rsid w:val="00137662"/>
    <w:rsid w:val="00137678"/>
    <w:rsid w:val="00137687"/>
    <w:rsid w:val="001376E2"/>
    <w:rsid w:val="00137852"/>
    <w:rsid w:val="00137862"/>
    <w:rsid w:val="00137989"/>
    <w:rsid w:val="00137A07"/>
    <w:rsid w:val="00137AA5"/>
    <w:rsid w:val="00137BBD"/>
    <w:rsid w:val="00137BE0"/>
    <w:rsid w:val="00137E04"/>
    <w:rsid w:val="00140043"/>
    <w:rsid w:val="0014015C"/>
    <w:rsid w:val="0014015E"/>
    <w:rsid w:val="0014017E"/>
    <w:rsid w:val="00140238"/>
    <w:rsid w:val="00140267"/>
    <w:rsid w:val="001402B5"/>
    <w:rsid w:val="00140393"/>
    <w:rsid w:val="001404CC"/>
    <w:rsid w:val="00140654"/>
    <w:rsid w:val="0014067D"/>
    <w:rsid w:val="00140871"/>
    <w:rsid w:val="00140885"/>
    <w:rsid w:val="001409A2"/>
    <w:rsid w:val="001409BD"/>
    <w:rsid w:val="00140A46"/>
    <w:rsid w:val="00140C56"/>
    <w:rsid w:val="00140D82"/>
    <w:rsid w:val="00140EE7"/>
    <w:rsid w:val="00140F9B"/>
    <w:rsid w:val="00141053"/>
    <w:rsid w:val="00141093"/>
    <w:rsid w:val="001410E1"/>
    <w:rsid w:val="00141164"/>
    <w:rsid w:val="0014129E"/>
    <w:rsid w:val="001412DC"/>
    <w:rsid w:val="001413B5"/>
    <w:rsid w:val="001416DA"/>
    <w:rsid w:val="0014175A"/>
    <w:rsid w:val="00141828"/>
    <w:rsid w:val="00141883"/>
    <w:rsid w:val="0014196C"/>
    <w:rsid w:val="00141A33"/>
    <w:rsid w:val="00141AA9"/>
    <w:rsid w:val="00141CDB"/>
    <w:rsid w:val="00141CF7"/>
    <w:rsid w:val="00141D6E"/>
    <w:rsid w:val="00141D80"/>
    <w:rsid w:val="00141E39"/>
    <w:rsid w:val="00141F07"/>
    <w:rsid w:val="00141F5F"/>
    <w:rsid w:val="0014207D"/>
    <w:rsid w:val="00142277"/>
    <w:rsid w:val="00142298"/>
    <w:rsid w:val="00142358"/>
    <w:rsid w:val="0014237B"/>
    <w:rsid w:val="001423C3"/>
    <w:rsid w:val="00142433"/>
    <w:rsid w:val="00142479"/>
    <w:rsid w:val="001424BC"/>
    <w:rsid w:val="0014252E"/>
    <w:rsid w:val="001426CB"/>
    <w:rsid w:val="001427BD"/>
    <w:rsid w:val="0014283E"/>
    <w:rsid w:val="00142863"/>
    <w:rsid w:val="00142896"/>
    <w:rsid w:val="001428F0"/>
    <w:rsid w:val="00142932"/>
    <w:rsid w:val="00142937"/>
    <w:rsid w:val="001429D1"/>
    <w:rsid w:val="00142A01"/>
    <w:rsid w:val="00142A9B"/>
    <w:rsid w:val="00142B52"/>
    <w:rsid w:val="00142B6E"/>
    <w:rsid w:val="00142D27"/>
    <w:rsid w:val="00142D2B"/>
    <w:rsid w:val="00142D2F"/>
    <w:rsid w:val="00142DA4"/>
    <w:rsid w:val="00142E4A"/>
    <w:rsid w:val="00142F5E"/>
    <w:rsid w:val="00143067"/>
    <w:rsid w:val="001430E1"/>
    <w:rsid w:val="0014314B"/>
    <w:rsid w:val="00143326"/>
    <w:rsid w:val="00143374"/>
    <w:rsid w:val="00143382"/>
    <w:rsid w:val="001433E8"/>
    <w:rsid w:val="00143404"/>
    <w:rsid w:val="00143433"/>
    <w:rsid w:val="0014343C"/>
    <w:rsid w:val="00143659"/>
    <w:rsid w:val="00143660"/>
    <w:rsid w:val="001437DC"/>
    <w:rsid w:val="001438A5"/>
    <w:rsid w:val="00143984"/>
    <w:rsid w:val="00143A9E"/>
    <w:rsid w:val="00143AF8"/>
    <w:rsid w:val="00143B11"/>
    <w:rsid w:val="00143B9E"/>
    <w:rsid w:val="00143BB5"/>
    <w:rsid w:val="00143BFE"/>
    <w:rsid w:val="00143CB5"/>
    <w:rsid w:val="00143E38"/>
    <w:rsid w:val="00143EF8"/>
    <w:rsid w:val="00143F4A"/>
    <w:rsid w:val="0014405F"/>
    <w:rsid w:val="001441E3"/>
    <w:rsid w:val="001443BE"/>
    <w:rsid w:val="001445BD"/>
    <w:rsid w:val="0014460E"/>
    <w:rsid w:val="001447B2"/>
    <w:rsid w:val="001447C1"/>
    <w:rsid w:val="0014488F"/>
    <w:rsid w:val="00144953"/>
    <w:rsid w:val="0014495B"/>
    <w:rsid w:val="001449FD"/>
    <w:rsid w:val="00144A3D"/>
    <w:rsid w:val="00144A7E"/>
    <w:rsid w:val="00144A93"/>
    <w:rsid w:val="00144AA8"/>
    <w:rsid w:val="00144BA4"/>
    <w:rsid w:val="00144BBF"/>
    <w:rsid w:val="00144BEB"/>
    <w:rsid w:val="00144C2D"/>
    <w:rsid w:val="00144C74"/>
    <w:rsid w:val="00144C79"/>
    <w:rsid w:val="00144D03"/>
    <w:rsid w:val="00144D39"/>
    <w:rsid w:val="00144DAA"/>
    <w:rsid w:val="00144DEC"/>
    <w:rsid w:val="00144F7F"/>
    <w:rsid w:val="001450E2"/>
    <w:rsid w:val="00145149"/>
    <w:rsid w:val="0014521D"/>
    <w:rsid w:val="00145237"/>
    <w:rsid w:val="001452B6"/>
    <w:rsid w:val="001452BA"/>
    <w:rsid w:val="00145301"/>
    <w:rsid w:val="0014537D"/>
    <w:rsid w:val="0014542D"/>
    <w:rsid w:val="00145430"/>
    <w:rsid w:val="0014544B"/>
    <w:rsid w:val="00145464"/>
    <w:rsid w:val="001454D8"/>
    <w:rsid w:val="00145519"/>
    <w:rsid w:val="00145563"/>
    <w:rsid w:val="0014560E"/>
    <w:rsid w:val="001456B7"/>
    <w:rsid w:val="001458D2"/>
    <w:rsid w:val="00145A29"/>
    <w:rsid w:val="00145A49"/>
    <w:rsid w:val="00145A55"/>
    <w:rsid w:val="00145B1B"/>
    <w:rsid w:val="00145C6D"/>
    <w:rsid w:val="00145D7E"/>
    <w:rsid w:val="00145D82"/>
    <w:rsid w:val="00145D8A"/>
    <w:rsid w:val="00145DC9"/>
    <w:rsid w:val="00145DE7"/>
    <w:rsid w:val="00145E95"/>
    <w:rsid w:val="00145EE5"/>
    <w:rsid w:val="00145F42"/>
    <w:rsid w:val="00145F57"/>
    <w:rsid w:val="00145FFF"/>
    <w:rsid w:val="0014607E"/>
    <w:rsid w:val="00146398"/>
    <w:rsid w:val="0014651D"/>
    <w:rsid w:val="00146600"/>
    <w:rsid w:val="0014668C"/>
    <w:rsid w:val="00146885"/>
    <w:rsid w:val="001468E8"/>
    <w:rsid w:val="00146984"/>
    <w:rsid w:val="001469A1"/>
    <w:rsid w:val="00146B5A"/>
    <w:rsid w:val="00146BAB"/>
    <w:rsid w:val="00146C03"/>
    <w:rsid w:val="00146C1E"/>
    <w:rsid w:val="00146CFF"/>
    <w:rsid w:val="00146D1C"/>
    <w:rsid w:val="00146D30"/>
    <w:rsid w:val="00146EA9"/>
    <w:rsid w:val="00146F1E"/>
    <w:rsid w:val="00146F51"/>
    <w:rsid w:val="0014722F"/>
    <w:rsid w:val="00147286"/>
    <w:rsid w:val="00147532"/>
    <w:rsid w:val="001476E0"/>
    <w:rsid w:val="0014778C"/>
    <w:rsid w:val="001477A1"/>
    <w:rsid w:val="001478B4"/>
    <w:rsid w:val="001478DA"/>
    <w:rsid w:val="00147907"/>
    <w:rsid w:val="00147993"/>
    <w:rsid w:val="00147ACD"/>
    <w:rsid w:val="00147AFF"/>
    <w:rsid w:val="00147B6F"/>
    <w:rsid w:val="00147BFA"/>
    <w:rsid w:val="00147D8E"/>
    <w:rsid w:val="00147D9D"/>
    <w:rsid w:val="00147E62"/>
    <w:rsid w:val="00147E95"/>
    <w:rsid w:val="00147ED4"/>
    <w:rsid w:val="00150025"/>
    <w:rsid w:val="00150103"/>
    <w:rsid w:val="00150238"/>
    <w:rsid w:val="00150387"/>
    <w:rsid w:val="001503D6"/>
    <w:rsid w:val="00150433"/>
    <w:rsid w:val="00150574"/>
    <w:rsid w:val="001505A6"/>
    <w:rsid w:val="001505A9"/>
    <w:rsid w:val="001506AF"/>
    <w:rsid w:val="001507B9"/>
    <w:rsid w:val="0015086E"/>
    <w:rsid w:val="001508AD"/>
    <w:rsid w:val="00150A35"/>
    <w:rsid w:val="00150AB4"/>
    <w:rsid w:val="00150AC2"/>
    <w:rsid w:val="00150BB0"/>
    <w:rsid w:val="00150E2F"/>
    <w:rsid w:val="00150EE9"/>
    <w:rsid w:val="00150F61"/>
    <w:rsid w:val="00150F8E"/>
    <w:rsid w:val="0015111E"/>
    <w:rsid w:val="001513EF"/>
    <w:rsid w:val="001514DC"/>
    <w:rsid w:val="0015151B"/>
    <w:rsid w:val="001515C9"/>
    <w:rsid w:val="00151659"/>
    <w:rsid w:val="001516D6"/>
    <w:rsid w:val="0015175E"/>
    <w:rsid w:val="001517A8"/>
    <w:rsid w:val="00151AE9"/>
    <w:rsid w:val="00151BF9"/>
    <w:rsid w:val="00151CEC"/>
    <w:rsid w:val="00151D1A"/>
    <w:rsid w:val="00151D76"/>
    <w:rsid w:val="00151E48"/>
    <w:rsid w:val="00151EC2"/>
    <w:rsid w:val="00151F78"/>
    <w:rsid w:val="00151F8B"/>
    <w:rsid w:val="001520B8"/>
    <w:rsid w:val="001520D1"/>
    <w:rsid w:val="001522B9"/>
    <w:rsid w:val="00152341"/>
    <w:rsid w:val="001523E2"/>
    <w:rsid w:val="001524B2"/>
    <w:rsid w:val="001524D8"/>
    <w:rsid w:val="001525FC"/>
    <w:rsid w:val="00152633"/>
    <w:rsid w:val="0015272A"/>
    <w:rsid w:val="0015280C"/>
    <w:rsid w:val="0015288E"/>
    <w:rsid w:val="0015291C"/>
    <w:rsid w:val="00152A40"/>
    <w:rsid w:val="00152B48"/>
    <w:rsid w:val="00152BD7"/>
    <w:rsid w:val="00152C49"/>
    <w:rsid w:val="00152E4C"/>
    <w:rsid w:val="00152EB5"/>
    <w:rsid w:val="00152F2E"/>
    <w:rsid w:val="00152F96"/>
    <w:rsid w:val="00152FB5"/>
    <w:rsid w:val="0015306D"/>
    <w:rsid w:val="0015308B"/>
    <w:rsid w:val="001531E1"/>
    <w:rsid w:val="0015321C"/>
    <w:rsid w:val="001532FF"/>
    <w:rsid w:val="0015333E"/>
    <w:rsid w:val="00153359"/>
    <w:rsid w:val="00153571"/>
    <w:rsid w:val="00153575"/>
    <w:rsid w:val="001535C4"/>
    <w:rsid w:val="001535E8"/>
    <w:rsid w:val="001536A4"/>
    <w:rsid w:val="00153782"/>
    <w:rsid w:val="001537C4"/>
    <w:rsid w:val="00153846"/>
    <w:rsid w:val="001538A1"/>
    <w:rsid w:val="001538DB"/>
    <w:rsid w:val="0015398F"/>
    <w:rsid w:val="0015399A"/>
    <w:rsid w:val="00153A08"/>
    <w:rsid w:val="00153A20"/>
    <w:rsid w:val="00153C73"/>
    <w:rsid w:val="00153E67"/>
    <w:rsid w:val="00153FEF"/>
    <w:rsid w:val="001543C9"/>
    <w:rsid w:val="001544A0"/>
    <w:rsid w:val="001544AF"/>
    <w:rsid w:val="001544DC"/>
    <w:rsid w:val="00154617"/>
    <w:rsid w:val="00154649"/>
    <w:rsid w:val="00154794"/>
    <w:rsid w:val="0015479B"/>
    <w:rsid w:val="001547C3"/>
    <w:rsid w:val="00154811"/>
    <w:rsid w:val="00154896"/>
    <w:rsid w:val="001549D8"/>
    <w:rsid w:val="00154A03"/>
    <w:rsid w:val="00154AF2"/>
    <w:rsid w:val="00154B0E"/>
    <w:rsid w:val="00154B32"/>
    <w:rsid w:val="00154B54"/>
    <w:rsid w:val="00154BB3"/>
    <w:rsid w:val="00154BFB"/>
    <w:rsid w:val="00154C00"/>
    <w:rsid w:val="00154C48"/>
    <w:rsid w:val="00154C50"/>
    <w:rsid w:val="00154D4B"/>
    <w:rsid w:val="00154DB5"/>
    <w:rsid w:val="00154E20"/>
    <w:rsid w:val="00154E66"/>
    <w:rsid w:val="00154E97"/>
    <w:rsid w:val="00154F8B"/>
    <w:rsid w:val="00155006"/>
    <w:rsid w:val="0015500D"/>
    <w:rsid w:val="001551DC"/>
    <w:rsid w:val="00155236"/>
    <w:rsid w:val="001552BF"/>
    <w:rsid w:val="00155303"/>
    <w:rsid w:val="0015531E"/>
    <w:rsid w:val="001553AF"/>
    <w:rsid w:val="00155504"/>
    <w:rsid w:val="00155583"/>
    <w:rsid w:val="00155878"/>
    <w:rsid w:val="00155900"/>
    <w:rsid w:val="001559B3"/>
    <w:rsid w:val="001559C3"/>
    <w:rsid w:val="001559C6"/>
    <w:rsid w:val="00155A1C"/>
    <w:rsid w:val="00155A52"/>
    <w:rsid w:val="00155A5D"/>
    <w:rsid w:val="00155A83"/>
    <w:rsid w:val="00155B50"/>
    <w:rsid w:val="00155B77"/>
    <w:rsid w:val="00155B97"/>
    <w:rsid w:val="00155BB7"/>
    <w:rsid w:val="00155C6B"/>
    <w:rsid w:val="00155CFF"/>
    <w:rsid w:val="00155E6B"/>
    <w:rsid w:val="00155FCE"/>
    <w:rsid w:val="00155FDF"/>
    <w:rsid w:val="0015600B"/>
    <w:rsid w:val="0015601B"/>
    <w:rsid w:val="00156048"/>
    <w:rsid w:val="0015624B"/>
    <w:rsid w:val="00156366"/>
    <w:rsid w:val="0015639D"/>
    <w:rsid w:val="0015658B"/>
    <w:rsid w:val="001566E0"/>
    <w:rsid w:val="0015674F"/>
    <w:rsid w:val="00156803"/>
    <w:rsid w:val="0015692F"/>
    <w:rsid w:val="00156974"/>
    <w:rsid w:val="00156A32"/>
    <w:rsid w:val="00156C04"/>
    <w:rsid w:val="00156C25"/>
    <w:rsid w:val="00156CA3"/>
    <w:rsid w:val="00156D39"/>
    <w:rsid w:val="00156D46"/>
    <w:rsid w:val="00156D75"/>
    <w:rsid w:val="00156E2A"/>
    <w:rsid w:val="00156E49"/>
    <w:rsid w:val="00157018"/>
    <w:rsid w:val="00157058"/>
    <w:rsid w:val="0015708E"/>
    <w:rsid w:val="00157192"/>
    <w:rsid w:val="001572CD"/>
    <w:rsid w:val="00157394"/>
    <w:rsid w:val="0015742D"/>
    <w:rsid w:val="001574D7"/>
    <w:rsid w:val="00157610"/>
    <w:rsid w:val="00157623"/>
    <w:rsid w:val="0015768A"/>
    <w:rsid w:val="001576CF"/>
    <w:rsid w:val="001576E7"/>
    <w:rsid w:val="00157723"/>
    <w:rsid w:val="00157769"/>
    <w:rsid w:val="001577F4"/>
    <w:rsid w:val="00157AE4"/>
    <w:rsid w:val="00157B8C"/>
    <w:rsid w:val="00157B9E"/>
    <w:rsid w:val="00157BB7"/>
    <w:rsid w:val="00157C10"/>
    <w:rsid w:val="00157D24"/>
    <w:rsid w:val="00157D50"/>
    <w:rsid w:val="00157F13"/>
    <w:rsid w:val="001602E9"/>
    <w:rsid w:val="0016033A"/>
    <w:rsid w:val="001603F1"/>
    <w:rsid w:val="001606A6"/>
    <w:rsid w:val="00160D58"/>
    <w:rsid w:val="00160D65"/>
    <w:rsid w:val="00160E0E"/>
    <w:rsid w:val="00160E25"/>
    <w:rsid w:val="00161009"/>
    <w:rsid w:val="00161020"/>
    <w:rsid w:val="00161025"/>
    <w:rsid w:val="001610A8"/>
    <w:rsid w:val="001611C0"/>
    <w:rsid w:val="001611C5"/>
    <w:rsid w:val="00161208"/>
    <w:rsid w:val="001612CB"/>
    <w:rsid w:val="0016150E"/>
    <w:rsid w:val="0016157E"/>
    <w:rsid w:val="00161622"/>
    <w:rsid w:val="00161716"/>
    <w:rsid w:val="0016174E"/>
    <w:rsid w:val="001617DA"/>
    <w:rsid w:val="00161AD5"/>
    <w:rsid w:val="00161B05"/>
    <w:rsid w:val="00161BAB"/>
    <w:rsid w:val="00161C87"/>
    <w:rsid w:val="00161CC1"/>
    <w:rsid w:val="00161D18"/>
    <w:rsid w:val="00161F10"/>
    <w:rsid w:val="00161F61"/>
    <w:rsid w:val="00161FD1"/>
    <w:rsid w:val="001621BD"/>
    <w:rsid w:val="0016223B"/>
    <w:rsid w:val="00162320"/>
    <w:rsid w:val="00162469"/>
    <w:rsid w:val="00162565"/>
    <w:rsid w:val="001625D1"/>
    <w:rsid w:val="00162714"/>
    <w:rsid w:val="00162773"/>
    <w:rsid w:val="00162820"/>
    <w:rsid w:val="00162991"/>
    <w:rsid w:val="00162998"/>
    <w:rsid w:val="001629B8"/>
    <w:rsid w:val="00162AA2"/>
    <w:rsid w:val="00162B88"/>
    <w:rsid w:val="00162BDD"/>
    <w:rsid w:val="00162C95"/>
    <w:rsid w:val="00162CFD"/>
    <w:rsid w:val="00162D1E"/>
    <w:rsid w:val="00162E77"/>
    <w:rsid w:val="00162E7B"/>
    <w:rsid w:val="00162F0B"/>
    <w:rsid w:val="00162F6C"/>
    <w:rsid w:val="00163051"/>
    <w:rsid w:val="001630C6"/>
    <w:rsid w:val="00163176"/>
    <w:rsid w:val="001632DB"/>
    <w:rsid w:val="001632ED"/>
    <w:rsid w:val="00163313"/>
    <w:rsid w:val="001633A1"/>
    <w:rsid w:val="0016344B"/>
    <w:rsid w:val="00163491"/>
    <w:rsid w:val="001634D8"/>
    <w:rsid w:val="001635B1"/>
    <w:rsid w:val="001636A5"/>
    <w:rsid w:val="001637DB"/>
    <w:rsid w:val="001637F4"/>
    <w:rsid w:val="00163875"/>
    <w:rsid w:val="001638EE"/>
    <w:rsid w:val="0016392A"/>
    <w:rsid w:val="00163998"/>
    <w:rsid w:val="001639DE"/>
    <w:rsid w:val="00163A2F"/>
    <w:rsid w:val="00163AC5"/>
    <w:rsid w:val="00163AFC"/>
    <w:rsid w:val="00163B93"/>
    <w:rsid w:val="00163C43"/>
    <w:rsid w:val="00163D3A"/>
    <w:rsid w:val="00163DA8"/>
    <w:rsid w:val="00163DEE"/>
    <w:rsid w:val="00163E02"/>
    <w:rsid w:val="00163E8F"/>
    <w:rsid w:val="0016410C"/>
    <w:rsid w:val="00164167"/>
    <w:rsid w:val="00164198"/>
    <w:rsid w:val="00164480"/>
    <w:rsid w:val="00164664"/>
    <w:rsid w:val="00164665"/>
    <w:rsid w:val="00164723"/>
    <w:rsid w:val="0016482F"/>
    <w:rsid w:val="00164830"/>
    <w:rsid w:val="001649A7"/>
    <w:rsid w:val="00164A98"/>
    <w:rsid w:val="00164AAF"/>
    <w:rsid w:val="00164BE6"/>
    <w:rsid w:val="00164C18"/>
    <w:rsid w:val="00164CF0"/>
    <w:rsid w:val="00164D54"/>
    <w:rsid w:val="00164DF1"/>
    <w:rsid w:val="00164E01"/>
    <w:rsid w:val="00164E44"/>
    <w:rsid w:val="00164EDE"/>
    <w:rsid w:val="00164EE0"/>
    <w:rsid w:val="00164F54"/>
    <w:rsid w:val="00164F6C"/>
    <w:rsid w:val="00164FDF"/>
    <w:rsid w:val="001650CC"/>
    <w:rsid w:val="00165196"/>
    <w:rsid w:val="001652B6"/>
    <w:rsid w:val="00165315"/>
    <w:rsid w:val="0016535E"/>
    <w:rsid w:val="0016542A"/>
    <w:rsid w:val="001654E0"/>
    <w:rsid w:val="001654E2"/>
    <w:rsid w:val="00165584"/>
    <w:rsid w:val="001655CD"/>
    <w:rsid w:val="00165729"/>
    <w:rsid w:val="001657CA"/>
    <w:rsid w:val="001659A1"/>
    <w:rsid w:val="001659C5"/>
    <w:rsid w:val="00165A5A"/>
    <w:rsid w:val="00165C53"/>
    <w:rsid w:val="00165E27"/>
    <w:rsid w:val="00165E84"/>
    <w:rsid w:val="00165F6C"/>
    <w:rsid w:val="0016602C"/>
    <w:rsid w:val="001660AB"/>
    <w:rsid w:val="001660FD"/>
    <w:rsid w:val="00166189"/>
    <w:rsid w:val="001661D5"/>
    <w:rsid w:val="001663C5"/>
    <w:rsid w:val="001663CA"/>
    <w:rsid w:val="00166486"/>
    <w:rsid w:val="001665EA"/>
    <w:rsid w:val="00166778"/>
    <w:rsid w:val="00166829"/>
    <w:rsid w:val="001669E6"/>
    <w:rsid w:val="00166BB1"/>
    <w:rsid w:val="00166C0B"/>
    <w:rsid w:val="00166C41"/>
    <w:rsid w:val="00166C48"/>
    <w:rsid w:val="00166CCD"/>
    <w:rsid w:val="00166DDA"/>
    <w:rsid w:val="00166F8C"/>
    <w:rsid w:val="00167008"/>
    <w:rsid w:val="001672D1"/>
    <w:rsid w:val="001673AB"/>
    <w:rsid w:val="00167518"/>
    <w:rsid w:val="001675E0"/>
    <w:rsid w:val="001675E1"/>
    <w:rsid w:val="0016765F"/>
    <w:rsid w:val="0016772F"/>
    <w:rsid w:val="00167786"/>
    <w:rsid w:val="001677D3"/>
    <w:rsid w:val="00167A0E"/>
    <w:rsid w:val="00167A87"/>
    <w:rsid w:val="00167C15"/>
    <w:rsid w:val="00167C3D"/>
    <w:rsid w:val="00167D07"/>
    <w:rsid w:val="00167D44"/>
    <w:rsid w:val="00167D80"/>
    <w:rsid w:val="00167E88"/>
    <w:rsid w:val="00167EB8"/>
    <w:rsid w:val="00170090"/>
    <w:rsid w:val="0017009F"/>
    <w:rsid w:val="001700DB"/>
    <w:rsid w:val="00170129"/>
    <w:rsid w:val="0017017D"/>
    <w:rsid w:val="00170190"/>
    <w:rsid w:val="001703AB"/>
    <w:rsid w:val="00170512"/>
    <w:rsid w:val="001705F3"/>
    <w:rsid w:val="00170604"/>
    <w:rsid w:val="00170668"/>
    <w:rsid w:val="001707C0"/>
    <w:rsid w:val="00170818"/>
    <w:rsid w:val="00170842"/>
    <w:rsid w:val="00170843"/>
    <w:rsid w:val="00170A2C"/>
    <w:rsid w:val="00170AA8"/>
    <w:rsid w:val="00170CBC"/>
    <w:rsid w:val="00170D58"/>
    <w:rsid w:val="00170D73"/>
    <w:rsid w:val="00170F2B"/>
    <w:rsid w:val="00170FB4"/>
    <w:rsid w:val="00170FF3"/>
    <w:rsid w:val="00170FF4"/>
    <w:rsid w:val="0017111A"/>
    <w:rsid w:val="001711EA"/>
    <w:rsid w:val="0017125D"/>
    <w:rsid w:val="00171273"/>
    <w:rsid w:val="00171345"/>
    <w:rsid w:val="00171413"/>
    <w:rsid w:val="00171523"/>
    <w:rsid w:val="001715D9"/>
    <w:rsid w:val="001719FB"/>
    <w:rsid w:val="00171B36"/>
    <w:rsid w:val="00171BA3"/>
    <w:rsid w:val="00171C0A"/>
    <w:rsid w:val="00171DCE"/>
    <w:rsid w:val="00171F7D"/>
    <w:rsid w:val="001720A3"/>
    <w:rsid w:val="001720DB"/>
    <w:rsid w:val="00172194"/>
    <w:rsid w:val="001721D0"/>
    <w:rsid w:val="0017224D"/>
    <w:rsid w:val="001722B8"/>
    <w:rsid w:val="00172372"/>
    <w:rsid w:val="00172470"/>
    <w:rsid w:val="00172513"/>
    <w:rsid w:val="00172528"/>
    <w:rsid w:val="0017252E"/>
    <w:rsid w:val="00172575"/>
    <w:rsid w:val="001725C2"/>
    <w:rsid w:val="001725E3"/>
    <w:rsid w:val="001726CD"/>
    <w:rsid w:val="001726DD"/>
    <w:rsid w:val="001726F5"/>
    <w:rsid w:val="0017274A"/>
    <w:rsid w:val="00172991"/>
    <w:rsid w:val="00172B9B"/>
    <w:rsid w:val="00172BC6"/>
    <w:rsid w:val="00172C35"/>
    <w:rsid w:val="00172C90"/>
    <w:rsid w:val="00172D2F"/>
    <w:rsid w:val="00172FB1"/>
    <w:rsid w:val="00172FCA"/>
    <w:rsid w:val="00173118"/>
    <w:rsid w:val="00173159"/>
    <w:rsid w:val="00173271"/>
    <w:rsid w:val="001732A9"/>
    <w:rsid w:val="00173544"/>
    <w:rsid w:val="0017360D"/>
    <w:rsid w:val="00173698"/>
    <w:rsid w:val="00173810"/>
    <w:rsid w:val="001738B4"/>
    <w:rsid w:val="00173944"/>
    <w:rsid w:val="00173A75"/>
    <w:rsid w:val="00173A9F"/>
    <w:rsid w:val="00173B0E"/>
    <w:rsid w:val="00173B13"/>
    <w:rsid w:val="00173B56"/>
    <w:rsid w:val="00173BD6"/>
    <w:rsid w:val="00173C35"/>
    <w:rsid w:val="00173EB8"/>
    <w:rsid w:val="00173F32"/>
    <w:rsid w:val="001740C6"/>
    <w:rsid w:val="001740C7"/>
    <w:rsid w:val="00174100"/>
    <w:rsid w:val="0017429C"/>
    <w:rsid w:val="0017430E"/>
    <w:rsid w:val="0017435E"/>
    <w:rsid w:val="0017447A"/>
    <w:rsid w:val="001745C8"/>
    <w:rsid w:val="00174A94"/>
    <w:rsid w:val="00174CC8"/>
    <w:rsid w:val="00174D0E"/>
    <w:rsid w:val="00174D1D"/>
    <w:rsid w:val="00174D62"/>
    <w:rsid w:val="00174E94"/>
    <w:rsid w:val="00174E95"/>
    <w:rsid w:val="00175029"/>
    <w:rsid w:val="0017502D"/>
    <w:rsid w:val="001753FB"/>
    <w:rsid w:val="001756AE"/>
    <w:rsid w:val="00175778"/>
    <w:rsid w:val="0017579E"/>
    <w:rsid w:val="001757B5"/>
    <w:rsid w:val="00175981"/>
    <w:rsid w:val="001759A7"/>
    <w:rsid w:val="00175A52"/>
    <w:rsid w:val="00175A9D"/>
    <w:rsid w:val="00175BCE"/>
    <w:rsid w:val="00175CAF"/>
    <w:rsid w:val="00175D3C"/>
    <w:rsid w:val="00175EA1"/>
    <w:rsid w:val="00175EBD"/>
    <w:rsid w:val="00175EF5"/>
    <w:rsid w:val="00175F50"/>
    <w:rsid w:val="00175FED"/>
    <w:rsid w:val="00176032"/>
    <w:rsid w:val="00176107"/>
    <w:rsid w:val="001761A9"/>
    <w:rsid w:val="001761B8"/>
    <w:rsid w:val="001761EB"/>
    <w:rsid w:val="0017620F"/>
    <w:rsid w:val="0017624B"/>
    <w:rsid w:val="0017625D"/>
    <w:rsid w:val="00176281"/>
    <w:rsid w:val="0017628F"/>
    <w:rsid w:val="001762E4"/>
    <w:rsid w:val="0017642F"/>
    <w:rsid w:val="001764EE"/>
    <w:rsid w:val="0017660C"/>
    <w:rsid w:val="0017672F"/>
    <w:rsid w:val="00176761"/>
    <w:rsid w:val="001767B9"/>
    <w:rsid w:val="00176923"/>
    <w:rsid w:val="0017696B"/>
    <w:rsid w:val="00176970"/>
    <w:rsid w:val="0017697F"/>
    <w:rsid w:val="00176A0D"/>
    <w:rsid w:val="00176A1F"/>
    <w:rsid w:val="00176A62"/>
    <w:rsid w:val="00176AC7"/>
    <w:rsid w:val="00176B22"/>
    <w:rsid w:val="00176B49"/>
    <w:rsid w:val="00176CEC"/>
    <w:rsid w:val="00176D60"/>
    <w:rsid w:val="00176E59"/>
    <w:rsid w:val="0017705C"/>
    <w:rsid w:val="0017706D"/>
    <w:rsid w:val="0017709F"/>
    <w:rsid w:val="001770E7"/>
    <w:rsid w:val="00177126"/>
    <w:rsid w:val="0017719C"/>
    <w:rsid w:val="00177244"/>
    <w:rsid w:val="001772D2"/>
    <w:rsid w:val="00177370"/>
    <w:rsid w:val="001773B2"/>
    <w:rsid w:val="00177441"/>
    <w:rsid w:val="00177463"/>
    <w:rsid w:val="001774CC"/>
    <w:rsid w:val="00177530"/>
    <w:rsid w:val="00177533"/>
    <w:rsid w:val="00177604"/>
    <w:rsid w:val="0017761F"/>
    <w:rsid w:val="00177668"/>
    <w:rsid w:val="00177792"/>
    <w:rsid w:val="00177795"/>
    <w:rsid w:val="001777EF"/>
    <w:rsid w:val="001778F9"/>
    <w:rsid w:val="001779C9"/>
    <w:rsid w:val="00177AF5"/>
    <w:rsid w:val="00177B23"/>
    <w:rsid w:val="00177B91"/>
    <w:rsid w:val="00177C05"/>
    <w:rsid w:val="00177C78"/>
    <w:rsid w:val="00177E00"/>
    <w:rsid w:val="00177E06"/>
    <w:rsid w:val="00177ED3"/>
    <w:rsid w:val="00177F21"/>
    <w:rsid w:val="001800D4"/>
    <w:rsid w:val="001801C0"/>
    <w:rsid w:val="001801C6"/>
    <w:rsid w:val="0018021A"/>
    <w:rsid w:val="00180259"/>
    <w:rsid w:val="001802D6"/>
    <w:rsid w:val="00180309"/>
    <w:rsid w:val="00180571"/>
    <w:rsid w:val="0018065C"/>
    <w:rsid w:val="0018078A"/>
    <w:rsid w:val="0018084D"/>
    <w:rsid w:val="00180857"/>
    <w:rsid w:val="00180890"/>
    <w:rsid w:val="00180892"/>
    <w:rsid w:val="00180900"/>
    <w:rsid w:val="00180A01"/>
    <w:rsid w:val="00180AD7"/>
    <w:rsid w:val="00180B28"/>
    <w:rsid w:val="00180BAB"/>
    <w:rsid w:val="00180CCA"/>
    <w:rsid w:val="00180D29"/>
    <w:rsid w:val="00180F20"/>
    <w:rsid w:val="0018105C"/>
    <w:rsid w:val="001810AD"/>
    <w:rsid w:val="00181199"/>
    <w:rsid w:val="001811E3"/>
    <w:rsid w:val="001811FE"/>
    <w:rsid w:val="0018123A"/>
    <w:rsid w:val="0018126A"/>
    <w:rsid w:val="0018127F"/>
    <w:rsid w:val="001813C0"/>
    <w:rsid w:val="0018140E"/>
    <w:rsid w:val="0018147C"/>
    <w:rsid w:val="001814D5"/>
    <w:rsid w:val="0018151E"/>
    <w:rsid w:val="00181609"/>
    <w:rsid w:val="00181663"/>
    <w:rsid w:val="001816E6"/>
    <w:rsid w:val="0018172C"/>
    <w:rsid w:val="0018174A"/>
    <w:rsid w:val="00181789"/>
    <w:rsid w:val="0018187B"/>
    <w:rsid w:val="001819B6"/>
    <w:rsid w:val="00181A5D"/>
    <w:rsid w:val="00181B5B"/>
    <w:rsid w:val="00181B5D"/>
    <w:rsid w:val="00181D75"/>
    <w:rsid w:val="00181DBA"/>
    <w:rsid w:val="00181FD8"/>
    <w:rsid w:val="00182007"/>
    <w:rsid w:val="00182210"/>
    <w:rsid w:val="0018223B"/>
    <w:rsid w:val="00182297"/>
    <w:rsid w:val="00182308"/>
    <w:rsid w:val="00182336"/>
    <w:rsid w:val="00182346"/>
    <w:rsid w:val="00182381"/>
    <w:rsid w:val="0018241E"/>
    <w:rsid w:val="001824B7"/>
    <w:rsid w:val="0018250B"/>
    <w:rsid w:val="001825A9"/>
    <w:rsid w:val="0018261F"/>
    <w:rsid w:val="00182686"/>
    <w:rsid w:val="001826D8"/>
    <w:rsid w:val="001827EB"/>
    <w:rsid w:val="00182851"/>
    <w:rsid w:val="0018287F"/>
    <w:rsid w:val="00182909"/>
    <w:rsid w:val="00182996"/>
    <w:rsid w:val="00182A3D"/>
    <w:rsid w:val="00182AF0"/>
    <w:rsid w:val="00182BA9"/>
    <w:rsid w:val="00182BD2"/>
    <w:rsid w:val="00182C4E"/>
    <w:rsid w:val="00182CA2"/>
    <w:rsid w:val="00182CBB"/>
    <w:rsid w:val="00182E66"/>
    <w:rsid w:val="00182EB8"/>
    <w:rsid w:val="00182FEC"/>
    <w:rsid w:val="00183044"/>
    <w:rsid w:val="00183062"/>
    <w:rsid w:val="00183087"/>
    <w:rsid w:val="001830EA"/>
    <w:rsid w:val="00183111"/>
    <w:rsid w:val="00183141"/>
    <w:rsid w:val="00183174"/>
    <w:rsid w:val="001832BE"/>
    <w:rsid w:val="001833DA"/>
    <w:rsid w:val="00183402"/>
    <w:rsid w:val="001834C9"/>
    <w:rsid w:val="00183577"/>
    <w:rsid w:val="001835AA"/>
    <w:rsid w:val="001836B7"/>
    <w:rsid w:val="00183804"/>
    <w:rsid w:val="001838C8"/>
    <w:rsid w:val="00183988"/>
    <w:rsid w:val="0018398F"/>
    <w:rsid w:val="00183A4C"/>
    <w:rsid w:val="00183A73"/>
    <w:rsid w:val="00183B20"/>
    <w:rsid w:val="00183B69"/>
    <w:rsid w:val="00183B85"/>
    <w:rsid w:val="00183BC3"/>
    <w:rsid w:val="00183BCF"/>
    <w:rsid w:val="00183CB0"/>
    <w:rsid w:val="00183D34"/>
    <w:rsid w:val="00183D61"/>
    <w:rsid w:val="00183E63"/>
    <w:rsid w:val="00183EF8"/>
    <w:rsid w:val="00184005"/>
    <w:rsid w:val="00184054"/>
    <w:rsid w:val="00184078"/>
    <w:rsid w:val="0018409D"/>
    <w:rsid w:val="001840EE"/>
    <w:rsid w:val="00184175"/>
    <w:rsid w:val="001841BF"/>
    <w:rsid w:val="001841D6"/>
    <w:rsid w:val="0018422C"/>
    <w:rsid w:val="0018424E"/>
    <w:rsid w:val="00184287"/>
    <w:rsid w:val="0018438E"/>
    <w:rsid w:val="0018449F"/>
    <w:rsid w:val="00184504"/>
    <w:rsid w:val="001845F3"/>
    <w:rsid w:val="00184630"/>
    <w:rsid w:val="00184632"/>
    <w:rsid w:val="00184709"/>
    <w:rsid w:val="00184744"/>
    <w:rsid w:val="00184A3B"/>
    <w:rsid w:val="00184BCE"/>
    <w:rsid w:val="00184C63"/>
    <w:rsid w:val="00184C68"/>
    <w:rsid w:val="00184D0A"/>
    <w:rsid w:val="00184E7F"/>
    <w:rsid w:val="00184F15"/>
    <w:rsid w:val="00184F9C"/>
    <w:rsid w:val="00184FAF"/>
    <w:rsid w:val="00185003"/>
    <w:rsid w:val="00185175"/>
    <w:rsid w:val="00185239"/>
    <w:rsid w:val="0018526F"/>
    <w:rsid w:val="001852E1"/>
    <w:rsid w:val="00185331"/>
    <w:rsid w:val="00185379"/>
    <w:rsid w:val="001853E6"/>
    <w:rsid w:val="001853F5"/>
    <w:rsid w:val="00185526"/>
    <w:rsid w:val="00185565"/>
    <w:rsid w:val="00185615"/>
    <w:rsid w:val="00185673"/>
    <w:rsid w:val="0018576E"/>
    <w:rsid w:val="001857B1"/>
    <w:rsid w:val="001857FE"/>
    <w:rsid w:val="001859F6"/>
    <w:rsid w:val="00185B8E"/>
    <w:rsid w:val="00185CFD"/>
    <w:rsid w:val="00185D95"/>
    <w:rsid w:val="00185DEA"/>
    <w:rsid w:val="00185EE5"/>
    <w:rsid w:val="00185F98"/>
    <w:rsid w:val="00185FF2"/>
    <w:rsid w:val="0018601C"/>
    <w:rsid w:val="00186064"/>
    <w:rsid w:val="001860B7"/>
    <w:rsid w:val="0018610A"/>
    <w:rsid w:val="0018617F"/>
    <w:rsid w:val="001861CC"/>
    <w:rsid w:val="00186298"/>
    <w:rsid w:val="00186342"/>
    <w:rsid w:val="0018634D"/>
    <w:rsid w:val="0018635B"/>
    <w:rsid w:val="00186413"/>
    <w:rsid w:val="00186470"/>
    <w:rsid w:val="0018663F"/>
    <w:rsid w:val="00186954"/>
    <w:rsid w:val="001869F8"/>
    <w:rsid w:val="00186A2A"/>
    <w:rsid w:val="00186A98"/>
    <w:rsid w:val="00186AC2"/>
    <w:rsid w:val="00186B42"/>
    <w:rsid w:val="00186EFC"/>
    <w:rsid w:val="00186FAC"/>
    <w:rsid w:val="001870E3"/>
    <w:rsid w:val="001870FD"/>
    <w:rsid w:val="00187155"/>
    <w:rsid w:val="001871B0"/>
    <w:rsid w:val="00187262"/>
    <w:rsid w:val="001872DA"/>
    <w:rsid w:val="00187337"/>
    <w:rsid w:val="0018740A"/>
    <w:rsid w:val="00187432"/>
    <w:rsid w:val="001874B6"/>
    <w:rsid w:val="00187609"/>
    <w:rsid w:val="0018763A"/>
    <w:rsid w:val="00187653"/>
    <w:rsid w:val="001876D6"/>
    <w:rsid w:val="00187731"/>
    <w:rsid w:val="00187958"/>
    <w:rsid w:val="001879C0"/>
    <w:rsid w:val="00187A22"/>
    <w:rsid w:val="00187B7A"/>
    <w:rsid w:val="00187C22"/>
    <w:rsid w:val="00187C6D"/>
    <w:rsid w:val="00187D28"/>
    <w:rsid w:val="00187DE4"/>
    <w:rsid w:val="00187E9F"/>
    <w:rsid w:val="00187FEB"/>
    <w:rsid w:val="00190006"/>
    <w:rsid w:val="00190200"/>
    <w:rsid w:val="001904F8"/>
    <w:rsid w:val="00190525"/>
    <w:rsid w:val="00190573"/>
    <w:rsid w:val="00190877"/>
    <w:rsid w:val="00190896"/>
    <w:rsid w:val="001908D5"/>
    <w:rsid w:val="00190B65"/>
    <w:rsid w:val="00190CFC"/>
    <w:rsid w:val="00190D6C"/>
    <w:rsid w:val="00190E94"/>
    <w:rsid w:val="00190EB1"/>
    <w:rsid w:val="00190ED4"/>
    <w:rsid w:val="00191121"/>
    <w:rsid w:val="00191140"/>
    <w:rsid w:val="0019119A"/>
    <w:rsid w:val="001912CC"/>
    <w:rsid w:val="00191305"/>
    <w:rsid w:val="00191320"/>
    <w:rsid w:val="0019138D"/>
    <w:rsid w:val="00191402"/>
    <w:rsid w:val="001914BF"/>
    <w:rsid w:val="001914D5"/>
    <w:rsid w:val="00191577"/>
    <w:rsid w:val="0019158D"/>
    <w:rsid w:val="0019160B"/>
    <w:rsid w:val="0019164B"/>
    <w:rsid w:val="0019165B"/>
    <w:rsid w:val="001916FB"/>
    <w:rsid w:val="0019171B"/>
    <w:rsid w:val="001917C8"/>
    <w:rsid w:val="001918EE"/>
    <w:rsid w:val="00191A64"/>
    <w:rsid w:val="00191B0C"/>
    <w:rsid w:val="00191B6B"/>
    <w:rsid w:val="00191C02"/>
    <w:rsid w:val="00191C48"/>
    <w:rsid w:val="00191C93"/>
    <w:rsid w:val="00191D64"/>
    <w:rsid w:val="00191E08"/>
    <w:rsid w:val="00192033"/>
    <w:rsid w:val="0019220C"/>
    <w:rsid w:val="00192258"/>
    <w:rsid w:val="001922D7"/>
    <w:rsid w:val="00192335"/>
    <w:rsid w:val="00192378"/>
    <w:rsid w:val="00192465"/>
    <w:rsid w:val="001924B3"/>
    <w:rsid w:val="001925C6"/>
    <w:rsid w:val="001925FB"/>
    <w:rsid w:val="00192658"/>
    <w:rsid w:val="00192791"/>
    <w:rsid w:val="00192963"/>
    <w:rsid w:val="00192A25"/>
    <w:rsid w:val="00192BCC"/>
    <w:rsid w:val="00192D04"/>
    <w:rsid w:val="00192D1E"/>
    <w:rsid w:val="00192D49"/>
    <w:rsid w:val="00192E0D"/>
    <w:rsid w:val="00192EB4"/>
    <w:rsid w:val="00192F16"/>
    <w:rsid w:val="00192F58"/>
    <w:rsid w:val="00192FD3"/>
    <w:rsid w:val="00193029"/>
    <w:rsid w:val="0019306A"/>
    <w:rsid w:val="001930B4"/>
    <w:rsid w:val="00193128"/>
    <w:rsid w:val="0019314A"/>
    <w:rsid w:val="00193177"/>
    <w:rsid w:val="0019326F"/>
    <w:rsid w:val="0019331A"/>
    <w:rsid w:val="001933FC"/>
    <w:rsid w:val="001934C3"/>
    <w:rsid w:val="00193584"/>
    <w:rsid w:val="001936CC"/>
    <w:rsid w:val="001937A4"/>
    <w:rsid w:val="0019389A"/>
    <w:rsid w:val="001938D2"/>
    <w:rsid w:val="00193979"/>
    <w:rsid w:val="001939EE"/>
    <w:rsid w:val="00193A16"/>
    <w:rsid w:val="00193AD5"/>
    <w:rsid w:val="00193B3F"/>
    <w:rsid w:val="00193BE5"/>
    <w:rsid w:val="00193D32"/>
    <w:rsid w:val="00193D37"/>
    <w:rsid w:val="00193DA8"/>
    <w:rsid w:val="00193E47"/>
    <w:rsid w:val="00193F3B"/>
    <w:rsid w:val="00193F48"/>
    <w:rsid w:val="001940FA"/>
    <w:rsid w:val="00194161"/>
    <w:rsid w:val="0019420C"/>
    <w:rsid w:val="00194267"/>
    <w:rsid w:val="001942A6"/>
    <w:rsid w:val="0019463F"/>
    <w:rsid w:val="0019465C"/>
    <w:rsid w:val="0019466E"/>
    <w:rsid w:val="00194799"/>
    <w:rsid w:val="0019479E"/>
    <w:rsid w:val="001947B7"/>
    <w:rsid w:val="00194853"/>
    <w:rsid w:val="00194883"/>
    <w:rsid w:val="0019489D"/>
    <w:rsid w:val="0019490A"/>
    <w:rsid w:val="00194918"/>
    <w:rsid w:val="00194924"/>
    <w:rsid w:val="00194B37"/>
    <w:rsid w:val="00194BBA"/>
    <w:rsid w:val="00194DD2"/>
    <w:rsid w:val="00194E70"/>
    <w:rsid w:val="00194F87"/>
    <w:rsid w:val="001950B5"/>
    <w:rsid w:val="001951BB"/>
    <w:rsid w:val="00195202"/>
    <w:rsid w:val="0019544F"/>
    <w:rsid w:val="00195482"/>
    <w:rsid w:val="001954A9"/>
    <w:rsid w:val="001955F7"/>
    <w:rsid w:val="001957BB"/>
    <w:rsid w:val="0019589C"/>
    <w:rsid w:val="00195949"/>
    <w:rsid w:val="00195984"/>
    <w:rsid w:val="001959F9"/>
    <w:rsid w:val="00195C34"/>
    <w:rsid w:val="00195C57"/>
    <w:rsid w:val="00195D01"/>
    <w:rsid w:val="00195D06"/>
    <w:rsid w:val="00195D55"/>
    <w:rsid w:val="00195D9C"/>
    <w:rsid w:val="00195DD2"/>
    <w:rsid w:val="00195EEF"/>
    <w:rsid w:val="00195FD9"/>
    <w:rsid w:val="0019601B"/>
    <w:rsid w:val="001960DF"/>
    <w:rsid w:val="00196298"/>
    <w:rsid w:val="001962CF"/>
    <w:rsid w:val="001963DF"/>
    <w:rsid w:val="001964FE"/>
    <w:rsid w:val="0019662B"/>
    <w:rsid w:val="0019674B"/>
    <w:rsid w:val="001967A4"/>
    <w:rsid w:val="00196830"/>
    <w:rsid w:val="00196862"/>
    <w:rsid w:val="0019689D"/>
    <w:rsid w:val="00196A0F"/>
    <w:rsid w:val="00196A6F"/>
    <w:rsid w:val="00196A81"/>
    <w:rsid w:val="00196BA1"/>
    <w:rsid w:val="00196C0E"/>
    <w:rsid w:val="00196C62"/>
    <w:rsid w:val="00196E51"/>
    <w:rsid w:val="00196EF8"/>
    <w:rsid w:val="00196FCD"/>
    <w:rsid w:val="00197021"/>
    <w:rsid w:val="00197095"/>
    <w:rsid w:val="001970EF"/>
    <w:rsid w:val="0019732A"/>
    <w:rsid w:val="00197418"/>
    <w:rsid w:val="00197442"/>
    <w:rsid w:val="001977E2"/>
    <w:rsid w:val="001977F7"/>
    <w:rsid w:val="001978E1"/>
    <w:rsid w:val="0019795E"/>
    <w:rsid w:val="00197988"/>
    <w:rsid w:val="00197995"/>
    <w:rsid w:val="001979E5"/>
    <w:rsid w:val="001979EF"/>
    <w:rsid w:val="00197AAD"/>
    <w:rsid w:val="00197BD1"/>
    <w:rsid w:val="00197D32"/>
    <w:rsid w:val="00197D5A"/>
    <w:rsid w:val="00197DBA"/>
    <w:rsid w:val="00197E55"/>
    <w:rsid w:val="00197EC8"/>
    <w:rsid w:val="00197ED9"/>
    <w:rsid w:val="001A0032"/>
    <w:rsid w:val="001A008C"/>
    <w:rsid w:val="001A00F5"/>
    <w:rsid w:val="001A015E"/>
    <w:rsid w:val="001A0282"/>
    <w:rsid w:val="001A02D0"/>
    <w:rsid w:val="001A033B"/>
    <w:rsid w:val="001A0355"/>
    <w:rsid w:val="001A0357"/>
    <w:rsid w:val="001A0403"/>
    <w:rsid w:val="001A0435"/>
    <w:rsid w:val="001A0467"/>
    <w:rsid w:val="001A047D"/>
    <w:rsid w:val="001A0480"/>
    <w:rsid w:val="001A04A9"/>
    <w:rsid w:val="001A0550"/>
    <w:rsid w:val="001A057B"/>
    <w:rsid w:val="001A05DE"/>
    <w:rsid w:val="001A084D"/>
    <w:rsid w:val="001A08A3"/>
    <w:rsid w:val="001A09DA"/>
    <w:rsid w:val="001A0A28"/>
    <w:rsid w:val="001A0A62"/>
    <w:rsid w:val="001A0AA9"/>
    <w:rsid w:val="001A0B0A"/>
    <w:rsid w:val="001A0C16"/>
    <w:rsid w:val="001A0D66"/>
    <w:rsid w:val="001A0F19"/>
    <w:rsid w:val="001A0F43"/>
    <w:rsid w:val="001A0FBF"/>
    <w:rsid w:val="001A106B"/>
    <w:rsid w:val="001A119C"/>
    <w:rsid w:val="001A11D1"/>
    <w:rsid w:val="001A1340"/>
    <w:rsid w:val="001A15C6"/>
    <w:rsid w:val="001A1630"/>
    <w:rsid w:val="001A1637"/>
    <w:rsid w:val="001A16D0"/>
    <w:rsid w:val="001A1821"/>
    <w:rsid w:val="001A1BDD"/>
    <w:rsid w:val="001A1C92"/>
    <w:rsid w:val="001A1E91"/>
    <w:rsid w:val="001A206A"/>
    <w:rsid w:val="001A20D5"/>
    <w:rsid w:val="001A223C"/>
    <w:rsid w:val="001A2359"/>
    <w:rsid w:val="001A23D1"/>
    <w:rsid w:val="001A2595"/>
    <w:rsid w:val="001A2616"/>
    <w:rsid w:val="001A2655"/>
    <w:rsid w:val="001A265A"/>
    <w:rsid w:val="001A2686"/>
    <w:rsid w:val="001A26BF"/>
    <w:rsid w:val="001A26D7"/>
    <w:rsid w:val="001A27FD"/>
    <w:rsid w:val="001A2815"/>
    <w:rsid w:val="001A2848"/>
    <w:rsid w:val="001A29EC"/>
    <w:rsid w:val="001A2C4F"/>
    <w:rsid w:val="001A2D63"/>
    <w:rsid w:val="001A2E19"/>
    <w:rsid w:val="001A2FC4"/>
    <w:rsid w:val="001A2FED"/>
    <w:rsid w:val="001A303C"/>
    <w:rsid w:val="001A3054"/>
    <w:rsid w:val="001A31FC"/>
    <w:rsid w:val="001A3267"/>
    <w:rsid w:val="001A326C"/>
    <w:rsid w:val="001A329F"/>
    <w:rsid w:val="001A32AC"/>
    <w:rsid w:val="001A33F9"/>
    <w:rsid w:val="001A3418"/>
    <w:rsid w:val="001A3497"/>
    <w:rsid w:val="001A3551"/>
    <w:rsid w:val="001A356E"/>
    <w:rsid w:val="001A3571"/>
    <w:rsid w:val="001A358A"/>
    <w:rsid w:val="001A35C6"/>
    <w:rsid w:val="001A35DE"/>
    <w:rsid w:val="001A394B"/>
    <w:rsid w:val="001A395E"/>
    <w:rsid w:val="001A39FD"/>
    <w:rsid w:val="001A3BCB"/>
    <w:rsid w:val="001A3C40"/>
    <w:rsid w:val="001A3D99"/>
    <w:rsid w:val="001A3DB3"/>
    <w:rsid w:val="001A3DB9"/>
    <w:rsid w:val="001A3E05"/>
    <w:rsid w:val="001A3E90"/>
    <w:rsid w:val="001A41A5"/>
    <w:rsid w:val="001A4309"/>
    <w:rsid w:val="001A447F"/>
    <w:rsid w:val="001A449B"/>
    <w:rsid w:val="001A44B6"/>
    <w:rsid w:val="001A455E"/>
    <w:rsid w:val="001A46FD"/>
    <w:rsid w:val="001A47FD"/>
    <w:rsid w:val="001A4821"/>
    <w:rsid w:val="001A4984"/>
    <w:rsid w:val="001A4BC3"/>
    <w:rsid w:val="001A4D0D"/>
    <w:rsid w:val="001A4D3E"/>
    <w:rsid w:val="001A4D41"/>
    <w:rsid w:val="001A4DC9"/>
    <w:rsid w:val="001A4DE9"/>
    <w:rsid w:val="001A4E2A"/>
    <w:rsid w:val="001A4EBC"/>
    <w:rsid w:val="001A501B"/>
    <w:rsid w:val="001A509F"/>
    <w:rsid w:val="001A519B"/>
    <w:rsid w:val="001A51BB"/>
    <w:rsid w:val="001A5239"/>
    <w:rsid w:val="001A5248"/>
    <w:rsid w:val="001A525E"/>
    <w:rsid w:val="001A527D"/>
    <w:rsid w:val="001A52CE"/>
    <w:rsid w:val="001A536F"/>
    <w:rsid w:val="001A53C8"/>
    <w:rsid w:val="001A544D"/>
    <w:rsid w:val="001A5599"/>
    <w:rsid w:val="001A5696"/>
    <w:rsid w:val="001A5702"/>
    <w:rsid w:val="001A571F"/>
    <w:rsid w:val="001A57A0"/>
    <w:rsid w:val="001A590B"/>
    <w:rsid w:val="001A5968"/>
    <w:rsid w:val="001A5A17"/>
    <w:rsid w:val="001A5A24"/>
    <w:rsid w:val="001A5A65"/>
    <w:rsid w:val="001A5A72"/>
    <w:rsid w:val="001A5A9B"/>
    <w:rsid w:val="001A5B06"/>
    <w:rsid w:val="001A5BEF"/>
    <w:rsid w:val="001A5C04"/>
    <w:rsid w:val="001A5C5C"/>
    <w:rsid w:val="001A5D51"/>
    <w:rsid w:val="001A5DF8"/>
    <w:rsid w:val="001A5EBE"/>
    <w:rsid w:val="001A5F50"/>
    <w:rsid w:val="001A600D"/>
    <w:rsid w:val="001A6050"/>
    <w:rsid w:val="001A60B4"/>
    <w:rsid w:val="001A60DA"/>
    <w:rsid w:val="001A6279"/>
    <w:rsid w:val="001A6519"/>
    <w:rsid w:val="001A65C1"/>
    <w:rsid w:val="001A6835"/>
    <w:rsid w:val="001A683A"/>
    <w:rsid w:val="001A6867"/>
    <w:rsid w:val="001A686B"/>
    <w:rsid w:val="001A69CC"/>
    <w:rsid w:val="001A6A1A"/>
    <w:rsid w:val="001A6A69"/>
    <w:rsid w:val="001A6BB1"/>
    <w:rsid w:val="001A6CA8"/>
    <w:rsid w:val="001A6E54"/>
    <w:rsid w:val="001A6E89"/>
    <w:rsid w:val="001A6E9F"/>
    <w:rsid w:val="001A6F92"/>
    <w:rsid w:val="001A6FEB"/>
    <w:rsid w:val="001A7072"/>
    <w:rsid w:val="001A70C2"/>
    <w:rsid w:val="001A72A7"/>
    <w:rsid w:val="001A72B8"/>
    <w:rsid w:val="001A7319"/>
    <w:rsid w:val="001A73C2"/>
    <w:rsid w:val="001A74AE"/>
    <w:rsid w:val="001A74DD"/>
    <w:rsid w:val="001A7622"/>
    <w:rsid w:val="001A76AD"/>
    <w:rsid w:val="001A776D"/>
    <w:rsid w:val="001A77C4"/>
    <w:rsid w:val="001A7816"/>
    <w:rsid w:val="001A78D3"/>
    <w:rsid w:val="001A7997"/>
    <w:rsid w:val="001A7A3F"/>
    <w:rsid w:val="001A7AAA"/>
    <w:rsid w:val="001A7B2E"/>
    <w:rsid w:val="001A7B34"/>
    <w:rsid w:val="001A7B43"/>
    <w:rsid w:val="001A7B4D"/>
    <w:rsid w:val="001A7D4B"/>
    <w:rsid w:val="001A7DBA"/>
    <w:rsid w:val="001A7E58"/>
    <w:rsid w:val="001A7EF5"/>
    <w:rsid w:val="001A7FA0"/>
    <w:rsid w:val="001B0080"/>
    <w:rsid w:val="001B00CD"/>
    <w:rsid w:val="001B014D"/>
    <w:rsid w:val="001B0293"/>
    <w:rsid w:val="001B05FF"/>
    <w:rsid w:val="001B06BF"/>
    <w:rsid w:val="001B0730"/>
    <w:rsid w:val="001B0806"/>
    <w:rsid w:val="001B084B"/>
    <w:rsid w:val="001B0A54"/>
    <w:rsid w:val="001B0B7D"/>
    <w:rsid w:val="001B0BD4"/>
    <w:rsid w:val="001B0C64"/>
    <w:rsid w:val="001B0D62"/>
    <w:rsid w:val="001B0E46"/>
    <w:rsid w:val="001B0EA9"/>
    <w:rsid w:val="001B0EE5"/>
    <w:rsid w:val="001B0F14"/>
    <w:rsid w:val="001B0F20"/>
    <w:rsid w:val="001B1003"/>
    <w:rsid w:val="001B1097"/>
    <w:rsid w:val="001B1189"/>
    <w:rsid w:val="001B1236"/>
    <w:rsid w:val="001B14E8"/>
    <w:rsid w:val="001B15CE"/>
    <w:rsid w:val="001B1615"/>
    <w:rsid w:val="001B1644"/>
    <w:rsid w:val="001B1679"/>
    <w:rsid w:val="001B1783"/>
    <w:rsid w:val="001B18AF"/>
    <w:rsid w:val="001B1969"/>
    <w:rsid w:val="001B1B5C"/>
    <w:rsid w:val="001B1D59"/>
    <w:rsid w:val="001B20E0"/>
    <w:rsid w:val="001B2112"/>
    <w:rsid w:val="001B21D1"/>
    <w:rsid w:val="001B21DB"/>
    <w:rsid w:val="001B22AC"/>
    <w:rsid w:val="001B22B1"/>
    <w:rsid w:val="001B22B2"/>
    <w:rsid w:val="001B22F1"/>
    <w:rsid w:val="001B230A"/>
    <w:rsid w:val="001B2408"/>
    <w:rsid w:val="001B2422"/>
    <w:rsid w:val="001B249E"/>
    <w:rsid w:val="001B251A"/>
    <w:rsid w:val="001B258F"/>
    <w:rsid w:val="001B25AF"/>
    <w:rsid w:val="001B262C"/>
    <w:rsid w:val="001B2650"/>
    <w:rsid w:val="001B2692"/>
    <w:rsid w:val="001B27C1"/>
    <w:rsid w:val="001B27FC"/>
    <w:rsid w:val="001B2803"/>
    <w:rsid w:val="001B2B04"/>
    <w:rsid w:val="001B2B29"/>
    <w:rsid w:val="001B2B3A"/>
    <w:rsid w:val="001B2C5F"/>
    <w:rsid w:val="001B2CAE"/>
    <w:rsid w:val="001B2D0E"/>
    <w:rsid w:val="001B2DC4"/>
    <w:rsid w:val="001B2F15"/>
    <w:rsid w:val="001B2F1D"/>
    <w:rsid w:val="001B2F77"/>
    <w:rsid w:val="001B302F"/>
    <w:rsid w:val="001B3090"/>
    <w:rsid w:val="001B3091"/>
    <w:rsid w:val="001B3129"/>
    <w:rsid w:val="001B31D9"/>
    <w:rsid w:val="001B3349"/>
    <w:rsid w:val="001B33C3"/>
    <w:rsid w:val="001B340B"/>
    <w:rsid w:val="001B3491"/>
    <w:rsid w:val="001B357E"/>
    <w:rsid w:val="001B35F2"/>
    <w:rsid w:val="001B3645"/>
    <w:rsid w:val="001B3878"/>
    <w:rsid w:val="001B3A7C"/>
    <w:rsid w:val="001B3C94"/>
    <w:rsid w:val="001B3D2B"/>
    <w:rsid w:val="001B3DFA"/>
    <w:rsid w:val="001B3F1C"/>
    <w:rsid w:val="001B3F22"/>
    <w:rsid w:val="001B3F4F"/>
    <w:rsid w:val="001B40F2"/>
    <w:rsid w:val="001B41EC"/>
    <w:rsid w:val="001B428B"/>
    <w:rsid w:val="001B4522"/>
    <w:rsid w:val="001B456B"/>
    <w:rsid w:val="001B45E7"/>
    <w:rsid w:val="001B46FE"/>
    <w:rsid w:val="001B4918"/>
    <w:rsid w:val="001B49F9"/>
    <w:rsid w:val="001B4B0F"/>
    <w:rsid w:val="001B4D82"/>
    <w:rsid w:val="001B4DB5"/>
    <w:rsid w:val="001B4E9E"/>
    <w:rsid w:val="001B4F32"/>
    <w:rsid w:val="001B4F80"/>
    <w:rsid w:val="001B4FBF"/>
    <w:rsid w:val="001B510C"/>
    <w:rsid w:val="001B5164"/>
    <w:rsid w:val="001B518A"/>
    <w:rsid w:val="001B51FA"/>
    <w:rsid w:val="001B53C6"/>
    <w:rsid w:val="001B54B1"/>
    <w:rsid w:val="001B5503"/>
    <w:rsid w:val="001B5532"/>
    <w:rsid w:val="001B5548"/>
    <w:rsid w:val="001B5810"/>
    <w:rsid w:val="001B5836"/>
    <w:rsid w:val="001B5902"/>
    <w:rsid w:val="001B591A"/>
    <w:rsid w:val="001B59AE"/>
    <w:rsid w:val="001B5B3A"/>
    <w:rsid w:val="001B5CC5"/>
    <w:rsid w:val="001B6076"/>
    <w:rsid w:val="001B609B"/>
    <w:rsid w:val="001B6123"/>
    <w:rsid w:val="001B618E"/>
    <w:rsid w:val="001B6337"/>
    <w:rsid w:val="001B6384"/>
    <w:rsid w:val="001B63AF"/>
    <w:rsid w:val="001B649B"/>
    <w:rsid w:val="001B64A6"/>
    <w:rsid w:val="001B6560"/>
    <w:rsid w:val="001B65C3"/>
    <w:rsid w:val="001B670A"/>
    <w:rsid w:val="001B6751"/>
    <w:rsid w:val="001B67A8"/>
    <w:rsid w:val="001B6837"/>
    <w:rsid w:val="001B68F5"/>
    <w:rsid w:val="001B69EA"/>
    <w:rsid w:val="001B6A32"/>
    <w:rsid w:val="001B6A9D"/>
    <w:rsid w:val="001B6AC6"/>
    <w:rsid w:val="001B6B2E"/>
    <w:rsid w:val="001B6C33"/>
    <w:rsid w:val="001B6CD3"/>
    <w:rsid w:val="001B6DD0"/>
    <w:rsid w:val="001B6E0D"/>
    <w:rsid w:val="001B6EAC"/>
    <w:rsid w:val="001B6EAD"/>
    <w:rsid w:val="001B7025"/>
    <w:rsid w:val="001B72DB"/>
    <w:rsid w:val="001B7300"/>
    <w:rsid w:val="001B73DD"/>
    <w:rsid w:val="001B7406"/>
    <w:rsid w:val="001B7418"/>
    <w:rsid w:val="001B74F4"/>
    <w:rsid w:val="001B7556"/>
    <w:rsid w:val="001B7576"/>
    <w:rsid w:val="001B767C"/>
    <w:rsid w:val="001B7791"/>
    <w:rsid w:val="001B7831"/>
    <w:rsid w:val="001B7838"/>
    <w:rsid w:val="001B7938"/>
    <w:rsid w:val="001B7968"/>
    <w:rsid w:val="001B7A50"/>
    <w:rsid w:val="001B7AA7"/>
    <w:rsid w:val="001B7B6F"/>
    <w:rsid w:val="001B7BF0"/>
    <w:rsid w:val="001B7CD3"/>
    <w:rsid w:val="001B7CEF"/>
    <w:rsid w:val="001B7DB1"/>
    <w:rsid w:val="001B7F30"/>
    <w:rsid w:val="001B7FE6"/>
    <w:rsid w:val="001C0047"/>
    <w:rsid w:val="001C008A"/>
    <w:rsid w:val="001C00E1"/>
    <w:rsid w:val="001C02A0"/>
    <w:rsid w:val="001C02A3"/>
    <w:rsid w:val="001C03FC"/>
    <w:rsid w:val="001C04E5"/>
    <w:rsid w:val="001C060A"/>
    <w:rsid w:val="001C0637"/>
    <w:rsid w:val="001C0640"/>
    <w:rsid w:val="001C07B9"/>
    <w:rsid w:val="001C07BD"/>
    <w:rsid w:val="001C080F"/>
    <w:rsid w:val="001C087F"/>
    <w:rsid w:val="001C08B1"/>
    <w:rsid w:val="001C0A12"/>
    <w:rsid w:val="001C0A82"/>
    <w:rsid w:val="001C0DB7"/>
    <w:rsid w:val="001C0DF5"/>
    <w:rsid w:val="001C0E34"/>
    <w:rsid w:val="001C0EDC"/>
    <w:rsid w:val="001C0F0E"/>
    <w:rsid w:val="001C0F5A"/>
    <w:rsid w:val="001C0F9E"/>
    <w:rsid w:val="001C0FF1"/>
    <w:rsid w:val="001C10D5"/>
    <w:rsid w:val="001C10E9"/>
    <w:rsid w:val="001C1125"/>
    <w:rsid w:val="001C1148"/>
    <w:rsid w:val="001C119A"/>
    <w:rsid w:val="001C11E2"/>
    <w:rsid w:val="001C1286"/>
    <w:rsid w:val="001C12EB"/>
    <w:rsid w:val="001C13E2"/>
    <w:rsid w:val="001C1476"/>
    <w:rsid w:val="001C14C6"/>
    <w:rsid w:val="001C14ED"/>
    <w:rsid w:val="001C1507"/>
    <w:rsid w:val="001C1513"/>
    <w:rsid w:val="001C15F6"/>
    <w:rsid w:val="001C1707"/>
    <w:rsid w:val="001C1744"/>
    <w:rsid w:val="001C176C"/>
    <w:rsid w:val="001C1843"/>
    <w:rsid w:val="001C1847"/>
    <w:rsid w:val="001C18AA"/>
    <w:rsid w:val="001C191F"/>
    <w:rsid w:val="001C1C9A"/>
    <w:rsid w:val="001C1DD1"/>
    <w:rsid w:val="001C1E52"/>
    <w:rsid w:val="001C1F07"/>
    <w:rsid w:val="001C1FB9"/>
    <w:rsid w:val="001C1FC7"/>
    <w:rsid w:val="001C2056"/>
    <w:rsid w:val="001C207A"/>
    <w:rsid w:val="001C20ED"/>
    <w:rsid w:val="001C2142"/>
    <w:rsid w:val="001C2246"/>
    <w:rsid w:val="001C2394"/>
    <w:rsid w:val="001C23EE"/>
    <w:rsid w:val="001C2416"/>
    <w:rsid w:val="001C2547"/>
    <w:rsid w:val="001C2559"/>
    <w:rsid w:val="001C2685"/>
    <w:rsid w:val="001C27A3"/>
    <w:rsid w:val="001C2921"/>
    <w:rsid w:val="001C2AC1"/>
    <w:rsid w:val="001C2D0D"/>
    <w:rsid w:val="001C2D74"/>
    <w:rsid w:val="001C2E4B"/>
    <w:rsid w:val="001C2F4C"/>
    <w:rsid w:val="001C2FE8"/>
    <w:rsid w:val="001C2FF1"/>
    <w:rsid w:val="001C3196"/>
    <w:rsid w:val="001C319C"/>
    <w:rsid w:val="001C326A"/>
    <w:rsid w:val="001C3307"/>
    <w:rsid w:val="001C3327"/>
    <w:rsid w:val="001C3346"/>
    <w:rsid w:val="001C335D"/>
    <w:rsid w:val="001C3388"/>
    <w:rsid w:val="001C339A"/>
    <w:rsid w:val="001C3427"/>
    <w:rsid w:val="001C342A"/>
    <w:rsid w:val="001C348A"/>
    <w:rsid w:val="001C34CE"/>
    <w:rsid w:val="001C34E4"/>
    <w:rsid w:val="001C3581"/>
    <w:rsid w:val="001C35C6"/>
    <w:rsid w:val="001C3639"/>
    <w:rsid w:val="001C36F6"/>
    <w:rsid w:val="001C3770"/>
    <w:rsid w:val="001C3791"/>
    <w:rsid w:val="001C381A"/>
    <w:rsid w:val="001C3880"/>
    <w:rsid w:val="001C3A88"/>
    <w:rsid w:val="001C3BC7"/>
    <w:rsid w:val="001C3BE0"/>
    <w:rsid w:val="001C3C58"/>
    <w:rsid w:val="001C3D57"/>
    <w:rsid w:val="001C3E64"/>
    <w:rsid w:val="001C4020"/>
    <w:rsid w:val="001C40B3"/>
    <w:rsid w:val="001C40F0"/>
    <w:rsid w:val="001C413A"/>
    <w:rsid w:val="001C4151"/>
    <w:rsid w:val="001C4222"/>
    <w:rsid w:val="001C4277"/>
    <w:rsid w:val="001C43FF"/>
    <w:rsid w:val="001C4430"/>
    <w:rsid w:val="001C4436"/>
    <w:rsid w:val="001C44ED"/>
    <w:rsid w:val="001C45E8"/>
    <w:rsid w:val="001C4616"/>
    <w:rsid w:val="001C4687"/>
    <w:rsid w:val="001C46C6"/>
    <w:rsid w:val="001C48B0"/>
    <w:rsid w:val="001C48B4"/>
    <w:rsid w:val="001C497D"/>
    <w:rsid w:val="001C4C6D"/>
    <w:rsid w:val="001C4C7E"/>
    <w:rsid w:val="001C4C98"/>
    <w:rsid w:val="001C4CC4"/>
    <w:rsid w:val="001C4DE1"/>
    <w:rsid w:val="001C505A"/>
    <w:rsid w:val="001C50ED"/>
    <w:rsid w:val="001C5101"/>
    <w:rsid w:val="001C515E"/>
    <w:rsid w:val="001C52E2"/>
    <w:rsid w:val="001C52E8"/>
    <w:rsid w:val="001C5377"/>
    <w:rsid w:val="001C54EB"/>
    <w:rsid w:val="001C5580"/>
    <w:rsid w:val="001C5814"/>
    <w:rsid w:val="001C58E2"/>
    <w:rsid w:val="001C5A0F"/>
    <w:rsid w:val="001C5A14"/>
    <w:rsid w:val="001C5B64"/>
    <w:rsid w:val="001C5B71"/>
    <w:rsid w:val="001C5B9C"/>
    <w:rsid w:val="001C5C8E"/>
    <w:rsid w:val="001C5E71"/>
    <w:rsid w:val="001C603D"/>
    <w:rsid w:val="001C6158"/>
    <w:rsid w:val="001C6289"/>
    <w:rsid w:val="001C6292"/>
    <w:rsid w:val="001C62DA"/>
    <w:rsid w:val="001C632A"/>
    <w:rsid w:val="001C6346"/>
    <w:rsid w:val="001C6370"/>
    <w:rsid w:val="001C658F"/>
    <w:rsid w:val="001C65DB"/>
    <w:rsid w:val="001C6604"/>
    <w:rsid w:val="001C6769"/>
    <w:rsid w:val="001C67A6"/>
    <w:rsid w:val="001C67B1"/>
    <w:rsid w:val="001C6814"/>
    <w:rsid w:val="001C68DC"/>
    <w:rsid w:val="001C68ED"/>
    <w:rsid w:val="001C695C"/>
    <w:rsid w:val="001C69CC"/>
    <w:rsid w:val="001C6B78"/>
    <w:rsid w:val="001C6E9D"/>
    <w:rsid w:val="001C6EAA"/>
    <w:rsid w:val="001C6F6C"/>
    <w:rsid w:val="001C6F95"/>
    <w:rsid w:val="001C7122"/>
    <w:rsid w:val="001C720C"/>
    <w:rsid w:val="001C72EA"/>
    <w:rsid w:val="001C7318"/>
    <w:rsid w:val="001C735E"/>
    <w:rsid w:val="001C7370"/>
    <w:rsid w:val="001C73D0"/>
    <w:rsid w:val="001C7418"/>
    <w:rsid w:val="001C7477"/>
    <w:rsid w:val="001C7586"/>
    <w:rsid w:val="001C75F7"/>
    <w:rsid w:val="001C765E"/>
    <w:rsid w:val="001C7753"/>
    <w:rsid w:val="001C7777"/>
    <w:rsid w:val="001C77A1"/>
    <w:rsid w:val="001C77FD"/>
    <w:rsid w:val="001C7924"/>
    <w:rsid w:val="001C7953"/>
    <w:rsid w:val="001C79CA"/>
    <w:rsid w:val="001C7A02"/>
    <w:rsid w:val="001C7A3D"/>
    <w:rsid w:val="001C7A82"/>
    <w:rsid w:val="001C7C0E"/>
    <w:rsid w:val="001C7C52"/>
    <w:rsid w:val="001C7DCA"/>
    <w:rsid w:val="001C7F0F"/>
    <w:rsid w:val="001D001F"/>
    <w:rsid w:val="001D018B"/>
    <w:rsid w:val="001D01B5"/>
    <w:rsid w:val="001D01D9"/>
    <w:rsid w:val="001D02A8"/>
    <w:rsid w:val="001D03AC"/>
    <w:rsid w:val="001D03F3"/>
    <w:rsid w:val="001D03F6"/>
    <w:rsid w:val="001D0516"/>
    <w:rsid w:val="001D0672"/>
    <w:rsid w:val="001D0708"/>
    <w:rsid w:val="001D0762"/>
    <w:rsid w:val="001D07AD"/>
    <w:rsid w:val="001D0808"/>
    <w:rsid w:val="001D0A19"/>
    <w:rsid w:val="001D0A3D"/>
    <w:rsid w:val="001D0AAF"/>
    <w:rsid w:val="001D0B02"/>
    <w:rsid w:val="001D0B31"/>
    <w:rsid w:val="001D0BC7"/>
    <w:rsid w:val="001D0BEA"/>
    <w:rsid w:val="001D0D54"/>
    <w:rsid w:val="001D0FA5"/>
    <w:rsid w:val="001D1053"/>
    <w:rsid w:val="001D10FC"/>
    <w:rsid w:val="001D1294"/>
    <w:rsid w:val="001D12E9"/>
    <w:rsid w:val="001D1345"/>
    <w:rsid w:val="001D153D"/>
    <w:rsid w:val="001D15B4"/>
    <w:rsid w:val="001D15ED"/>
    <w:rsid w:val="001D1620"/>
    <w:rsid w:val="001D1645"/>
    <w:rsid w:val="001D1657"/>
    <w:rsid w:val="001D166E"/>
    <w:rsid w:val="001D1672"/>
    <w:rsid w:val="001D17D8"/>
    <w:rsid w:val="001D17DB"/>
    <w:rsid w:val="001D182A"/>
    <w:rsid w:val="001D1838"/>
    <w:rsid w:val="001D18AA"/>
    <w:rsid w:val="001D199B"/>
    <w:rsid w:val="001D19F2"/>
    <w:rsid w:val="001D1A73"/>
    <w:rsid w:val="001D1ABB"/>
    <w:rsid w:val="001D1AC1"/>
    <w:rsid w:val="001D1AD1"/>
    <w:rsid w:val="001D1C36"/>
    <w:rsid w:val="001D1D0C"/>
    <w:rsid w:val="001D1D13"/>
    <w:rsid w:val="001D1D54"/>
    <w:rsid w:val="001D1DBB"/>
    <w:rsid w:val="001D1DC9"/>
    <w:rsid w:val="001D2041"/>
    <w:rsid w:val="001D206E"/>
    <w:rsid w:val="001D22EB"/>
    <w:rsid w:val="001D2399"/>
    <w:rsid w:val="001D24D0"/>
    <w:rsid w:val="001D2684"/>
    <w:rsid w:val="001D2699"/>
    <w:rsid w:val="001D270F"/>
    <w:rsid w:val="001D2738"/>
    <w:rsid w:val="001D2739"/>
    <w:rsid w:val="001D283C"/>
    <w:rsid w:val="001D2864"/>
    <w:rsid w:val="001D297A"/>
    <w:rsid w:val="001D2A18"/>
    <w:rsid w:val="001D2A40"/>
    <w:rsid w:val="001D2A56"/>
    <w:rsid w:val="001D2A8E"/>
    <w:rsid w:val="001D2B53"/>
    <w:rsid w:val="001D2B5C"/>
    <w:rsid w:val="001D2C68"/>
    <w:rsid w:val="001D2CAD"/>
    <w:rsid w:val="001D2CCC"/>
    <w:rsid w:val="001D2FA3"/>
    <w:rsid w:val="001D30F3"/>
    <w:rsid w:val="001D311E"/>
    <w:rsid w:val="001D3120"/>
    <w:rsid w:val="001D3165"/>
    <w:rsid w:val="001D320A"/>
    <w:rsid w:val="001D3320"/>
    <w:rsid w:val="001D33CF"/>
    <w:rsid w:val="001D3407"/>
    <w:rsid w:val="001D343A"/>
    <w:rsid w:val="001D34E9"/>
    <w:rsid w:val="001D35BE"/>
    <w:rsid w:val="001D35F0"/>
    <w:rsid w:val="001D3614"/>
    <w:rsid w:val="001D3816"/>
    <w:rsid w:val="001D3923"/>
    <w:rsid w:val="001D3958"/>
    <w:rsid w:val="001D3A60"/>
    <w:rsid w:val="001D3B40"/>
    <w:rsid w:val="001D3C5B"/>
    <w:rsid w:val="001D3CA4"/>
    <w:rsid w:val="001D3DAF"/>
    <w:rsid w:val="001D3EAF"/>
    <w:rsid w:val="001D3F27"/>
    <w:rsid w:val="001D3F5E"/>
    <w:rsid w:val="001D3F7B"/>
    <w:rsid w:val="001D4146"/>
    <w:rsid w:val="001D4237"/>
    <w:rsid w:val="001D4319"/>
    <w:rsid w:val="001D4322"/>
    <w:rsid w:val="001D4327"/>
    <w:rsid w:val="001D435A"/>
    <w:rsid w:val="001D43C7"/>
    <w:rsid w:val="001D43FD"/>
    <w:rsid w:val="001D4406"/>
    <w:rsid w:val="001D4473"/>
    <w:rsid w:val="001D485C"/>
    <w:rsid w:val="001D4A8F"/>
    <w:rsid w:val="001D4AD6"/>
    <w:rsid w:val="001D4C6D"/>
    <w:rsid w:val="001D4D25"/>
    <w:rsid w:val="001D4D37"/>
    <w:rsid w:val="001D4D56"/>
    <w:rsid w:val="001D4D57"/>
    <w:rsid w:val="001D4D5F"/>
    <w:rsid w:val="001D4E21"/>
    <w:rsid w:val="001D4E42"/>
    <w:rsid w:val="001D51AA"/>
    <w:rsid w:val="001D51AF"/>
    <w:rsid w:val="001D51F7"/>
    <w:rsid w:val="001D5257"/>
    <w:rsid w:val="001D5788"/>
    <w:rsid w:val="001D578E"/>
    <w:rsid w:val="001D592A"/>
    <w:rsid w:val="001D5A11"/>
    <w:rsid w:val="001D5B9F"/>
    <w:rsid w:val="001D5BF4"/>
    <w:rsid w:val="001D5CA4"/>
    <w:rsid w:val="001D5DCA"/>
    <w:rsid w:val="001D5E7B"/>
    <w:rsid w:val="001D5E97"/>
    <w:rsid w:val="001D5EC7"/>
    <w:rsid w:val="001D5F77"/>
    <w:rsid w:val="001D6069"/>
    <w:rsid w:val="001D6098"/>
    <w:rsid w:val="001D61B2"/>
    <w:rsid w:val="001D620F"/>
    <w:rsid w:val="001D6219"/>
    <w:rsid w:val="001D624E"/>
    <w:rsid w:val="001D62C5"/>
    <w:rsid w:val="001D63DB"/>
    <w:rsid w:val="001D63F7"/>
    <w:rsid w:val="001D6434"/>
    <w:rsid w:val="001D6451"/>
    <w:rsid w:val="001D6599"/>
    <w:rsid w:val="001D6677"/>
    <w:rsid w:val="001D668C"/>
    <w:rsid w:val="001D66A4"/>
    <w:rsid w:val="001D6C71"/>
    <w:rsid w:val="001D6D9A"/>
    <w:rsid w:val="001D6DF6"/>
    <w:rsid w:val="001D6E78"/>
    <w:rsid w:val="001D6E7C"/>
    <w:rsid w:val="001D6EBA"/>
    <w:rsid w:val="001D6FB7"/>
    <w:rsid w:val="001D70B3"/>
    <w:rsid w:val="001D7122"/>
    <w:rsid w:val="001D714E"/>
    <w:rsid w:val="001D7390"/>
    <w:rsid w:val="001D73D3"/>
    <w:rsid w:val="001D74C6"/>
    <w:rsid w:val="001D74F5"/>
    <w:rsid w:val="001D754A"/>
    <w:rsid w:val="001D759C"/>
    <w:rsid w:val="001D76DD"/>
    <w:rsid w:val="001D76EF"/>
    <w:rsid w:val="001D7763"/>
    <w:rsid w:val="001D788A"/>
    <w:rsid w:val="001D7967"/>
    <w:rsid w:val="001D79C6"/>
    <w:rsid w:val="001D79C8"/>
    <w:rsid w:val="001D79DE"/>
    <w:rsid w:val="001D7A7F"/>
    <w:rsid w:val="001D7A95"/>
    <w:rsid w:val="001D7B32"/>
    <w:rsid w:val="001D7BF2"/>
    <w:rsid w:val="001D7C60"/>
    <w:rsid w:val="001D7C8A"/>
    <w:rsid w:val="001D7CB8"/>
    <w:rsid w:val="001D7D5D"/>
    <w:rsid w:val="001D7DD6"/>
    <w:rsid w:val="001D7DEE"/>
    <w:rsid w:val="001D7EF9"/>
    <w:rsid w:val="001D7FB3"/>
    <w:rsid w:val="001E0176"/>
    <w:rsid w:val="001E061C"/>
    <w:rsid w:val="001E06BF"/>
    <w:rsid w:val="001E078C"/>
    <w:rsid w:val="001E0899"/>
    <w:rsid w:val="001E09A2"/>
    <w:rsid w:val="001E09B2"/>
    <w:rsid w:val="001E0A07"/>
    <w:rsid w:val="001E0A5B"/>
    <w:rsid w:val="001E0A66"/>
    <w:rsid w:val="001E0ABE"/>
    <w:rsid w:val="001E0B1D"/>
    <w:rsid w:val="001E0BF6"/>
    <w:rsid w:val="001E0D02"/>
    <w:rsid w:val="001E0D03"/>
    <w:rsid w:val="001E0D04"/>
    <w:rsid w:val="001E0D35"/>
    <w:rsid w:val="001E0E08"/>
    <w:rsid w:val="001E0F8C"/>
    <w:rsid w:val="001E1053"/>
    <w:rsid w:val="001E13B1"/>
    <w:rsid w:val="001E1408"/>
    <w:rsid w:val="001E14EA"/>
    <w:rsid w:val="001E1545"/>
    <w:rsid w:val="001E15D7"/>
    <w:rsid w:val="001E1637"/>
    <w:rsid w:val="001E16B2"/>
    <w:rsid w:val="001E1812"/>
    <w:rsid w:val="001E187A"/>
    <w:rsid w:val="001E187E"/>
    <w:rsid w:val="001E190D"/>
    <w:rsid w:val="001E1A19"/>
    <w:rsid w:val="001E1AC5"/>
    <w:rsid w:val="001E1B51"/>
    <w:rsid w:val="001E1C5D"/>
    <w:rsid w:val="001E1F1C"/>
    <w:rsid w:val="001E1F34"/>
    <w:rsid w:val="001E1F5A"/>
    <w:rsid w:val="001E2056"/>
    <w:rsid w:val="001E228F"/>
    <w:rsid w:val="001E229F"/>
    <w:rsid w:val="001E236A"/>
    <w:rsid w:val="001E24A9"/>
    <w:rsid w:val="001E25F0"/>
    <w:rsid w:val="001E266E"/>
    <w:rsid w:val="001E269F"/>
    <w:rsid w:val="001E26BA"/>
    <w:rsid w:val="001E26CA"/>
    <w:rsid w:val="001E2741"/>
    <w:rsid w:val="001E27DB"/>
    <w:rsid w:val="001E2A1D"/>
    <w:rsid w:val="001E2A42"/>
    <w:rsid w:val="001E2A7B"/>
    <w:rsid w:val="001E2C50"/>
    <w:rsid w:val="001E2D24"/>
    <w:rsid w:val="001E2E81"/>
    <w:rsid w:val="001E2E8C"/>
    <w:rsid w:val="001E2F67"/>
    <w:rsid w:val="001E2FBC"/>
    <w:rsid w:val="001E3058"/>
    <w:rsid w:val="001E345B"/>
    <w:rsid w:val="001E34A2"/>
    <w:rsid w:val="001E34AE"/>
    <w:rsid w:val="001E34DE"/>
    <w:rsid w:val="001E358C"/>
    <w:rsid w:val="001E3610"/>
    <w:rsid w:val="001E378E"/>
    <w:rsid w:val="001E37AB"/>
    <w:rsid w:val="001E382C"/>
    <w:rsid w:val="001E38B0"/>
    <w:rsid w:val="001E3A16"/>
    <w:rsid w:val="001E3A69"/>
    <w:rsid w:val="001E3A89"/>
    <w:rsid w:val="001E3A9F"/>
    <w:rsid w:val="001E3B4E"/>
    <w:rsid w:val="001E3B4F"/>
    <w:rsid w:val="001E3B5E"/>
    <w:rsid w:val="001E3BA8"/>
    <w:rsid w:val="001E3C57"/>
    <w:rsid w:val="001E3CF3"/>
    <w:rsid w:val="001E3D61"/>
    <w:rsid w:val="001E3EBD"/>
    <w:rsid w:val="001E3EDD"/>
    <w:rsid w:val="001E3F2E"/>
    <w:rsid w:val="001E40C7"/>
    <w:rsid w:val="001E447A"/>
    <w:rsid w:val="001E44EF"/>
    <w:rsid w:val="001E459D"/>
    <w:rsid w:val="001E4652"/>
    <w:rsid w:val="001E46C6"/>
    <w:rsid w:val="001E473B"/>
    <w:rsid w:val="001E474E"/>
    <w:rsid w:val="001E4821"/>
    <w:rsid w:val="001E4A39"/>
    <w:rsid w:val="001E4ACB"/>
    <w:rsid w:val="001E4AE6"/>
    <w:rsid w:val="001E4B98"/>
    <w:rsid w:val="001E4C1A"/>
    <w:rsid w:val="001E4C2F"/>
    <w:rsid w:val="001E4C64"/>
    <w:rsid w:val="001E4DE6"/>
    <w:rsid w:val="001E4E27"/>
    <w:rsid w:val="001E4E35"/>
    <w:rsid w:val="001E4E57"/>
    <w:rsid w:val="001E4E79"/>
    <w:rsid w:val="001E4EAB"/>
    <w:rsid w:val="001E4F44"/>
    <w:rsid w:val="001E4F74"/>
    <w:rsid w:val="001E4FA3"/>
    <w:rsid w:val="001E4FCC"/>
    <w:rsid w:val="001E4FDA"/>
    <w:rsid w:val="001E509A"/>
    <w:rsid w:val="001E515F"/>
    <w:rsid w:val="001E522C"/>
    <w:rsid w:val="001E532E"/>
    <w:rsid w:val="001E539A"/>
    <w:rsid w:val="001E53AA"/>
    <w:rsid w:val="001E54A2"/>
    <w:rsid w:val="001E54D7"/>
    <w:rsid w:val="001E565C"/>
    <w:rsid w:val="001E56D0"/>
    <w:rsid w:val="001E57A7"/>
    <w:rsid w:val="001E589D"/>
    <w:rsid w:val="001E5920"/>
    <w:rsid w:val="001E5928"/>
    <w:rsid w:val="001E5A27"/>
    <w:rsid w:val="001E5B94"/>
    <w:rsid w:val="001E5C1B"/>
    <w:rsid w:val="001E5CDB"/>
    <w:rsid w:val="001E5DFB"/>
    <w:rsid w:val="001E5E51"/>
    <w:rsid w:val="001E5F6B"/>
    <w:rsid w:val="001E5FA5"/>
    <w:rsid w:val="001E5FA6"/>
    <w:rsid w:val="001E5FD9"/>
    <w:rsid w:val="001E6009"/>
    <w:rsid w:val="001E6101"/>
    <w:rsid w:val="001E6174"/>
    <w:rsid w:val="001E61A0"/>
    <w:rsid w:val="001E61B0"/>
    <w:rsid w:val="001E6277"/>
    <w:rsid w:val="001E62B8"/>
    <w:rsid w:val="001E63A5"/>
    <w:rsid w:val="001E647F"/>
    <w:rsid w:val="001E65AC"/>
    <w:rsid w:val="001E65B9"/>
    <w:rsid w:val="001E65CC"/>
    <w:rsid w:val="001E66A2"/>
    <w:rsid w:val="001E66AC"/>
    <w:rsid w:val="001E66F5"/>
    <w:rsid w:val="001E6770"/>
    <w:rsid w:val="001E67C2"/>
    <w:rsid w:val="001E67DB"/>
    <w:rsid w:val="001E6819"/>
    <w:rsid w:val="001E685E"/>
    <w:rsid w:val="001E68D1"/>
    <w:rsid w:val="001E6961"/>
    <w:rsid w:val="001E69C9"/>
    <w:rsid w:val="001E69CD"/>
    <w:rsid w:val="001E6A29"/>
    <w:rsid w:val="001E6A45"/>
    <w:rsid w:val="001E6B55"/>
    <w:rsid w:val="001E6B97"/>
    <w:rsid w:val="001E6D4A"/>
    <w:rsid w:val="001E6F87"/>
    <w:rsid w:val="001E6F9D"/>
    <w:rsid w:val="001E6FD6"/>
    <w:rsid w:val="001E7052"/>
    <w:rsid w:val="001E7071"/>
    <w:rsid w:val="001E709C"/>
    <w:rsid w:val="001E70E5"/>
    <w:rsid w:val="001E70FF"/>
    <w:rsid w:val="001E7110"/>
    <w:rsid w:val="001E7136"/>
    <w:rsid w:val="001E718B"/>
    <w:rsid w:val="001E747B"/>
    <w:rsid w:val="001E75F3"/>
    <w:rsid w:val="001E7671"/>
    <w:rsid w:val="001E76CD"/>
    <w:rsid w:val="001E76D7"/>
    <w:rsid w:val="001E7781"/>
    <w:rsid w:val="001E77DE"/>
    <w:rsid w:val="001E7925"/>
    <w:rsid w:val="001E7946"/>
    <w:rsid w:val="001E7AE2"/>
    <w:rsid w:val="001E7BE5"/>
    <w:rsid w:val="001E7C1B"/>
    <w:rsid w:val="001E7D65"/>
    <w:rsid w:val="001E7F94"/>
    <w:rsid w:val="001F0016"/>
    <w:rsid w:val="001F0128"/>
    <w:rsid w:val="001F01E6"/>
    <w:rsid w:val="001F023F"/>
    <w:rsid w:val="001F0360"/>
    <w:rsid w:val="001F047B"/>
    <w:rsid w:val="001F04C2"/>
    <w:rsid w:val="001F0505"/>
    <w:rsid w:val="001F075E"/>
    <w:rsid w:val="001F0841"/>
    <w:rsid w:val="001F086E"/>
    <w:rsid w:val="001F08D6"/>
    <w:rsid w:val="001F0958"/>
    <w:rsid w:val="001F0983"/>
    <w:rsid w:val="001F099C"/>
    <w:rsid w:val="001F0AA5"/>
    <w:rsid w:val="001F0B79"/>
    <w:rsid w:val="001F0B7A"/>
    <w:rsid w:val="001F0BAB"/>
    <w:rsid w:val="001F0C42"/>
    <w:rsid w:val="001F0C60"/>
    <w:rsid w:val="001F0D9B"/>
    <w:rsid w:val="001F0DF5"/>
    <w:rsid w:val="001F0E52"/>
    <w:rsid w:val="001F0EFB"/>
    <w:rsid w:val="001F0F56"/>
    <w:rsid w:val="001F0F86"/>
    <w:rsid w:val="001F0FD5"/>
    <w:rsid w:val="001F1042"/>
    <w:rsid w:val="001F118E"/>
    <w:rsid w:val="001F122D"/>
    <w:rsid w:val="001F12DF"/>
    <w:rsid w:val="001F136F"/>
    <w:rsid w:val="001F13AC"/>
    <w:rsid w:val="001F145E"/>
    <w:rsid w:val="001F1464"/>
    <w:rsid w:val="001F14F0"/>
    <w:rsid w:val="001F1572"/>
    <w:rsid w:val="001F1619"/>
    <w:rsid w:val="001F169E"/>
    <w:rsid w:val="001F16DF"/>
    <w:rsid w:val="001F1700"/>
    <w:rsid w:val="001F1729"/>
    <w:rsid w:val="001F176F"/>
    <w:rsid w:val="001F17B7"/>
    <w:rsid w:val="001F1822"/>
    <w:rsid w:val="001F1859"/>
    <w:rsid w:val="001F1ADC"/>
    <w:rsid w:val="001F1B4D"/>
    <w:rsid w:val="001F1C2B"/>
    <w:rsid w:val="001F1CB2"/>
    <w:rsid w:val="001F1D42"/>
    <w:rsid w:val="001F1E36"/>
    <w:rsid w:val="001F1E4F"/>
    <w:rsid w:val="001F1E9E"/>
    <w:rsid w:val="001F1F2E"/>
    <w:rsid w:val="001F200B"/>
    <w:rsid w:val="001F20B8"/>
    <w:rsid w:val="001F20BD"/>
    <w:rsid w:val="001F213C"/>
    <w:rsid w:val="001F26FE"/>
    <w:rsid w:val="001F27C0"/>
    <w:rsid w:val="001F2851"/>
    <w:rsid w:val="001F292B"/>
    <w:rsid w:val="001F2A03"/>
    <w:rsid w:val="001F2A42"/>
    <w:rsid w:val="001F2A4F"/>
    <w:rsid w:val="001F2A8D"/>
    <w:rsid w:val="001F2AF9"/>
    <w:rsid w:val="001F2C52"/>
    <w:rsid w:val="001F2C79"/>
    <w:rsid w:val="001F2D01"/>
    <w:rsid w:val="001F2E0B"/>
    <w:rsid w:val="001F2E4B"/>
    <w:rsid w:val="001F2EA0"/>
    <w:rsid w:val="001F2EE1"/>
    <w:rsid w:val="001F2F39"/>
    <w:rsid w:val="001F2FB8"/>
    <w:rsid w:val="001F2FCB"/>
    <w:rsid w:val="001F3170"/>
    <w:rsid w:val="001F32DA"/>
    <w:rsid w:val="001F3380"/>
    <w:rsid w:val="001F3414"/>
    <w:rsid w:val="001F3435"/>
    <w:rsid w:val="001F3438"/>
    <w:rsid w:val="001F34EA"/>
    <w:rsid w:val="001F355F"/>
    <w:rsid w:val="001F35BC"/>
    <w:rsid w:val="001F36DA"/>
    <w:rsid w:val="001F36F6"/>
    <w:rsid w:val="001F36FC"/>
    <w:rsid w:val="001F3A54"/>
    <w:rsid w:val="001F3B3A"/>
    <w:rsid w:val="001F3C46"/>
    <w:rsid w:val="001F3CCE"/>
    <w:rsid w:val="001F3DD3"/>
    <w:rsid w:val="001F3EE9"/>
    <w:rsid w:val="001F3FE8"/>
    <w:rsid w:val="001F4076"/>
    <w:rsid w:val="001F4084"/>
    <w:rsid w:val="001F4087"/>
    <w:rsid w:val="001F4230"/>
    <w:rsid w:val="001F4490"/>
    <w:rsid w:val="001F44AB"/>
    <w:rsid w:val="001F4505"/>
    <w:rsid w:val="001F4537"/>
    <w:rsid w:val="001F4636"/>
    <w:rsid w:val="001F46A2"/>
    <w:rsid w:val="001F46E8"/>
    <w:rsid w:val="001F4713"/>
    <w:rsid w:val="001F471E"/>
    <w:rsid w:val="001F4949"/>
    <w:rsid w:val="001F49D6"/>
    <w:rsid w:val="001F4A59"/>
    <w:rsid w:val="001F4A92"/>
    <w:rsid w:val="001F4AD1"/>
    <w:rsid w:val="001F4ADB"/>
    <w:rsid w:val="001F4AED"/>
    <w:rsid w:val="001F4B17"/>
    <w:rsid w:val="001F4C09"/>
    <w:rsid w:val="001F4D32"/>
    <w:rsid w:val="001F4E52"/>
    <w:rsid w:val="001F4ECC"/>
    <w:rsid w:val="001F503D"/>
    <w:rsid w:val="001F5103"/>
    <w:rsid w:val="001F5187"/>
    <w:rsid w:val="001F52B6"/>
    <w:rsid w:val="001F5349"/>
    <w:rsid w:val="001F5476"/>
    <w:rsid w:val="001F5609"/>
    <w:rsid w:val="001F560E"/>
    <w:rsid w:val="001F5692"/>
    <w:rsid w:val="001F56E2"/>
    <w:rsid w:val="001F58A6"/>
    <w:rsid w:val="001F58FE"/>
    <w:rsid w:val="001F596A"/>
    <w:rsid w:val="001F5989"/>
    <w:rsid w:val="001F59BC"/>
    <w:rsid w:val="001F5A0C"/>
    <w:rsid w:val="001F5AEB"/>
    <w:rsid w:val="001F5B77"/>
    <w:rsid w:val="001F5C13"/>
    <w:rsid w:val="001F5E0D"/>
    <w:rsid w:val="001F5EB3"/>
    <w:rsid w:val="001F5F63"/>
    <w:rsid w:val="001F5F9C"/>
    <w:rsid w:val="001F6004"/>
    <w:rsid w:val="001F6064"/>
    <w:rsid w:val="001F607D"/>
    <w:rsid w:val="001F60D5"/>
    <w:rsid w:val="001F60E9"/>
    <w:rsid w:val="001F6110"/>
    <w:rsid w:val="001F61B6"/>
    <w:rsid w:val="001F61E1"/>
    <w:rsid w:val="001F624A"/>
    <w:rsid w:val="001F6342"/>
    <w:rsid w:val="001F64BC"/>
    <w:rsid w:val="001F64F0"/>
    <w:rsid w:val="001F6567"/>
    <w:rsid w:val="001F6570"/>
    <w:rsid w:val="001F67B4"/>
    <w:rsid w:val="001F6B19"/>
    <w:rsid w:val="001F6C69"/>
    <w:rsid w:val="001F6CAB"/>
    <w:rsid w:val="001F6D9A"/>
    <w:rsid w:val="001F6DAA"/>
    <w:rsid w:val="001F6E19"/>
    <w:rsid w:val="001F6E64"/>
    <w:rsid w:val="001F6EF7"/>
    <w:rsid w:val="001F6F1C"/>
    <w:rsid w:val="001F6F88"/>
    <w:rsid w:val="001F7005"/>
    <w:rsid w:val="001F7105"/>
    <w:rsid w:val="001F7130"/>
    <w:rsid w:val="001F7174"/>
    <w:rsid w:val="001F722D"/>
    <w:rsid w:val="001F7238"/>
    <w:rsid w:val="001F72CF"/>
    <w:rsid w:val="001F733F"/>
    <w:rsid w:val="001F73A1"/>
    <w:rsid w:val="001F7438"/>
    <w:rsid w:val="001F74D6"/>
    <w:rsid w:val="001F751A"/>
    <w:rsid w:val="001F7620"/>
    <w:rsid w:val="001F769E"/>
    <w:rsid w:val="001F76B9"/>
    <w:rsid w:val="001F76D4"/>
    <w:rsid w:val="001F77E3"/>
    <w:rsid w:val="001F788B"/>
    <w:rsid w:val="001F78B7"/>
    <w:rsid w:val="001F78EF"/>
    <w:rsid w:val="001F7AF4"/>
    <w:rsid w:val="001F7B24"/>
    <w:rsid w:val="001F7BE4"/>
    <w:rsid w:val="001F7C74"/>
    <w:rsid w:val="001F7CBB"/>
    <w:rsid w:val="001F7DC7"/>
    <w:rsid w:val="001F7F37"/>
    <w:rsid w:val="001F7F85"/>
    <w:rsid w:val="001F7FB5"/>
    <w:rsid w:val="001F7FF5"/>
    <w:rsid w:val="0020000B"/>
    <w:rsid w:val="0020036B"/>
    <w:rsid w:val="002004B6"/>
    <w:rsid w:val="002004D3"/>
    <w:rsid w:val="002005C6"/>
    <w:rsid w:val="0020070E"/>
    <w:rsid w:val="00200789"/>
    <w:rsid w:val="002007A5"/>
    <w:rsid w:val="00200A20"/>
    <w:rsid w:val="00200B3B"/>
    <w:rsid w:val="00200B4D"/>
    <w:rsid w:val="00200BF9"/>
    <w:rsid w:val="00200C4D"/>
    <w:rsid w:val="00200C8D"/>
    <w:rsid w:val="00200CC5"/>
    <w:rsid w:val="00200CCD"/>
    <w:rsid w:val="00200CEA"/>
    <w:rsid w:val="00200D2C"/>
    <w:rsid w:val="00200D44"/>
    <w:rsid w:val="00200E18"/>
    <w:rsid w:val="00200EE8"/>
    <w:rsid w:val="00200EF4"/>
    <w:rsid w:val="00200F09"/>
    <w:rsid w:val="00200F30"/>
    <w:rsid w:val="00200F48"/>
    <w:rsid w:val="00201028"/>
    <w:rsid w:val="002010E0"/>
    <w:rsid w:val="002011F4"/>
    <w:rsid w:val="0020128F"/>
    <w:rsid w:val="002013A3"/>
    <w:rsid w:val="002013F1"/>
    <w:rsid w:val="0020142B"/>
    <w:rsid w:val="0020148E"/>
    <w:rsid w:val="002015DB"/>
    <w:rsid w:val="002016E0"/>
    <w:rsid w:val="00201792"/>
    <w:rsid w:val="0020179A"/>
    <w:rsid w:val="002018A9"/>
    <w:rsid w:val="0020193D"/>
    <w:rsid w:val="00201966"/>
    <w:rsid w:val="00201B23"/>
    <w:rsid w:val="00201BBB"/>
    <w:rsid w:val="00201BE9"/>
    <w:rsid w:val="00201C18"/>
    <w:rsid w:val="00201C23"/>
    <w:rsid w:val="00201C3E"/>
    <w:rsid w:val="00201D2A"/>
    <w:rsid w:val="00201D50"/>
    <w:rsid w:val="00201D5C"/>
    <w:rsid w:val="00201D7A"/>
    <w:rsid w:val="00201DF2"/>
    <w:rsid w:val="00202033"/>
    <w:rsid w:val="002020B0"/>
    <w:rsid w:val="00202233"/>
    <w:rsid w:val="0020228C"/>
    <w:rsid w:val="002022B9"/>
    <w:rsid w:val="0020237A"/>
    <w:rsid w:val="00202381"/>
    <w:rsid w:val="002023D5"/>
    <w:rsid w:val="0020249F"/>
    <w:rsid w:val="00202613"/>
    <w:rsid w:val="002027B8"/>
    <w:rsid w:val="002029C6"/>
    <w:rsid w:val="00202A24"/>
    <w:rsid w:val="00202A67"/>
    <w:rsid w:val="00202A89"/>
    <w:rsid w:val="00202ADA"/>
    <w:rsid w:val="00202BA5"/>
    <w:rsid w:val="00202C8E"/>
    <w:rsid w:val="00202D60"/>
    <w:rsid w:val="00202DBC"/>
    <w:rsid w:val="00202EB7"/>
    <w:rsid w:val="00202EEA"/>
    <w:rsid w:val="00202F83"/>
    <w:rsid w:val="00203055"/>
    <w:rsid w:val="002030D5"/>
    <w:rsid w:val="002030EF"/>
    <w:rsid w:val="002030F7"/>
    <w:rsid w:val="002031B2"/>
    <w:rsid w:val="002031DD"/>
    <w:rsid w:val="002032FE"/>
    <w:rsid w:val="00203330"/>
    <w:rsid w:val="002033CD"/>
    <w:rsid w:val="0020344B"/>
    <w:rsid w:val="00203500"/>
    <w:rsid w:val="002037CF"/>
    <w:rsid w:val="002037E6"/>
    <w:rsid w:val="002037E9"/>
    <w:rsid w:val="002037EB"/>
    <w:rsid w:val="00203807"/>
    <w:rsid w:val="002038AE"/>
    <w:rsid w:val="002038C3"/>
    <w:rsid w:val="00203950"/>
    <w:rsid w:val="002039F1"/>
    <w:rsid w:val="00203A19"/>
    <w:rsid w:val="00203A7F"/>
    <w:rsid w:val="00203D2C"/>
    <w:rsid w:val="00203DD7"/>
    <w:rsid w:val="00203E4D"/>
    <w:rsid w:val="002041AC"/>
    <w:rsid w:val="0020431B"/>
    <w:rsid w:val="0020439D"/>
    <w:rsid w:val="00204472"/>
    <w:rsid w:val="002044FB"/>
    <w:rsid w:val="0020468E"/>
    <w:rsid w:val="0020480D"/>
    <w:rsid w:val="00204852"/>
    <w:rsid w:val="00204A3C"/>
    <w:rsid w:val="00204B36"/>
    <w:rsid w:val="00204CCD"/>
    <w:rsid w:val="00204D2D"/>
    <w:rsid w:val="00204D79"/>
    <w:rsid w:val="00205293"/>
    <w:rsid w:val="002053B9"/>
    <w:rsid w:val="0020562C"/>
    <w:rsid w:val="00205691"/>
    <w:rsid w:val="002057CB"/>
    <w:rsid w:val="00205815"/>
    <w:rsid w:val="0020599B"/>
    <w:rsid w:val="00205C1D"/>
    <w:rsid w:val="00205C9E"/>
    <w:rsid w:val="00205D60"/>
    <w:rsid w:val="00205DD1"/>
    <w:rsid w:val="00205DF8"/>
    <w:rsid w:val="00205F16"/>
    <w:rsid w:val="00205FA1"/>
    <w:rsid w:val="00206086"/>
    <w:rsid w:val="00206089"/>
    <w:rsid w:val="002060BD"/>
    <w:rsid w:val="002060D7"/>
    <w:rsid w:val="00206106"/>
    <w:rsid w:val="00206186"/>
    <w:rsid w:val="002061B0"/>
    <w:rsid w:val="002063A3"/>
    <w:rsid w:val="002063C5"/>
    <w:rsid w:val="002064B7"/>
    <w:rsid w:val="002064BC"/>
    <w:rsid w:val="002064BD"/>
    <w:rsid w:val="00206666"/>
    <w:rsid w:val="00206791"/>
    <w:rsid w:val="00206798"/>
    <w:rsid w:val="0020679B"/>
    <w:rsid w:val="002067C1"/>
    <w:rsid w:val="002067D5"/>
    <w:rsid w:val="00206984"/>
    <w:rsid w:val="002069BA"/>
    <w:rsid w:val="00206AF0"/>
    <w:rsid w:val="00206B70"/>
    <w:rsid w:val="00206BA2"/>
    <w:rsid w:val="00206BA3"/>
    <w:rsid w:val="00206C0A"/>
    <w:rsid w:val="00206C58"/>
    <w:rsid w:val="00206CB6"/>
    <w:rsid w:val="00206CDB"/>
    <w:rsid w:val="00206FDC"/>
    <w:rsid w:val="00207121"/>
    <w:rsid w:val="0020728C"/>
    <w:rsid w:val="002073AB"/>
    <w:rsid w:val="002074CE"/>
    <w:rsid w:val="002074D3"/>
    <w:rsid w:val="002075FC"/>
    <w:rsid w:val="00207606"/>
    <w:rsid w:val="00207626"/>
    <w:rsid w:val="0020762F"/>
    <w:rsid w:val="002076C6"/>
    <w:rsid w:val="002076EF"/>
    <w:rsid w:val="00207740"/>
    <w:rsid w:val="0020777B"/>
    <w:rsid w:val="002077A4"/>
    <w:rsid w:val="002077C2"/>
    <w:rsid w:val="0020789D"/>
    <w:rsid w:val="002078F0"/>
    <w:rsid w:val="002079D5"/>
    <w:rsid w:val="00207A7D"/>
    <w:rsid w:val="00207A89"/>
    <w:rsid w:val="00207A9B"/>
    <w:rsid w:val="00207C6B"/>
    <w:rsid w:val="00207F2E"/>
    <w:rsid w:val="00207F9D"/>
    <w:rsid w:val="0021003D"/>
    <w:rsid w:val="0021019F"/>
    <w:rsid w:val="0021024C"/>
    <w:rsid w:val="0021029A"/>
    <w:rsid w:val="002103D8"/>
    <w:rsid w:val="0021047D"/>
    <w:rsid w:val="0021048A"/>
    <w:rsid w:val="002104A4"/>
    <w:rsid w:val="0021056F"/>
    <w:rsid w:val="00210648"/>
    <w:rsid w:val="0021069B"/>
    <w:rsid w:val="002106CA"/>
    <w:rsid w:val="002108F5"/>
    <w:rsid w:val="002109AB"/>
    <w:rsid w:val="002109B0"/>
    <w:rsid w:val="00210AA6"/>
    <w:rsid w:val="00210B05"/>
    <w:rsid w:val="00210CE7"/>
    <w:rsid w:val="00210E18"/>
    <w:rsid w:val="00210E5C"/>
    <w:rsid w:val="00210E7A"/>
    <w:rsid w:val="00210F40"/>
    <w:rsid w:val="00210F9D"/>
    <w:rsid w:val="002110F4"/>
    <w:rsid w:val="002111CA"/>
    <w:rsid w:val="00211342"/>
    <w:rsid w:val="0021135A"/>
    <w:rsid w:val="00211392"/>
    <w:rsid w:val="00211474"/>
    <w:rsid w:val="002114ED"/>
    <w:rsid w:val="00211786"/>
    <w:rsid w:val="002117C7"/>
    <w:rsid w:val="0021181E"/>
    <w:rsid w:val="00211830"/>
    <w:rsid w:val="002119A2"/>
    <w:rsid w:val="002119D2"/>
    <w:rsid w:val="002119F3"/>
    <w:rsid w:val="00211A36"/>
    <w:rsid w:val="00211A39"/>
    <w:rsid w:val="00211A64"/>
    <w:rsid w:val="00211AA8"/>
    <w:rsid w:val="00211B45"/>
    <w:rsid w:val="00211BAC"/>
    <w:rsid w:val="00211BCE"/>
    <w:rsid w:val="00211BF6"/>
    <w:rsid w:val="00211C21"/>
    <w:rsid w:val="00211CD4"/>
    <w:rsid w:val="00211CFD"/>
    <w:rsid w:val="00211D3F"/>
    <w:rsid w:val="00211EE9"/>
    <w:rsid w:val="00211F35"/>
    <w:rsid w:val="00211F9E"/>
    <w:rsid w:val="002121AE"/>
    <w:rsid w:val="0021223B"/>
    <w:rsid w:val="002123E0"/>
    <w:rsid w:val="0021240E"/>
    <w:rsid w:val="00212511"/>
    <w:rsid w:val="00212516"/>
    <w:rsid w:val="00212550"/>
    <w:rsid w:val="00212632"/>
    <w:rsid w:val="002126D0"/>
    <w:rsid w:val="00212711"/>
    <w:rsid w:val="00212778"/>
    <w:rsid w:val="00212862"/>
    <w:rsid w:val="00212941"/>
    <w:rsid w:val="002129D2"/>
    <w:rsid w:val="00212AAE"/>
    <w:rsid w:val="00212B64"/>
    <w:rsid w:val="00212C06"/>
    <w:rsid w:val="00212E1E"/>
    <w:rsid w:val="00212E9E"/>
    <w:rsid w:val="0021310F"/>
    <w:rsid w:val="0021316C"/>
    <w:rsid w:val="0021335C"/>
    <w:rsid w:val="002133AE"/>
    <w:rsid w:val="00213401"/>
    <w:rsid w:val="00213444"/>
    <w:rsid w:val="0021352D"/>
    <w:rsid w:val="0021363D"/>
    <w:rsid w:val="00213678"/>
    <w:rsid w:val="002137A3"/>
    <w:rsid w:val="002137ED"/>
    <w:rsid w:val="00213880"/>
    <w:rsid w:val="0021389E"/>
    <w:rsid w:val="002139B8"/>
    <w:rsid w:val="00213A36"/>
    <w:rsid w:val="00213A4C"/>
    <w:rsid w:val="00213A83"/>
    <w:rsid w:val="00213B79"/>
    <w:rsid w:val="00213BD7"/>
    <w:rsid w:val="00213CB8"/>
    <w:rsid w:val="00213CCF"/>
    <w:rsid w:val="00213D56"/>
    <w:rsid w:val="00213ECA"/>
    <w:rsid w:val="00213ED0"/>
    <w:rsid w:val="00213F4A"/>
    <w:rsid w:val="00213FA4"/>
    <w:rsid w:val="00213FAE"/>
    <w:rsid w:val="00213FD2"/>
    <w:rsid w:val="00213FD4"/>
    <w:rsid w:val="00213FEC"/>
    <w:rsid w:val="002142C7"/>
    <w:rsid w:val="0021444D"/>
    <w:rsid w:val="00214492"/>
    <w:rsid w:val="002144FB"/>
    <w:rsid w:val="00214549"/>
    <w:rsid w:val="0021472B"/>
    <w:rsid w:val="00214755"/>
    <w:rsid w:val="00214789"/>
    <w:rsid w:val="002147D2"/>
    <w:rsid w:val="0021481E"/>
    <w:rsid w:val="00214850"/>
    <w:rsid w:val="00214859"/>
    <w:rsid w:val="00214887"/>
    <w:rsid w:val="002148C9"/>
    <w:rsid w:val="002149CE"/>
    <w:rsid w:val="00214A04"/>
    <w:rsid w:val="00214B23"/>
    <w:rsid w:val="00214B24"/>
    <w:rsid w:val="00214BBF"/>
    <w:rsid w:val="00214C3E"/>
    <w:rsid w:val="00214CB6"/>
    <w:rsid w:val="00214CC0"/>
    <w:rsid w:val="00214D36"/>
    <w:rsid w:val="00214DF5"/>
    <w:rsid w:val="00214F11"/>
    <w:rsid w:val="00214F26"/>
    <w:rsid w:val="00214FD4"/>
    <w:rsid w:val="00215134"/>
    <w:rsid w:val="00215162"/>
    <w:rsid w:val="002151CC"/>
    <w:rsid w:val="002152D6"/>
    <w:rsid w:val="00215427"/>
    <w:rsid w:val="00215446"/>
    <w:rsid w:val="00215491"/>
    <w:rsid w:val="002155C1"/>
    <w:rsid w:val="0021565C"/>
    <w:rsid w:val="00215687"/>
    <w:rsid w:val="002156BD"/>
    <w:rsid w:val="002156BE"/>
    <w:rsid w:val="00215763"/>
    <w:rsid w:val="00215874"/>
    <w:rsid w:val="002158D4"/>
    <w:rsid w:val="002158DE"/>
    <w:rsid w:val="0021591E"/>
    <w:rsid w:val="002159C9"/>
    <w:rsid w:val="00215AB9"/>
    <w:rsid w:val="00215B31"/>
    <w:rsid w:val="00215B71"/>
    <w:rsid w:val="00215B79"/>
    <w:rsid w:val="00215BBD"/>
    <w:rsid w:val="00215BF8"/>
    <w:rsid w:val="00215BFE"/>
    <w:rsid w:val="00215C59"/>
    <w:rsid w:val="00215CDD"/>
    <w:rsid w:val="00215D3D"/>
    <w:rsid w:val="00215D65"/>
    <w:rsid w:val="00215D74"/>
    <w:rsid w:val="00215E76"/>
    <w:rsid w:val="00215E94"/>
    <w:rsid w:val="00215EE9"/>
    <w:rsid w:val="00215FF2"/>
    <w:rsid w:val="002160DF"/>
    <w:rsid w:val="00216143"/>
    <w:rsid w:val="002161A8"/>
    <w:rsid w:val="002161CD"/>
    <w:rsid w:val="00216228"/>
    <w:rsid w:val="0021644E"/>
    <w:rsid w:val="00216462"/>
    <w:rsid w:val="002164DA"/>
    <w:rsid w:val="0021662D"/>
    <w:rsid w:val="00216656"/>
    <w:rsid w:val="00216822"/>
    <w:rsid w:val="00216922"/>
    <w:rsid w:val="00216A32"/>
    <w:rsid w:val="00216B4A"/>
    <w:rsid w:val="00216C2A"/>
    <w:rsid w:val="00216C98"/>
    <w:rsid w:val="00216DB5"/>
    <w:rsid w:val="00216DD7"/>
    <w:rsid w:val="00216E5B"/>
    <w:rsid w:val="00217154"/>
    <w:rsid w:val="00217293"/>
    <w:rsid w:val="002172CC"/>
    <w:rsid w:val="002172F6"/>
    <w:rsid w:val="00217394"/>
    <w:rsid w:val="0021746B"/>
    <w:rsid w:val="0021749E"/>
    <w:rsid w:val="002174B8"/>
    <w:rsid w:val="00217611"/>
    <w:rsid w:val="00217680"/>
    <w:rsid w:val="002176C7"/>
    <w:rsid w:val="0021771C"/>
    <w:rsid w:val="00217743"/>
    <w:rsid w:val="002178F3"/>
    <w:rsid w:val="0021792C"/>
    <w:rsid w:val="00217971"/>
    <w:rsid w:val="00217B12"/>
    <w:rsid w:val="00217BEC"/>
    <w:rsid w:val="00217C72"/>
    <w:rsid w:val="00217CD5"/>
    <w:rsid w:val="00217E07"/>
    <w:rsid w:val="00217E0B"/>
    <w:rsid w:val="00217E33"/>
    <w:rsid w:val="00217FC2"/>
    <w:rsid w:val="00220400"/>
    <w:rsid w:val="00220442"/>
    <w:rsid w:val="00220521"/>
    <w:rsid w:val="0022054D"/>
    <w:rsid w:val="00220652"/>
    <w:rsid w:val="00220682"/>
    <w:rsid w:val="002206F7"/>
    <w:rsid w:val="002208A0"/>
    <w:rsid w:val="002208B0"/>
    <w:rsid w:val="002208F1"/>
    <w:rsid w:val="0022092E"/>
    <w:rsid w:val="00220A11"/>
    <w:rsid w:val="00220A26"/>
    <w:rsid w:val="00220A70"/>
    <w:rsid w:val="00220A95"/>
    <w:rsid w:val="00220AF8"/>
    <w:rsid w:val="00220E8D"/>
    <w:rsid w:val="00220FB7"/>
    <w:rsid w:val="00221185"/>
    <w:rsid w:val="002211CC"/>
    <w:rsid w:val="002212DA"/>
    <w:rsid w:val="002213EA"/>
    <w:rsid w:val="002213ED"/>
    <w:rsid w:val="00221494"/>
    <w:rsid w:val="002214C3"/>
    <w:rsid w:val="00221692"/>
    <w:rsid w:val="00221777"/>
    <w:rsid w:val="00221899"/>
    <w:rsid w:val="002218A2"/>
    <w:rsid w:val="002218D8"/>
    <w:rsid w:val="00221A27"/>
    <w:rsid w:val="00221C24"/>
    <w:rsid w:val="00221C89"/>
    <w:rsid w:val="00221C9F"/>
    <w:rsid w:val="00221CF5"/>
    <w:rsid w:val="00221D5D"/>
    <w:rsid w:val="00221F69"/>
    <w:rsid w:val="00221F92"/>
    <w:rsid w:val="0022234E"/>
    <w:rsid w:val="002223AE"/>
    <w:rsid w:val="00222508"/>
    <w:rsid w:val="00222524"/>
    <w:rsid w:val="0022261F"/>
    <w:rsid w:val="00222806"/>
    <w:rsid w:val="00222858"/>
    <w:rsid w:val="002228DC"/>
    <w:rsid w:val="00222933"/>
    <w:rsid w:val="00222944"/>
    <w:rsid w:val="002229FC"/>
    <w:rsid w:val="00222A61"/>
    <w:rsid w:val="00222AEE"/>
    <w:rsid w:val="00222B0C"/>
    <w:rsid w:val="00222BC0"/>
    <w:rsid w:val="00222C9E"/>
    <w:rsid w:val="00222CFB"/>
    <w:rsid w:val="00222F91"/>
    <w:rsid w:val="00223047"/>
    <w:rsid w:val="002231FB"/>
    <w:rsid w:val="0022326C"/>
    <w:rsid w:val="00223285"/>
    <w:rsid w:val="0022328A"/>
    <w:rsid w:val="002232A5"/>
    <w:rsid w:val="0022333C"/>
    <w:rsid w:val="00223355"/>
    <w:rsid w:val="002235D1"/>
    <w:rsid w:val="00223686"/>
    <w:rsid w:val="002236AD"/>
    <w:rsid w:val="0022370D"/>
    <w:rsid w:val="00223743"/>
    <w:rsid w:val="00223843"/>
    <w:rsid w:val="0022385A"/>
    <w:rsid w:val="00223874"/>
    <w:rsid w:val="002239E2"/>
    <w:rsid w:val="00223AFD"/>
    <w:rsid w:val="00223CC1"/>
    <w:rsid w:val="00223CDF"/>
    <w:rsid w:val="00223DD5"/>
    <w:rsid w:val="00223E07"/>
    <w:rsid w:val="00223F0F"/>
    <w:rsid w:val="00223F14"/>
    <w:rsid w:val="00223F67"/>
    <w:rsid w:val="00223FDE"/>
    <w:rsid w:val="00223FFD"/>
    <w:rsid w:val="002240F0"/>
    <w:rsid w:val="002243A4"/>
    <w:rsid w:val="002243D6"/>
    <w:rsid w:val="0022445F"/>
    <w:rsid w:val="00224462"/>
    <w:rsid w:val="00224498"/>
    <w:rsid w:val="00224527"/>
    <w:rsid w:val="00224603"/>
    <w:rsid w:val="00224683"/>
    <w:rsid w:val="00224719"/>
    <w:rsid w:val="00224741"/>
    <w:rsid w:val="002247A6"/>
    <w:rsid w:val="00224897"/>
    <w:rsid w:val="00224A55"/>
    <w:rsid w:val="00224B0B"/>
    <w:rsid w:val="00224B64"/>
    <w:rsid w:val="00224B6B"/>
    <w:rsid w:val="00224B93"/>
    <w:rsid w:val="00224CEF"/>
    <w:rsid w:val="00224D71"/>
    <w:rsid w:val="00224D96"/>
    <w:rsid w:val="00224DA5"/>
    <w:rsid w:val="00224E01"/>
    <w:rsid w:val="00224E05"/>
    <w:rsid w:val="00224E15"/>
    <w:rsid w:val="00224E40"/>
    <w:rsid w:val="00224E60"/>
    <w:rsid w:val="00224EAC"/>
    <w:rsid w:val="00224FDA"/>
    <w:rsid w:val="00224FF4"/>
    <w:rsid w:val="002250CC"/>
    <w:rsid w:val="00225105"/>
    <w:rsid w:val="00225121"/>
    <w:rsid w:val="002251D1"/>
    <w:rsid w:val="00225316"/>
    <w:rsid w:val="00225333"/>
    <w:rsid w:val="00225393"/>
    <w:rsid w:val="002253A0"/>
    <w:rsid w:val="002253F5"/>
    <w:rsid w:val="00225576"/>
    <w:rsid w:val="002255C0"/>
    <w:rsid w:val="00225623"/>
    <w:rsid w:val="00225693"/>
    <w:rsid w:val="0022575A"/>
    <w:rsid w:val="002257BA"/>
    <w:rsid w:val="002257BE"/>
    <w:rsid w:val="0022595F"/>
    <w:rsid w:val="00225A18"/>
    <w:rsid w:val="00225A1A"/>
    <w:rsid w:val="00225A3C"/>
    <w:rsid w:val="00225AB7"/>
    <w:rsid w:val="00225ACB"/>
    <w:rsid w:val="00225DA4"/>
    <w:rsid w:val="00225DCF"/>
    <w:rsid w:val="00225E7B"/>
    <w:rsid w:val="00225F09"/>
    <w:rsid w:val="00225F6F"/>
    <w:rsid w:val="00226024"/>
    <w:rsid w:val="00226050"/>
    <w:rsid w:val="002260A6"/>
    <w:rsid w:val="002260D9"/>
    <w:rsid w:val="00226125"/>
    <w:rsid w:val="00226150"/>
    <w:rsid w:val="0022626F"/>
    <w:rsid w:val="00226287"/>
    <w:rsid w:val="00226343"/>
    <w:rsid w:val="00226391"/>
    <w:rsid w:val="0022650F"/>
    <w:rsid w:val="002266AF"/>
    <w:rsid w:val="002266B6"/>
    <w:rsid w:val="002266E8"/>
    <w:rsid w:val="002266F1"/>
    <w:rsid w:val="00226702"/>
    <w:rsid w:val="002267AF"/>
    <w:rsid w:val="00226842"/>
    <w:rsid w:val="0022699E"/>
    <w:rsid w:val="002269EA"/>
    <w:rsid w:val="00226A92"/>
    <w:rsid w:val="00226AD5"/>
    <w:rsid w:val="00226B35"/>
    <w:rsid w:val="00226C14"/>
    <w:rsid w:val="00226CFE"/>
    <w:rsid w:val="00226D68"/>
    <w:rsid w:val="00226E6A"/>
    <w:rsid w:val="00226F4F"/>
    <w:rsid w:val="00226FC8"/>
    <w:rsid w:val="00227021"/>
    <w:rsid w:val="00227218"/>
    <w:rsid w:val="00227338"/>
    <w:rsid w:val="00227440"/>
    <w:rsid w:val="00227581"/>
    <w:rsid w:val="002275A8"/>
    <w:rsid w:val="0022764E"/>
    <w:rsid w:val="00227683"/>
    <w:rsid w:val="00227A14"/>
    <w:rsid w:val="00227A3B"/>
    <w:rsid w:val="00227A49"/>
    <w:rsid w:val="00227B29"/>
    <w:rsid w:val="00227B34"/>
    <w:rsid w:val="00227C64"/>
    <w:rsid w:val="00227CCF"/>
    <w:rsid w:val="00227D09"/>
    <w:rsid w:val="00227D94"/>
    <w:rsid w:val="00227E4C"/>
    <w:rsid w:val="00227EE0"/>
    <w:rsid w:val="00227F84"/>
    <w:rsid w:val="00230033"/>
    <w:rsid w:val="002300A4"/>
    <w:rsid w:val="002301CB"/>
    <w:rsid w:val="00230215"/>
    <w:rsid w:val="002303D4"/>
    <w:rsid w:val="00230448"/>
    <w:rsid w:val="002306B8"/>
    <w:rsid w:val="002306EE"/>
    <w:rsid w:val="00230750"/>
    <w:rsid w:val="00230917"/>
    <w:rsid w:val="00230AF0"/>
    <w:rsid w:val="00230B2E"/>
    <w:rsid w:val="00230C0D"/>
    <w:rsid w:val="00230C3F"/>
    <w:rsid w:val="00230D3F"/>
    <w:rsid w:val="00230DD9"/>
    <w:rsid w:val="00230E1D"/>
    <w:rsid w:val="00230F65"/>
    <w:rsid w:val="002310A2"/>
    <w:rsid w:val="002311CE"/>
    <w:rsid w:val="002312BE"/>
    <w:rsid w:val="0023130C"/>
    <w:rsid w:val="00231347"/>
    <w:rsid w:val="002314D3"/>
    <w:rsid w:val="0023150E"/>
    <w:rsid w:val="0023154C"/>
    <w:rsid w:val="0023156B"/>
    <w:rsid w:val="002316BF"/>
    <w:rsid w:val="0023176D"/>
    <w:rsid w:val="0023179B"/>
    <w:rsid w:val="00231831"/>
    <w:rsid w:val="002318E4"/>
    <w:rsid w:val="002319B7"/>
    <w:rsid w:val="002319BE"/>
    <w:rsid w:val="002319C2"/>
    <w:rsid w:val="002319DD"/>
    <w:rsid w:val="00231A98"/>
    <w:rsid w:val="00231AE1"/>
    <w:rsid w:val="00231B4C"/>
    <w:rsid w:val="00231C9A"/>
    <w:rsid w:val="00231CD6"/>
    <w:rsid w:val="00231CE9"/>
    <w:rsid w:val="00231DAB"/>
    <w:rsid w:val="00231F00"/>
    <w:rsid w:val="002320AD"/>
    <w:rsid w:val="002321A3"/>
    <w:rsid w:val="002321CB"/>
    <w:rsid w:val="002321CF"/>
    <w:rsid w:val="00232317"/>
    <w:rsid w:val="00232334"/>
    <w:rsid w:val="0023233B"/>
    <w:rsid w:val="002323D3"/>
    <w:rsid w:val="0023244A"/>
    <w:rsid w:val="00232565"/>
    <w:rsid w:val="002325CB"/>
    <w:rsid w:val="0023263E"/>
    <w:rsid w:val="00232806"/>
    <w:rsid w:val="00232874"/>
    <w:rsid w:val="00232934"/>
    <w:rsid w:val="00232997"/>
    <w:rsid w:val="00232B91"/>
    <w:rsid w:val="00232C3A"/>
    <w:rsid w:val="00232CEF"/>
    <w:rsid w:val="00232D5E"/>
    <w:rsid w:val="00232D7F"/>
    <w:rsid w:val="00232E53"/>
    <w:rsid w:val="00232E74"/>
    <w:rsid w:val="00232EAF"/>
    <w:rsid w:val="00232F34"/>
    <w:rsid w:val="00232F81"/>
    <w:rsid w:val="00232F8D"/>
    <w:rsid w:val="00232FF0"/>
    <w:rsid w:val="00233076"/>
    <w:rsid w:val="002331DC"/>
    <w:rsid w:val="00233245"/>
    <w:rsid w:val="00233290"/>
    <w:rsid w:val="0023355F"/>
    <w:rsid w:val="00233647"/>
    <w:rsid w:val="00233762"/>
    <w:rsid w:val="00233796"/>
    <w:rsid w:val="00233843"/>
    <w:rsid w:val="002338EF"/>
    <w:rsid w:val="00233955"/>
    <w:rsid w:val="002339D2"/>
    <w:rsid w:val="002339F6"/>
    <w:rsid w:val="00233AF0"/>
    <w:rsid w:val="00233BCC"/>
    <w:rsid w:val="00233CC4"/>
    <w:rsid w:val="00233D76"/>
    <w:rsid w:val="00233DB2"/>
    <w:rsid w:val="00233E76"/>
    <w:rsid w:val="00233E7A"/>
    <w:rsid w:val="00233EA6"/>
    <w:rsid w:val="00233F48"/>
    <w:rsid w:val="00233FC8"/>
    <w:rsid w:val="00234140"/>
    <w:rsid w:val="0023421F"/>
    <w:rsid w:val="002342C5"/>
    <w:rsid w:val="00234308"/>
    <w:rsid w:val="00234315"/>
    <w:rsid w:val="00234461"/>
    <w:rsid w:val="00234543"/>
    <w:rsid w:val="002346C1"/>
    <w:rsid w:val="00234729"/>
    <w:rsid w:val="00234748"/>
    <w:rsid w:val="002347FE"/>
    <w:rsid w:val="00234A91"/>
    <w:rsid w:val="00234C17"/>
    <w:rsid w:val="00234C5E"/>
    <w:rsid w:val="00234CCD"/>
    <w:rsid w:val="00234E79"/>
    <w:rsid w:val="00234E8D"/>
    <w:rsid w:val="00234FC9"/>
    <w:rsid w:val="0023504F"/>
    <w:rsid w:val="00235060"/>
    <w:rsid w:val="002350BD"/>
    <w:rsid w:val="002350D3"/>
    <w:rsid w:val="00235231"/>
    <w:rsid w:val="00235262"/>
    <w:rsid w:val="002352CE"/>
    <w:rsid w:val="002353B0"/>
    <w:rsid w:val="002355C8"/>
    <w:rsid w:val="00235643"/>
    <w:rsid w:val="00235759"/>
    <w:rsid w:val="00235765"/>
    <w:rsid w:val="00235846"/>
    <w:rsid w:val="00235965"/>
    <w:rsid w:val="00235A6C"/>
    <w:rsid w:val="00235AB8"/>
    <w:rsid w:val="00235B6D"/>
    <w:rsid w:val="00235C45"/>
    <w:rsid w:val="00235C85"/>
    <w:rsid w:val="00235D36"/>
    <w:rsid w:val="00235F3D"/>
    <w:rsid w:val="00235FD4"/>
    <w:rsid w:val="00235FE2"/>
    <w:rsid w:val="00236031"/>
    <w:rsid w:val="002360AC"/>
    <w:rsid w:val="002360D4"/>
    <w:rsid w:val="002360E2"/>
    <w:rsid w:val="00236175"/>
    <w:rsid w:val="002361D8"/>
    <w:rsid w:val="00236223"/>
    <w:rsid w:val="00236263"/>
    <w:rsid w:val="0023636E"/>
    <w:rsid w:val="00236374"/>
    <w:rsid w:val="00236386"/>
    <w:rsid w:val="0023649A"/>
    <w:rsid w:val="00236788"/>
    <w:rsid w:val="002367CF"/>
    <w:rsid w:val="0023680D"/>
    <w:rsid w:val="002368A6"/>
    <w:rsid w:val="00236A23"/>
    <w:rsid w:val="00236AEB"/>
    <w:rsid w:val="00236B56"/>
    <w:rsid w:val="00236B70"/>
    <w:rsid w:val="00236BDA"/>
    <w:rsid w:val="00236E1F"/>
    <w:rsid w:val="00236EF0"/>
    <w:rsid w:val="00236FE3"/>
    <w:rsid w:val="002370F0"/>
    <w:rsid w:val="0023721F"/>
    <w:rsid w:val="002372F3"/>
    <w:rsid w:val="00237429"/>
    <w:rsid w:val="00237487"/>
    <w:rsid w:val="0023762C"/>
    <w:rsid w:val="0023763A"/>
    <w:rsid w:val="002376B8"/>
    <w:rsid w:val="002376E1"/>
    <w:rsid w:val="0023789A"/>
    <w:rsid w:val="00237A06"/>
    <w:rsid w:val="00237AB9"/>
    <w:rsid w:val="00237BC0"/>
    <w:rsid w:val="00237BEA"/>
    <w:rsid w:val="00237D2B"/>
    <w:rsid w:val="00237DC0"/>
    <w:rsid w:val="00237E53"/>
    <w:rsid w:val="00237E9D"/>
    <w:rsid w:val="00237EDE"/>
    <w:rsid w:val="00237F1C"/>
    <w:rsid w:val="00237FBE"/>
    <w:rsid w:val="00240109"/>
    <w:rsid w:val="002401DF"/>
    <w:rsid w:val="002401F8"/>
    <w:rsid w:val="00240218"/>
    <w:rsid w:val="00240289"/>
    <w:rsid w:val="002402E9"/>
    <w:rsid w:val="0024030C"/>
    <w:rsid w:val="00240349"/>
    <w:rsid w:val="00240362"/>
    <w:rsid w:val="0024039A"/>
    <w:rsid w:val="002404E4"/>
    <w:rsid w:val="0024052C"/>
    <w:rsid w:val="00240769"/>
    <w:rsid w:val="002407EA"/>
    <w:rsid w:val="00240887"/>
    <w:rsid w:val="00240AFA"/>
    <w:rsid w:val="00240C45"/>
    <w:rsid w:val="00240C50"/>
    <w:rsid w:val="00240D05"/>
    <w:rsid w:val="00240E42"/>
    <w:rsid w:val="00240F70"/>
    <w:rsid w:val="0024107A"/>
    <w:rsid w:val="0024109B"/>
    <w:rsid w:val="002410B7"/>
    <w:rsid w:val="00241172"/>
    <w:rsid w:val="002411BD"/>
    <w:rsid w:val="002412FA"/>
    <w:rsid w:val="002413C4"/>
    <w:rsid w:val="002413E8"/>
    <w:rsid w:val="00241460"/>
    <w:rsid w:val="002414BC"/>
    <w:rsid w:val="002414F6"/>
    <w:rsid w:val="0024160B"/>
    <w:rsid w:val="00241746"/>
    <w:rsid w:val="00241874"/>
    <w:rsid w:val="0024193C"/>
    <w:rsid w:val="00241982"/>
    <w:rsid w:val="00241AC9"/>
    <w:rsid w:val="00241B9A"/>
    <w:rsid w:val="00241BB2"/>
    <w:rsid w:val="00241C86"/>
    <w:rsid w:val="00241DD1"/>
    <w:rsid w:val="00241E32"/>
    <w:rsid w:val="00241E45"/>
    <w:rsid w:val="00241E55"/>
    <w:rsid w:val="00241ED7"/>
    <w:rsid w:val="00241F25"/>
    <w:rsid w:val="00241FC5"/>
    <w:rsid w:val="00242042"/>
    <w:rsid w:val="002420C4"/>
    <w:rsid w:val="002420F1"/>
    <w:rsid w:val="00242330"/>
    <w:rsid w:val="00242374"/>
    <w:rsid w:val="0024262D"/>
    <w:rsid w:val="0024271C"/>
    <w:rsid w:val="002427C5"/>
    <w:rsid w:val="002428AB"/>
    <w:rsid w:val="00242AC3"/>
    <w:rsid w:val="00242CC3"/>
    <w:rsid w:val="00242E03"/>
    <w:rsid w:val="00242E52"/>
    <w:rsid w:val="00242E5F"/>
    <w:rsid w:val="00242FFC"/>
    <w:rsid w:val="00243057"/>
    <w:rsid w:val="0024309F"/>
    <w:rsid w:val="0024317C"/>
    <w:rsid w:val="00243241"/>
    <w:rsid w:val="002432FC"/>
    <w:rsid w:val="00243313"/>
    <w:rsid w:val="002433D0"/>
    <w:rsid w:val="002433EC"/>
    <w:rsid w:val="0024356B"/>
    <w:rsid w:val="00243759"/>
    <w:rsid w:val="00243869"/>
    <w:rsid w:val="0024393A"/>
    <w:rsid w:val="00243BDC"/>
    <w:rsid w:val="00243D05"/>
    <w:rsid w:val="00243E34"/>
    <w:rsid w:val="00243F0F"/>
    <w:rsid w:val="00243F37"/>
    <w:rsid w:val="00243F4A"/>
    <w:rsid w:val="00243F7F"/>
    <w:rsid w:val="0024406A"/>
    <w:rsid w:val="0024406C"/>
    <w:rsid w:val="00244083"/>
    <w:rsid w:val="0024412E"/>
    <w:rsid w:val="002441BA"/>
    <w:rsid w:val="00244209"/>
    <w:rsid w:val="00244216"/>
    <w:rsid w:val="0024425A"/>
    <w:rsid w:val="00244279"/>
    <w:rsid w:val="00244349"/>
    <w:rsid w:val="00244356"/>
    <w:rsid w:val="00244483"/>
    <w:rsid w:val="0024449C"/>
    <w:rsid w:val="00244560"/>
    <w:rsid w:val="00244682"/>
    <w:rsid w:val="00244803"/>
    <w:rsid w:val="00244910"/>
    <w:rsid w:val="00244A85"/>
    <w:rsid w:val="00244B22"/>
    <w:rsid w:val="00244B80"/>
    <w:rsid w:val="00244D87"/>
    <w:rsid w:val="00244E83"/>
    <w:rsid w:val="00245024"/>
    <w:rsid w:val="00245052"/>
    <w:rsid w:val="0024510D"/>
    <w:rsid w:val="00245161"/>
    <w:rsid w:val="002452B2"/>
    <w:rsid w:val="00245316"/>
    <w:rsid w:val="00245335"/>
    <w:rsid w:val="002453F9"/>
    <w:rsid w:val="00245409"/>
    <w:rsid w:val="00245460"/>
    <w:rsid w:val="00245474"/>
    <w:rsid w:val="0024548D"/>
    <w:rsid w:val="002454C9"/>
    <w:rsid w:val="00245592"/>
    <w:rsid w:val="002456E2"/>
    <w:rsid w:val="00245751"/>
    <w:rsid w:val="0024580C"/>
    <w:rsid w:val="00245871"/>
    <w:rsid w:val="00245919"/>
    <w:rsid w:val="00245A55"/>
    <w:rsid w:val="00245A68"/>
    <w:rsid w:val="00245AB5"/>
    <w:rsid w:val="00245B1E"/>
    <w:rsid w:val="00245B31"/>
    <w:rsid w:val="00245BF4"/>
    <w:rsid w:val="00245CC6"/>
    <w:rsid w:val="00245D0E"/>
    <w:rsid w:val="00245D6B"/>
    <w:rsid w:val="00245D87"/>
    <w:rsid w:val="00245E0F"/>
    <w:rsid w:val="00245E37"/>
    <w:rsid w:val="00245E6A"/>
    <w:rsid w:val="00245EA6"/>
    <w:rsid w:val="00245EDD"/>
    <w:rsid w:val="00245F12"/>
    <w:rsid w:val="00246042"/>
    <w:rsid w:val="0024605D"/>
    <w:rsid w:val="00246194"/>
    <w:rsid w:val="002461FD"/>
    <w:rsid w:val="0024620B"/>
    <w:rsid w:val="0024620F"/>
    <w:rsid w:val="00246228"/>
    <w:rsid w:val="0024623A"/>
    <w:rsid w:val="002462A1"/>
    <w:rsid w:val="00246519"/>
    <w:rsid w:val="0024651D"/>
    <w:rsid w:val="0024656A"/>
    <w:rsid w:val="002465C3"/>
    <w:rsid w:val="002466B0"/>
    <w:rsid w:val="002466F3"/>
    <w:rsid w:val="00246755"/>
    <w:rsid w:val="00246798"/>
    <w:rsid w:val="002467B4"/>
    <w:rsid w:val="00246AA3"/>
    <w:rsid w:val="00246B42"/>
    <w:rsid w:val="00246B52"/>
    <w:rsid w:val="00246B68"/>
    <w:rsid w:val="00246C8B"/>
    <w:rsid w:val="00246F01"/>
    <w:rsid w:val="00246F44"/>
    <w:rsid w:val="00246FEC"/>
    <w:rsid w:val="002470A5"/>
    <w:rsid w:val="002471F9"/>
    <w:rsid w:val="002472F8"/>
    <w:rsid w:val="00247349"/>
    <w:rsid w:val="0024736F"/>
    <w:rsid w:val="0024739C"/>
    <w:rsid w:val="002473F4"/>
    <w:rsid w:val="00247663"/>
    <w:rsid w:val="002476B7"/>
    <w:rsid w:val="0024770C"/>
    <w:rsid w:val="00247782"/>
    <w:rsid w:val="0024779F"/>
    <w:rsid w:val="0024780A"/>
    <w:rsid w:val="00247843"/>
    <w:rsid w:val="00247A0F"/>
    <w:rsid w:val="00247ACC"/>
    <w:rsid w:val="00247AFD"/>
    <w:rsid w:val="00247C10"/>
    <w:rsid w:val="00247C12"/>
    <w:rsid w:val="00247D0A"/>
    <w:rsid w:val="00247D18"/>
    <w:rsid w:val="00247DA6"/>
    <w:rsid w:val="00247EFE"/>
    <w:rsid w:val="0025005C"/>
    <w:rsid w:val="0025007E"/>
    <w:rsid w:val="002500CC"/>
    <w:rsid w:val="00250159"/>
    <w:rsid w:val="0025018E"/>
    <w:rsid w:val="0025019F"/>
    <w:rsid w:val="002501F0"/>
    <w:rsid w:val="00250309"/>
    <w:rsid w:val="00250598"/>
    <w:rsid w:val="0025065C"/>
    <w:rsid w:val="00250696"/>
    <w:rsid w:val="002507A5"/>
    <w:rsid w:val="00250816"/>
    <w:rsid w:val="00250836"/>
    <w:rsid w:val="0025084A"/>
    <w:rsid w:val="00250899"/>
    <w:rsid w:val="002508A2"/>
    <w:rsid w:val="00250B0C"/>
    <w:rsid w:val="00250C4B"/>
    <w:rsid w:val="00250C92"/>
    <w:rsid w:val="00250CD0"/>
    <w:rsid w:val="00250D15"/>
    <w:rsid w:val="00250DDB"/>
    <w:rsid w:val="00250EAF"/>
    <w:rsid w:val="00250F62"/>
    <w:rsid w:val="00250FEB"/>
    <w:rsid w:val="00251015"/>
    <w:rsid w:val="00251085"/>
    <w:rsid w:val="00251288"/>
    <w:rsid w:val="002513F9"/>
    <w:rsid w:val="0025141F"/>
    <w:rsid w:val="0025153F"/>
    <w:rsid w:val="002515C1"/>
    <w:rsid w:val="002516A4"/>
    <w:rsid w:val="0025172F"/>
    <w:rsid w:val="0025177D"/>
    <w:rsid w:val="0025186F"/>
    <w:rsid w:val="002518A5"/>
    <w:rsid w:val="002518E2"/>
    <w:rsid w:val="002519A1"/>
    <w:rsid w:val="00251B0F"/>
    <w:rsid w:val="00251B8F"/>
    <w:rsid w:val="00251CD2"/>
    <w:rsid w:val="00251D25"/>
    <w:rsid w:val="00252018"/>
    <w:rsid w:val="002520FB"/>
    <w:rsid w:val="002521D5"/>
    <w:rsid w:val="0025230E"/>
    <w:rsid w:val="0025237F"/>
    <w:rsid w:val="002524A5"/>
    <w:rsid w:val="00252633"/>
    <w:rsid w:val="002527A5"/>
    <w:rsid w:val="002529A7"/>
    <w:rsid w:val="00252AA4"/>
    <w:rsid w:val="00252D83"/>
    <w:rsid w:val="00252DAF"/>
    <w:rsid w:val="00252DD0"/>
    <w:rsid w:val="00252E70"/>
    <w:rsid w:val="00252ED3"/>
    <w:rsid w:val="00252F35"/>
    <w:rsid w:val="0025319A"/>
    <w:rsid w:val="0025322D"/>
    <w:rsid w:val="00253277"/>
    <w:rsid w:val="00253290"/>
    <w:rsid w:val="0025331F"/>
    <w:rsid w:val="002533DE"/>
    <w:rsid w:val="002533F2"/>
    <w:rsid w:val="002534CE"/>
    <w:rsid w:val="0025350D"/>
    <w:rsid w:val="0025352E"/>
    <w:rsid w:val="00253559"/>
    <w:rsid w:val="00253695"/>
    <w:rsid w:val="00253705"/>
    <w:rsid w:val="00253797"/>
    <w:rsid w:val="00253874"/>
    <w:rsid w:val="00253C16"/>
    <w:rsid w:val="00253CD9"/>
    <w:rsid w:val="00253CF6"/>
    <w:rsid w:val="00253D84"/>
    <w:rsid w:val="00253EE9"/>
    <w:rsid w:val="00253FCE"/>
    <w:rsid w:val="00254033"/>
    <w:rsid w:val="00254081"/>
    <w:rsid w:val="00254087"/>
    <w:rsid w:val="00254201"/>
    <w:rsid w:val="002542EB"/>
    <w:rsid w:val="00254327"/>
    <w:rsid w:val="0025434F"/>
    <w:rsid w:val="00254391"/>
    <w:rsid w:val="002543D1"/>
    <w:rsid w:val="002544B4"/>
    <w:rsid w:val="002544D9"/>
    <w:rsid w:val="0025459E"/>
    <w:rsid w:val="00254631"/>
    <w:rsid w:val="002546C8"/>
    <w:rsid w:val="002546E5"/>
    <w:rsid w:val="00254708"/>
    <w:rsid w:val="002548FC"/>
    <w:rsid w:val="00254A07"/>
    <w:rsid w:val="00254A9F"/>
    <w:rsid w:val="00254AB1"/>
    <w:rsid w:val="00254DAE"/>
    <w:rsid w:val="00254DF0"/>
    <w:rsid w:val="00254E19"/>
    <w:rsid w:val="00254E7A"/>
    <w:rsid w:val="00254EB0"/>
    <w:rsid w:val="00254EC6"/>
    <w:rsid w:val="00254EC8"/>
    <w:rsid w:val="00254F49"/>
    <w:rsid w:val="00254F5D"/>
    <w:rsid w:val="00254FF9"/>
    <w:rsid w:val="002550A9"/>
    <w:rsid w:val="002551E7"/>
    <w:rsid w:val="002552C8"/>
    <w:rsid w:val="00255360"/>
    <w:rsid w:val="00255479"/>
    <w:rsid w:val="002554EC"/>
    <w:rsid w:val="00255582"/>
    <w:rsid w:val="002556CB"/>
    <w:rsid w:val="0025577F"/>
    <w:rsid w:val="00255806"/>
    <w:rsid w:val="0025584D"/>
    <w:rsid w:val="0025593C"/>
    <w:rsid w:val="002559A8"/>
    <w:rsid w:val="00255A1B"/>
    <w:rsid w:val="00255B03"/>
    <w:rsid w:val="00255CCA"/>
    <w:rsid w:val="00255E29"/>
    <w:rsid w:val="00255EA1"/>
    <w:rsid w:val="00255F6C"/>
    <w:rsid w:val="002563D4"/>
    <w:rsid w:val="0025643E"/>
    <w:rsid w:val="002564A3"/>
    <w:rsid w:val="002565FD"/>
    <w:rsid w:val="002566DE"/>
    <w:rsid w:val="00256766"/>
    <w:rsid w:val="0025677A"/>
    <w:rsid w:val="00256785"/>
    <w:rsid w:val="002567C2"/>
    <w:rsid w:val="002568B8"/>
    <w:rsid w:val="002568DF"/>
    <w:rsid w:val="00256909"/>
    <w:rsid w:val="0025699A"/>
    <w:rsid w:val="002569FF"/>
    <w:rsid w:val="00256AEE"/>
    <w:rsid w:val="00256C07"/>
    <w:rsid w:val="00256DD1"/>
    <w:rsid w:val="00256E58"/>
    <w:rsid w:val="00256ED7"/>
    <w:rsid w:val="002570CC"/>
    <w:rsid w:val="0025719F"/>
    <w:rsid w:val="002573BC"/>
    <w:rsid w:val="002573E7"/>
    <w:rsid w:val="0025741A"/>
    <w:rsid w:val="0025741E"/>
    <w:rsid w:val="0025751B"/>
    <w:rsid w:val="002575BF"/>
    <w:rsid w:val="00257647"/>
    <w:rsid w:val="00257716"/>
    <w:rsid w:val="002577D7"/>
    <w:rsid w:val="002577F4"/>
    <w:rsid w:val="00257801"/>
    <w:rsid w:val="0025782D"/>
    <w:rsid w:val="002578F1"/>
    <w:rsid w:val="00257C23"/>
    <w:rsid w:val="00257CC8"/>
    <w:rsid w:val="00257D46"/>
    <w:rsid w:val="00257D7A"/>
    <w:rsid w:val="00257E57"/>
    <w:rsid w:val="00257E5C"/>
    <w:rsid w:val="00260150"/>
    <w:rsid w:val="002601CC"/>
    <w:rsid w:val="002602BC"/>
    <w:rsid w:val="0026032E"/>
    <w:rsid w:val="0026043E"/>
    <w:rsid w:val="002605B0"/>
    <w:rsid w:val="00260651"/>
    <w:rsid w:val="002606BF"/>
    <w:rsid w:val="002607C4"/>
    <w:rsid w:val="0026082C"/>
    <w:rsid w:val="00260856"/>
    <w:rsid w:val="002609D5"/>
    <w:rsid w:val="00260A50"/>
    <w:rsid w:val="00260A7F"/>
    <w:rsid w:val="00260BF5"/>
    <w:rsid w:val="00260C24"/>
    <w:rsid w:val="00260D27"/>
    <w:rsid w:val="00260D33"/>
    <w:rsid w:val="00260D40"/>
    <w:rsid w:val="00260D54"/>
    <w:rsid w:val="00260D5D"/>
    <w:rsid w:val="00260F43"/>
    <w:rsid w:val="00260F7D"/>
    <w:rsid w:val="00260FCD"/>
    <w:rsid w:val="0026109E"/>
    <w:rsid w:val="0026128A"/>
    <w:rsid w:val="00261389"/>
    <w:rsid w:val="002613AF"/>
    <w:rsid w:val="00261428"/>
    <w:rsid w:val="0026147D"/>
    <w:rsid w:val="002614B1"/>
    <w:rsid w:val="002616D8"/>
    <w:rsid w:val="0026170E"/>
    <w:rsid w:val="0026175B"/>
    <w:rsid w:val="0026189A"/>
    <w:rsid w:val="002619CE"/>
    <w:rsid w:val="00261B42"/>
    <w:rsid w:val="00261C1A"/>
    <w:rsid w:val="00261CA2"/>
    <w:rsid w:val="00261CBE"/>
    <w:rsid w:val="00261E80"/>
    <w:rsid w:val="00261F88"/>
    <w:rsid w:val="00262073"/>
    <w:rsid w:val="0026228D"/>
    <w:rsid w:val="00262293"/>
    <w:rsid w:val="002622BE"/>
    <w:rsid w:val="002622CF"/>
    <w:rsid w:val="002622DC"/>
    <w:rsid w:val="00262350"/>
    <w:rsid w:val="0026236D"/>
    <w:rsid w:val="0026239C"/>
    <w:rsid w:val="002623A5"/>
    <w:rsid w:val="00262424"/>
    <w:rsid w:val="002625A5"/>
    <w:rsid w:val="002625AA"/>
    <w:rsid w:val="002625DB"/>
    <w:rsid w:val="002626D6"/>
    <w:rsid w:val="00262775"/>
    <w:rsid w:val="0026278F"/>
    <w:rsid w:val="00262889"/>
    <w:rsid w:val="002628A9"/>
    <w:rsid w:val="002628C4"/>
    <w:rsid w:val="00262AA1"/>
    <w:rsid w:val="00262AEA"/>
    <w:rsid w:val="00262B6F"/>
    <w:rsid w:val="00262B87"/>
    <w:rsid w:val="00262CCA"/>
    <w:rsid w:val="00262CEA"/>
    <w:rsid w:val="00262D49"/>
    <w:rsid w:val="00262DD2"/>
    <w:rsid w:val="00262DD8"/>
    <w:rsid w:val="00262DEB"/>
    <w:rsid w:val="00262E73"/>
    <w:rsid w:val="00262ECF"/>
    <w:rsid w:val="00262F7B"/>
    <w:rsid w:val="00263220"/>
    <w:rsid w:val="0026322E"/>
    <w:rsid w:val="00263256"/>
    <w:rsid w:val="002634BB"/>
    <w:rsid w:val="0026359B"/>
    <w:rsid w:val="00263647"/>
    <w:rsid w:val="0026366C"/>
    <w:rsid w:val="002637DB"/>
    <w:rsid w:val="00263948"/>
    <w:rsid w:val="0026396E"/>
    <w:rsid w:val="00263991"/>
    <w:rsid w:val="00263B13"/>
    <w:rsid w:val="00263B35"/>
    <w:rsid w:val="00263BE1"/>
    <w:rsid w:val="00263C04"/>
    <w:rsid w:val="00263D11"/>
    <w:rsid w:val="00263DB9"/>
    <w:rsid w:val="00263EF4"/>
    <w:rsid w:val="00263FAB"/>
    <w:rsid w:val="00263FCE"/>
    <w:rsid w:val="00264069"/>
    <w:rsid w:val="002640BA"/>
    <w:rsid w:val="00264149"/>
    <w:rsid w:val="00264179"/>
    <w:rsid w:val="0026420A"/>
    <w:rsid w:val="00264274"/>
    <w:rsid w:val="00264324"/>
    <w:rsid w:val="002645E6"/>
    <w:rsid w:val="00264629"/>
    <w:rsid w:val="0026463F"/>
    <w:rsid w:val="0026467E"/>
    <w:rsid w:val="002646DE"/>
    <w:rsid w:val="00264742"/>
    <w:rsid w:val="00264838"/>
    <w:rsid w:val="002648C1"/>
    <w:rsid w:val="002648DC"/>
    <w:rsid w:val="0026498A"/>
    <w:rsid w:val="002649F9"/>
    <w:rsid w:val="00264A13"/>
    <w:rsid w:val="00264A34"/>
    <w:rsid w:val="00264CD3"/>
    <w:rsid w:val="00264DD1"/>
    <w:rsid w:val="00264F18"/>
    <w:rsid w:val="00264FCD"/>
    <w:rsid w:val="00265002"/>
    <w:rsid w:val="0026504C"/>
    <w:rsid w:val="002650B7"/>
    <w:rsid w:val="0026517F"/>
    <w:rsid w:val="00265234"/>
    <w:rsid w:val="002654E8"/>
    <w:rsid w:val="0026560C"/>
    <w:rsid w:val="0026567B"/>
    <w:rsid w:val="0026577B"/>
    <w:rsid w:val="0026580D"/>
    <w:rsid w:val="002658EB"/>
    <w:rsid w:val="00265B38"/>
    <w:rsid w:val="00265BB1"/>
    <w:rsid w:val="00265C1F"/>
    <w:rsid w:val="00265CAF"/>
    <w:rsid w:val="00265D47"/>
    <w:rsid w:val="00265E44"/>
    <w:rsid w:val="00265E6D"/>
    <w:rsid w:val="00265F5D"/>
    <w:rsid w:val="00266032"/>
    <w:rsid w:val="002660CF"/>
    <w:rsid w:val="002661BA"/>
    <w:rsid w:val="00266289"/>
    <w:rsid w:val="0026640C"/>
    <w:rsid w:val="002665C7"/>
    <w:rsid w:val="00266613"/>
    <w:rsid w:val="00266730"/>
    <w:rsid w:val="0026677D"/>
    <w:rsid w:val="002669B3"/>
    <w:rsid w:val="00266A98"/>
    <w:rsid w:val="00266AF5"/>
    <w:rsid w:val="00266B16"/>
    <w:rsid w:val="00266BBB"/>
    <w:rsid w:val="00266BE2"/>
    <w:rsid w:val="00266C4A"/>
    <w:rsid w:val="00266C5A"/>
    <w:rsid w:val="00266CF8"/>
    <w:rsid w:val="00266E58"/>
    <w:rsid w:val="00266EFF"/>
    <w:rsid w:val="00266F44"/>
    <w:rsid w:val="00266F45"/>
    <w:rsid w:val="00266F81"/>
    <w:rsid w:val="00266F9B"/>
    <w:rsid w:val="00267041"/>
    <w:rsid w:val="00267260"/>
    <w:rsid w:val="002673FE"/>
    <w:rsid w:val="00267402"/>
    <w:rsid w:val="00267489"/>
    <w:rsid w:val="0026764F"/>
    <w:rsid w:val="00267652"/>
    <w:rsid w:val="0026765B"/>
    <w:rsid w:val="002677E4"/>
    <w:rsid w:val="00267805"/>
    <w:rsid w:val="00267A7B"/>
    <w:rsid w:val="00267B24"/>
    <w:rsid w:val="00267BCA"/>
    <w:rsid w:val="00267C07"/>
    <w:rsid w:val="00267C59"/>
    <w:rsid w:val="00267D46"/>
    <w:rsid w:val="00267D4D"/>
    <w:rsid w:val="00267E19"/>
    <w:rsid w:val="00267F55"/>
    <w:rsid w:val="00267FBD"/>
    <w:rsid w:val="002700A3"/>
    <w:rsid w:val="00270211"/>
    <w:rsid w:val="0027026D"/>
    <w:rsid w:val="00270271"/>
    <w:rsid w:val="002702B9"/>
    <w:rsid w:val="002702E2"/>
    <w:rsid w:val="00270345"/>
    <w:rsid w:val="002703EA"/>
    <w:rsid w:val="00270B88"/>
    <w:rsid w:val="00270BBF"/>
    <w:rsid w:val="00270C18"/>
    <w:rsid w:val="00270C23"/>
    <w:rsid w:val="00270C4E"/>
    <w:rsid w:val="00270E01"/>
    <w:rsid w:val="00270E16"/>
    <w:rsid w:val="00270E50"/>
    <w:rsid w:val="00270ED8"/>
    <w:rsid w:val="00270F89"/>
    <w:rsid w:val="00270FD0"/>
    <w:rsid w:val="00271334"/>
    <w:rsid w:val="00271347"/>
    <w:rsid w:val="00271705"/>
    <w:rsid w:val="00271746"/>
    <w:rsid w:val="0027184F"/>
    <w:rsid w:val="002719F0"/>
    <w:rsid w:val="00271B25"/>
    <w:rsid w:val="00271B7A"/>
    <w:rsid w:val="00271BDF"/>
    <w:rsid w:val="00271C6D"/>
    <w:rsid w:val="00271CAC"/>
    <w:rsid w:val="00271CD4"/>
    <w:rsid w:val="00271CF6"/>
    <w:rsid w:val="00271D58"/>
    <w:rsid w:val="00271D78"/>
    <w:rsid w:val="00271FA3"/>
    <w:rsid w:val="0027214A"/>
    <w:rsid w:val="0027218D"/>
    <w:rsid w:val="002721BC"/>
    <w:rsid w:val="002722DC"/>
    <w:rsid w:val="002722EA"/>
    <w:rsid w:val="00272313"/>
    <w:rsid w:val="0027238C"/>
    <w:rsid w:val="0027246A"/>
    <w:rsid w:val="0027248A"/>
    <w:rsid w:val="00272644"/>
    <w:rsid w:val="002727EE"/>
    <w:rsid w:val="00272853"/>
    <w:rsid w:val="0027290D"/>
    <w:rsid w:val="00272971"/>
    <w:rsid w:val="00272B36"/>
    <w:rsid w:val="00272C86"/>
    <w:rsid w:val="00272C8B"/>
    <w:rsid w:val="00272D5D"/>
    <w:rsid w:val="00272E17"/>
    <w:rsid w:val="00272E70"/>
    <w:rsid w:val="00272EE0"/>
    <w:rsid w:val="00272F27"/>
    <w:rsid w:val="00273109"/>
    <w:rsid w:val="00273257"/>
    <w:rsid w:val="002733B4"/>
    <w:rsid w:val="002733C8"/>
    <w:rsid w:val="0027360C"/>
    <w:rsid w:val="0027364B"/>
    <w:rsid w:val="002737B3"/>
    <w:rsid w:val="00273834"/>
    <w:rsid w:val="00273899"/>
    <w:rsid w:val="00273A5A"/>
    <w:rsid w:val="00273B0B"/>
    <w:rsid w:val="00273BB1"/>
    <w:rsid w:val="00273BC0"/>
    <w:rsid w:val="00273C2E"/>
    <w:rsid w:val="00273C5A"/>
    <w:rsid w:val="00273D9B"/>
    <w:rsid w:val="00273E9B"/>
    <w:rsid w:val="00273F15"/>
    <w:rsid w:val="0027406D"/>
    <w:rsid w:val="00274232"/>
    <w:rsid w:val="002743A4"/>
    <w:rsid w:val="0027448B"/>
    <w:rsid w:val="002745B5"/>
    <w:rsid w:val="002747AD"/>
    <w:rsid w:val="00274883"/>
    <w:rsid w:val="00274887"/>
    <w:rsid w:val="0027490B"/>
    <w:rsid w:val="00274B56"/>
    <w:rsid w:val="00274B9F"/>
    <w:rsid w:val="00274C3B"/>
    <w:rsid w:val="00274CA5"/>
    <w:rsid w:val="00274CA6"/>
    <w:rsid w:val="00274D7E"/>
    <w:rsid w:val="00274E37"/>
    <w:rsid w:val="00274EAD"/>
    <w:rsid w:val="00275052"/>
    <w:rsid w:val="002750DA"/>
    <w:rsid w:val="0027519A"/>
    <w:rsid w:val="002751C4"/>
    <w:rsid w:val="002752DB"/>
    <w:rsid w:val="0027549A"/>
    <w:rsid w:val="002754A0"/>
    <w:rsid w:val="002754EE"/>
    <w:rsid w:val="002755C1"/>
    <w:rsid w:val="00275614"/>
    <w:rsid w:val="00275623"/>
    <w:rsid w:val="0027567A"/>
    <w:rsid w:val="002756D3"/>
    <w:rsid w:val="00275763"/>
    <w:rsid w:val="002757E5"/>
    <w:rsid w:val="00275813"/>
    <w:rsid w:val="00275838"/>
    <w:rsid w:val="0027599A"/>
    <w:rsid w:val="002759BC"/>
    <w:rsid w:val="00275A7A"/>
    <w:rsid w:val="00275B4D"/>
    <w:rsid w:val="00275BA5"/>
    <w:rsid w:val="00275BAA"/>
    <w:rsid w:val="00275C1A"/>
    <w:rsid w:val="00275C84"/>
    <w:rsid w:val="00275E2D"/>
    <w:rsid w:val="00275F84"/>
    <w:rsid w:val="00276051"/>
    <w:rsid w:val="00276177"/>
    <w:rsid w:val="00276178"/>
    <w:rsid w:val="002761AB"/>
    <w:rsid w:val="0027622F"/>
    <w:rsid w:val="00276293"/>
    <w:rsid w:val="00276300"/>
    <w:rsid w:val="0027635B"/>
    <w:rsid w:val="0027638B"/>
    <w:rsid w:val="00276403"/>
    <w:rsid w:val="0027667D"/>
    <w:rsid w:val="002766B3"/>
    <w:rsid w:val="002766EB"/>
    <w:rsid w:val="00276795"/>
    <w:rsid w:val="00276A4F"/>
    <w:rsid w:val="00276ABA"/>
    <w:rsid w:val="00276B1E"/>
    <w:rsid w:val="00276B63"/>
    <w:rsid w:val="00276BA7"/>
    <w:rsid w:val="00276CD0"/>
    <w:rsid w:val="00276D0E"/>
    <w:rsid w:val="00276E0F"/>
    <w:rsid w:val="00276EAB"/>
    <w:rsid w:val="0027720D"/>
    <w:rsid w:val="002773BB"/>
    <w:rsid w:val="002774A5"/>
    <w:rsid w:val="002774E1"/>
    <w:rsid w:val="00277517"/>
    <w:rsid w:val="0027762B"/>
    <w:rsid w:val="00277652"/>
    <w:rsid w:val="0027767F"/>
    <w:rsid w:val="00277880"/>
    <w:rsid w:val="00277901"/>
    <w:rsid w:val="002779FA"/>
    <w:rsid w:val="00277A21"/>
    <w:rsid w:val="00277B1E"/>
    <w:rsid w:val="00277DD9"/>
    <w:rsid w:val="00277FA3"/>
    <w:rsid w:val="00277FEA"/>
    <w:rsid w:val="002800E0"/>
    <w:rsid w:val="0028016B"/>
    <w:rsid w:val="00280198"/>
    <w:rsid w:val="00280236"/>
    <w:rsid w:val="00280248"/>
    <w:rsid w:val="002804BE"/>
    <w:rsid w:val="00280555"/>
    <w:rsid w:val="00280628"/>
    <w:rsid w:val="0028072A"/>
    <w:rsid w:val="00280780"/>
    <w:rsid w:val="002808AB"/>
    <w:rsid w:val="00280939"/>
    <w:rsid w:val="0028096C"/>
    <w:rsid w:val="002809CC"/>
    <w:rsid w:val="002809E5"/>
    <w:rsid w:val="00280B26"/>
    <w:rsid w:val="00280BE3"/>
    <w:rsid w:val="00280C20"/>
    <w:rsid w:val="00280C8E"/>
    <w:rsid w:val="00280D19"/>
    <w:rsid w:val="00280E28"/>
    <w:rsid w:val="00280EA2"/>
    <w:rsid w:val="00280EC5"/>
    <w:rsid w:val="002810C0"/>
    <w:rsid w:val="002811EE"/>
    <w:rsid w:val="00281215"/>
    <w:rsid w:val="00281361"/>
    <w:rsid w:val="002814BD"/>
    <w:rsid w:val="002815A3"/>
    <w:rsid w:val="002815D4"/>
    <w:rsid w:val="00281808"/>
    <w:rsid w:val="002818C1"/>
    <w:rsid w:val="002818E5"/>
    <w:rsid w:val="00281A36"/>
    <w:rsid w:val="00281AB7"/>
    <w:rsid w:val="00281BD8"/>
    <w:rsid w:val="00281C21"/>
    <w:rsid w:val="00281C74"/>
    <w:rsid w:val="00281C83"/>
    <w:rsid w:val="00281C8A"/>
    <w:rsid w:val="00281C92"/>
    <w:rsid w:val="00281DF9"/>
    <w:rsid w:val="00281FE0"/>
    <w:rsid w:val="00282167"/>
    <w:rsid w:val="00282172"/>
    <w:rsid w:val="00282187"/>
    <w:rsid w:val="002823D2"/>
    <w:rsid w:val="002823EE"/>
    <w:rsid w:val="002825D3"/>
    <w:rsid w:val="00282662"/>
    <w:rsid w:val="002826AD"/>
    <w:rsid w:val="00282720"/>
    <w:rsid w:val="0028273F"/>
    <w:rsid w:val="00282811"/>
    <w:rsid w:val="00282832"/>
    <w:rsid w:val="0028288A"/>
    <w:rsid w:val="0028290C"/>
    <w:rsid w:val="00282927"/>
    <w:rsid w:val="00282A62"/>
    <w:rsid w:val="00282A71"/>
    <w:rsid w:val="00282AB4"/>
    <w:rsid w:val="00282B07"/>
    <w:rsid w:val="00282BB3"/>
    <w:rsid w:val="00282C41"/>
    <w:rsid w:val="00282D70"/>
    <w:rsid w:val="00282E1E"/>
    <w:rsid w:val="00282E48"/>
    <w:rsid w:val="00282F98"/>
    <w:rsid w:val="00282FB3"/>
    <w:rsid w:val="00283055"/>
    <w:rsid w:val="0028307B"/>
    <w:rsid w:val="002830E9"/>
    <w:rsid w:val="00283127"/>
    <w:rsid w:val="00283274"/>
    <w:rsid w:val="002834D3"/>
    <w:rsid w:val="00283785"/>
    <w:rsid w:val="00283817"/>
    <w:rsid w:val="002839C9"/>
    <w:rsid w:val="00283ACC"/>
    <w:rsid w:val="00283B0F"/>
    <w:rsid w:val="00283B76"/>
    <w:rsid w:val="00283C06"/>
    <w:rsid w:val="00283C07"/>
    <w:rsid w:val="00283CC0"/>
    <w:rsid w:val="00283D84"/>
    <w:rsid w:val="00283E0B"/>
    <w:rsid w:val="00283E82"/>
    <w:rsid w:val="00283EFA"/>
    <w:rsid w:val="00283F5D"/>
    <w:rsid w:val="00283FD2"/>
    <w:rsid w:val="00284164"/>
    <w:rsid w:val="0028419D"/>
    <w:rsid w:val="002841BC"/>
    <w:rsid w:val="00284201"/>
    <w:rsid w:val="00284669"/>
    <w:rsid w:val="002846C4"/>
    <w:rsid w:val="002848F9"/>
    <w:rsid w:val="0028494A"/>
    <w:rsid w:val="00284988"/>
    <w:rsid w:val="002849BE"/>
    <w:rsid w:val="00284A9B"/>
    <w:rsid w:val="00284B88"/>
    <w:rsid w:val="00284CCD"/>
    <w:rsid w:val="00284D0A"/>
    <w:rsid w:val="00284D27"/>
    <w:rsid w:val="00284D46"/>
    <w:rsid w:val="00284D9B"/>
    <w:rsid w:val="00284DB4"/>
    <w:rsid w:val="00284EC8"/>
    <w:rsid w:val="00284FD9"/>
    <w:rsid w:val="00284FE5"/>
    <w:rsid w:val="00285294"/>
    <w:rsid w:val="002852BB"/>
    <w:rsid w:val="0028559A"/>
    <w:rsid w:val="00285651"/>
    <w:rsid w:val="0028565A"/>
    <w:rsid w:val="002859AC"/>
    <w:rsid w:val="00285A85"/>
    <w:rsid w:val="00285C0B"/>
    <w:rsid w:val="00285C6E"/>
    <w:rsid w:val="00285D43"/>
    <w:rsid w:val="00285DDE"/>
    <w:rsid w:val="00285EAF"/>
    <w:rsid w:val="00285FD1"/>
    <w:rsid w:val="0028603D"/>
    <w:rsid w:val="00286058"/>
    <w:rsid w:val="0028617D"/>
    <w:rsid w:val="0028618B"/>
    <w:rsid w:val="00286197"/>
    <w:rsid w:val="002861B2"/>
    <w:rsid w:val="002861E3"/>
    <w:rsid w:val="0028622C"/>
    <w:rsid w:val="002862CA"/>
    <w:rsid w:val="0028633C"/>
    <w:rsid w:val="002863B6"/>
    <w:rsid w:val="002863D1"/>
    <w:rsid w:val="0028646E"/>
    <w:rsid w:val="00286599"/>
    <w:rsid w:val="0028675D"/>
    <w:rsid w:val="002867F5"/>
    <w:rsid w:val="00286810"/>
    <w:rsid w:val="0028685E"/>
    <w:rsid w:val="00286899"/>
    <w:rsid w:val="00286A40"/>
    <w:rsid w:val="00286A67"/>
    <w:rsid w:val="00286B25"/>
    <w:rsid w:val="00286B66"/>
    <w:rsid w:val="00286BC4"/>
    <w:rsid w:val="00286C8B"/>
    <w:rsid w:val="00286D53"/>
    <w:rsid w:val="00286DD5"/>
    <w:rsid w:val="00286E63"/>
    <w:rsid w:val="00286E94"/>
    <w:rsid w:val="00286F9A"/>
    <w:rsid w:val="0028709C"/>
    <w:rsid w:val="00287140"/>
    <w:rsid w:val="002871E7"/>
    <w:rsid w:val="002872BE"/>
    <w:rsid w:val="002873BA"/>
    <w:rsid w:val="002873F6"/>
    <w:rsid w:val="002874FF"/>
    <w:rsid w:val="002875AB"/>
    <w:rsid w:val="0028763C"/>
    <w:rsid w:val="002876D9"/>
    <w:rsid w:val="002877FB"/>
    <w:rsid w:val="00287961"/>
    <w:rsid w:val="0028796D"/>
    <w:rsid w:val="00287ABD"/>
    <w:rsid w:val="00287B65"/>
    <w:rsid w:val="00287B8B"/>
    <w:rsid w:val="00287C11"/>
    <w:rsid w:val="00287D7D"/>
    <w:rsid w:val="00287DAE"/>
    <w:rsid w:val="00287F8C"/>
    <w:rsid w:val="00287FA8"/>
    <w:rsid w:val="00290001"/>
    <w:rsid w:val="0029005D"/>
    <w:rsid w:val="00290095"/>
    <w:rsid w:val="0029022B"/>
    <w:rsid w:val="00290276"/>
    <w:rsid w:val="0029038D"/>
    <w:rsid w:val="002903E8"/>
    <w:rsid w:val="00290423"/>
    <w:rsid w:val="00290449"/>
    <w:rsid w:val="00290479"/>
    <w:rsid w:val="002904CE"/>
    <w:rsid w:val="002905AE"/>
    <w:rsid w:val="002906C8"/>
    <w:rsid w:val="00290799"/>
    <w:rsid w:val="00290823"/>
    <w:rsid w:val="0029093A"/>
    <w:rsid w:val="00290955"/>
    <w:rsid w:val="002909B1"/>
    <w:rsid w:val="00290AD4"/>
    <w:rsid w:val="00290AF8"/>
    <w:rsid w:val="00290B2B"/>
    <w:rsid w:val="00290B9E"/>
    <w:rsid w:val="00290BF0"/>
    <w:rsid w:val="00290C20"/>
    <w:rsid w:val="00290C3D"/>
    <w:rsid w:val="00290D0E"/>
    <w:rsid w:val="00290DE2"/>
    <w:rsid w:val="00290DF8"/>
    <w:rsid w:val="00290E01"/>
    <w:rsid w:val="00290EBD"/>
    <w:rsid w:val="00290F6C"/>
    <w:rsid w:val="00291029"/>
    <w:rsid w:val="0029112F"/>
    <w:rsid w:val="00291168"/>
    <w:rsid w:val="002911EB"/>
    <w:rsid w:val="0029123C"/>
    <w:rsid w:val="002912E0"/>
    <w:rsid w:val="002912FE"/>
    <w:rsid w:val="00291304"/>
    <w:rsid w:val="00291322"/>
    <w:rsid w:val="00291371"/>
    <w:rsid w:val="002915B4"/>
    <w:rsid w:val="00291683"/>
    <w:rsid w:val="0029174B"/>
    <w:rsid w:val="0029175D"/>
    <w:rsid w:val="002918BF"/>
    <w:rsid w:val="00291AB8"/>
    <w:rsid w:val="00291B02"/>
    <w:rsid w:val="00291B05"/>
    <w:rsid w:val="00291B0A"/>
    <w:rsid w:val="00291C27"/>
    <w:rsid w:val="00291C5B"/>
    <w:rsid w:val="00291C73"/>
    <w:rsid w:val="00291D74"/>
    <w:rsid w:val="00291DF5"/>
    <w:rsid w:val="00291ED1"/>
    <w:rsid w:val="00291FC1"/>
    <w:rsid w:val="0029204D"/>
    <w:rsid w:val="00292057"/>
    <w:rsid w:val="00292069"/>
    <w:rsid w:val="0029217C"/>
    <w:rsid w:val="002923A1"/>
    <w:rsid w:val="002923A7"/>
    <w:rsid w:val="002923E1"/>
    <w:rsid w:val="002923F3"/>
    <w:rsid w:val="0029244F"/>
    <w:rsid w:val="0029252F"/>
    <w:rsid w:val="00292539"/>
    <w:rsid w:val="002926E9"/>
    <w:rsid w:val="0029270C"/>
    <w:rsid w:val="00292739"/>
    <w:rsid w:val="002927BF"/>
    <w:rsid w:val="002927E2"/>
    <w:rsid w:val="002929B5"/>
    <w:rsid w:val="002929CC"/>
    <w:rsid w:val="00292A85"/>
    <w:rsid w:val="00292A87"/>
    <w:rsid w:val="00292ADC"/>
    <w:rsid w:val="00292B51"/>
    <w:rsid w:val="00292C3A"/>
    <w:rsid w:val="00292E0A"/>
    <w:rsid w:val="00292E58"/>
    <w:rsid w:val="00292E6F"/>
    <w:rsid w:val="00293073"/>
    <w:rsid w:val="00293262"/>
    <w:rsid w:val="00293300"/>
    <w:rsid w:val="002936A7"/>
    <w:rsid w:val="00293840"/>
    <w:rsid w:val="0029386B"/>
    <w:rsid w:val="0029386F"/>
    <w:rsid w:val="00293926"/>
    <w:rsid w:val="0029397A"/>
    <w:rsid w:val="00293AA9"/>
    <w:rsid w:val="00293B39"/>
    <w:rsid w:val="00293B78"/>
    <w:rsid w:val="00293C91"/>
    <w:rsid w:val="00293CE4"/>
    <w:rsid w:val="00293CF0"/>
    <w:rsid w:val="00293D8F"/>
    <w:rsid w:val="00293DB0"/>
    <w:rsid w:val="00293E9C"/>
    <w:rsid w:val="00293EEF"/>
    <w:rsid w:val="00293F61"/>
    <w:rsid w:val="00294052"/>
    <w:rsid w:val="00294107"/>
    <w:rsid w:val="002942A2"/>
    <w:rsid w:val="002942A4"/>
    <w:rsid w:val="0029435C"/>
    <w:rsid w:val="00294400"/>
    <w:rsid w:val="0029448E"/>
    <w:rsid w:val="002944B8"/>
    <w:rsid w:val="00294525"/>
    <w:rsid w:val="00294600"/>
    <w:rsid w:val="00294723"/>
    <w:rsid w:val="002947D0"/>
    <w:rsid w:val="00294849"/>
    <w:rsid w:val="00294957"/>
    <w:rsid w:val="002949EE"/>
    <w:rsid w:val="002949F0"/>
    <w:rsid w:val="002949F5"/>
    <w:rsid w:val="00294A43"/>
    <w:rsid w:val="00294A61"/>
    <w:rsid w:val="00294B88"/>
    <w:rsid w:val="00294C02"/>
    <w:rsid w:val="00294C2F"/>
    <w:rsid w:val="00294C80"/>
    <w:rsid w:val="00294C86"/>
    <w:rsid w:val="00294CD8"/>
    <w:rsid w:val="00294D65"/>
    <w:rsid w:val="00294DB3"/>
    <w:rsid w:val="00294E5B"/>
    <w:rsid w:val="00294EEE"/>
    <w:rsid w:val="00294F36"/>
    <w:rsid w:val="00294FD0"/>
    <w:rsid w:val="00294FF7"/>
    <w:rsid w:val="00295167"/>
    <w:rsid w:val="00295169"/>
    <w:rsid w:val="00295175"/>
    <w:rsid w:val="002951B3"/>
    <w:rsid w:val="002951F4"/>
    <w:rsid w:val="00295227"/>
    <w:rsid w:val="0029523A"/>
    <w:rsid w:val="00295291"/>
    <w:rsid w:val="002952B6"/>
    <w:rsid w:val="002952BA"/>
    <w:rsid w:val="00295384"/>
    <w:rsid w:val="002953FF"/>
    <w:rsid w:val="0029540E"/>
    <w:rsid w:val="00295524"/>
    <w:rsid w:val="0029557A"/>
    <w:rsid w:val="002955A6"/>
    <w:rsid w:val="002955BE"/>
    <w:rsid w:val="002957DE"/>
    <w:rsid w:val="00295802"/>
    <w:rsid w:val="00295834"/>
    <w:rsid w:val="00295901"/>
    <w:rsid w:val="00295962"/>
    <w:rsid w:val="00295AE9"/>
    <w:rsid w:val="00295AEA"/>
    <w:rsid w:val="00295D31"/>
    <w:rsid w:val="00295D86"/>
    <w:rsid w:val="00295E9A"/>
    <w:rsid w:val="002960CB"/>
    <w:rsid w:val="002963DB"/>
    <w:rsid w:val="002963F5"/>
    <w:rsid w:val="00296442"/>
    <w:rsid w:val="0029647D"/>
    <w:rsid w:val="002964FE"/>
    <w:rsid w:val="00296685"/>
    <w:rsid w:val="00296703"/>
    <w:rsid w:val="00296794"/>
    <w:rsid w:val="00296939"/>
    <w:rsid w:val="00296A25"/>
    <w:rsid w:val="00296A61"/>
    <w:rsid w:val="00296AE1"/>
    <w:rsid w:val="00296B73"/>
    <w:rsid w:val="00296CB8"/>
    <w:rsid w:val="00296DE2"/>
    <w:rsid w:val="00296EC4"/>
    <w:rsid w:val="00296FB7"/>
    <w:rsid w:val="00296FFE"/>
    <w:rsid w:val="00297038"/>
    <w:rsid w:val="002970D8"/>
    <w:rsid w:val="00297124"/>
    <w:rsid w:val="00297333"/>
    <w:rsid w:val="00297365"/>
    <w:rsid w:val="002974A5"/>
    <w:rsid w:val="0029758D"/>
    <w:rsid w:val="00297643"/>
    <w:rsid w:val="0029768B"/>
    <w:rsid w:val="00297743"/>
    <w:rsid w:val="00297905"/>
    <w:rsid w:val="00297A6C"/>
    <w:rsid w:val="00297BF4"/>
    <w:rsid w:val="00297C82"/>
    <w:rsid w:val="00297D1A"/>
    <w:rsid w:val="00297D41"/>
    <w:rsid w:val="00297DB8"/>
    <w:rsid w:val="00297E9B"/>
    <w:rsid w:val="002A0007"/>
    <w:rsid w:val="002A0014"/>
    <w:rsid w:val="002A0030"/>
    <w:rsid w:val="002A00D2"/>
    <w:rsid w:val="002A0189"/>
    <w:rsid w:val="002A01B4"/>
    <w:rsid w:val="002A02F1"/>
    <w:rsid w:val="002A03ED"/>
    <w:rsid w:val="002A0412"/>
    <w:rsid w:val="002A04EE"/>
    <w:rsid w:val="002A05AE"/>
    <w:rsid w:val="002A05B7"/>
    <w:rsid w:val="002A05F6"/>
    <w:rsid w:val="002A060B"/>
    <w:rsid w:val="002A063C"/>
    <w:rsid w:val="002A0649"/>
    <w:rsid w:val="002A06B2"/>
    <w:rsid w:val="002A0723"/>
    <w:rsid w:val="002A0738"/>
    <w:rsid w:val="002A07E6"/>
    <w:rsid w:val="002A07EC"/>
    <w:rsid w:val="002A08EA"/>
    <w:rsid w:val="002A097D"/>
    <w:rsid w:val="002A0A15"/>
    <w:rsid w:val="002A0C7C"/>
    <w:rsid w:val="002A0C8B"/>
    <w:rsid w:val="002A0D56"/>
    <w:rsid w:val="002A0DF1"/>
    <w:rsid w:val="002A0F2A"/>
    <w:rsid w:val="002A0F8D"/>
    <w:rsid w:val="002A1002"/>
    <w:rsid w:val="002A1166"/>
    <w:rsid w:val="002A1176"/>
    <w:rsid w:val="002A12A7"/>
    <w:rsid w:val="002A12CD"/>
    <w:rsid w:val="002A1368"/>
    <w:rsid w:val="002A141B"/>
    <w:rsid w:val="002A1447"/>
    <w:rsid w:val="002A1468"/>
    <w:rsid w:val="002A14AF"/>
    <w:rsid w:val="002A1574"/>
    <w:rsid w:val="002A1615"/>
    <w:rsid w:val="002A1656"/>
    <w:rsid w:val="002A178E"/>
    <w:rsid w:val="002A17D4"/>
    <w:rsid w:val="002A1892"/>
    <w:rsid w:val="002A18BD"/>
    <w:rsid w:val="002A18EA"/>
    <w:rsid w:val="002A1965"/>
    <w:rsid w:val="002A1974"/>
    <w:rsid w:val="002A1A4C"/>
    <w:rsid w:val="002A1B35"/>
    <w:rsid w:val="002A1E74"/>
    <w:rsid w:val="002A1F92"/>
    <w:rsid w:val="002A1FA9"/>
    <w:rsid w:val="002A2053"/>
    <w:rsid w:val="002A2180"/>
    <w:rsid w:val="002A2225"/>
    <w:rsid w:val="002A2290"/>
    <w:rsid w:val="002A2344"/>
    <w:rsid w:val="002A252E"/>
    <w:rsid w:val="002A2597"/>
    <w:rsid w:val="002A261D"/>
    <w:rsid w:val="002A26EE"/>
    <w:rsid w:val="002A270F"/>
    <w:rsid w:val="002A281C"/>
    <w:rsid w:val="002A2841"/>
    <w:rsid w:val="002A2940"/>
    <w:rsid w:val="002A2CBB"/>
    <w:rsid w:val="002A2F02"/>
    <w:rsid w:val="002A3054"/>
    <w:rsid w:val="002A30B6"/>
    <w:rsid w:val="002A30C0"/>
    <w:rsid w:val="002A30D0"/>
    <w:rsid w:val="002A30FE"/>
    <w:rsid w:val="002A3102"/>
    <w:rsid w:val="002A313F"/>
    <w:rsid w:val="002A316B"/>
    <w:rsid w:val="002A326F"/>
    <w:rsid w:val="002A3289"/>
    <w:rsid w:val="002A34FF"/>
    <w:rsid w:val="002A3575"/>
    <w:rsid w:val="002A357E"/>
    <w:rsid w:val="002A35A5"/>
    <w:rsid w:val="002A35C5"/>
    <w:rsid w:val="002A3660"/>
    <w:rsid w:val="002A3677"/>
    <w:rsid w:val="002A36D5"/>
    <w:rsid w:val="002A3775"/>
    <w:rsid w:val="002A37C4"/>
    <w:rsid w:val="002A38B3"/>
    <w:rsid w:val="002A38F1"/>
    <w:rsid w:val="002A392B"/>
    <w:rsid w:val="002A3C3A"/>
    <w:rsid w:val="002A3C43"/>
    <w:rsid w:val="002A3C80"/>
    <w:rsid w:val="002A3C8F"/>
    <w:rsid w:val="002A3D5A"/>
    <w:rsid w:val="002A3DB7"/>
    <w:rsid w:val="002A3EA1"/>
    <w:rsid w:val="002A3ED2"/>
    <w:rsid w:val="002A41C4"/>
    <w:rsid w:val="002A42E9"/>
    <w:rsid w:val="002A433D"/>
    <w:rsid w:val="002A4341"/>
    <w:rsid w:val="002A4358"/>
    <w:rsid w:val="002A452C"/>
    <w:rsid w:val="002A4582"/>
    <w:rsid w:val="002A4588"/>
    <w:rsid w:val="002A45A2"/>
    <w:rsid w:val="002A464F"/>
    <w:rsid w:val="002A46CE"/>
    <w:rsid w:val="002A46EE"/>
    <w:rsid w:val="002A4716"/>
    <w:rsid w:val="002A48B2"/>
    <w:rsid w:val="002A4913"/>
    <w:rsid w:val="002A491F"/>
    <w:rsid w:val="002A493A"/>
    <w:rsid w:val="002A4967"/>
    <w:rsid w:val="002A49E2"/>
    <w:rsid w:val="002A4A8A"/>
    <w:rsid w:val="002A4BCF"/>
    <w:rsid w:val="002A4BE9"/>
    <w:rsid w:val="002A4C68"/>
    <w:rsid w:val="002A4C75"/>
    <w:rsid w:val="002A4E40"/>
    <w:rsid w:val="002A4E9F"/>
    <w:rsid w:val="002A4EFF"/>
    <w:rsid w:val="002A504E"/>
    <w:rsid w:val="002A5134"/>
    <w:rsid w:val="002A516A"/>
    <w:rsid w:val="002A52C3"/>
    <w:rsid w:val="002A5328"/>
    <w:rsid w:val="002A5334"/>
    <w:rsid w:val="002A53D4"/>
    <w:rsid w:val="002A53DE"/>
    <w:rsid w:val="002A55DF"/>
    <w:rsid w:val="002A5659"/>
    <w:rsid w:val="002A56EA"/>
    <w:rsid w:val="002A5785"/>
    <w:rsid w:val="002A57EF"/>
    <w:rsid w:val="002A5941"/>
    <w:rsid w:val="002A596B"/>
    <w:rsid w:val="002A597D"/>
    <w:rsid w:val="002A59FE"/>
    <w:rsid w:val="002A5BFD"/>
    <w:rsid w:val="002A5CA5"/>
    <w:rsid w:val="002A5D0A"/>
    <w:rsid w:val="002A5E27"/>
    <w:rsid w:val="002A5E5E"/>
    <w:rsid w:val="002A5E6F"/>
    <w:rsid w:val="002A5F22"/>
    <w:rsid w:val="002A5F30"/>
    <w:rsid w:val="002A5F47"/>
    <w:rsid w:val="002A5F4D"/>
    <w:rsid w:val="002A5FD7"/>
    <w:rsid w:val="002A60CD"/>
    <w:rsid w:val="002A60E5"/>
    <w:rsid w:val="002A6106"/>
    <w:rsid w:val="002A61EB"/>
    <w:rsid w:val="002A62ED"/>
    <w:rsid w:val="002A6423"/>
    <w:rsid w:val="002A6467"/>
    <w:rsid w:val="002A64CD"/>
    <w:rsid w:val="002A65EF"/>
    <w:rsid w:val="002A673B"/>
    <w:rsid w:val="002A679C"/>
    <w:rsid w:val="002A67A3"/>
    <w:rsid w:val="002A6890"/>
    <w:rsid w:val="002A68DB"/>
    <w:rsid w:val="002A6A18"/>
    <w:rsid w:val="002A6B10"/>
    <w:rsid w:val="002A6B28"/>
    <w:rsid w:val="002A6B4D"/>
    <w:rsid w:val="002A6BB9"/>
    <w:rsid w:val="002A6C7E"/>
    <w:rsid w:val="002A6CF5"/>
    <w:rsid w:val="002A6D52"/>
    <w:rsid w:val="002A6D70"/>
    <w:rsid w:val="002A6EA9"/>
    <w:rsid w:val="002A6F53"/>
    <w:rsid w:val="002A6FE1"/>
    <w:rsid w:val="002A704E"/>
    <w:rsid w:val="002A711B"/>
    <w:rsid w:val="002A72EB"/>
    <w:rsid w:val="002A73B4"/>
    <w:rsid w:val="002A7423"/>
    <w:rsid w:val="002A75D2"/>
    <w:rsid w:val="002A7603"/>
    <w:rsid w:val="002A7649"/>
    <w:rsid w:val="002A768E"/>
    <w:rsid w:val="002A789C"/>
    <w:rsid w:val="002A794B"/>
    <w:rsid w:val="002A7A08"/>
    <w:rsid w:val="002A7B50"/>
    <w:rsid w:val="002A7B6F"/>
    <w:rsid w:val="002A7C12"/>
    <w:rsid w:val="002A7C28"/>
    <w:rsid w:val="002A7C38"/>
    <w:rsid w:val="002A7C3F"/>
    <w:rsid w:val="002A7D17"/>
    <w:rsid w:val="002A7E32"/>
    <w:rsid w:val="002A7EEC"/>
    <w:rsid w:val="002A7F73"/>
    <w:rsid w:val="002A7FE3"/>
    <w:rsid w:val="002B0095"/>
    <w:rsid w:val="002B010D"/>
    <w:rsid w:val="002B02DD"/>
    <w:rsid w:val="002B0313"/>
    <w:rsid w:val="002B032E"/>
    <w:rsid w:val="002B03BB"/>
    <w:rsid w:val="002B03D1"/>
    <w:rsid w:val="002B04AD"/>
    <w:rsid w:val="002B04B6"/>
    <w:rsid w:val="002B0567"/>
    <w:rsid w:val="002B05CE"/>
    <w:rsid w:val="002B0607"/>
    <w:rsid w:val="002B083F"/>
    <w:rsid w:val="002B08B9"/>
    <w:rsid w:val="002B0941"/>
    <w:rsid w:val="002B0985"/>
    <w:rsid w:val="002B0B56"/>
    <w:rsid w:val="002B0BCC"/>
    <w:rsid w:val="002B0E0F"/>
    <w:rsid w:val="002B0EED"/>
    <w:rsid w:val="002B0F50"/>
    <w:rsid w:val="002B0F88"/>
    <w:rsid w:val="002B0FC5"/>
    <w:rsid w:val="002B11A7"/>
    <w:rsid w:val="002B11B5"/>
    <w:rsid w:val="002B11C7"/>
    <w:rsid w:val="002B1222"/>
    <w:rsid w:val="002B134F"/>
    <w:rsid w:val="002B1354"/>
    <w:rsid w:val="002B135D"/>
    <w:rsid w:val="002B136F"/>
    <w:rsid w:val="002B137F"/>
    <w:rsid w:val="002B1405"/>
    <w:rsid w:val="002B1492"/>
    <w:rsid w:val="002B14BD"/>
    <w:rsid w:val="002B15C4"/>
    <w:rsid w:val="002B15D3"/>
    <w:rsid w:val="002B15D5"/>
    <w:rsid w:val="002B16EF"/>
    <w:rsid w:val="002B1762"/>
    <w:rsid w:val="002B1784"/>
    <w:rsid w:val="002B179C"/>
    <w:rsid w:val="002B188E"/>
    <w:rsid w:val="002B18B8"/>
    <w:rsid w:val="002B1A04"/>
    <w:rsid w:val="002B1AB1"/>
    <w:rsid w:val="002B1B7D"/>
    <w:rsid w:val="002B1C28"/>
    <w:rsid w:val="002B1C60"/>
    <w:rsid w:val="002B1CF1"/>
    <w:rsid w:val="002B1D0E"/>
    <w:rsid w:val="002B1DAC"/>
    <w:rsid w:val="002B1EDA"/>
    <w:rsid w:val="002B1EF7"/>
    <w:rsid w:val="002B1F5D"/>
    <w:rsid w:val="002B209D"/>
    <w:rsid w:val="002B2252"/>
    <w:rsid w:val="002B22BE"/>
    <w:rsid w:val="002B2361"/>
    <w:rsid w:val="002B2427"/>
    <w:rsid w:val="002B278E"/>
    <w:rsid w:val="002B27FC"/>
    <w:rsid w:val="002B2829"/>
    <w:rsid w:val="002B289F"/>
    <w:rsid w:val="002B29D2"/>
    <w:rsid w:val="002B29EB"/>
    <w:rsid w:val="002B2A8C"/>
    <w:rsid w:val="002B2A8D"/>
    <w:rsid w:val="002B2ABC"/>
    <w:rsid w:val="002B2B87"/>
    <w:rsid w:val="002B2C09"/>
    <w:rsid w:val="002B2C5E"/>
    <w:rsid w:val="002B2DE1"/>
    <w:rsid w:val="002B2E4A"/>
    <w:rsid w:val="002B2F0E"/>
    <w:rsid w:val="002B2F8F"/>
    <w:rsid w:val="002B2F9A"/>
    <w:rsid w:val="002B2FB0"/>
    <w:rsid w:val="002B30B8"/>
    <w:rsid w:val="002B3322"/>
    <w:rsid w:val="002B33AF"/>
    <w:rsid w:val="002B34E5"/>
    <w:rsid w:val="002B3587"/>
    <w:rsid w:val="002B35AC"/>
    <w:rsid w:val="002B3686"/>
    <w:rsid w:val="002B3744"/>
    <w:rsid w:val="002B386C"/>
    <w:rsid w:val="002B3875"/>
    <w:rsid w:val="002B3949"/>
    <w:rsid w:val="002B39B2"/>
    <w:rsid w:val="002B3A03"/>
    <w:rsid w:val="002B3AB2"/>
    <w:rsid w:val="002B3C53"/>
    <w:rsid w:val="002B3C85"/>
    <w:rsid w:val="002B3C95"/>
    <w:rsid w:val="002B3D36"/>
    <w:rsid w:val="002B3D7D"/>
    <w:rsid w:val="002B3E83"/>
    <w:rsid w:val="002B3EF7"/>
    <w:rsid w:val="002B3FCC"/>
    <w:rsid w:val="002B4041"/>
    <w:rsid w:val="002B40AA"/>
    <w:rsid w:val="002B40B2"/>
    <w:rsid w:val="002B41F4"/>
    <w:rsid w:val="002B4215"/>
    <w:rsid w:val="002B42D8"/>
    <w:rsid w:val="002B4374"/>
    <w:rsid w:val="002B43D3"/>
    <w:rsid w:val="002B4407"/>
    <w:rsid w:val="002B444C"/>
    <w:rsid w:val="002B45A4"/>
    <w:rsid w:val="002B45F1"/>
    <w:rsid w:val="002B4747"/>
    <w:rsid w:val="002B4757"/>
    <w:rsid w:val="002B475A"/>
    <w:rsid w:val="002B48FF"/>
    <w:rsid w:val="002B4967"/>
    <w:rsid w:val="002B4BED"/>
    <w:rsid w:val="002B4C37"/>
    <w:rsid w:val="002B4C3B"/>
    <w:rsid w:val="002B4D65"/>
    <w:rsid w:val="002B4D74"/>
    <w:rsid w:val="002B4EE4"/>
    <w:rsid w:val="002B502D"/>
    <w:rsid w:val="002B50E0"/>
    <w:rsid w:val="002B5116"/>
    <w:rsid w:val="002B5121"/>
    <w:rsid w:val="002B5194"/>
    <w:rsid w:val="002B5212"/>
    <w:rsid w:val="002B52F1"/>
    <w:rsid w:val="002B52F7"/>
    <w:rsid w:val="002B53A7"/>
    <w:rsid w:val="002B53E5"/>
    <w:rsid w:val="002B5420"/>
    <w:rsid w:val="002B54C6"/>
    <w:rsid w:val="002B552A"/>
    <w:rsid w:val="002B5632"/>
    <w:rsid w:val="002B570D"/>
    <w:rsid w:val="002B5892"/>
    <w:rsid w:val="002B58F3"/>
    <w:rsid w:val="002B59C9"/>
    <w:rsid w:val="002B5A03"/>
    <w:rsid w:val="002B5AE9"/>
    <w:rsid w:val="002B5B4F"/>
    <w:rsid w:val="002B5B64"/>
    <w:rsid w:val="002B5BED"/>
    <w:rsid w:val="002B5C0F"/>
    <w:rsid w:val="002B5DAE"/>
    <w:rsid w:val="002B5EB1"/>
    <w:rsid w:val="002B5FBB"/>
    <w:rsid w:val="002B61B3"/>
    <w:rsid w:val="002B61CF"/>
    <w:rsid w:val="002B61F2"/>
    <w:rsid w:val="002B61F6"/>
    <w:rsid w:val="002B6206"/>
    <w:rsid w:val="002B6296"/>
    <w:rsid w:val="002B64CC"/>
    <w:rsid w:val="002B6580"/>
    <w:rsid w:val="002B6691"/>
    <w:rsid w:val="002B6721"/>
    <w:rsid w:val="002B6764"/>
    <w:rsid w:val="002B6851"/>
    <w:rsid w:val="002B6873"/>
    <w:rsid w:val="002B6884"/>
    <w:rsid w:val="002B68B7"/>
    <w:rsid w:val="002B6960"/>
    <w:rsid w:val="002B6A60"/>
    <w:rsid w:val="002B6A6D"/>
    <w:rsid w:val="002B6B5F"/>
    <w:rsid w:val="002B6BC2"/>
    <w:rsid w:val="002B6BFA"/>
    <w:rsid w:val="002B6C7F"/>
    <w:rsid w:val="002B6D56"/>
    <w:rsid w:val="002B6D79"/>
    <w:rsid w:val="002B6DAC"/>
    <w:rsid w:val="002B6E10"/>
    <w:rsid w:val="002B6E32"/>
    <w:rsid w:val="002B6E5A"/>
    <w:rsid w:val="002B6ED5"/>
    <w:rsid w:val="002B6F4F"/>
    <w:rsid w:val="002B6FC0"/>
    <w:rsid w:val="002B6FE0"/>
    <w:rsid w:val="002B7025"/>
    <w:rsid w:val="002B70A5"/>
    <w:rsid w:val="002B71A5"/>
    <w:rsid w:val="002B71EA"/>
    <w:rsid w:val="002B72DA"/>
    <w:rsid w:val="002B73E0"/>
    <w:rsid w:val="002B7423"/>
    <w:rsid w:val="002B74CE"/>
    <w:rsid w:val="002B75ED"/>
    <w:rsid w:val="002B769B"/>
    <w:rsid w:val="002B7757"/>
    <w:rsid w:val="002B7786"/>
    <w:rsid w:val="002B7856"/>
    <w:rsid w:val="002B78C4"/>
    <w:rsid w:val="002B7944"/>
    <w:rsid w:val="002B7993"/>
    <w:rsid w:val="002B79BF"/>
    <w:rsid w:val="002B79DB"/>
    <w:rsid w:val="002B79FB"/>
    <w:rsid w:val="002B7ADA"/>
    <w:rsid w:val="002B7B8C"/>
    <w:rsid w:val="002B7BD5"/>
    <w:rsid w:val="002B7CAA"/>
    <w:rsid w:val="002B7CD5"/>
    <w:rsid w:val="002B7CDE"/>
    <w:rsid w:val="002B7D40"/>
    <w:rsid w:val="002B7DA7"/>
    <w:rsid w:val="002B7E1E"/>
    <w:rsid w:val="002B7E94"/>
    <w:rsid w:val="002C006B"/>
    <w:rsid w:val="002C01FF"/>
    <w:rsid w:val="002C0318"/>
    <w:rsid w:val="002C031A"/>
    <w:rsid w:val="002C03A8"/>
    <w:rsid w:val="002C04F9"/>
    <w:rsid w:val="002C04FE"/>
    <w:rsid w:val="002C0592"/>
    <w:rsid w:val="002C05A6"/>
    <w:rsid w:val="002C06B4"/>
    <w:rsid w:val="002C074C"/>
    <w:rsid w:val="002C0786"/>
    <w:rsid w:val="002C090E"/>
    <w:rsid w:val="002C0A01"/>
    <w:rsid w:val="002C0A15"/>
    <w:rsid w:val="002C0A59"/>
    <w:rsid w:val="002C0C5E"/>
    <w:rsid w:val="002C0D69"/>
    <w:rsid w:val="002C0DBF"/>
    <w:rsid w:val="002C0DFF"/>
    <w:rsid w:val="002C0E20"/>
    <w:rsid w:val="002C10F3"/>
    <w:rsid w:val="002C1140"/>
    <w:rsid w:val="002C1276"/>
    <w:rsid w:val="002C1282"/>
    <w:rsid w:val="002C1322"/>
    <w:rsid w:val="002C1339"/>
    <w:rsid w:val="002C13E1"/>
    <w:rsid w:val="002C143B"/>
    <w:rsid w:val="002C151E"/>
    <w:rsid w:val="002C1609"/>
    <w:rsid w:val="002C163C"/>
    <w:rsid w:val="002C1649"/>
    <w:rsid w:val="002C1676"/>
    <w:rsid w:val="002C16F7"/>
    <w:rsid w:val="002C174A"/>
    <w:rsid w:val="002C1778"/>
    <w:rsid w:val="002C177A"/>
    <w:rsid w:val="002C1845"/>
    <w:rsid w:val="002C1A1C"/>
    <w:rsid w:val="002C1B69"/>
    <w:rsid w:val="002C1C8C"/>
    <w:rsid w:val="002C1CDB"/>
    <w:rsid w:val="002C1DE9"/>
    <w:rsid w:val="002C1EF9"/>
    <w:rsid w:val="002C1F20"/>
    <w:rsid w:val="002C1FDF"/>
    <w:rsid w:val="002C204E"/>
    <w:rsid w:val="002C2136"/>
    <w:rsid w:val="002C21A4"/>
    <w:rsid w:val="002C21B3"/>
    <w:rsid w:val="002C21E4"/>
    <w:rsid w:val="002C2340"/>
    <w:rsid w:val="002C2352"/>
    <w:rsid w:val="002C2470"/>
    <w:rsid w:val="002C2502"/>
    <w:rsid w:val="002C2534"/>
    <w:rsid w:val="002C2590"/>
    <w:rsid w:val="002C2604"/>
    <w:rsid w:val="002C2655"/>
    <w:rsid w:val="002C26F1"/>
    <w:rsid w:val="002C2898"/>
    <w:rsid w:val="002C2B9A"/>
    <w:rsid w:val="002C2C65"/>
    <w:rsid w:val="002C2CB6"/>
    <w:rsid w:val="002C2D11"/>
    <w:rsid w:val="002C2DB4"/>
    <w:rsid w:val="002C2E8D"/>
    <w:rsid w:val="002C2F73"/>
    <w:rsid w:val="002C2FA6"/>
    <w:rsid w:val="002C303A"/>
    <w:rsid w:val="002C3068"/>
    <w:rsid w:val="002C31EF"/>
    <w:rsid w:val="002C3210"/>
    <w:rsid w:val="002C335F"/>
    <w:rsid w:val="002C339C"/>
    <w:rsid w:val="002C3577"/>
    <w:rsid w:val="002C36A0"/>
    <w:rsid w:val="002C36A7"/>
    <w:rsid w:val="002C36B1"/>
    <w:rsid w:val="002C375C"/>
    <w:rsid w:val="002C37C9"/>
    <w:rsid w:val="002C3A33"/>
    <w:rsid w:val="002C3AF3"/>
    <w:rsid w:val="002C3CD2"/>
    <w:rsid w:val="002C3D13"/>
    <w:rsid w:val="002C3D92"/>
    <w:rsid w:val="002C3F3F"/>
    <w:rsid w:val="002C40EB"/>
    <w:rsid w:val="002C4176"/>
    <w:rsid w:val="002C4177"/>
    <w:rsid w:val="002C427B"/>
    <w:rsid w:val="002C42E1"/>
    <w:rsid w:val="002C4306"/>
    <w:rsid w:val="002C436E"/>
    <w:rsid w:val="002C445C"/>
    <w:rsid w:val="002C450F"/>
    <w:rsid w:val="002C455F"/>
    <w:rsid w:val="002C45EA"/>
    <w:rsid w:val="002C4635"/>
    <w:rsid w:val="002C4666"/>
    <w:rsid w:val="002C46AA"/>
    <w:rsid w:val="002C4729"/>
    <w:rsid w:val="002C4750"/>
    <w:rsid w:val="002C48A1"/>
    <w:rsid w:val="002C49D1"/>
    <w:rsid w:val="002C4A73"/>
    <w:rsid w:val="002C4AF2"/>
    <w:rsid w:val="002C4B0E"/>
    <w:rsid w:val="002C4BA2"/>
    <w:rsid w:val="002C4BEF"/>
    <w:rsid w:val="002C4C6A"/>
    <w:rsid w:val="002C4EF6"/>
    <w:rsid w:val="002C4FFA"/>
    <w:rsid w:val="002C5166"/>
    <w:rsid w:val="002C5188"/>
    <w:rsid w:val="002C5192"/>
    <w:rsid w:val="002C51D6"/>
    <w:rsid w:val="002C5225"/>
    <w:rsid w:val="002C534E"/>
    <w:rsid w:val="002C538D"/>
    <w:rsid w:val="002C53FD"/>
    <w:rsid w:val="002C549F"/>
    <w:rsid w:val="002C5540"/>
    <w:rsid w:val="002C576B"/>
    <w:rsid w:val="002C57CF"/>
    <w:rsid w:val="002C5894"/>
    <w:rsid w:val="002C5C65"/>
    <w:rsid w:val="002C5CD0"/>
    <w:rsid w:val="002C5E5E"/>
    <w:rsid w:val="002C5F51"/>
    <w:rsid w:val="002C5FDB"/>
    <w:rsid w:val="002C6016"/>
    <w:rsid w:val="002C610C"/>
    <w:rsid w:val="002C611F"/>
    <w:rsid w:val="002C61EA"/>
    <w:rsid w:val="002C6237"/>
    <w:rsid w:val="002C6313"/>
    <w:rsid w:val="002C6417"/>
    <w:rsid w:val="002C6559"/>
    <w:rsid w:val="002C655A"/>
    <w:rsid w:val="002C657F"/>
    <w:rsid w:val="002C6790"/>
    <w:rsid w:val="002C682D"/>
    <w:rsid w:val="002C682F"/>
    <w:rsid w:val="002C6841"/>
    <w:rsid w:val="002C68F9"/>
    <w:rsid w:val="002C6A7B"/>
    <w:rsid w:val="002C6B3A"/>
    <w:rsid w:val="002C6BA5"/>
    <w:rsid w:val="002C6F8E"/>
    <w:rsid w:val="002C6FD9"/>
    <w:rsid w:val="002C7020"/>
    <w:rsid w:val="002C70E4"/>
    <w:rsid w:val="002C7155"/>
    <w:rsid w:val="002C7231"/>
    <w:rsid w:val="002C73A7"/>
    <w:rsid w:val="002C73B2"/>
    <w:rsid w:val="002C7452"/>
    <w:rsid w:val="002C753D"/>
    <w:rsid w:val="002C757A"/>
    <w:rsid w:val="002C766C"/>
    <w:rsid w:val="002C7718"/>
    <w:rsid w:val="002C777B"/>
    <w:rsid w:val="002C77C5"/>
    <w:rsid w:val="002C77C8"/>
    <w:rsid w:val="002C7827"/>
    <w:rsid w:val="002C7864"/>
    <w:rsid w:val="002C78B3"/>
    <w:rsid w:val="002C7900"/>
    <w:rsid w:val="002C79B9"/>
    <w:rsid w:val="002C7ABF"/>
    <w:rsid w:val="002C7AD1"/>
    <w:rsid w:val="002C7C04"/>
    <w:rsid w:val="002C7C66"/>
    <w:rsid w:val="002C7DA8"/>
    <w:rsid w:val="002C7EFE"/>
    <w:rsid w:val="002C7F6A"/>
    <w:rsid w:val="002C7F9F"/>
    <w:rsid w:val="002D0092"/>
    <w:rsid w:val="002D00FF"/>
    <w:rsid w:val="002D0298"/>
    <w:rsid w:val="002D0355"/>
    <w:rsid w:val="002D0380"/>
    <w:rsid w:val="002D047B"/>
    <w:rsid w:val="002D04B5"/>
    <w:rsid w:val="002D04E4"/>
    <w:rsid w:val="002D0528"/>
    <w:rsid w:val="002D0590"/>
    <w:rsid w:val="002D0868"/>
    <w:rsid w:val="002D08BD"/>
    <w:rsid w:val="002D08E9"/>
    <w:rsid w:val="002D094F"/>
    <w:rsid w:val="002D0957"/>
    <w:rsid w:val="002D09B1"/>
    <w:rsid w:val="002D09F0"/>
    <w:rsid w:val="002D0A92"/>
    <w:rsid w:val="002D0AE6"/>
    <w:rsid w:val="002D0BE3"/>
    <w:rsid w:val="002D0BEB"/>
    <w:rsid w:val="002D0CCE"/>
    <w:rsid w:val="002D0D46"/>
    <w:rsid w:val="002D0D9C"/>
    <w:rsid w:val="002D0DDA"/>
    <w:rsid w:val="002D0E61"/>
    <w:rsid w:val="002D0E81"/>
    <w:rsid w:val="002D10C0"/>
    <w:rsid w:val="002D124F"/>
    <w:rsid w:val="002D12E4"/>
    <w:rsid w:val="002D1357"/>
    <w:rsid w:val="002D1404"/>
    <w:rsid w:val="002D1454"/>
    <w:rsid w:val="002D14AB"/>
    <w:rsid w:val="002D15BF"/>
    <w:rsid w:val="002D1616"/>
    <w:rsid w:val="002D1670"/>
    <w:rsid w:val="002D16BB"/>
    <w:rsid w:val="002D1757"/>
    <w:rsid w:val="002D17BF"/>
    <w:rsid w:val="002D1860"/>
    <w:rsid w:val="002D1928"/>
    <w:rsid w:val="002D1994"/>
    <w:rsid w:val="002D1A29"/>
    <w:rsid w:val="002D1A2D"/>
    <w:rsid w:val="002D1A66"/>
    <w:rsid w:val="002D1B72"/>
    <w:rsid w:val="002D1C08"/>
    <w:rsid w:val="002D1C2B"/>
    <w:rsid w:val="002D1ED5"/>
    <w:rsid w:val="002D1F61"/>
    <w:rsid w:val="002D1FEC"/>
    <w:rsid w:val="002D2031"/>
    <w:rsid w:val="002D207C"/>
    <w:rsid w:val="002D2081"/>
    <w:rsid w:val="002D2141"/>
    <w:rsid w:val="002D21B4"/>
    <w:rsid w:val="002D22A4"/>
    <w:rsid w:val="002D234C"/>
    <w:rsid w:val="002D23A3"/>
    <w:rsid w:val="002D23F3"/>
    <w:rsid w:val="002D2445"/>
    <w:rsid w:val="002D24C6"/>
    <w:rsid w:val="002D252D"/>
    <w:rsid w:val="002D26D5"/>
    <w:rsid w:val="002D282E"/>
    <w:rsid w:val="002D292D"/>
    <w:rsid w:val="002D2B29"/>
    <w:rsid w:val="002D2B3A"/>
    <w:rsid w:val="002D2CFB"/>
    <w:rsid w:val="002D2DBF"/>
    <w:rsid w:val="002D2DD7"/>
    <w:rsid w:val="002D2E41"/>
    <w:rsid w:val="002D2F12"/>
    <w:rsid w:val="002D301D"/>
    <w:rsid w:val="002D3045"/>
    <w:rsid w:val="002D30CF"/>
    <w:rsid w:val="002D314B"/>
    <w:rsid w:val="002D31E1"/>
    <w:rsid w:val="002D3253"/>
    <w:rsid w:val="002D33FB"/>
    <w:rsid w:val="002D345E"/>
    <w:rsid w:val="002D34DF"/>
    <w:rsid w:val="002D3587"/>
    <w:rsid w:val="002D3676"/>
    <w:rsid w:val="002D3695"/>
    <w:rsid w:val="002D36C4"/>
    <w:rsid w:val="002D3763"/>
    <w:rsid w:val="002D3815"/>
    <w:rsid w:val="002D382C"/>
    <w:rsid w:val="002D38A2"/>
    <w:rsid w:val="002D3A05"/>
    <w:rsid w:val="002D3AC3"/>
    <w:rsid w:val="002D3B47"/>
    <w:rsid w:val="002D3C24"/>
    <w:rsid w:val="002D3C3B"/>
    <w:rsid w:val="002D3C61"/>
    <w:rsid w:val="002D3E2C"/>
    <w:rsid w:val="002D3E9A"/>
    <w:rsid w:val="002D4114"/>
    <w:rsid w:val="002D41A1"/>
    <w:rsid w:val="002D41EA"/>
    <w:rsid w:val="002D427D"/>
    <w:rsid w:val="002D4568"/>
    <w:rsid w:val="002D4573"/>
    <w:rsid w:val="002D463E"/>
    <w:rsid w:val="002D4697"/>
    <w:rsid w:val="002D47D6"/>
    <w:rsid w:val="002D48A9"/>
    <w:rsid w:val="002D48F2"/>
    <w:rsid w:val="002D49F8"/>
    <w:rsid w:val="002D4A62"/>
    <w:rsid w:val="002D4ABB"/>
    <w:rsid w:val="002D4ABC"/>
    <w:rsid w:val="002D4B13"/>
    <w:rsid w:val="002D4B17"/>
    <w:rsid w:val="002D4BD1"/>
    <w:rsid w:val="002D4C57"/>
    <w:rsid w:val="002D4CCC"/>
    <w:rsid w:val="002D4CCF"/>
    <w:rsid w:val="002D4CD3"/>
    <w:rsid w:val="002D4D1E"/>
    <w:rsid w:val="002D4D4C"/>
    <w:rsid w:val="002D4D86"/>
    <w:rsid w:val="002D4DE5"/>
    <w:rsid w:val="002D4E17"/>
    <w:rsid w:val="002D4E1D"/>
    <w:rsid w:val="002D4E58"/>
    <w:rsid w:val="002D4ED7"/>
    <w:rsid w:val="002D5016"/>
    <w:rsid w:val="002D510C"/>
    <w:rsid w:val="002D518D"/>
    <w:rsid w:val="002D52DB"/>
    <w:rsid w:val="002D533F"/>
    <w:rsid w:val="002D53F4"/>
    <w:rsid w:val="002D5581"/>
    <w:rsid w:val="002D5776"/>
    <w:rsid w:val="002D57FA"/>
    <w:rsid w:val="002D5809"/>
    <w:rsid w:val="002D5A3C"/>
    <w:rsid w:val="002D5ABC"/>
    <w:rsid w:val="002D5C33"/>
    <w:rsid w:val="002D5CEB"/>
    <w:rsid w:val="002D5D4F"/>
    <w:rsid w:val="002D5DCC"/>
    <w:rsid w:val="002D5E31"/>
    <w:rsid w:val="002D5E94"/>
    <w:rsid w:val="002D5EDB"/>
    <w:rsid w:val="002D5FAC"/>
    <w:rsid w:val="002D5FFB"/>
    <w:rsid w:val="002D6007"/>
    <w:rsid w:val="002D60E6"/>
    <w:rsid w:val="002D62B6"/>
    <w:rsid w:val="002D62C0"/>
    <w:rsid w:val="002D62D6"/>
    <w:rsid w:val="002D63C8"/>
    <w:rsid w:val="002D644F"/>
    <w:rsid w:val="002D6526"/>
    <w:rsid w:val="002D65CB"/>
    <w:rsid w:val="002D6621"/>
    <w:rsid w:val="002D671F"/>
    <w:rsid w:val="002D6794"/>
    <w:rsid w:val="002D67D8"/>
    <w:rsid w:val="002D686A"/>
    <w:rsid w:val="002D695D"/>
    <w:rsid w:val="002D6960"/>
    <w:rsid w:val="002D69EF"/>
    <w:rsid w:val="002D6BBF"/>
    <w:rsid w:val="002D6BF0"/>
    <w:rsid w:val="002D6D28"/>
    <w:rsid w:val="002D6D47"/>
    <w:rsid w:val="002D6E5A"/>
    <w:rsid w:val="002D6E72"/>
    <w:rsid w:val="002D6F51"/>
    <w:rsid w:val="002D70FC"/>
    <w:rsid w:val="002D71AC"/>
    <w:rsid w:val="002D7253"/>
    <w:rsid w:val="002D7275"/>
    <w:rsid w:val="002D72BE"/>
    <w:rsid w:val="002D73F5"/>
    <w:rsid w:val="002D750E"/>
    <w:rsid w:val="002D7685"/>
    <w:rsid w:val="002D7897"/>
    <w:rsid w:val="002D78D4"/>
    <w:rsid w:val="002D78E8"/>
    <w:rsid w:val="002D78F8"/>
    <w:rsid w:val="002D7AC5"/>
    <w:rsid w:val="002D7B6E"/>
    <w:rsid w:val="002D7B7E"/>
    <w:rsid w:val="002D7D8D"/>
    <w:rsid w:val="002D7DB0"/>
    <w:rsid w:val="002D7E57"/>
    <w:rsid w:val="002D7EDC"/>
    <w:rsid w:val="002D7F32"/>
    <w:rsid w:val="002D7F67"/>
    <w:rsid w:val="002D7F88"/>
    <w:rsid w:val="002E001D"/>
    <w:rsid w:val="002E00A7"/>
    <w:rsid w:val="002E00EA"/>
    <w:rsid w:val="002E017D"/>
    <w:rsid w:val="002E023D"/>
    <w:rsid w:val="002E0266"/>
    <w:rsid w:val="002E0272"/>
    <w:rsid w:val="002E0363"/>
    <w:rsid w:val="002E036C"/>
    <w:rsid w:val="002E0404"/>
    <w:rsid w:val="002E06C2"/>
    <w:rsid w:val="002E06E1"/>
    <w:rsid w:val="002E07E1"/>
    <w:rsid w:val="002E095E"/>
    <w:rsid w:val="002E0973"/>
    <w:rsid w:val="002E0979"/>
    <w:rsid w:val="002E0A0A"/>
    <w:rsid w:val="002E0AD7"/>
    <w:rsid w:val="002E0AF0"/>
    <w:rsid w:val="002E0BB9"/>
    <w:rsid w:val="002E0BC8"/>
    <w:rsid w:val="002E0BCA"/>
    <w:rsid w:val="002E0C46"/>
    <w:rsid w:val="002E0E22"/>
    <w:rsid w:val="002E0E63"/>
    <w:rsid w:val="002E0F75"/>
    <w:rsid w:val="002E111C"/>
    <w:rsid w:val="002E115D"/>
    <w:rsid w:val="002E11C5"/>
    <w:rsid w:val="002E1280"/>
    <w:rsid w:val="002E1390"/>
    <w:rsid w:val="002E13C1"/>
    <w:rsid w:val="002E14E2"/>
    <w:rsid w:val="002E15E5"/>
    <w:rsid w:val="002E16A3"/>
    <w:rsid w:val="002E1754"/>
    <w:rsid w:val="002E177A"/>
    <w:rsid w:val="002E1913"/>
    <w:rsid w:val="002E19C6"/>
    <w:rsid w:val="002E1A05"/>
    <w:rsid w:val="002E1AC1"/>
    <w:rsid w:val="002E1AE5"/>
    <w:rsid w:val="002E1BF9"/>
    <w:rsid w:val="002E1CA1"/>
    <w:rsid w:val="002E1CC0"/>
    <w:rsid w:val="002E1CE1"/>
    <w:rsid w:val="002E1F27"/>
    <w:rsid w:val="002E1F61"/>
    <w:rsid w:val="002E2110"/>
    <w:rsid w:val="002E217D"/>
    <w:rsid w:val="002E2196"/>
    <w:rsid w:val="002E22AA"/>
    <w:rsid w:val="002E22FB"/>
    <w:rsid w:val="002E23C5"/>
    <w:rsid w:val="002E23EE"/>
    <w:rsid w:val="002E2665"/>
    <w:rsid w:val="002E26B9"/>
    <w:rsid w:val="002E270E"/>
    <w:rsid w:val="002E2762"/>
    <w:rsid w:val="002E27A0"/>
    <w:rsid w:val="002E2965"/>
    <w:rsid w:val="002E29B7"/>
    <w:rsid w:val="002E29DA"/>
    <w:rsid w:val="002E29F1"/>
    <w:rsid w:val="002E29F7"/>
    <w:rsid w:val="002E2A45"/>
    <w:rsid w:val="002E2AD5"/>
    <w:rsid w:val="002E2B52"/>
    <w:rsid w:val="002E2B6A"/>
    <w:rsid w:val="002E2C5A"/>
    <w:rsid w:val="002E2C90"/>
    <w:rsid w:val="002E2D21"/>
    <w:rsid w:val="002E2D73"/>
    <w:rsid w:val="002E2E4E"/>
    <w:rsid w:val="002E3112"/>
    <w:rsid w:val="002E3144"/>
    <w:rsid w:val="002E31D5"/>
    <w:rsid w:val="002E334E"/>
    <w:rsid w:val="002E33B8"/>
    <w:rsid w:val="002E3499"/>
    <w:rsid w:val="002E3533"/>
    <w:rsid w:val="002E38C7"/>
    <w:rsid w:val="002E39A8"/>
    <w:rsid w:val="002E3A32"/>
    <w:rsid w:val="002E3AF2"/>
    <w:rsid w:val="002E3B98"/>
    <w:rsid w:val="002E3CA3"/>
    <w:rsid w:val="002E3CB0"/>
    <w:rsid w:val="002E3DA6"/>
    <w:rsid w:val="002E3E14"/>
    <w:rsid w:val="002E3E38"/>
    <w:rsid w:val="002E3EC7"/>
    <w:rsid w:val="002E3EEC"/>
    <w:rsid w:val="002E3F71"/>
    <w:rsid w:val="002E4169"/>
    <w:rsid w:val="002E417A"/>
    <w:rsid w:val="002E41B2"/>
    <w:rsid w:val="002E4245"/>
    <w:rsid w:val="002E42CE"/>
    <w:rsid w:val="002E4336"/>
    <w:rsid w:val="002E4373"/>
    <w:rsid w:val="002E4471"/>
    <w:rsid w:val="002E44AC"/>
    <w:rsid w:val="002E45D3"/>
    <w:rsid w:val="002E4601"/>
    <w:rsid w:val="002E47A8"/>
    <w:rsid w:val="002E47E0"/>
    <w:rsid w:val="002E4807"/>
    <w:rsid w:val="002E4962"/>
    <w:rsid w:val="002E49CB"/>
    <w:rsid w:val="002E4A72"/>
    <w:rsid w:val="002E4B19"/>
    <w:rsid w:val="002E4B48"/>
    <w:rsid w:val="002E4B97"/>
    <w:rsid w:val="002E4BBF"/>
    <w:rsid w:val="002E4BC8"/>
    <w:rsid w:val="002E4BE8"/>
    <w:rsid w:val="002E4DC3"/>
    <w:rsid w:val="002E4E04"/>
    <w:rsid w:val="002E4E1F"/>
    <w:rsid w:val="002E4E43"/>
    <w:rsid w:val="002E4EA3"/>
    <w:rsid w:val="002E4EB3"/>
    <w:rsid w:val="002E4FBF"/>
    <w:rsid w:val="002E515E"/>
    <w:rsid w:val="002E5252"/>
    <w:rsid w:val="002E528E"/>
    <w:rsid w:val="002E52A0"/>
    <w:rsid w:val="002E5350"/>
    <w:rsid w:val="002E546F"/>
    <w:rsid w:val="002E54FE"/>
    <w:rsid w:val="002E555F"/>
    <w:rsid w:val="002E55D6"/>
    <w:rsid w:val="002E55FE"/>
    <w:rsid w:val="002E563A"/>
    <w:rsid w:val="002E5654"/>
    <w:rsid w:val="002E5709"/>
    <w:rsid w:val="002E5966"/>
    <w:rsid w:val="002E59A9"/>
    <w:rsid w:val="002E59C8"/>
    <w:rsid w:val="002E5A3D"/>
    <w:rsid w:val="002E5A82"/>
    <w:rsid w:val="002E5BC7"/>
    <w:rsid w:val="002E5C5F"/>
    <w:rsid w:val="002E5C6A"/>
    <w:rsid w:val="002E5F37"/>
    <w:rsid w:val="002E5FE6"/>
    <w:rsid w:val="002E6091"/>
    <w:rsid w:val="002E6170"/>
    <w:rsid w:val="002E62E7"/>
    <w:rsid w:val="002E6352"/>
    <w:rsid w:val="002E636F"/>
    <w:rsid w:val="002E660D"/>
    <w:rsid w:val="002E6655"/>
    <w:rsid w:val="002E66EF"/>
    <w:rsid w:val="002E681E"/>
    <w:rsid w:val="002E685B"/>
    <w:rsid w:val="002E6896"/>
    <w:rsid w:val="002E68C7"/>
    <w:rsid w:val="002E698D"/>
    <w:rsid w:val="002E6A5E"/>
    <w:rsid w:val="002E6BEB"/>
    <w:rsid w:val="002E6C41"/>
    <w:rsid w:val="002E6C82"/>
    <w:rsid w:val="002E6CC1"/>
    <w:rsid w:val="002E6CD3"/>
    <w:rsid w:val="002E6E77"/>
    <w:rsid w:val="002E6EF6"/>
    <w:rsid w:val="002E6FE9"/>
    <w:rsid w:val="002E7018"/>
    <w:rsid w:val="002E707A"/>
    <w:rsid w:val="002E710B"/>
    <w:rsid w:val="002E7112"/>
    <w:rsid w:val="002E7243"/>
    <w:rsid w:val="002E74FA"/>
    <w:rsid w:val="002E7578"/>
    <w:rsid w:val="002E75C8"/>
    <w:rsid w:val="002E7651"/>
    <w:rsid w:val="002E76C1"/>
    <w:rsid w:val="002E781E"/>
    <w:rsid w:val="002E7997"/>
    <w:rsid w:val="002E79B0"/>
    <w:rsid w:val="002E7A2B"/>
    <w:rsid w:val="002E7AA6"/>
    <w:rsid w:val="002E7AAA"/>
    <w:rsid w:val="002E7AB7"/>
    <w:rsid w:val="002E7D14"/>
    <w:rsid w:val="002E7DDD"/>
    <w:rsid w:val="002E7E2F"/>
    <w:rsid w:val="002E7F6C"/>
    <w:rsid w:val="002E7FD9"/>
    <w:rsid w:val="002F00CF"/>
    <w:rsid w:val="002F019B"/>
    <w:rsid w:val="002F0302"/>
    <w:rsid w:val="002F042F"/>
    <w:rsid w:val="002F0446"/>
    <w:rsid w:val="002F053D"/>
    <w:rsid w:val="002F059E"/>
    <w:rsid w:val="002F05D8"/>
    <w:rsid w:val="002F05E4"/>
    <w:rsid w:val="002F060C"/>
    <w:rsid w:val="002F0645"/>
    <w:rsid w:val="002F06C5"/>
    <w:rsid w:val="002F07B9"/>
    <w:rsid w:val="002F0899"/>
    <w:rsid w:val="002F0934"/>
    <w:rsid w:val="002F093E"/>
    <w:rsid w:val="002F0991"/>
    <w:rsid w:val="002F09BB"/>
    <w:rsid w:val="002F09C4"/>
    <w:rsid w:val="002F09E6"/>
    <w:rsid w:val="002F0A8C"/>
    <w:rsid w:val="002F0B9E"/>
    <w:rsid w:val="002F0B9F"/>
    <w:rsid w:val="002F0D26"/>
    <w:rsid w:val="002F0E1B"/>
    <w:rsid w:val="002F0EA9"/>
    <w:rsid w:val="002F118C"/>
    <w:rsid w:val="002F11AC"/>
    <w:rsid w:val="002F1217"/>
    <w:rsid w:val="002F1286"/>
    <w:rsid w:val="002F1295"/>
    <w:rsid w:val="002F14C4"/>
    <w:rsid w:val="002F14C6"/>
    <w:rsid w:val="002F14DF"/>
    <w:rsid w:val="002F152E"/>
    <w:rsid w:val="002F1657"/>
    <w:rsid w:val="002F16B0"/>
    <w:rsid w:val="002F17CA"/>
    <w:rsid w:val="002F1970"/>
    <w:rsid w:val="002F1971"/>
    <w:rsid w:val="002F1A0E"/>
    <w:rsid w:val="002F1A8E"/>
    <w:rsid w:val="002F1B67"/>
    <w:rsid w:val="002F1BB0"/>
    <w:rsid w:val="002F1D51"/>
    <w:rsid w:val="002F1DC6"/>
    <w:rsid w:val="002F1DE2"/>
    <w:rsid w:val="002F1E41"/>
    <w:rsid w:val="002F1EDE"/>
    <w:rsid w:val="002F1FB0"/>
    <w:rsid w:val="002F2045"/>
    <w:rsid w:val="002F2069"/>
    <w:rsid w:val="002F209D"/>
    <w:rsid w:val="002F209F"/>
    <w:rsid w:val="002F214F"/>
    <w:rsid w:val="002F21DC"/>
    <w:rsid w:val="002F229B"/>
    <w:rsid w:val="002F231E"/>
    <w:rsid w:val="002F249E"/>
    <w:rsid w:val="002F24E0"/>
    <w:rsid w:val="002F252E"/>
    <w:rsid w:val="002F252F"/>
    <w:rsid w:val="002F2631"/>
    <w:rsid w:val="002F2936"/>
    <w:rsid w:val="002F2A10"/>
    <w:rsid w:val="002F2A5C"/>
    <w:rsid w:val="002F2A6E"/>
    <w:rsid w:val="002F2A9F"/>
    <w:rsid w:val="002F2B08"/>
    <w:rsid w:val="002F2B3E"/>
    <w:rsid w:val="002F2BFA"/>
    <w:rsid w:val="002F2D63"/>
    <w:rsid w:val="002F2E05"/>
    <w:rsid w:val="002F2EB2"/>
    <w:rsid w:val="002F2FBA"/>
    <w:rsid w:val="002F304C"/>
    <w:rsid w:val="002F31AF"/>
    <w:rsid w:val="002F3231"/>
    <w:rsid w:val="002F3264"/>
    <w:rsid w:val="002F32EB"/>
    <w:rsid w:val="002F3345"/>
    <w:rsid w:val="002F33CE"/>
    <w:rsid w:val="002F34F8"/>
    <w:rsid w:val="002F364E"/>
    <w:rsid w:val="002F367F"/>
    <w:rsid w:val="002F36A2"/>
    <w:rsid w:val="002F38BF"/>
    <w:rsid w:val="002F3C68"/>
    <w:rsid w:val="002F3D04"/>
    <w:rsid w:val="002F3DED"/>
    <w:rsid w:val="002F3FA2"/>
    <w:rsid w:val="002F4019"/>
    <w:rsid w:val="002F4048"/>
    <w:rsid w:val="002F40A5"/>
    <w:rsid w:val="002F41C0"/>
    <w:rsid w:val="002F41F4"/>
    <w:rsid w:val="002F422F"/>
    <w:rsid w:val="002F427A"/>
    <w:rsid w:val="002F4302"/>
    <w:rsid w:val="002F44AF"/>
    <w:rsid w:val="002F4904"/>
    <w:rsid w:val="002F4914"/>
    <w:rsid w:val="002F4972"/>
    <w:rsid w:val="002F49F8"/>
    <w:rsid w:val="002F4A46"/>
    <w:rsid w:val="002F4CE3"/>
    <w:rsid w:val="002F4D2B"/>
    <w:rsid w:val="002F4D74"/>
    <w:rsid w:val="002F4DDF"/>
    <w:rsid w:val="002F502F"/>
    <w:rsid w:val="002F5069"/>
    <w:rsid w:val="002F50AC"/>
    <w:rsid w:val="002F50D6"/>
    <w:rsid w:val="002F52B2"/>
    <w:rsid w:val="002F52BC"/>
    <w:rsid w:val="002F5300"/>
    <w:rsid w:val="002F53AF"/>
    <w:rsid w:val="002F53FC"/>
    <w:rsid w:val="002F5460"/>
    <w:rsid w:val="002F54CC"/>
    <w:rsid w:val="002F55D6"/>
    <w:rsid w:val="002F5700"/>
    <w:rsid w:val="002F57BE"/>
    <w:rsid w:val="002F581E"/>
    <w:rsid w:val="002F5990"/>
    <w:rsid w:val="002F59AE"/>
    <w:rsid w:val="002F59C7"/>
    <w:rsid w:val="002F5BBA"/>
    <w:rsid w:val="002F5DD0"/>
    <w:rsid w:val="002F5EB0"/>
    <w:rsid w:val="002F5ED8"/>
    <w:rsid w:val="002F6062"/>
    <w:rsid w:val="002F608A"/>
    <w:rsid w:val="002F6108"/>
    <w:rsid w:val="002F633B"/>
    <w:rsid w:val="002F642A"/>
    <w:rsid w:val="002F651A"/>
    <w:rsid w:val="002F6771"/>
    <w:rsid w:val="002F68BD"/>
    <w:rsid w:val="002F6961"/>
    <w:rsid w:val="002F697C"/>
    <w:rsid w:val="002F69AF"/>
    <w:rsid w:val="002F69DE"/>
    <w:rsid w:val="002F69F9"/>
    <w:rsid w:val="002F6A21"/>
    <w:rsid w:val="002F6ABF"/>
    <w:rsid w:val="002F6B48"/>
    <w:rsid w:val="002F6DCB"/>
    <w:rsid w:val="002F6FB8"/>
    <w:rsid w:val="002F6FFC"/>
    <w:rsid w:val="002F70DE"/>
    <w:rsid w:val="002F70FD"/>
    <w:rsid w:val="002F725C"/>
    <w:rsid w:val="002F72F3"/>
    <w:rsid w:val="002F7369"/>
    <w:rsid w:val="002F7403"/>
    <w:rsid w:val="002F7441"/>
    <w:rsid w:val="002F75C2"/>
    <w:rsid w:val="002F78EA"/>
    <w:rsid w:val="002F79E8"/>
    <w:rsid w:val="002F7A39"/>
    <w:rsid w:val="002F7AAE"/>
    <w:rsid w:val="002F7B6D"/>
    <w:rsid w:val="002F7C8A"/>
    <w:rsid w:val="002F7D7A"/>
    <w:rsid w:val="002F7EEF"/>
    <w:rsid w:val="002F7F82"/>
    <w:rsid w:val="003002FF"/>
    <w:rsid w:val="0030039E"/>
    <w:rsid w:val="00300430"/>
    <w:rsid w:val="00300434"/>
    <w:rsid w:val="00300460"/>
    <w:rsid w:val="0030056E"/>
    <w:rsid w:val="003006F2"/>
    <w:rsid w:val="00300744"/>
    <w:rsid w:val="00300773"/>
    <w:rsid w:val="003007D8"/>
    <w:rsid w:val="00300948"/>
    <w:rsid w:val="00300959"/>
    <w:rsid w:val="003009B7"/>
    <w:rsid w:val="00300AB4"/>
    <w:rsid w:val="00300C00"/>
    <w:rsid w:val="00300C78"/>
    <w:rsid w:val="00300C7D"/>
    <w:rsid w:val="00300CD0"/>
    <w:rsid w:val="00300D53"/>
    <w:rsid w:val="00300E22"/>
    <w:rsid w:val="00300FFA"/>
    <w:rsid w:val="0030100D"/>
    <w:rsid w:val="00301058"/>
    <w:rsid w:val="003010C3"/>
    <w:rsid w:val="00301110"/>
    <w:rsid w:val="003011B9"/>
    <w:rsid w:val="003011FB"/>
    <w:rsid w:val="00301211"/>
    <w:rsid w:val="00301258"/>
    <w:rsid w:val="00301314"/>
    <w:rsid w:val="0030153B"/>
    <w:rsid w:val="0030169D"/>
    <w:rsid w:val="00301756"/>
    <w:rsid w:val="0030175B"/>
    <w:rsid w:val="0030178E"/>
    <w:rsid w:val="0030180E"/>
    <w:rsid w:val="00301885"/>
    <w:rsid w:val="00301968"/>
    <w:rsid w:val="0030197E"/>
    <w:rsid w:val="00301A45"/>
    <w:rsid w:val="00301BF1"/>
    <w:rsid w:val="00301C92"/>
    <w:rsid w:val="00301D29"/>
    <w:rsid w:val="00301FBC"/>
    <w:rsid w:val="0030210E"/>
    <w:rsid w:val="00302132"/>
    <w:rsid w:val="0030215D"/>
    <w:rsid w:val="003021C0"/>
    <w:rsid w:val="00302214"/>
    <w:rsid w:val="003022B3"/>
    <w:rsid w:val="0030231E"/>
    <w:rsid w:val="003023CC"/>
    <w:rsid w:val="003023F7"/>
    <w:rsid w:val="00302451"/>
    <w:rsid w:val="0030249B"/>
    <w:rsid w:val="003024F2"/>
    <w:rsid w:val="00302533"/>
    <w:rsid w:val="00302582"/>
    <w:rsid w:val="003025B3"/>
    <w:rsid w:val="003026E6"/>
    <w:rsid w:val="003027F2"/>
    <w:rsid w:val="003028AD"/>
    <w:rsid w:val="0030294B"/>
    <w:rsid w:val="00302966"/>
    <w:rsid w:val="00302A7C"/>
    <w:rsid w:val="00302ABF"/>
    <w:rsid w:val="00302B41"/>
    <w:rsid w:val="00302B56"/>
    <w:rsid w:val="00302BF5"/>
    <w:rsid w:val="00302D8A"/>
    <w:rsid w:val="00302E38"/>
    <w:rsid w:val="00302F03"/>
    <w:rsid w:val="00302F76"/>
    <w:rsid w:val="00302FAA"/>
    <w:rsid w:val="00302FC8"/>
    <w:rsid w:val="00302FD9"/>
    <w:rsid w:val="00303064"/>
    <w:rsid w:val="00303070"/>
    <w:rsid w:val="0030328C"/>
    <w:rsid w:val="003032E1"/>
    <w:rsid w:val="00303331"/>
    <w:rsid w:val="00303423"/>
    <w:rsid w:val="0030351C"/>
    <w:rsid w:val="00303621"/>
    <w:rsid w:val="00303684"/>
    <w:rsid w:val="003036D0"/>
    <w:rsid w:val="003036DF"/>
    <w:rsid w:val="003036FB"/>
    <w:rsid w:val="00303703"/>
    <w:rsid w:val="0030388D"/>
    <w:rsid w:val="0030389C"/>
    <w:rsid w:val="003038E5"/>
    <w:rsid w:val="0030396A"/>
    <w:rsid w:val="00303995"/>
    <w:rsid w:val="003039A6"/>
    <w:rsid w:val="003039CA"/>
    <w:rsid w:val="003039D9"/>
    <w:rsid w:val="00303A6E"/>
    <w:rsid w:val="00303B95"/>
    <w:rsid w:val="00303BE8"/>
    <w:rsid w:val="00303CAC"/>
    <w:rsid w:val="00303CCB"/>
    <w:rsid w:val="00303CF1"/>
    <w:rsid w:val="00303D1C"/>
    <w:rsid w:val="00303D98"/>
    <w:rsid w:val="00303EE2"/>
    <w:rsid w:val="0030408A"/>
    <w:rsid w:val="003040C4"/>
    <w:rsid w:val="003040DF"/>
    <w:rsid w:val="0030424B"/>
    <w:rsid w:val="00304401"/>
    <w:rsid w:val="003044E1"/>
    <w:rsid w:val="00304553"/>
    <w:rsid w:val="00304574"/>
    <w:rsid w:val="00304609"/>
    <w:rsid w:val="0030478C"/>
    <w:rsid w:val="00304AB7"/>
    <w:rsid w:val="00304AC6"/>
    <w:rsid w:val="00304AE5"/>
    <w:rsid w:val="00304B2F"/>
    <w:rsid w:val="00304B36"/>
    <w:rsid w:val="00304C51"/>
    <w:rsid w:val="00304CD3"/>
    <w:rsid w:val="00304E45"/>
    <w:rsid w:val="00304F5B"/>
    <w:rsid w:val="0030500E"/>
    <w:rsid w:val="0030502E"/>
    <w:rsid w:val="00305107"/>
    <w:rsid w:val="00305114"/>
    <w:rsid w:val="0030522E"/>
    <w:rsid w:val="00305230"/>
    <w:rsid w:val="0030524E"/>
    <w:rsid w:val="00305256"/>
    <w:rsid w:val="003052C5"/>
    <w:rsid w:val="00305360"/>
    <w:rsid w:val="003053A7"/>
    <w:rsid w:val="003054A5"/>
    <w:rsid w:val="003054F0"/>
    <w:rsid w:val="00305532"/>
    <w:rsid w:val="0030554E"/>
    <w:rsid w:val="003056EA"/>
    <w:rsid w:val="003057FA"/>
    <w:rsid w:val="00305872"/>
    <w:rsid w:val="00305C06"/>
    <w:rsid w:val="00305CB6"/>
    <w:rsid w:val="00305D0F"/>
    <w:rsid w:val="00305DDE"/>
    <w:rsid w:val="00305EA6"/>
    <w:rsid w:val="00305EA9"/>
    <w:rsid w:val="00305FF7"/>
    <w:rsid w:val="00306049"/>
    <w:rsid w:val="003060EB"/>
    <w:rsid w:val="0030616A"/>
    <w:rsid w:val="00306196"/>
    <w:rsid w:val="0030625B"/>
    <w:rsid w:val="00306296"/>
    <w:rsid w:val="003062A2"/>
    <w:rsid w:val="003062C4"/>
    <w:rsid w:val="00306444"/>
    <w:rsid w:val="003064A9"/>
    <w:rsid w:val="003064D6"/>
    <w:rsid w:val="0030653D"/>
    <w:rsid w:val="003065BC"/>
    <w:rsid w:val="0030671F"/>
    <w:rsid w:val="00306788"/>
    <w:rsid w:val="0030678B"/>
    <w:rsid w:val="003067D2"/>
    <w:rsid w:val="003067D3"/>
    <w:rsid w:val="003069EF"/>
    <w:rsid w:val="00306A20"/>
    <w:rsid w:val="00306A32"/>
    <w:rsid w:val="00306BF8"/>
    <w:rsid w:val="00306D22"/>
    <w:rsid w:val="00306D9E"/>
    <w:rsid w:val="00306E12"/>
    <w:rsid w:val="00307026"/>
    <w:rsid w:val="003070D1"/>
    <w:rsid w:val="003070DD"/>
    <w:rsid w:val="003070F7"/>
    <w:rsid w:val="0030725C"/>
    <w:rsid w:val="003072F5"/>
    <w:rsid w:val="003073E6"/>
    <w:rsid w:val="00307587"/>
    <w:rsid w:val="003075F9"/>
    <w:rsid w:val="003076E3"/>
    <w:rsid w:val="00307763"/>
    <w:rsid w:val="003079E1"/>
    <w:rsid w:val="003079E8"/>
    <w:rsid w:val="00307A73"/>
    <w:rsid w:val="00307B56"/>
    <w:rsid w:val="00307B61"/>
    <w:rsid w:val="00307B99"/>
    <w:rsid w:val="00307BB9"/>
    <w:rsid w:val="00307C13"/>
    <w:rsid w:val="00307CB7"/>
    <w:rsid w:val="00307D96"/>
    <w:rsid w:val="00307DA7"/>
    <w:rsid w:val="00310022"/>
    <w:rsid w:val="00310137"/>
    <w:rsid w:val="0031020E"/>
    <w:rsid w:val="00310282"/>
    <w:rsid w:val="00310379"/>
    <w:rsid w:val="003103B2"/>
    <w:rsid w:val="003104D4"/>
    <w:rsid w:val="00310666"/>
    <w:rsid w:val="003107FC"/>
    <w:rsid w:val="003108C1"/>
    <w:rsid w:val="003108F8"/>
    <w:rsid w:val="00310ADE"/>
    <w:rsid w:val="00310B0D"/>
    <w:rsid w:val="00310B35"/>
    <w:rsid w:val="00310C34"/>
    <w:rsid w:val="00310C5A"/>
    <w:rsid w:val="00310D10"/>
    <w:rsid w:val="00310D58"/>
    <w:rsid w:val="00310E10"/>
    <w:rsid w:val="00310FB8"/>
    <w:rsid w:val="00310FEB"/>
    <w:rsid w:val="003111B2"/>
    <w:rsid w:val="00311216"/>
    <w:rsid w:val="00311402"/>
    <w:rsid w:val="003114E8"/>
    <w:rsid w:val="003114E9"/>
    <w:rsid w:val="00311575"/>
    <w:rsid w:val="003115C1"/>
    <w:rsid w:val="0031171F"/>
    <w:rsid w:val="0031172F"/>
    <w:rsid w:val="00311742"/>
    <w:rsid w:val="003117DF"/>
    <w:rsid w:val="00311803"/>
    <w:rsid w:val="003118F1"/>
    <w:rsid w:val="00311AAC"/>
    <w:rsid w:val="00311AB2"/>
    <w:rsid w:val="00311ACF"/>
    <w:rsid w:val="00311B5D"/>
    <w:rsid w:val="00311D08"/>
    <w:rsid w:val="00311E92"/>
    <w:rsid w:val="00311F6C"/>
    <w:rsid w:val="00311FDA"/>
    <w:rsid w:val="003120A5"/>
    <w:rsid w:val="00312336"/>
    <w:rsid w:val="003123BE"/>
    <w:rsid w:val="003124FF"/>
    <w:rsid w:val="0031251A"/>
    <w:rsid w:val="00312530"/>
    <w:rsid w:val="003126F2"/>
    <w:rsid w:val="003127F1"/>
    <w:rsid w:val="00312900"/>
    <w:rsid w:val="00312904"/>
    <w:rsid w:val="00312957"/>
    <w:rsid w:val="00312965"/>
    <w:rsid w:val="00312BE3"/>
    <w:rsid w:val="00312C11"/>
    <w:rsid w:val="00312C15"/>
    <w:rsid w:val="00312C60"/>
    <w:rsid w:val="00312C6C"/>
    <w:rsid w:val="00312CAA"/>
    <w:rsid w:val="00312D24"/>
    <w:rsid w:val="00312D7C"/>
    <w:rsid w:val="00312D82"/>
    <w:rsid w:val="00312DD0"/>
    <w:rsid w:val="00312F41"/>
    <w:rsid w:val="00312FAA"/>
    <w:rsid w:val="00313216"/>
    <w:rsid w:val="00313253"/>
    <w:rsid w:val="00313312"/>
    <w:rsid w:val="00313332"/>
    <w:rsid w:val="00313387"/>
    <w:rsid w:val="00313584"/>
    <w:rsid w:val="003135DA"/>
    <w:rsid w:val="00313611"/>
    <w:rsid w:val="003137A5"/>
    <w:rsid w:val="0031384E"/>
    <w:rsid w:val="00313970"/>
    <w:rsid w:val="00313A2E"/>
    <w:rsid w:val="00313C29"/>
    <w:rsid w:val="00313C7A"/>
    <w:rsid w:val="00313DDA"/>
    <w:rsid w:val="00313EF5"/>
    <w:rsid w:val="00313F29"/>
    <w:rsid w:val="00313F6D"/>
    <w:rsid w:val="00313FB3"/>
    <w:rsid w:val="00313FC1"/>
    <w:rsid w:val="00313FCB"/>
    <w:rsid w:val="00314022"/>
    <w:rsid w:val="00314034"/>
    <w:rsid w:val="003140E3"/>
    <w:rsid w:val="003140E5"/>
    <w:rsid w:val="00314117"/>
    <w:rsid w:val="003141C0"/>
    <w:rsid w:val="00314211"/>
    <w:rsid w:val="00314304"/>
    <w:rsid w:val="003143CA"/>
    <w:rsid w:val="003144C4"/>
    <w:rsid w:val="00314568"/>
    <w:rsid w:val="00314770"/>
    <w:rsid w:val="00314787"/>
    <w:rsid w:val="003147F5"/>
    <w:rsid w:val="003148DE"/>
    <w:rsid w:val="00314913"/>
    <w:rsid w:val="00314943"/>
    <w:rsid w:val="00314AE5"/>
    <w:rsid w:val="00314B12"/>
    <w:rsid w:val="00314B75"/>
    <w:rsid w:val="00314C45"/>
    <w:rsid w:val="00314DA8"/>
    <w:rsid w:val="00314DEE"/>
    <w:rsid w:val="00314E6C"/>
    <w:rsid w:val="00314E85"/>
    <w:rsid w:val="00314F27"/>
    <w:rsid w:val="003151E4"/>
    <w:rsid w:val="00315225"/>
    <w:rsid w:val="003152AD"/>
    <w:rsid w:val="003152BE"/>
    <w:rsid w:val="0031531F"/>
    <w:rsid w:val="00315334"/>
    <w:rsid w:val="00315363"/>
    <w:rsid w:val="003153A2"/>
    <w:rsid w:val="0031556B"/>
    <w:rsid w:val="00315571"/>
    <w:rsid w:val="00315620"/>
    <w:rsid w:val="0031563D"/>
    <w:rsid w:val="00315663"/>
    <w:rsid w:val="00315743"/>
    <w:rsid w:val="00315859"/>
    <w:rsid w:val="00315893"/>
    <w:rsid w:val="003159D9"/>
    <w:rsid w:val="003159F4"/>
    <w:rsid w:val="00315A1E"/>
    <w:rsid w:val="00315AA1"/>
    <w:rsid w:val="00315BB3"/>
    <w:rsid w:val="00315CCA"/>
    <w:rsid w:val="00315CDC"/>
    <w:rsid w:val="00315D81"/>
    <w:rsid w:val="00315E58"/>
    <w:rsid w:val="00315EF1"/>
    <w:rsid w:val="00315F5F"/>
    <w:rsid w:val="00315FBB"/>
    <w:rsid w:val="00315FFF"/>
    <w:rsid w:val="003161B7"/>
    <w:rsid w:val="003161F0"/>
    <w:rsid w:val="0031625C"/>
    <w:rsid w:val="003162B6"/>
    <w:rsid w:val="00316336"/>
    <w:rsid w:val="00316370"/>
    <w:rsid w:val="00316487"/>
    <w:rsid w:val="00316580"/>
    <w:rsid w:val="003166E5"/>
    <w:rsid w:val="003168E1"/>
    <w:rsid w:val="003169B2"/>
    <w:rsid w:val="00316B4F"/>
    <w:rsid w:val="00316B5A"/>
    <w:rsid w:val="00316B9F"/>
    <w:rsid w:val="00316C67"/>
    <w:rsid w:val="00316E30"/>
    <w:rsid w:val="00316EF7"/>
    <w:rsid w:val="00316EFF"/>
    <w:rsid w:val="00316F19"/>
    <w:rsid w:val="00316F21"/>
    <w:rsid w:val="00316FE6"/>
    <w:rsid w:val="00317002"/>
    <w:rsid w:val="00317047"/>
    <w:rsid w:val="003170F1"/>
    <w:rsid w:val="0031715D"/>
    <w:rsid w:val="003171E1"/>
    <w:rsid w:val="00317397"/>
    <w:rsid w:val="003174BF"/>
    <w:rsid w:val="00317530"/>
    <w:rsid w:val="0031754D"/>
    <w:rsid w:val="003175BF"/>
    <w:rsid w:val="00317733"/>
    <w:rsid w:val="00317759"/>
    <w:rsid w:val="00317772"/>
    <w:rsid w:val="00317998"/>
    <w:rsid w:val="00317A07"/>
    <w:rsid w:val="00317A32"/>
    <w:rsid w:val="00317B24"/>
    <w:rsid w:val="00317B68"/>
    <w:rsid w:val="00317B8D"/>
    <w:rsid w:val="00317C23"/>
    <w:rsid w:val="00317C8A"/>
    <w:rsid w:val="00317D1B"/>
    <w:rsid w:val="00317DA7"/>
    <w:rsid w:val="00317DCE"/>
    <w:rsid w:val="00317DEE"/>
    <w:rsid w:val="00317E98"/>
    <w:rsid w:val="00317F62"/>
    <w:rsid w:val="00317F96"/>
    <w:rsid w:val="003200D5"/>
    <w:rsid w:val="00320256"/>
    <w:rsid w:val="0032026A"/>
    <w:rsid w:val="003202E6"/>
    <w:rsid w:val="00320380"/>
    <w:rsid w:val="003204C7"/>
    <w:rsid w:val="00320548"/>
    <w:rsid w:val="003209C7"/>
    <w:rsid w:val="00320A06"/>
    <w:rsid w:val="00320A3B"/>
    <w:rsid w:val="00320A62"/>
    <w:rsid w:val="00320AB9"/>
    <w:rsid w:val="00320C07"/>
    <w:rsid w:val="00320C9D"/>
    <w:rsid w:val="00320E2A"/>
    <w:rsid w:val="00320F66"/>
    <w:rsid w:val="00320FB9"/>
    <w:rsid w:val="0032108A"/>
    <w:rsid w:val="00321134"/>
    <w:rsid w:val="00321271"/>
    <w:rsid w:val="00321279"/>
    <w:rsid w:val="00321369"/>
    <w:rsid w:val="003214D0"/>
    <w:rsid w:val="00321526"/>
    <w:rsid w:val="00321581"/>
    <w:rsid w:val="00321584"/>
    <w:rsid w:val="00321645"/>
    <w:rsid w:val="003216E1"/>
    <w:rsid w:val="00321769"/>
    <w:rsid w:val="003217A0"/>
    <w:rsid w:val="003217E7"/>
    <w:rsid w:val="00321876"/>
    <w:rsid w:val="00321953"/>
    <w:rsid w:val="003219FC"/>
    <w:rsid w:val="00321AA0"/>
    <w:rsid w:val="00321BFE"/>
    <w:rsid w:val="00321D68"/>
    <w:rsid w:val="00321D6C"/>
    <w:rsid w:val="00321D7F"/>
    <w:rsid w:val="00321DC4"/>
    <w:rsid w:val="00321ED1"/>
    <w:rsid w:val="00321F5E"/>
    <w:rsid w:val="00321F9B"/>
    <w:rsid w:val="00321FDC"/>
    <w:rsid w:val="0032200A"/>
    <w:rsid w:val="00322034"/>
    <w:rsid w:val="00322163"/>
    <w:rsid w:val="0032222E"/>
    <w:rsid w:val="00322237"/>
    <w:rsid w:val="00322263"/>
    <w:rsid w:val="0032237A"/>
    <w:rsid w:val="00322421"/>
    <w:rsid w:val="00322687"/>
    <w:rsid w:val="003228B3"/>
    <w:rsid w:val="00322905"/>
    <w:rsid w:val="003229A7"/>
    <w:rsid w:val="003229F8"/>
    <w:rsid w:val="00322A75"/>
    <w:rsid w:val="00322B7F"/>
    <w:rsid w:val="00322BCA"/>
    <w:rsid w:val="00322BF9"/>
    <w:rsid w:val="00322EFA"/>
    <w:rsid w:val="00322F5A"/>
    <w:rsid w:val="00322F88"/>
    <w:rsid w:val="00322FCD"/>
    <w:rsid w:val="00323174"/>
    <w:rsid w:val="003231BD"/>
    <w:rsid w:val="003231EF"/>
    <w:rsid w:val="003231F0"/>
    <w:rsid w:val="003231F2"/>
    <w:rsid w:val="00323241"/>
    <w:rsid w:val="003232AF"/>
    <w:rsid w:val="0032341C"/>
    <w:rsid w:val="00323423"/>
    <w:rsid w:val="00323458"/>
    <w:rsid w:val="00323555"/>
    <w:rsid w:val="003235D0"/>
    <w:rsid w:val="003235DE"/>
    <w:rsid w:val="00323612"/>
    <w:rsid w:val="003236A8"/>
    <w:rsid w:val="003236FD"/>
    <w:rsid w:val="00323705"/>
    <w:rsid w:val="0032375C"/>
    <w:rsid w:val="003237C9"/>
    <w:rsid w:val="00323863"/>
    <w:rsid w:val="00323BCC"/>
    <w:rsid w:val="00323BF5"/>
    <w:rsid w:val="00323C4C"/>
    <w:rsid w:val="00323C6B"/>
    <w:rsid w:val="00323D0E"/>
    <w:rsid w:val="00323D3C"/>
    <w:rsid w:val="00323D5D"/>
    <w:rsid w:val="00323DC0"/>
    <w:rsid w:val="00323E4C"/>
    <w:rsid w:val="00323FC9"/>
    <w:rsid w:val="00324262"/>
    <w:rsid w:val="00324271"/>
    <w:rsid w:val="00324423"/>
    <w:rsid w:val="003244CA"/>
    <w:rsid w:val="003245B9"/>
    <w:rsid w:val="00324600"/>
    <w:rsid w:val="00324765"/>
    <w:rsid w:val="00324774"/>
    <w:rsid w:val="003248A2"/>
    <w:rsid w:val="003249A2"/>
    <w:rsid w:val="003249C2"/>
    <w:rsid w:val="00324A58"/>
    <w:rsid w:val="00324AA9"/>
    <w:rsid w:val="00324D16"/>
    <w:rsid w:val="00324DC6"/>
    <w:rsid w:val="00324E7C"/>
    <w:rsid w:val="00324E9B"/>
    <w:rsid w:val="00324EC6"/>
    <w:rsid w:val="00324F42"/>
    <w:rsid w:val="0032501B"/>
    <w:rsid w:val="00325147"/>
    <w:rsid w:val="003251E5"/>
    <w:rsid w:val="00325338"/>
    <w:rsid w:val="003253C5"/>
    <w:rsid w:val="003253FC"/>
    <w:rsid w:val="003254D2"/>
    <w:rsid w:val="003254FF"/>
    <w:rsid w:val="00325530"/>
    <w:rsid w:val="003255BF"/>
    <w:rsid w:val="00325635"/>
    <w:rsid w:val="003256CB"/>
    <w:rsid w:val="00325832"/>
    <w:rsid w:val="0032590A"/>
    <w:rsid w:val="00325928"/>
    <w:rsid w:val="003259A8"/>
    <w:rsid w:val="00325AE2"/>
    <w:rsid w:val="00325B3F"/>
    <w:rsid w:val="00325B8B"/>
    <w:rsid w:val="00325BFE"/>
    <w:rsid w:val="00325C5B"/>
    <w:rsid w:val="00325C8C"/>
    <w:rsid w:val="00325C98"/>
    <w:rsid w:val="00325D2C"/>
    <w:rsid w:val="00325D2F"/>
    <w:rsid w:val="00325D61"/>
    <w:rsid w:val="00325D9D"/>
    <w:rsid w:val="00325DFC"/>
    <w:rsid w:val="00326059"/>
    <w:rsid w:val="003260C7"/>
    <w:rsid w:val="00326263"/>
    <w:rsid w:val="0032634D"/>
    <w:rsid w:val="00326369"/>
    <w:rsid w:val="003264A8"/>
    <w:rsid w:val="003264C7"/>
    <w:rsid w:val="003264D2"/>
    <w:rsid w:val="0032664E"/>
    <w:rsid w:val="00326669"/>
    <w:rsid w:val="0032684E"/>
    <w:rsid w:val="00326A17"/>
    <w:rsid w:val="00326BE6"/>
    <w:rsid w:val="00326C04"/>
    <w:rsid w:val="00326C64"/>
    <w:rsid w:val="00326DF4"/>
    <w:rsid w:val="00326F18"/>
    <w:rsid w:val="00326F59"/>
    <w:rsid w:val="00326F95"/>
    <w:rsid w:val="0032702D"/>
    <w:rsid w:val="003271CF"/>
    <w:rsid w:val="003271E1"/>
    <w:rsid w:val="00327243"/>
    <w:rsid w:val="0032743E"/>
    <w:rsid w:val="003274EF"/>
    <w:rsid w:val="003274F2"/>
    <w:rsid w:val="003275AF"/>
    <w:rsid w:val="003275DC"/>
    <w:rsid w:val="003275E5"/>
    <w:rsid w:val="003276AF"/>
    <w:rsid w:val="00327718"/>
    <w:rsid w:val="00327895"/>
    <w:rsid w:val="003278C3"/>
    <w:rsid w:val="00327966"/>
    <w:rsid w:val="00327967"/>
    <w:rsid w:val="003279A0"/>
    <w:rsid w:val="00327B0C"/>
    <w:rsid w:val="00327B1C"/>
    <w:rsid w:val="00327B33"/>
    <w:rsid w:val="00327B42"/>
    <w:rsid w:val="00327C42"/>
    <w:rsid w:val="00327C73"/>
    <w:rsid w:val="00327CD1"/>
    <w:rsid w:val="00327D02"/>
    <w:rsid w:val="00327D78"/>
    <w:rsid w:val="00327D82"/>
    <w:rsid w:val="00327E58"/>
    <w:rsid w:val="00327E77"/>
    <w:rsid w:val="00327F13"/>
    <w:rsid w:val="00327F1D"/>
    <w:rsid w:val="00327F3D"/>
    <w:rsid w:val="00327F40"/>
    <w:rsid w:val="00327F7F"/>
    <w:rsid w:val="00327FB0"/>
    <w:rsid w:val="00330092"/>
    <w:rsid w:val="0033009B"/>
    <w:rsid w:val="003301E3"/>
    <w:rsid w:val="00330268"/>
    <w:rsid w:val="003302E6"/>
    <w:rsid w:val="00330364"/>
    <w:rsid w:val="003303F0"/>
    <w:rsid w:val="003304C7"/>
    <w:rsid w:val="003306DC"/>
    <w:rsid w:val="003308A5"/>
    <w:rsid w:val="00330ABD"/>
    <w:rsid w:val="00330B01"/>
    <w:rsid w:val="00330BCD"/>
    <w:rsid w:val="00330BDC"/>
    <w:rsid w:val="00330D43"/>
    <w:rsid w:val="00330D48"/>
    <w:rsid w:val="00330D4B"/>
    <w:rsid w:val="00330DB0"/>
    <w:rsid w:val="00330DDC"/>
    <w:rsid w:val="00330E1E"/>
    <w:rsid w:val="00330FDF"/>
    <w:rsid w:val="00331076"/>
    <w:rsid w:val="0033134F"/>
    <w:rsid w:val="003314F9"/>
    <w:rsid w:val="00331504"/>
    <w:rsid w:val="00331845"/>
    <w:rsid w:val="003319A6"/>
    <w:rsid w:val="00331A0F"/>
    <w:rsid w:val="00331ABB"/>
    <w:rsid w:val="00331BC1"/>
    <w:rsid w:val="00331BC4"/>
    <w:rsid w:val="00331BF0"/>
    <w:rsid w:val="00331EB4"/>
    <w:rsid w:val="00331FD3"/>
    <w:rsid w:val="0033203F"/>
    <w:rsid w:val="0033204B"/>
    <w:rsid w:val="0033246C"/>
    <w:rsid w:val="003324D2"/>
    <w:rsid w:val="0033264D"/>
    <w:rsid w:val="0033273F"/>
    <w:rsid w:val="003327E5"/>
    <w:rsid w:val="003327F4"/>
    <w:rsid w:val="00332832"/>
    <w:rsid w:val="003329A7"/>
    <w:rsid w:val="003329DD"/>
    <w:rsid w:val="00332A8A"/>
    <w:rsid w:val="00332ABF"/>
    <w:rsid w:val="00332AF9"/>
    <w:rsid w:val="00332BF5"/>
    <w:rsid w:val="00332D39"/>
    <w:rsid w:val="00332DC6"/>
    <w:rsid w:val="00332DD3"/>
    <w:rsid w:val="00332E02"/>
    <w:rsid w:val="0033304F"/>
    <w:rsid w:val="0033305B"/>
    <w:rsid w:val="0033313C"/>
    <w:rsid w:val="00333140"/>
    <w:rsid w:val="003336A6"/>
    <w:rsid w:val="003337E7"/>
    <w:rsid w:val="003338C2"/>
    <w:rsid w:val="003338D8"/>
    <w:rsid w:val="00333A51"/>
    <w:rsid w:val="00333ADB"/>
    <w:rsid w:val="00333C3D"/>
    <w:rsid w:val="00333D7D"/>
    <w:rsid w:val="00333F3A"/>
    <w:rsid w:val="00333FB6"/>
    <w:rsid w:val="00333FEF"/>
    <w:rsid w:val="0033400F"/>
    <w:rsid w:val="00334289"/>
    <w:rsid w:val="0033445E"/>
    <w:rsid w:val="00334466"/>
    <w:rsid w:val="003344F5"/>
    <w:rsid w:val="0033468A"/>
    <w:rsid w:val="00334960"/>
    <w:rsid w:val="003349A3"/>
    <w:rsid w:val="00334A1F"/>
    <w:rsid w:val="00334C94"/>
    <w:rsid w:val="00334D09"/>
    <w:rsid w:val="00334D43"/>
    <w:rsid w:val="00334D4E"/>
    <w:rsid w:val="00334DAD"/>
    <w:rsid w:val="00334E67"/>
    <w:rsid w:val="00334F1E"/>
    <w:rsid w:val="003352B0"/>
    <w:rsid w:val="003352DC"/>
    <w:rsid w:val="00335329"/>
    <w:rsid w:val="003356E7"/>
    <w:rsid w:val="00335713"/>
    <w:rsid w:val="003357C4"/>
    <w:rsid w:val="003357E5"/>
    <w:rsid w:val="00335954"/>
    <w:rsid w:val="003359F0"/>
    <w:rsid w:val="00335A21"/>
    <w:rsid w:val="00335BEA"/>
    <w:rsid w:val="00335CF7"/>
    <w:rsid w:val="00335E0B"/>
    <w:rsid w:val="00335E18"/>
    <w:rsid w:val="00335E54"/>
    <w:rsid w:val="00335F63"/>
    <w:rsid w:val="00336156"/>
    <w:rsid w:val="003361BF"/>
    <w:rsid w:val="00336254"/>
    <w:rsid w:val="0033627C"/>
    <w:rsid w:val="003362CB"/>
    <w:rsid w:val="003363D5"/>
    <w:rsid w:val="003363F5"/>
    <w:rsid w:val="003365A7"/>
    <w:rsid w:val="003365FF"/>
    <w:rsid w:val="00336818"/>
    <w:rsid w:val="0033688F"/>
    <w:rsid w:val="00336930"/>
    <w:rsid w:val="00336935"/>
    <w:rsid w:val="00336971"/>
    <w:rsid w:val="00336AB8"/>
    <w:rsid w:val="00336B21"/>
    <w:rsid w:val="00336BFA"/>
    <w:rsid w:val="00336D2D"/>
    <w:rsid w:val="00336DE2"/>
    <w:rsid w:val="00336DF2"/>
    <w:rsid w:val="00336FDE"/>
    <w:rsid w:val="00337026"/>
    <w:rsid w:val="00337061"/>
    <w:rsid w:val="0033716F"/>
    <w:rsid w:val="00337199"/>
    <w:rsid w:val="003372BD"/>
    <w:rsid w:val="003372F8"/>
    <w:rsid w:val="00337443"/>
    <w:rsid w:val="00337685"/>
    <w:rsid w:val="0033769D"/>
    <w:rsid w:val="00337A04"/>
    <w:rsid w:val="00337ABF"/>
    <w:rsid w:val="00337C27"/>
    <w:rsid w:val="00337E33"/>
    <w:rsid w:val="00337F69"/>
    <w:rsid w:val="00340122"/>
    <w:rsid w:val="0034016B"/>
    <w:rsid w:val="0034016E"/>
    <w:rsid w:val="003401B6"/>
    <w:rsid w:val="003401FB"/>
    <w:rsid w:val="003402F4"/>
    <w:rsid w:val="003403CD"/>
    <w:rsid w:val="00340440"/>
    <w:rsid w:val="0034055C"/>
    <w:rsid w:val="00340578"/>
    <w:rsid w:val="003405F1"/>
    <w:rsid w:val="0034062B"/>
    <w:rsid w:val="00340653"/>
    <w:rsid w:val="00340696"/>
    <w:rsid w:val="003406D0"/>
    <w:rsid w:val="0034074C"/>
    <w:rsid w:val="00340A07"/>
    <w:rsid w:val="00340A51"/>
    <w:rsid w:val="00340BE6"/>
    <w:rsid w:val="00340D53"/>
    <w:rsid w:val="00340DC8"/>
    <w:rsid w:val="00340DE0"/>
    <w:rsid w:val="00340DFC"/>
    <w:rsid w:val="00340E3D"/>
    <w:rsid w:val="00340E49"/>
    <w:rsid w:val="00340F46"/>
    <w:rsid w:val="00340F5B"/>
    <w:rsid w:val="00340FAC"/>
    <w:rsid w:val="00340FB4"/>
    <w:rsid w:val="0034109F"/>
    <w:rsid w:val="0034113F"/>
    <w:rsid w:val="003411A5"/>
    <w:rsid w:val="00341241"/>
    <w:rsid w:val="0034124A"/>
    <w:rsid w:val="00341259"/>
    <w:rsid w:val="0034125D"/>
    <w:rsid w:val="003412DD"/>
    <w:rsid w:val="0034155F"/>
    <w:rsid w:val="0034156D"/>
    <w:rsid w:val="0034159B"/>
    <w:rsid w:val="003416A1"/>
    <w:rsid w:val="0034171E"/>
    <w:rsid w:val="00341783"/>
    <w:rsid w:val="00341A39"/>
    <w:rsid w:val="00341A69"/>
    <w:rsid w:val="00341B27"/>
    <w:rsid w:val="00341B3A"/>
    <w:rsid w:val="00341B60"/>
    <w:rsid w:val="00341BAC"/>
    <w:rsid w:val="00341C61"/>
    <w:rsid w:val="00341CDB"/>
    <w:rsid w:val="00341E8D"/>
    <w:rsid w:val="00341F59"/>
    <w:rsid w:val="00341F5D"/>
    <w:rsid w:val="00341F99"/>
    <w:rsid w:val="0034205F"/>
    <w:rsid w:val="003420D5"/>
    <w:rsid w:val="00342116"/>
    <w:rsid w:val="00342164"/>
    <w:rsid w:val="003421CB"/>
    <w:rsid w:val="0034221F"/>
    <w:rsid w:val="00342280"/>
    <w:rsid w:val="00342308"/>
    <w:rsid w:val="0034240F"/>
    <w:rsid w:val="00342463"/>
    <w:rsid w:val="00342525"/>
    <w:rsid w:val="0034255F"/>
    <w:rsid w:val="00342604"/>
    <w:rsid w:val="003426F9"/>
    <w:rsid w:val="00342835"/>
    <w:rsid w:val="0034288B"/>
    <w:rsid w:val="00342891"/>
    <w:rsid w:val="003428A8"/>
    <w:rsid w:val="00342958"/>
    <w:rsid w:val="003429F0"/>
    <w:rsid w:val="00342B04"/>
    <w:rsid w:val="00342B36"/>
    <w:rsid w:val="00342BBE"/>
    <w:rsid w:val="00342CE6"/>
    <w:rsid w:val="00342CF7"/>
    <w:rsid w:val="00342D97"/>
    <w:rsid w:val="00342DA6"/>
    <w:rsid w:val="0034307E"/>
    <w:rsid w:val="003430C8"/>
    <w:rsid w:val="00343226"/>
    <w:rsid w:val="003432C3"/>
    <w:rsid w:val="00343315"/>
    <w:rsid w:val="00343366"/>
    <w:rsid w:val="0034336F"/>
    <w:rsid w:val="003433C5"/>
    <w:rsid w:val="003434DD"/>
    <w:rsid w:val="003435CC"/>
    <w:rsid w:val="003436D5"/>
    <w:rsid w:val="00343709"/>
    <w:rsid w:val="00343710"/>
    <w:rsid w:val="003437C4"/>
    <w:rsid w:val="00343816"/>
    <w:rsid w:val="003439AA"/>
    <w:rsid w:val="003439BF"/>
    <w:rsid w:val="00343A9D"/>
    <w:rsid w:val="00343AC7"/>
    <w:rsid w:val="00343BA3"/>
    <w:rsid w:val="00343C1E"/>
    <w:rsid w:val="00343E1B"/>
    <w:rsid w:val="00343E3A"/>
    <w:rsid w:val="00343EC4"/>
    <w:rsid w:val="00343EE1"/>
    <w:rsid w:val="0034404E"/>
    <w:rsid w:val="003441E2"/>
    <w:rsid w:val="00344211"/>
    <w:rsid w:val="00344259"/>
    <w:rsid w:val="0034439A"/>
    <w:rsid w:val="003444FB"/>
    <w:rsid w:val="0034457E"/>
    <w:rsid w:val="003445B7"/>
    <w:rsid w:val="003445E0"/>
    <w:rsid w:val="00344745"/>
    <w:rsid w:val="0034490C"/>
    <w:rsid w:val="00344A00"/>
    <w:rsid w:val="00344A6A"/>
    <w:rsid w:val="00344B05"/>
    <w:rsid w:val="00344CDA"/>
    <w:rsid w:val="00344EBF"/>
    <w:rsid w:val="00344FED"/>
    <w:rsid w:val="00344FFE"/>
    <w:rsid w:val="00345193"/>
    <w:rsid w:val="00345243"/>
    <w:rsid w:val="0034531A"/>
    <w:rsid w:val="0034560A"/>
    <w:rsid w:val="003456FF"/>
    <w:rsid w:val="003457A3"/>
    <w:rsid w:val="003457AC"/>
    <w:rsid w:val="003459F4"/>
    <w:rsid w:val="00345D40"/>
    <w:rsid w:val="00345E04"/>
    <w:rsid w:val="00345E07"/>
    <w:rsid w:val="00345E68"/>
    <w:rsid w:val="00345E8A"/>
    <w:rsid w:val="00345EA1"/>
    <w:rsid w:val="00345FA3"/>
    <w:rsid w:val="003460DB"/>
    <w:rsid w:val="003462FE"/>
    <w:rsid w:val="0034649C"/>
    <w:rsid w:val="003464A8"/>
    <w:rsid w:val="003465DD"/>
    <w:rsid w:val="0034661F"/>
    <w:rsid w:val="003466C8"/>
    <w:rsid w:val="003466E6"/>
    <w:rsid w:val="003467E4"/>
    <w:rsid w:val="003469B0"/>
    <w:rsid w:val="00346A4C"/>
    <w:rsid w:val="00346B2D"/>
    <w:rsid w:val="00346C88"/>
    <w:rsid w:val="00346D17"/>
    <w:rsid w:val="00346DE5"/>
    <w:rsid w:val="00346E2F"/>
    <w:rsid w:val="00346E5F"/>
    <w:rsid w:val="00346EC1"/>
    <w:rsid w:val="0034705B"/>
    <w:rsid w:val="00347156"/>
    <w:rsid w:val="0034715B"/>
    <w:rsid w:val="00347191"/>
    <w:rsid w:val="00347261"/>
    <w:rsid w:val="0034728D"/>
    <w:rsid w:val="003473C2"/>
    <w:rsid w:val="00347674"/>
    <w:rsid w:val="003476A7"/>
    <w:rsid w:val="003476FB"/>
    <w:rsid w:val="00347813"/>
    <w:rsid w:val="00347835"/>
    <w:rsid w:val="00347851"/>
    <w:rsid w:val="00347887"/>
    <w:rsid w:val="00347D80"/>
    <w:rsid w:val="00350159"/>
    <w:rsid w:val="0035024F"/>
    <w:rsid w:val="0035029A"/>
    <w:rsid w:val="00350371"/>
    <w:rsid w:val="003504D6"/>
    <w:rsid w:val="003504FE"/>
    <w:rsid w:val="00350528"/>
    <w:rsid w:val="003505DC"/>
    <w:rsid w:val="003505E2"/>
    <w:rsid w:val="003506D0"/>
    <w:rsid w:val="003508C1"/>
    <w:rsid w:val="003509E7"/>
    <w:rsid w:val="003509F8"/>
    <w:rsid w:val="00350B10"/>
    <w:rsid w:val="00350B32"/>
    <w:rsid w:val="00350C45"/>
    <w:rsid w:val="00350D05"/>
    <w:rsid w:val="00350D83"/>
    <w:rsid w:val="00350E1E"/>
    <w:rsid w:val="00350F72"/>
    <w:rsid w:val="00350FA7"/>
    <w:rsid w:val="00350FF7"/>
    <w:rsid w:val="00351023"/>
    <w:rsid w:val="003510C2"/>
    <w:rsid w:val="00351110"/>
    <w:rsid w:val="0035119F"/>
    <w:rsid w:val="00351223"/>
    <w:rsid w:val="00351268"/>
    <w:rsid w:val="003512E1"/>
    <w:rsid w:val="0035131A"/>
    <w:rsid w:val="00351352"/>
    <w:rsid w:val="00351380"/>
    <w:rsid w:val="003513AF"/>
    <w:rsid w:val="00351409"/>
    <w:rsid w:val="0035140E"/>
    <w:rsid w:val="0035148B"/>
    <w:rsid w:val="00351750"/>
    <w:rsid w:val="00351805"/>
    <w:rsid w:val="0035185B"/>
    <w:rsid w:val="0035186E"/>
    <w:rsid w:val="003518B1"/>
    <w:rsid w:val="003519C4"/>
    <w:rsid w:val="00351AD9"/>
    <w:rsid w:val="00351B55"/>
    <w:rsid w:val="00351CC9"/>
    <w:rsid w:val="00351D61"/>
    <w:rsid w:val="00351F5D"/>
    <w:rsid w:val="00352087"/>
    <w:rsid w:val="00352098"/>
    <w:rsid w:val="003520B3"/>
    <w:rsid w:val="0035237B"/>
    <w:rsid w:val="00352437"/>
    <w:rsid w:val="0035249B"/>
    <w:rsid w:val="003524C2"/>
    <w:rsid w:val="003524EA"/>
    <w:rsid w:val="003524F5"/>
    <w:rsid w:val="0035254D"/>
    <w:rsid w:val="003526C1"/>
    <w:rsid w:val="00352712"/>
    <w:rsid w:val="0035283D"/>
    <w:rsid w:val="003528B7"/>
    <w:rsid w:val="00352918"/>
    <w:rsid w:val="00352A01"/>
    <w:rsid w:val="00352A28"/>
    <w:rsid w:val="00352BC1"/>
    <w:rsid w:val="00352DC1"/>
    <w:rsid w:val="00352DC4"/>
    <w:rsid w:val="00352E28"/>
    <w:rsid w:val="00352E94"/>
    <w:rsid w:val="00352EE7"/>
    <w:rsid w:val="00353277"/>
    <w:rsid w:val="003532BD"/>
    <w:rsid w:val="003532EA"/>
    <w:rsid w:val="003532F2"/>
    <w:rsid w:val="003533E2"/>
    <w:rsid w:val="0035342A"/>
    <w:rsid w:val="003534C8"/>
    <w:rsid w:val="0035356E"/>
    <w:rsid w:val="00353703"/>
    <w:rsid w:val="0035376E"/>
    <w:rsid w:val="00353771"/>
    <w:rsid w:val="003537AB"/>
    <w:rsid w:val="003537E7"/>
    <w:rsid w:val="00353A00"/>
    <w:rsid w:val="00353A6D"/>
    <w:rsid w:val="00353AD4"/>
    <w:rsid w:val="00353AFB"/>
    <w:rsid w:val="00353BF0"/>
    <w:rsid w:val="00353C89"/>
    <w:rsid w:val="00353D9F"/>
    <w:rsid w:val="00353E2A"/>
    <w:rsid w:val="00353EA4"/>
    <w:rsid w:val="00353F84"/>
    <w:rsid w:val="00353FCA"/>
    <w:rsid w:val="0035404B"/>
    <w:rsid w:val="003540D8"/>
    <w:rsid w:val="00354174"/>
    <w:rsid w:val="003542AF"/>
    <w:rsid w:val="003542E3"/>
    <w:rsid w:val="003543C6"/>
    <w:rsid w:val="003543E1"/>
    <w:rsid w:val="003543F1"/>
    <w:rsid w:val="0035443F"/>
    <w:rsid w:val="0035447A"/>
    <w:rsid w:val="0035448C"/>
    <w:rsid w:val="0035456A"/>
    <w:rsid w:val="003545B0"/>
    <w:rsid w:val="00354701"/>
    <w:rsid w:val="00354736"/>
    <w:rsid w:val="00354772"/>
    <w:rsid w:val="003548E6"/>
    <w:rsid w:val="003549CF"/>
    <w:rsid w:val="00354A0F"/>
    <w:rsid w:val="00354A14"/>
    <w:rsid w:val="00354AC9"/>
    <w:rsid w:val="00354D4B"/>
    <w:rsid w:val="00354D54"/>
    <w:rsid w:val="00354F73"/>
    <w:rsid w:val="00354F77"/>
    <w:rsid w:val="00355024"/>
    <w:rsid w:val="0035515F"/>
    <w:rsid w:val="003551B4"/>
    <w:rsid w:val="003551F3"/>
    <w:rsid w:val="003553D8"/>
    <w:rsid w:val="003554C7"/>
    <w:rsid w:val="00355560"/>
    <w:rsid w:val="003555D3"/>
    <w:rsid w:val="00355708"/>
    <w:rsid w:val="003559D8"/>
    <w:rsid w:val="00355A05"/>
    <w:rsid w:val="00355A6F"/>
    <w:rsid w:val="00355CEE"/>
    <w:rsid w:val="00355D53"/>
    <w:rsid w:val="00355E54"/>
    <w:rsid w:val="00355EA6"/>
    <w:rsid w:val="0035605F"/>
    <w:rsid w:val="0035607F"/>
    <w:rsid w:val="003561BF"/>
    <w:rsid w:val="0035643E"/>
    <w:rsid w:val="0035651C"/>
    <w:rsid w:val="00356567"/>
    <w:rsid w:val="003566E9"/>
    <w:rsid w:val="003566F8"/>
    <w:rsid w:val="00356701"/>
    <w:rsid w:val="00356713"/>
    <w:rsid w:val="003567CD"/>
    <w:rsid w:val="00356944"/>
    <w:rsid w:val="00356A24"/>
    <w:rsid w:val="00356A2E"/>
    <w:rsid w:val="00356B71"/>
    <w:rsid w:val="00356C62"/>
    <w:rsid w:val="00356CC0"/>
    <w:rsid w:val="00356E8D"/>
    <w:rsid w:val="00357049"/>
    <w:rsid w:val="003570AA"/>
    <w:rsid w:val="003570D6"/>
    <w:rsid w:val="00357157"/>
    <w:rsid w:val="0035727B"/>
    <w:rsid w:val="003572C0"/>
    <w:rsid w:val="00357330"/>
    <w:rsid w:val="00357461"/>
    <w:rsid w:val="00357605"/>
    <w:rsid w:val="0035764B"/>
    <w:rsid w:val="003576A0"/>
    <w:rsid w:val="00357744"/>
    <w:rsid w:val="00357784"/>
    <w:rsid w:val="003578BC"/>
    <w:rsid w:val="00357A1C"/>
    <w:rsid w:val="00357ABA"/>
    <w:rsid w:val="00357C75"/>
    <w:rsid w:val="00357D21"/>
    <w:rsid w:val="00357D2F"/>
    <w:rsid w:val="00357DCC"/>
    <w:rsid w:val="00357F0A"/>
    <w:rsid w:val="00357F75"/>
    <w:rsid w:val="0036003E"/>
    <w:rsid w:val="00360048"/>
    <w:rsid w:val="003600E9"/>
    <w:rsid w:val="003602F3"/>
    <w:rsid w:val="003604FC"/>
    <w:rsid w:val="003608C0"/>
    <w:rsid w:val="0036094C"/>
    <w:rsid w:val="0036099E"/>
    <w:rsid w:val="00360B31"/>
    <w:rsid w:val="00360B4D"/>
    <w:rsid w:val="00360BEE"/>
    <w:rsid w:val="00360BF0"/>
    <w:rsid w:val="00360CB8"/>
    <w:rsid w:val="00360D20"/>
    <w:rsid w:val="00360D93"/>
    <w:rsid w:val="0036100A"/>
    <w:rsid w:val="0036102B"/>
    <w:rsid w:val="00361064"/>
    <w:rsid w:val="00361175"/>
    <w:rsid w:val="00361197"/>
    <w:rsid w:val="003611BE"/>
    <w:rsid w:val="00361394"/>
    <w:rsid w:val="0036149A"/>
    <w:rsid w:val="003614B1"/>
    <w:rsid w:val="00361748"/>
    <w:rsid w:val="0036174E"/>
    <w:rsid w:val="003619B6"/>
    <w:rsid w:val="003619FC"/>
    <w:rsid w:val="00361A51"/>
    <w:rsid w:val="00361A69"/>
    <w:rsid w:val="00361A86"/>
    <w:rsid w:val="00361A95"/>
    <w:rsid w:val="00361B90"/>
    <w:rsid w:val="00361BEB"/>
    <w:rsid w:val="00361BED"/>
    <w:rsid w:val="00361C0A"/>
    <w:rsid w:val="00361D06"/>
    <w:rsid w:val="00361D44"/>
    <w:rsid w:val="00361EA7"/>
    <w:rsid w:val="00361EEE"/>
    <w:rsid w:val="00361FB3"/>
    <w:rsid w:val="003622A6"/>
    <w:rsid w:val="0036231C"/>
    <w:rsid w:val="003624C3"/>
    <w:rsid w:val="003626FF"/>
    <w:rsid w:val="00362743"/>
    <w:rsid w:val="0036287B"/>
    <w:rsid w:val="003628F5"/>
    <w:rsid w:val="0036293D"/>
    <w:rsid w:val="003629CA"/>
    <w:rsid w:val="003629E6"/>
    <w:rsid w:val="00362A15"/>
    <w:rsid w:val="00362A9D"/>
    <w:rsid w:val="00362C3C"/>
    <w:rsid w:val="00362D25"/>
    <w:rsid w:val="00362E95"/>
    <w:rsid w:val="00362EE7"/>
    <w:rsid w:val="00362EFA"/>
    <w:rsid w:val="00362F21"/>
    <w:rsid w:val="00362F4A"/>
    <w:rsid w:val="00362F98"/>
    <w:rsid w:val="0036303E"/>
    <w:rsid w:val="0036307E"/>
    <w:rsid w:val="003630F9"/>
    <w:rsid w:val="0036312A"/>
    <w:rsid w:val="00363279"/>
    <w:rsid w:val="003632F3"/>
    <w:rsid w:val="00363316"/>
    <w:rsid w:val="00363409"/>
    <w:rsid w:val="00363525"/>
    <w:rsid w:val="00363657"/>
    <w:rsid w:val="003636F7"/>
    <w:rsid w:val="00363992"/>
    <w:rsid w:val="003639D7"/>
    <w:rsid w:val="00363BE6"/>
    <w:rsid w:val="00363D83"/>
    <w:rsid w:val="00363E17"/>
    <w:rsid w:val="003640D7"/>
    <w:rsid w:val="0036414A"/>
    <w:rsid w:val="0036416B"/>
    <w:rsid w:val="003641E7"/>
    <w:rsid w:val="0036427E"/>
    <w:rsid w:val="003642F3"/>
    <w:rsid w:val="00364319"/>
    <w:rsid w:val="00364491"/>
    <w:rsid w:val="0036456A"/>
    <w:rsid w:val="00364578"/>
    <w:rsid w:val="003646C0"/>
    <w:rsid w:val="00364713"/>
    <w:rsid w:val="003647A3"/>
    <w:rsid w:val="0036480B"/>
    <w:rsid w:val="0036485B"/>
    <w:rsid w:val="003648C3"/>
    <w:rsid w:val="0036492D"/>
    <w:rsid w:val="00364AB0"/>
    <w:rsid w:val="00364B38"/>
    <w:rsid w:val="00364BC6"/>
    <w:rsid w:val="00364DDA"/>
    <w:rsid w:val="00364DE8"/>
    <w:rsid w:val="00364DED"/>
    <w:rsid w:val="0036507F"/>
    <w:rsid w:val="003650A2"/>
    <w:rsid w:val="00365157"/>
    <w:rsid w:val="0036524C"/>
    <w:rsid w:val="0036526D"/>
    <w:rsid w:val="00365326"/>
    <w:rsid w:val="0036533E"/>
    <w:rsid w:val="00365343"/>
    <w:rsid w:val="00365415"/>
    <w:rsid w:val="003654AF"/>
    <w:rsid w:val="00365625"/>
    <w:rsid w:val="0036569A"/>
    <w:rsid w:val="003656A9"/>
    <w:rsid w:val="00365739"/>
    <w:rsid w:val="0036573A"/>
    <w:rsid w:val="0036576B"/>
    <w:rsid w:val="003657FF"/>
    <w:rsid w:val="00365972"/>
    <w:rsid w:val="00365984"/>
    <w:rsid w:val="003659B5"/>
    <w:rsid w:val="003659E9"/>
    <w:rsid w:val="00365A43"/>
    <w:rsid w:val="00365C04"/>
    <w:rsid w:val="00365C24"/>
    <w:rsid w:val="00365C9E"/>
    <w:rsid w:val="00365CD7"/>
    <w:rsid w:val="00365D4D"/>
    <w:rsid w:val="00365D6C"/>
    <w:rsid w:val="00365D7F"/>
    <w:rsid w:val="00365D93"/>
    <w:rsid w:val="00365DB4"/>
    <w:rsid w:val="00365E78"/>
    <w:rsid w:val="0036605E"/>
    <w:rsid w:val="0036613A"/>
    <w:rsid w:val="00366153"/>
    <w:rsid w:val="003661BD"/>
    <w:rsid w:val="003661CC"/>
    <w:rsid w:val="0036621C"/>
    <w:rsid w:val="0036627C"/>
    <w:rsid w:val="0036635F"/>
    <w:rsid w:val="00366361"/>
    <w:rsid w:val="00366412"/>
    <w:rsid w:val="00366499"/>
    <w:rsid w:val="003664CC"/>
    <w:rsid w:val="003664EE"/>
    <w:rsid w:val="00366514"/>
    <w:rsid w:val="00366534"/>
    <w:rsid w:val="00366702"/>
    <w:rsid w:val="0036670E"/>
    <w:rsid w:val="0036678E"/>
    <w:rsid w:val="00366822"/>
    <w:rsid w:val="00366911"/>
    <w:rsid w:val="0036695F"/>
    <w:rsid w:val="003669BD"/>
    <w:rsid w:val="00366A60"/>
    <w:rsid w:val="00366B13"/>
    <w:rsid w:val="00366BF7"/>
    <w:rsid w:val="00366BFD"/>
    <w:rsid w:val="00366C8C"/>
    <w:rsid w:val="00366D06"/>
    <w:rsid w:val="00366EC2"/>
    <w:rsid w:val="00366EC7"/>
    <w:rsid w:val="00366F06"/>
    <w:rsid w:val="00366FB6"/>
    <w:rsid w:val="00366FDB"/>
    <w:rsid w:val="00367122"/>
    <w:rsid w:val="00367174"/>
    <w:rsid w:val="003671C0"/>
    <w:rsid w:val="00367261"/>
    <w:rsid w:val="003672C6"/>
    <w:rsid w:val="00367439"/>
    <w:rsid w:val="00367457"/>
    <w:rsid w:val="003674CD"/>
    <w:rsid w:val="00367574"/>
    <w:rsid w:val="003676DE"/>
    <w:rsid w:val="00367773"/>
    <w:rsid w:val="00367825"/>
    <w:rsid w:val="00367855"/>
    <w:rsid w:val="003678D7"/>
    <w:rsid w:val="00367A62"/>
    <w:rsid w:val="00367AAC"/>
    <w:rsid w:val="00367B30"/>
    <w:rsid w:val="00367C0A"/>
    <w:rsid w:val="00367D28"/>
    <w:rsid w:val="00367DA7"/>
    <w:rsid w:val="00367E66"/>
    <w:rsid w:val="00367EB3"/>
    <w:rsid w:val="00367F5B"/>
    <w:rsid w:val="00367FC2"/>
    <w:rsid w:val="00367FF8"/>
    <w:rsid w:val="003700A5"/>
    <w:rsid w:val="0037012B"/>
    <w:rsid w:val="0037014E"/>
    <w:rsid w:val="00370288"/>
    <w:rsid w:val="00370473"/>
    <w:rsid w:val="00370487"/>
    <w:rsid w:val="003704AE"/>
    <w:rsid w:val="00370542"/>
    <w:rsid w:val="00370658"/>
    <w:rsid w:val="003707A0"/>
    <w:rsid w:val="003707FD"/>
    <w:rsid w:val="00370A3F"/>
    <w:rsid w:val="00370AED"/>
    <w:rsid w:val="00370B4F"/>
    <w:rsid w:val="00370BC3"/>
    <w:rsid w:val="00370E00"/>
    <w:rsid w:val="00370E19"/>
    <w:rsid w:val="00370EEA"/>
    <w:rsid w:val="00370F59"/>
    <w:rsid w:val="003710A0"/>
    <w:rsid w:val="003711A0"/>
    <w:rsid w:val="003711D9"/>
    <w:rsid w:val="00371323"/>
    <w:rsid w:val="0037136E"/>
    <w:rsid w:val="00371497"/>
    <w:rsid w:val="003714D7"/>
    <w:rsid w:val="003715E7"/>
    <w:rsid w:val="003716D3"/>
    <w:rsid w:val="003716E0"/>
    <w:rsid w:val="003717CE"/>
    <w:rsid w:val="003718F7"/>
    <w:rsid w:val="00371B44"/>
    <w:rsid w:val="00371B61"/>
    <w:rsid w:val="00371C3B"/>
    <w:rsid w:val="00371E42"/>
    <w:rsid w:val="00371F86"/>
    <w:rsid w:val="00371FBA"/>
    <w:rsid w:val="00372158"/>
    <w:rsid w:val="0037226F"/>
    <w:rsid w:val="0037239D"/>
    <w:rsid w:val="00372472"/>
    <w:rsid w:val="003724DE"/>
    <w:rsid w:val="003726FD"/>
    <w:rsid w:val="00372706"/>
    <w:rsid w:val="00372901"/>
    <w:rsid w:val="0037299F"/>
    <w:rsid w:val="003729C3"/>
    <w:rsid w:val="003729E5"/>
    <w:rsid w:val="00372A1D"/>
    <w:rsid w:val="00372AD7"/>
    <w:rsid w:val="00372B02"/>
    <w:rsid w:val="00372C1E"/>
    <w:rsid w:val="00372CD9"/>
    <w:rsid w:val="00372D3B"/>
    <w:rsid w:val="00372F01"/>
    <w:rsid w:val="00372F2F"/>
    <w:rsid w:val="00372F40"/>
    <w:rsid w:val="00373001"/>
    <w:rsid w:val="00373044"/>
    <w:rsid w:val="0037306E"/>
    <w:rsid w:val="003731E3"/>
    <w:rsid w:val="00373222"/>
    <w:rsid w:val="00373274"/>
    <w:rsid w:val="003733B8"/>
    <w:rsid w:val="003734A8"/>
    <w:rsid w:val="003734DE"/>
    <w:rsid w:val="0037376B"/>
    <w:rsid w:val="0037379B"/>
    <w:rsid w:val="003737F5"/>
    <w:rsid w:val="00373830"/>
    <w:rsid w:val="0037388C"/>
    <w:rsid w:val="0037398F"/>
    <w:rsid w:val="003739F3"/>
    <w:rsid w:val="00373AC3"/>
    <w:rsid w:val="00373B88"/>
    <w:rsid w:val="00373D5F"/>
    <w:rsid w:val="00373D9F"/>
    <w:rsid w:val="00373DE2"/>
    <w:rsid w:val="00373E10"/>
    <w:rsid w:val="0037411B"/>
    <w:rsid w:val="00374161"/>
    <w:rsid w:val="003742E2"/>
    <w:rsid w:val="003742E6"/>
    <w:rsid w:val="00374325"/>
    <w:rsid w:val="00374381"/>
    <w:rsid w:val="0037438F"/>
    <w:rsid w:val="003743D6"/>
    <w:rsid w:val="00374409"/>
    <w:rsid w:val="003745A1"/>
    <w:rsid w:val="0037476B"/>
    <w:rsid w:val="0037488E"/>
    <w:rsid w:val="00374948"/>
    <w:rsid w:val="003749E4"/>
    <w:rsid w:val="00374A18"/>
    <w:rsid w:val="00374A46"/>
    <w:rsid w:val="00374ACE"/>
    <w:rsid w:val="00374B14"/>
    <w:rsid w:val="00374CEF"/>
    <w:rsid w:val="00374D1F"/>
    <w:rsid w:val="00374D63"/>
    <w:rsid w:val="00374FC1"/>
    <w:rsid w:val="0037505D"/>
    <w:rsid w:val="003751D9"/>
    <w:rsid w:val="003752EF"/>
    <w:rsid w:val="00375485"/>
    <w:rsid w:val="003754B2"/>
    <w:rsid w:val="003754CC"/>
    <w:rsid w:val="0037568A"/>
    <w:rsid w:val="003756A5"/>
    <w:rsid w:val="00375723"/>
    <w:rsid w:val="00375932"/>
    <w:rsid w:val="00375938"/>
    <w:rsid w:val="00375A10"/>
    <w:rsid w:val="00375AC8"/>
    <w:rsid w:val="00375C07"/>
    <w:rsid w:val="00375C4B"/>
    <w:rsid w:val="00375CF2"/>
    <w:rsid w:val="00375D0F"/>
    <w:rsid w:val="00375E08"/>
    <w:rsid w:val="00375E2F"/>
    <w:rsid w:val="00375E95"/>
    <w:rsid w:val="0037602A"/>
    <w:rsid w:val="00376122"/>
    <w:rsid w:val="00376131"/>
    <w:rsid w:val="00376181"/>
    <w:rsid w:val="003761EF"/>
    <w:rsid w:val="00376277"/>
    <w:rsid w:val="00376542"/>
    <w:rsid w:val="003765DE"/>
    <w:rsid w:val="00376613"/>
    <w:rsid w:val="00376648"/>
    <w:rsid w:val="00376672"/>
    <w:rsid w:val="0037673F"/>
    <w:rsid w:val="0037685B"/>
    <w:rsid w:val="00376C20"/>
    <w:rsid w:val="00376C7A"/>
    <w:rsid w:val="00376D44"/>
    <w:rsid w:val="00376E61"/>
    <w:rsid w:val="00376ED2"/>
    <w:rsid w:val="00376F6A"/>
    <w:rsid w:val="00376F6E"/>
    <w:rsid w:val="00376FEA"/>
    <w:rsid w:val="003770B1"/>
    <w:rsid w:val="003770B2"/>
    <w:rsid w:val="003770F6"/>
    <w:rsid w:val="0037715C"/>
    <w:rsid w:val="003772C2"/>
    <w:rsid w:val="003772EA"/>
    <w:rsid w:val="003773DB"/>
    <w:rsid w:val="003773F1"/>
    <w:rsid w:val="00377625"/>
    <w:rsid w:val="0037769D"/>
    <w:rsid w:val="0037770D"/>
    <w:rsid w:val="00377768"/>
    <w:rsid w:val="0037782F"/>
    <w:rsid w:val="00377884"/>
    <w:rsid w:val="00377908"/>
    <w:rsid w:val="0037793B"/>
    <w:rsid w:val="00377A48"/>
    <w:rsid w:val="00377A99"/>
    <w:rsid w:val="00377AD4"/>
    <w:rsid w:val="00377AEC"/>
    <w:rsid w:val="00377B58"/>
    <w:rsid w:val="00377BB9"/>
    <w:rsid w:val="00377F16"/>
    <w:rsid w:val="00380133"/>
    <w:rsid w:val="00380160"/>
    <w:rsid w:val="003801AA"/>
    <w:rsid w:val="00380215"/>
    <w:rsid w:val="0038022A"/>
    <w:rsid w:val="00380245"/>
    <w:rsid w:val="003803A6"/>
    <w:rsid w:val="00380488"/>
    <w:rsid w:val="0038049A"/>
    <w:rsid w:val="003804E0"/>
    <w:rsid w:val="00380577"/>
    <w:rsid w:val="003805C7"/>
    <w:rsid w:val="003805D1"/>
    <w:rsid w:val="00380638"/>
    <w:rsid w:val="00380667"/>
    <w:rsid w:val="003806B9"/>
    <w:rsid w:val="0038079C"/>
    <w:rsid w:val="0038086A"/>
    <w:rsid w:val="00380983"/>
    <w:rsid w:val="00380AB4"/>
    <w:rsid w:val="00380B4F"/>
    <w:rsid w:val="00380B71"/>
    <w:rsid w:val="00380D1F"/>
    <w:rsid w:val="00380D6B"/>
    <w:rsid w:val="00380FB1"/>
    <w:rsid w:val="003810C6"/>
    <w:rsid w:val="00381111"/>
    <w:rsid w:val="0038126C"/>
    <w:rsid w:val="003812E8"/>
    <w:rsid w:val="00381366"/>
    <w:rsid w:val="00381495"/>
    <w:rsid w:val="00381522"/>
    <w:rsid w:val="00381583"/>
    <w:rsid w:val="00381689"/>
    <w:rsid w:val="003816EE"/>
    <w:rsid w:val="00381749"/>
    <w:rsid w:val="00381784"/>
    <w:rsid w:val="00381925"/>
    <w:rsid w:val="00381BA3"/>
    <w:rsid w:val="00381BE8"/>
    <w:rsid w:val="00381CCD"/>
    <w:rsid w:val="00381CD9"/>
    <w:rsid w:val="00381D07"/>
    <w:rsid w:val="00381D48"/>
    <w:rsid w:val="00381DDB"/>
    <w:rsid w:val="00381E01"/>
    <w:rsid w:val="00381E24"/>
    <w:rsid w:val="00381F7A"/>
    <w:rsid w:val="00381FD1"/>
    <w:rsid w:val="0038208E"/>
    <w:rsid w:val="003820DE"/>
    <w:rsid w:val="0038214E"/>
    <w:rsid w:val="003821AA"/>
    <w:rsid w:val="00382220"/>
    <w:rsid w:val="0038224B"/>
    <w:rsid w:val="003823E8"/>
    <w:rsid w:val="00382421"/>
    <w:rsid w:val="003825AC"/>
    <w:rsid w:val="00382740"/>
    <w:rsid w:val="0038274D"/>
    <w:rsid w:val="00382902"/>
    <w:rsid w:val="00382AA5"/>
    <w:rsid w:val="00382AE4"/>
    <w:rsid w:val="00382AF7"/>
    <w:rsid w:val="00382BC1"/>
    <w:rsid w:val="00382BFE"/>
    <w:rsid w:val="00382DB1"/>
    <w:rsid w:val="00382DF7"/>
    <w:rsid w:val="00382EC2"/>
    <w:rsid w:val="00382EFE"/>
    <w:rsid w:val="00382FCC"/>
    <w:rsid w:val="00383092"/>
    <w:rsid w:val="0038310C"/>
    <w:rsid w:val="003831BE"/>
    <w:rsid w:val="0038321E"/>
    <w:rsid w:val="00383275"/>
    <w:rsid w:val="00383277"/>
    <w:rsid w:val="0038331F"/>
    <w:rsid w:val="00383380"/>
    <w:rsid w:val="0038342C"/>
    <w:rsid w:val="003835FD"/>
    <w:rsid w:val="0038367C"/>
    <w:rsid w:val="003836ED"/>
    <w:rsid w:val="00383778"/>
    <w:rsid w:val="003838B6"/>
    <w:rsid w:val="00383959"/>
    <w:rsid w:val="00383A4D"/>
    <w:rsid w:val="00383BFE"/>
    <w:rsid w:val="00383C3A"/>
    <w:rsid w:val="00383E60"/>
    <w:rsid w:val="00383EDD"/>
    <w:rsid w:val="00383F6E"/>
    <w:rsid w:val="00383F96"/>
    <w:rsid w:val="00383FA5"/>
    <w:rsid w:val="00383FC9"/>
    <w:rsid w:val="00384177"/>
    <w:rsid w:val="003841B4"/>
    <w:rsid w:val="00384215"/>
    <w:rsid w:val="0038425E"/>
    <w:rsid w:val="003842B8"/>
    <w:rsid w:val="0038444E"/>
    <w:rsid w:val="003844BE"/>
    <w:rsid w:val="00384549"/>
    <w:rsid w:val="0038454C"/>
    <w:rsid w:val="00384588"/>
    <w:rsid w:val="00384621"/>
    <w:rsid w:val="0038465C"/>
    <w:rsid w:val="003846A4"/>
    <w:rsid w:val="00384729"/>
    <w:rsid w:val="003848D8"/>
    <w:rsid w:val="003849DD"/>
    <w:rsid w:val="003849E6"/>
    <w:rsid w:val="00384A3E"/>
    <w:rsid w:val="00384BA1"/>
    <w:rsid w:val="00384BBC"/>
    <w:rsid w:val="00384BD3"/>
    <w:rsid w:val="00384BF6"/>
    <w:rsid w:val="00384CC7"/>
    <w:rsid w:val="00384D6C"/>
    <w:rsid w:val="00384DF6"/>
    <w:rsid w:val="00384EAF"/>
    <w:rsid w:val="00384F61"/>
    <w:rsid w:val="0038504C"/>
    <w:rsid w:val="0038507E"/>
    <w:rsid w:val="003850C6"/>
    <w:rsid w:val="00385147"/>
    <w:rsid w:val="003851E0"/>
    <w:rsid w:val="00385201"/>
    <w:rsid w:val="00385211"/>
    <w:rsid w:val="00385329"/>
    <w:rsid w:val="00385352"/>
    <w:rsid w:val="00385375"/>
    <w:rsid w:val="003853EF"/>
    <w:rsid w:val="003854C9"/>
    <w:rsid w:val="003854D8"/>
    <w:rsid w:val="00385510"/>
    <w:rsid w:val="00385521"/>
    <w:rsid w:val="00385551"/>
    <w:rsid w:val="003855B0"/>
    <w:rsid w:val="0038568B"/>
    <w:rsid w:val="003856A3"/>
    <w:rsid w:val="003856F3"/>
    <w:rsid w:val="00385722"/>
    <w:rsid w:val="003857A8"/>
    <w:rsid w:val="00385B1B"/>
    <w:rsid w:val="00385C09"/>
    <w:rsid w:val="00385CF9"/>
    <w:rsid w:val="00385D26"/>
    <w:rsid w:val="00385DDD"/>
    <w:rsid w:val="0038603A"/>
    <w:rsid w:val="00386051"/>
    <w:rsid w:val="00386174"/>
    <w:rsid w:val="003861C6"/>
    <w:rsid w:val="003861F4"/>
    <w:rsid w:val="00386319"/>
    <w:rsid w:val="0038642B"/>
    <w:rsid w:val="003866AF"/>
    <w:rsid w:val="0038675A"/>
    <w:rsid w:val="003867BE"/>
    <w:rsid w:val="0038684D"/>
    <w:rsid w:val="00386869"/>
    <w:rsid w:val="003869E6"/>
    <w:rsid w:val="00386A0C"/>
    <w:rsid w:val="00386A4F"/>
    <w:rsid w:val="00386ADD"/>
    <w:rsid w:val="00386B07"/>
    <w:rsid w:val="00386B7D"/>
    <w:rsid w:val="00386BD9"/>
    <w:rsid w:val="00386D70"/>
    <w:rsid w:val="00386E95"/>
    <w:rsid w:val="00386FD0"/>
    <w:rsid w:val="00387035"/>
    <w:rsid w:val="00387428"/>
    <w:rsid w:val="0038743E"/>
    <w:rsid w:val="00387472"/>
    <w:rsid w:val="0038761F"/>
    <w:rsid w:val="00387858"/>
    <w:rsid w:val="003878A8"/>
    <w:rsid w:val="00387904"/>
    <w:rsid w:val="003879B8"/>
    <w:rsid w:val="003879F0"/>
    <w:rsid w:val="00387A1E"/>
    <w:rsid w:val="00387A3D"/>
    <w:rsid w:val="00387B6E"/>
    <w:rsid w:val="00387C5D"/>
    <w:rsid w:val="00387C6C"/>
    <w:rsid w:val="00387CC9"/>
    <w:rsid w:val="00387CF8"/>
    <w:rsid w:val="00387D41"/>
    <w:rsid w:val="00387D44"/>
    <w:rsid w:val="00387F3F"/>
    <w:rsid w:val="00387F7E"/>
    <w:rsid w:val="00390006"/>
    <w:rsid w:val="00390041"/>
    <w:rsid w:val="003900E7"/>
    <w:rsid w:val="00390165"/>
    <w:rsid w:val="0039019A"/>
    <w:rsid w:val="003902D0"/>
    <w:rsid w:val="0039034F"/>
    <w:rsid w:val="00390398"/>
    <w:rsid w:val="003904E5"/>
    <w:rsid w:val="0039054C"/>
    <w:rsid w:val="003905C2"/>
    <w:rsid w:val="0039063D"/>
    <w:rsid w:val="003907DB"/>
    <w:rsid w:val="00390A74"/>
    <w:rsid w:val="00390AAE"/>
    <w:rsid w:val="00390AC4"/>
    <w:rsid w:val="00390AC5"/>
    <w:rsid w:val="00390CF2"/>
    <w:rsid w:val="00390D79"/>
    <w:rsid w:val="00390DA3"/>
    <w:rsid w:val="00390E05"/>
    <w:rsid w:val="00390E42"/>
    <w:rsid w:val="00390F52"/>
    <w:rsid w:val="00391116"/>
    <w:rsid w:val="0039115D"/>
    <w:rsid w:val="00391172"/>
    <w:rsid w:val="0039128B"/>
    <w:rsid w:val="003913B0"/>
    <w:rsid w:val="00391547"/>
    <w:rsid w:val="00391625"/>
    <w:rsid w:val="003916F2"/>
    <w:rsid w:val="00391791"/>
    <w:rsid w:val="003917B8"/>
    <w:rsid w:val="003917C0"/>
    <w:rsid w:val="00391A55"/>
    <w:rsid w:val="00391ABD"/>
    <w:rsid w:val="00391ADB"/>
    <w:rsid w:val="00391B40"/>
    <w:rsid w:val="00391B5C"/>
    <w:rsid w:val="00391C36"/>
    <w:rsid w:val="00391C8E"/>
    <w:rsid w:val="00391EDA"/>
    <w:rsid w:val="00391EF1"/>
    <w:rsid w:val="00391F50"/>
    <w:rsid w:val="003922B6"/>
    <w:rsid w:val="00392579"/>
    <w:rsid w:val="00392658"/>
    <w:rsid w:val="003926C9"/>
    <w:rsid w:val="003926DC"/>
    <w:rsid w:val="003926FA"/>
    <w:rsid w:val="00392717"/>
    <w:rsid w:val="00392A64"/>
    <w:rsid w:val="00392A70"/>
    <w:rsid w:val="00392A8B"/>
    <w:rsid w:val="00392B10"/>
    <w:rsid w:val="00392BB7"/>
    <w:rsid w:val="00392C6A"/>
    <w:rsid w:val="00392D03"/>
    <w:rsid w:val="00392D10"/>
    <w:rsid w:val="00393221"/>
    <w:rsid w:val="003932CC"/>
    <w:rsid w:val="003937C4"/>
    <w:rsid w:val="003938E9"/>
    <w:rsid w:val="00393A7E"/>
    <w:rsid w:val="00393B27"/>
    <w:rsid w:val="00393B5F"/>
    <w:rsid w:val="00393B69"/>
    <w:rsid w:val="00393BAC"/>
    <w:rsid w:val="00393E0D"/>
    <w:rsid w:val="00393E39"/>
    <w:rsid w:val="00393EEE"/>
    <w:rsid w:val="00393F1A"/>
    <w:rsid w:val="00393F42"/>
    <w:rsid w:val="00393FB9"/>
    <w:rsid w:val="00393FEF"/>
    <w:rsid w:val="003941CE"/>
    <w:rsid w:val="00394201"/>
    <w:rsid w:val="0039421D"/>
    <w:rsid w:val="00394366"/>
    <w:rsid w:val="0039444E"/>
    <w:rsid w:val="0039445E"/>
    <w:rsid w:val="003944B6"/>
    <w:rsid w:val="003944FC"/>
    <w:rsid w:val="003948E6"/>
    <w:rsid w:val="003948F3"/>
    <w:rsid w:val="003948FB"/>
    <w:rsid w:val="00394A8E"/>
    <w:rsid w:val="00394B1F"/>
    <w:rsid w:val="00394B83"/>
    <w:rsid w:val="00394BA5"/>
    <w:rsid w:val="00394C0C"/>
    <w:rsid w:val="00394C95"/>
    <w:rsid w:val="00394D25"/>
    <w:rsid w:val="00394D83"/>
    <w:rsid w:val="00394D9B"/>
    <w:rsid w:val="00394E51"/>
    <w:rsid w:val="00394EDB"/>
    <w:rsid w:val="00395030"/>
    <w:rsid w:val="003950C0"/>
    <w:rsid w:val="003950C4"/>
    <w:rsid w:val="003951FC"/>
    <w:rsid w:val="00395353"/>
    <w:rsid w:val="003953D1"/>
    <w:rsid w:val="0039540B"/>
    <w:rsid w:val="003954C5"/>
    <w:rsid w:val="0039550C"/>
    <w:rsid w:val="00395591"/>
    <w:rsid w:val="003955A7"/>
    <w:rsid w:val="003955F6"/>
    <w:rsid w:val="00395614"/>
    <w:rsid w:val="00395743"/>
    <w:rsid w:val="0039574A"/>
    <w:rsid w:val="0039586F"/>
    <w:rsid w:val="003958CA"/>
    <w:rsid w:val="00395926"/>
    <w:rsid w:val="00395949"/>
    <w:rsid w:val="00395A2A"/>
    <w:rsid w:val="00395A33"/>
    <w:rsid w:val="00395A5C"/>
    <w:rsid w:val="00395BFC"/>
    <w:rsid w:val="00395C0B"/>
    <w:rsid w:val="00395C59"/>
    <w:rsid w:val="00395CF8"/>
    <w:rsid w:val="00395D3E"/>
    <w:rsid w:val="00395DF3"/>
    <w:rsid w:val="00395E27"/>
    <w:rsid w:val="0039600B"/>
    <w:rsid w:val="0039602E"/>
    <w:rsid w:val="00396184"/>
    <w:rsid w:val="00396189"/>
    <w:rsid w:val="00396197"/>
    <w:rsid w:val="00396229"/>
    <w:rsid w:val="00396282"/>
    <w:rsid w:val="003962DB"/>
    <w:rsid w:val="003963ED"/>
    <w:rsid w:val="003964D7"/>
    <w:rsid w:val="00396540"/>
    <w:rsid w:val="00396690"/>
    <w:rsid w:val="00396765"/>
    <w:rsid w:val="0039681F"/>
    <w:rsid w:val="0039686C"/>
    <w:rsid w:val="003968A9"/>
    <w:rsid w:val="003968D5"/>
    <w:rsid w:val="0039690F"/>
    <w:rsid w:val="00396945"/>
    <w:rsid w:val="003969D2"/>
    <w:rsid w:val="00396AD4"/>
    <w:rsid w:val="00396B57"/>
    <w:rsid w:val="00396B61"/>
    <w:rsid w:val="00396B7B"/>
    <w:rsid w:val="00396BC6"/>
    <w:rsid w:val="00396CE9"/>
    <w:rsid w:val="00396D64"/>
    <w:rsid w:val="00396E3A"/>
    <w:rsid w:val="00396ECF"/>
    <w:rsid w:val="00396F0C"/>
    <w:rsid w:val="00396FE5"/>
    <w:rsid w:val="003970A1"/>
    <w:rsid w:val="003970B4"/>
    <w:rsid w:val="003971A6"/>
    <w:rsid w:val="003971F0"/>
    <w:rsid w:val="003972E6"/>
    <w:rsid w:val="003973BD"/>
    <w:rsid w:val="0039742C"/>
    <w:rsid w:val="003974E3"/>
    <w:rsid w:val="0039755D"/>
    <w:rsid w:val="003975A3"/>
    <w:rsid w:val="003975D7"/>
    <w:rsid w:val="00397742"/>
    <w:rsid w:val="003978CE"/>
    <w:rsid w:val="003978FD"/>
    <w:rsid w:val="003979A5"/>
    <w:rsid w:val="00397BD9"/>
    <w:rsid w:val="00397C48"/>
    <w:rsid w:val="00397CC9"/>
    <w:rsid w:val="00397F09"/>
    <w:rsid w:val="00397FD4"/>
    <w:rsid w:val="003A0279"/>
    <w:rsid w:val="003A03DD"/>
    <w:rsid w:val="003A0463"/>
    <w:rsid w:val="003A04B5"/>
    <w:rsid w:val="003A056D"/>
    <w:rsid w:val="003A0624"/>
    <w:rsid w:val="003A06DA"/>
    <w:rsid w:val="003A079F"/>
    <w:rsid w:val="003A07DF"/>
    <w:rsid w:val="003A0919"/>
    <w:rsid w:val="003A097F"/>
    <w:rsid w:val="003A09F5"/>
    <w:rsid w:val="003A0A06"/>
    <w:rsid w:val="003A0A14"/>
    <w:rsid w:val="003A0AD7"/>
    <w:rsid w:val="003A0AF1"/>
    <w:rsid w:val="003A0C80"/>
    <w:rsid w:val="003A0CAD"/>
    <w:rsid w:val="003A0CAF"/>
    <w:rsid w:val="003A0CCC"/>
    <w:rsid w:val="003A0D28"/>
    <w:rsid w:val="003A0EAC"/>
    <w:rsid w:val="003A0F48"/>
    <w:rsid w:val="003A106E"/>
    <w:rsid w:val="003A10C6"/>
    <w:rsid w:val="003A10F1"/>
    <w:rsid w:val="003A11DC"/>
    <w:rsid w:val="003A11EA"/>
    <w:rsid w:val="003A11FE"/>
    <w:rsid w:val="003A1249"/>
    <w:rsid w:val="003A12D2"/>
    <w:rsid w:val="003A1308"/>
    <w:rsid w:val="003A1400"/>
    <w:rsid w:val="003A1469"/>
    <w:rsid w:val="003A146D"/>
    <w:rsid w:val="003A146F"/>
    <w:rsid w:val="003A15DA"/>
    <w:rsid w:val="003A167B"/>
    <w:rsid w:val="003A170D"/>
    <w:rsid w:val="003A19ED"/>
    <w:rsid w:val="003A19F9"/>
    <w:rsid w:val="003A1A2D"/>
    <w:rsid w:val="003A1B18"/>
    <w:rsid w:val="003A1B35"/>
    <w:rsid w:val="003A1B46"/>
    <w:rsid w:val="003A1B59"/>
    <w:rsid w:val="003A1BAE"/>
    <w:rsid w:val="003A1E33"/>
    <w:rsid w:val="003A1E8D"/>
    <w:rsid w:val="003A1F23"/>
    <w:rsid w:val="003A1FD1"/>
    <w:rsid w:val="003A20A6"/>
    <w:rsid w:val="003A214C"/>
    <w:rsid w:val="003A21D8"/>
    <w:rsid w:val="003A2351"/>
    <w:rsid w:val="003A2383"/>
    <w:rsid w:val="003A249B"/>
    <w:rsid w:val="003A2598"/>
    <w:rsid w:val="003A2636"/>
    <w:rsid w:val="003A2826"/>
    <w:rsid w:val="003A297F"/>
    <w:rsid w:val="003A2A60"/>
    <w:rsid w:val="003A2BD1"/>
    <w:rsid w:val="003A2CDD"/>
    <w:rsid w:val="003A2CDF"/>
    <w:rsid w:val="003A2D40"/>
    <w:rsid w:val="003A2ECA"/>
    <w:rsid w:val="003A2F03"/>
    <w:rsid w:val="003A2F9D"/>
    <w:rsid w:val="003A2FF7"/>
    <w:rsid w:val="003A30AC"/>
    <w:rsid w:val="003A30C8"/>
    <w:rsid w:val="003A311C"/>
    <w:rsid w:val="003A323E"/>
    <w:rsid w:val="003A32F6"/>
    <w:rsid w:val="003A3306"/>
    <w:rsid w:val="003A33C5"/>
    <w:rsid w:val="003A359E"/>
    <w:rsid w:val="003A35F7"/>
    <w:rsid w:val="003A366C"/>
    <w:rsid w:val="003A36BD"/>
    <w:rsid w:val="003A3736"/>
    <w:rsid w:val="003A3860"/>
    <w:rsid w:val="003A39A2"/>
    <w:rsid w:val="003A39EA"/>
    <w:rsid w:val="003A3A9D"/>
    <w:rsid w:val="003A3C0E"/>
    <w:rsid w:val="003A3CA8"/>
    <w:rsid w:val="003A3DB9"/>
    <w:rsid w:val="003A3F55"/>
    <w:rsid w:val="003A3FDB"/>
    <w:rsid w:val="003A4214"/>
    <w:rsid w:val="003A42A8"/>
    <w:rsid w:val="003A4307"/>
    <w:rsid w:val="003A437B"/>
    <w:rsid w:val="003A4381"/>
    <w:rsid w:val="003A44EA"/>
    <w:rsid w:val="003A450A"/>
    <w:rsid w:val="003A453C"/>
    <w:rsid w:val="003A458E"/>
    <w:rsid w:val="003A469D"/>
    <w:rsid w:val="003A46F9"/>
    <w:rsid w:val="003A472A"/>
    <w:rsid w:val="003A49C5"/>
    <w:rsid w:val="003A4A84"/>
    <w:rsid w:val="003A4AD4"/>
    <w:rsid w:val="003A4C0B"/>
    <w:rsid w:val="003A4D57"/>
    <w:rsid w:val="003A4DAD"/>
    <w:rsid w:val="003A4DB2"/>
    <w:rsid w:val="003A4DD1"/>
    <w:rsid w:val="003A4DEE"/>
    <w:rsid w:val="003A4E0A"/>
    <w:rsid w:val="003A4E95"/>
    <w:rsid w:val="003A4EE6"/>
    <w:rsid w:val="003A4F55"/>
    <w:rsid w:val="003A4F9C"/>
    <w:rsid w:val="003A501A"/>
    <w:rsid w:val="003A5050"/>
    <w:rsid w:val="003A534E"/>
    <w:rsid w:val="003A53ED"/>
    <w:rsid w:val="003A549E"/>
    <w:rsid w:val="003A54B5"/>
    <w:rsid w:val="003A5615"/>
    <w:rsid w:val="003A564A"/>
    <w:rsid w:val="003A56A1"/>
    <w:rsid w:val="003A56F3"/>
    <w:rsid w:val="003A575F"/>
    <w:rsid w:val="003A58DB"/>
    <w:rsid w:val="003A59D4"/>
    <w:rsid w:val="003A59DD"/>
    <w:rsid w:val="003A5B35"/>
    <w:rsid w:val="003A5BC7"/>
    <w:rsid w:val="003A5C88"/>
    <w:rsid w:val="003A5CBC"/>
    <w:rsid w:val="003A5D11"/>
    <w:rsid w:val="003A5DE2"/>
    <w:rsid w:val="003A5E1A"/>
    <w:rsid w:val="003A5EEE"/>
    <w:rsid w:val="003A604E"/>
    <w:rsid w:val="003A61E3"/>
    <w:rsid w:val="003A6327"/>
    <w:rsid w:val="003A63D5"/>
    <w:rsid w:val="003A6492"/>
    <w:rsid w:val="003A649B"/>
    <w:rsid w:val="003A64AB"/>
    <w:rsid w:val="003A64ED"/>
    <w:rsid w:val="003A64F7"/>
    <w:rsid w:val="003A654E"/>
    <w:rsid w:val="003A6550"/>
    <w:rsid w:val="003A65B5"/>
    <w:rsid w:val="003A67D1"/>
    <w:rsid w:val="003A67EB"/>
    <w:rsid w:val="003A6B60"/>
    <w:rsid w:val="003A6B86"/>
    <w:rsid w:val="003A6C35"/>
    <w:rsid w:val="003A6C81"/>
    <w:rsid w:val="003A6C98"/>
    <w:rsid w:val="003A6CA3"/>
    <w:rsid w:val="003A6D5B"/>
    <w:rsid w:val="003A6D88"/>
    <w:rsid w:val="003A6DA4"/>
    <w:rsid w:val="003A6E25"/>
    <w:rsid w:val="003A7048"/>
    <w:rsid w:val="003A7166"/>
    <w:rsid w:val="003A71A7"/>
    <w:rsid w:val="003A725B"/>
    <w:rsid w:val="003A72A0"/>
    <w:rsid w:val="003A72FD"/>
    <w:rsid w:val="003A748F"/>
    <w:rsid w:val="003A7538"/>
    <w:rsid w:val="003A75BF"/>
    <w:rsid w:val="003A76EB"/>
    <w:rsid w:val="003A7781"/>
    <w:rsid w:val="003A77B4"/>
    <w:rsid w:val="003A77EA"/>
    <w:rsid w:val="003A78A9"/>
    <w:rsid w:val="003A7B04"/>
    <w:rsid w:val="003A7BB9"/>
    <w:rsid w:val="003A7C50"/>
    <w:rsid w:val="003A7CD6"/>
    <w:rsid w:val="003A7E95"/>
    <w:rsid w:val="003A7F83"/>
    <w:rsid w:val="003B0132"/>
    <w:rsid w:val="003B0192"/>
    <w:rsid w:val="003B01EF"/>
    <w:rsid w:val="003B025F"/>
    <w:rsid w:val="003B02A6"/>
    <w:rsid w:val="003B0301"/>
    <w:rsid w:val="003B0344"/>
    <w:rsid w:val="003B038B"/>
    <w:rsid w:val="003B03BB"/>
    <w:rsid w:val="003B0427"/>
    <w:rsid w:val="003B04AA"/>
    <w:rsid w:val="003B05C2"/>
    <w:rsid w:val="003B0642"/>
    <w:rsid w:val="003B06AA"/>
    <w:rsid w:val="003B0713"/>
    <w:rsid w:val="003B076C"/>
    <w:rsid w:val="003B07BC"/>
    <w:rsid w:val="003B07DA"/>
    <w:rsid w:val="003B0821"/>
    <w:rsid w:val="003B085E"/>
    <w:rsid w:val="003B087B"/>
    <w:rsid w:val="003B0A13"/>
    <w:rsid w:val="003B0A72"/>
    <w:rsid w:val="003B0BA3"/>
    <w:rsid w:val="003B0BA7"/>
    <w:rsid w:val="003B0C03"/>
    <w:rsid w:val="003B0C63"/>
    <w:rsid w:val="003B0C87"/>
    <w:rsid w:val="003B0D56"/>
    <w:rsid w:val="003B0DF6"/>
    <w:rsid w:val="003B0E47"/>
    <w:rsid w:val="003B0E93"/>
    <w:rsid w:val="003B0F8B"/>
    <w:rsid w:val="003B1082"/>
    <w:rsid w:val="003B10AB"/>
    <w:rsid w:val="003B1132"/>
    <w:rsid w:val="003B12F5"/>
    <w:rsid w:val="003B1341"/>
    <w:rsid w:val="003B14F6"/>
    <w:rsid w:val="003B1657"/>
    <w:rsid w:val="003B16A1"/>
    <w:rsid w:val="003B16E3"/>
    <w:rsid w:val="003B17BB"/>
    <w:rsid w:val="003B1826"/>
    <w:rsid w:val="003B19B0"/>
    <w:rsid w:val="003B19DE"/>
    <w:rsid w:val="003B1AB2"/>
    <w:rsid w:val="003B1B1F"/>
    <w:rsid w:val="003B1B91"/>
    <w:rsid w:val="003B1D26"/>
    <w:rsid w:val="003B1E4C"/>
    <w:rsid w:val="003B2005"/>
    <w:rsid w:val="003B2085"/>
    <w:rsid w:val="003B2163"/>
    <w:rsid w:val="003B21AE"/>
    <w:rsid w:val="003B21B2"/>
    <w:rsid w:val="003B22A1"/>
    <w:rsid w:val="003B2301"/>
    <w:rsid w:val="003B2316"/>
    <w:rsid w:val="003B2340"/>
    <w:rsid w:val="003B234B"/>
    <w:rsid w:val="003B23DD"/>
    <w:rsid w:val="003B24B8"/>
    <w:rsid w:val="003B24CF"/>
    <w:rsid w:val="003B25EB"/>
    <w:rsid w:val="003B2866"/>
    <w:rsid w:val="003B2A52"/>
    <w:rsid w:val="003B2ACE"/>
    <w:rsid w:val="003B2B31"/>
    <w:rsid w:val="003B2BF6"/>
    <w:rsid w:val="003B2C1E"/>
    <w:rsid w:val="003B2C56"/>
    <w:rsid w:val="003B2E4C"/>
    <w:rsid w:val="003B2E7E"/>
    <w:rsid w:val="003B2FB3"/>
    <w:rsid w:val="003B3133"/>
    <w:rsid w:val="003B328C"/>
    <w:rsid w:val="003B328D"/>
    <w:rsid w:val="003B3347"/>
    <w:rsid w:val="003B34FC"/>
    <w:rsid w:val="003B35E1"/>
    <w:rsid w:val="003B3629"/>
    <w:rsid w:val="003B3684"/>
    <w:rsid w:val="003B3696"/>
    <w:rsid w:val="003B3767"/>
    <w:rsid w:val="003B37AA"/>
    <w:rsid w:val="003B3824"/>
    <w:rsid w:val="003B38EE"/>
    <w:rsid w:val="003B3917"/>
    <w:rsid w:val="003B391E"/>
    <w:rsid w:val="003B3A9A"/>
    <w:rsid w:val="003B3AA1"/>
    <w:rsid w:val="003B3B1D"/>
    <w:rsid w:val="003B3B31"/>
    <w:rsid w:val="003B3B9A"/>
    <w:rsid w:val="003B3BAA"/>
    <w:rsid w:val="003B3BCD"/>
    <w:rsid w:val="003B3CE7"/>
    <w:rsid w:val="003B3D06"/>
    <w:rsid w:val="003B3D45"/>
    <w:rsid w:val="003B3E43"/>
    <w:rsid w:val="003B3F6C"/>
    <w:rsid w:val="003B3F8E"/>
    <w:rsid w:val="003B3FE4"/>
    <w:rsid w:val="003B4053"/>
    <w:rsid w:val="003B4099"/>
    <w:rsid w:val="003B40F2"/>
    <w:rsid w:val="003B412F"/>
    <w:rsid w:val="003B435B"/>
    <w:rsid w:val="003B438C"/>
    <w:rsid w:val="003B43A2"/>
    <w:rsid w:val="003B448B"/>
    <w:rsid w:val="003B45D1"/>
    <w:rsid w:val="003B46B5"/>
    <w:rsid w:val="003B46D8"/>
    <w:rsid w:val="003B48DC"/>
    <w:rsid w:val="003B49B9"/>
    <w:rsid w:val="003B49E2"/>
    <w:rsid w:val="003B49F6"/>
    <w:rsid w:val="003B4A73"/>
    <w:rsid w:val="003B4A8A"/>
    <w:rsid w:val="003B4B23"/>
    <w:rsid w:val="003B4DB6"/>
    <w:rsid w:val="003B4E4E"/>
    <w:rsid w:val="003B4E74"/>
    <w:rsid w:val="003B4F68"/>
    <w:rsid w:val="003B50F0"/>
    <w:rsid w:val="003B51F1"/>
    <w:rsid w:val="003B5200"/>
    <w:rsid w:val="003B54B4"/>
    <w:rsid w:val="003B5540"/>
    <w:rsid w:val="003B5547"/>
    <w:rsid w:val="003B5556"/>
    <w:rsid w:val="003B5691"/>
    <w:rsid w:val="003B5724"/>
    <w:rsid w:val="003B5CD7"/>
    <w:rsid w:val="003B5D4A"/>
    <w:rsid w:val="003B5D62"/>
    <w:rsid w:val="003B5E0B"/>
    <w:rsid w:val="003B5E2A"/>
    <w:rsid w:val="003B5FDA"/>
    <w:rsid w:val="003B64DA"/>
    <w:rsid w:val="003B653D"/>
    <w:rsid w:val="003B6583"/>
    <w:rsid w:val="003B6598"/>
    <w:rsid w:val="003B6626"/>
    <w:rsid w:val="003B6633"/>
    <w:rsid w:val="003B670E"/>
    <w:rsid w:val="003B67B6"/>
    <w:rsid w:val="003B67CC"/>
    <w:rsid w:val="003B688E"/>
    <w:rsid w:val="003B69AB"/>
    <w:rsid w:val="003B69BF"/>
    <w:rsid w:val="003B6A31"/>
    <w:rsid w:val="003B6A8D"/>
    <w:rsid w:val="003B6AB9"/>
    <w:rsid w:val="003B6AC0"/>
    <w:rsid w:val="003B6B49"/>
    <w:rsid w:val="003B6B71"/>
    <w:rsid w:val="003B6B8E"/>
    <w:rsid w:val="003B6B9E"/>
    <w:rsid w:val="003B6C56"/>
    <w:rsid w:val="003B6DBB"/>
    <w:rsid w:val="003B6F23"/>
    <w:rsid w:val="003B6F3F"/>
    <w:rsid w:val="003B7037"/>
    <w:rsid w:val="003B706D"/>
    <w:rsid w:val="003B70C8"/>
    <w:rsid w:val="003B72F3"/>
    <w:rsid w:val="003B7302"/>
    <w:rsid w:val="003B737E"/>
    <w:rsid w:val="003B74BC"/>
    <w:rsid w:val="003B7527"/>
    <w:rsid w:val="003B75E2"/>
    <w:rsid w:val="003B76E9"/>
    <w:rsid w:val="003B778C"/>
    <w:rsid w:val="003B77B9"/>
    <w:rsid w:val="003B785C"/>
    <w:rsid w:val="003B78D8"/>
    <w:rsid w:val="003B79B5"/>
    <w:rsid w:val="003B7A54"/>
    <w:rsid w:val="003B7AE0"/>
    <w:rsid w:val="003B7AE8"/>
    <w:rsid w:val="003B7B2B"/>
    <w:rsid w:val="003B7B45"/>
    <w:rsid w:val="003B7BC2"/>
    <w:rsid w:val="003B7C24"/>
    <w:rsid w:val="003B7D17"/>
    <w:rsid w:val="003B7D4F"/>
    <w:rsid w:val="003B7DF9"/>
    <w:rsid w:val="003B7E76"/>
    <w:rsid w:val="003B7F65"/>
    <w:rsid w:val="003BCBCE"/>
    <w:rsid w:val="003C00F3"/>
    <w:rsid w:val="003C0153"/>
    <w:rsid w:val="003C02CD"/>
    <w:rsid w:val="003C033D"/>
    <w:rsid w:val="003C049C"/>
    <w:rsid w:val="003C055C"/>
    <w:rsid w:val="003C05E8"/>
    <w:rsid w:val="003C0602"/>
    <w:rsid w:val="003C0902"/>
    <w:rsid w:val="003C09EC"/>
    <w:rsid w:val="003C0ACF"/>
    <w:rsid w:val="003C0B86"/>
    <w:rsid w:val="003C0C0E"/>
    <w:rsid w:val="003C0C81"/>
    <w:rsid w:val="003C0EA4"/>
    <w:rsid w:val="003C0FA6"/>
    <w:rsid w:val="003C10B0"/>
    <w:rsid w:val="003C1183"/>
    <w:rsid w:val="003C12A6"/>
    <w:rsid w:val="003C12F8"/>
    <w:rsid w:val="003C1303"/>
    <w:rsid w:val="003C1342"/>
    <w:rsid w:val="003C1396"/>
    <w:rsid w:val="003C13E7"/>
    <w:rsid w:val="003C140D"/>
    <w:rsid w:val="003C14D5"/>
    <w:rsid w:val="003C1597"/>
    <w:rsid w:val="003C15DC"/>
    <w:rsid w:val="003C16B5"/>
    <w:rsid w:val="003C18F1"/>
    <w:rsid w:val="003C1A0A"/>
    <w:rsid w:val="003C1ABD"/>
    <w:rsid w:val="003C1B7C"/>
    <w:rsid w:val="003C1C10"/>
    <w:rsid w:val="003C1C59"/>
    <w:rsid w:val="003C1CE9"/>
    <w:rsid w:val="003C1CFC"/>
    <w:rsid w:val="003C1D1C"/>
    <w:rsid w:val="003C1D26"/>
    <w:rsid w:val="003C1D36"/>
    <w:rsid w:val="003C1E7D"/>
    <w:rsid w:val="003C1EAE"/>
    <w:rsid w:val="003C1FB8"/>
    <w:rsid w:val="003C2038"/>
    <w:rsid w:val="003C2057"/>
    <w:rsid w:val="003C21B3"/>
    <w:rsid w:val="003C226F"/>
    <w:rsid w:val="003C2359"/>
    <w:rsid w:val="003C2733"/>
    <w:rsid w:val="003C2826"/>
    <w:rsid w:val="003C286F"/>
    <w:rsid w:val="003C2A4D"/>
    <w:rsid w:val="003C2AEC"/>
    <w:rsid w:val="003C2C94"/>
    <w:rsid w:val="003C2D2F"/>
    <w:rsid w:val="003C2DAB"/>
    <w:rsid w:val="003C2DC4"/>
    <w:rsid w:val="003C2E86"/>
    <w:rsid w:val="003C2EA4"/>
    <w:rsid w:val="003C2EEB"/>
    <w:rsid w:val="003C2F1E"/>
    <w:rsid w:val="003C3010"/>
    <w:rsid w:val="003C3029"/>
    <w:rsid w:val="003C31E1"/>
    <w:rsid w:val="003C3222"/>
    <w:rsid w:val="003C32B0"/>
    <w:rsid w:val="003C33B5"/>
    <w:rsid w:val="003C3443"/>
    <w:rsid w:val="003C3474"/>
    <w:rsid w:val="003C3512"/>
    <w:rsid w:val="003C3636"/>
    <w:rsid w:val="003C370A"/>
    <w:rsid w:val="003C3800"/>
    <w:rsid w:val="003C3AC8"/>
    <w:rsid w:val="003C3B6F"/>
    <w:rsid w:val="003C3B85"/>
    <w:rsid w:val="003C3BD5"/>
    <w:rsid w:val="003C3CA9"/>
    <w:rsid w:val="003C3E2B"/>
    <w:rsid w:val="003C405B"/>
    <w:rsid w:val="003C4318"/>
    <w:rsid w:val="003C435B"/>
    <w:rsid w:val="003C4379"/>
    <w:rsid w:val="003C466A"/>
    <w:rsid w:val="003C46CF"/>
    <w:rsid w:val="003C477A"/>
    <w:rsid w:val="003C47E5"/>
    <w:rsid w:val="003C486F"/>
    <w:rsid w:val="003C4875"/>
    <w:rsid w:val="003C495B"/>
    <w:rsid w:val="003C4A35"/>
    <w:rsid w:val="003C4AE2"/>
    <w:rsid w:val="003C4AF7"/>
    <w:rsid w:val="003C4CE9"/>
    <w:rsid w:val="003C4E65"/>
    <w:rsid w:val="003C4EB0"/>
    <w:rsid w:val="003C4F90"/>
    <w:rsid w:val="003C5149"/>
    <w:rsid w:val="003C51E6"/>
    <w:rsid w:val="003C51FA"/>
    <w:rsid w:val="003C526A"/>
    <w:rsid w:val="003C532D"/>
    <w:rsid w:val="003C5550"/>
    <w:rsid w:val="003C5595"/>
    <w:rsid w:val="003C55BC"/>
    <w:rsid w:val="003C567D"/>
    <w:rsid w:val="003C5700"/>
    <w:rsid w:val="003C577C"/>
    <w:rsid w:val="003C57F9"/>
    <w:rsid w:val="003C580B"/>
    <w:rsid w:val="003C5869"/>
    <w:rsid w:val="003C58D5"/>
    <w:rsid w:val="003C58E8"/>
    <w:rsid w:val="003C59C8"/>
    <w:rsid w:val="003C59CF"/>
    <w:rsid w:val="003C5AE7"/>
    <w:rsid w:val="003C5B22"/>
    <w:rsid w:val="003C5C32"/>
    <w:rsid w:val="003C5D8E"/>
    <w:rsid w:val="003C5F00"/>
    <w:rsid w:val="003C5FB8"/>
    <w:rsid w:val="003C608F"/>
    <w:rsid w:val="003C61F8"/>
    <w:rsid w:val="003C6358"/>
    <w:rsid w:val="003C6365"/>
    <w:rsid w:val="003C6432"/>
    <w:rsid w:val="003C6471"/>
    <w:rsid w:val="003C6631"/>
    <w:rsid w:val="003C6675"/>
    <w:rsid w:val="003C68C8"/>
    <w:rsid w:val="003C6950"/>
    <w:rsid w:val="003C69EB"/>
    <w:rsid w:val="003C6AD5"/>
    <w:rsid w:val="003C6C6D"/>
    <w:rsid w:val="003C6CC6"/>
    <w:rsid w:val="003C6CE8"/>
    <w:rsid w:val="003C6D5F"/>
    <w:rsid w:val="003C6DF4"/>
    <w:rsid w:val="003C6E02"/>
    <w:rsid w:val="003C6E93"/>
    <w:rsid w:val="003C7032"/>
    <w:rsid w:val="003C709C"/>
    <w:rsid w:val="003C70DE"/>
    <w:rsid w:val="003C713C"/>
    <w:rsid w:val="003C7184"/>
    <w:rsid w:val="003C71A8"/>
    <w:rsid w:val="003C7253"/>
    <w:rsid w:val="003C7329"/>
    <w:rsid w:val="003C73C2"/>
    <w:rsid w:val="003C7448"/>
    <w:rsid w:val="003C7449"/>
    <w:rsid w:val="003C7483"/>
    <w:rsid w:val="003C754A"/>
    <w:rsid w:val="003C7579"/>
    <w:rsid w:val="003C7598"/>
    <w:rsid w:val="003C7799"/>
    <w:rsid w:val="003C77AB"/>
    <w:rsid w:val="003C78AE"/>
    <w:rsid w:val="003C78D1"/>
    <w:rsid w:val="003C7970"/>
    <w:rsid w:val="003C7ABA"/>
    <w:rsid w:val="003C7AF2"/>
    <w:rsid w:val="003C7B22"/>
    <w:rsid w:val="003C7CD5"/>
    <w:rsid w:val="003C7ECE"/>
    <w:rsid w:val="003C7F2D"/>
    <w:rsid w:val="003C7F56"/>
    <w:rsid w:val="003C7FC4"/>
    <w:rsid w:val="003D0010"/>
    <w:rsid w:val="003D011A"/>
    <w:rsid w:val="003D0158"/>
    <w:rsid w:val="003D0212"/>
    <w:rsid w:val="003D02B5"/>
    <w:rsid w:val="003D03C4"/>
    <w:rsid w:val="003D03D9"/>
    <w:rsid w:val="003D03EC"/>
    <w:rsid w:val="003D0543"/>
    <w:rsid w:val="003D05CA"/>
    <w:rsid w:val="003D05DF"/>
    <w:rsid w:val="003D070A"/>
    <w:rsid w:val="003D093F"/>
    <w:rsid w:val="003D0A14"/>
    <w:rsid w:val="003D0A6E"/>
    <w:rsid w:val="003D0B46"/>
    <w:rsid w:val="003D0BA2"/>
    <w:rsid w:val="003D0DB2"/>
    <w:rsid w:val="003D0DCC"/>
    <w:rsid w:val="003D0E55"/>
    <w:rsid w:val="003D0EEF"/>
    <w:rsid w:val="003D10AB"/>
    <w:rsid w:val="003D10CC"/>
    <w:rsid w:val="003D12E2"/>
    <w:rsid w:val="003D1335"/>
    <w:rsid w:val="003D1370"/>
    <w:rsid w:val="003D13A7"/>
    <w:rsid w:val="003D143B"/>
    <w:rsid w:val="003D144F"/>
    <w:rsid w:val="003D148D"/>
    <w:rsid w:val="003D14D2"/>
    <w:rsid w:val="003D14DF"/>
    <w:rsid w:val="003D185C"/>
    <w:rsid w:val="003D1928"/>
    <w:rsid w:val="003D1A24"/>
    <w:rsid w:val="003D1B99"/>
    <w:rsid w:val="003D1C16"/>
    <w:rsid w:val="003D1CB9"/>
    <w:rsid w:val="003D1D70"/>
    <w:rsid w:val="003D1E67"/>
    <w:rsid w:val="003D1E9A"/>
    <w:rsid w:val="003D205D"/>
    <w:rsid w:val="003D21A1"/>
    <w:rsid w:val="003D21E1"/>
    <w:rsid w:val="003D2281"/>
    <w:rsid w:val="003D239D"/>
    <w:rsid w:val="003D23C3"/>
    <w:rsid w:val="003D244E"/>
    <w:rsid w:val="003D2538"/>
    <w:rsid w:val="003D254A"/>
    <w:rsid w:val="003D2584"/>
    <w:rsid w:val="003D2645"/>
    <w:rsid w:val="003D2712"/>
    <w:rsid w:val="003D2824"/>
    <w:rsid w:val="003D282A"/>
    <w:rsid w:val="003D28C6"/>
    <w:rsid w:val="003D295F"/>
    <w:rsid w:val="003D296F"/>
    <w:rsid w:val="003D2B92"/>
    <w:rsid w:val="003D2BAF"/>
    <w:rsid w:val="003D2C5E"/>
    <w:rsid w:val="003D2CD8"/>
    <w:rsid w:val="003D2CFE"/>
    <w:rsid w:val="003D2E7C"/>
    <w:rsid w:val="003D2EB0"/>
    <w:rsid w:val="003D31C1"/>
    <w:rsid w:val="003D31C3"/>
    <w:rsid w:val="003D32CF"/>
    <w:rsid w:val="003D3319"/>
    <w:rsid w:val="003D3443"/>
    <w:rsid w:val="003D3459"/>
    <w:rsid w:val="003D349A"/>
    <w:rsid w:val="003D3568"/>
    <w:rsid w:val="003D35E5"/>
    <w:rsid w:val="003D371E"/>
    <w:rsid w:val="003D37BF"/>
    <w:rsid w:val="003D381D"/>
    <w:rsid w:val="003D3844"/>
    <w:rsid w:val="003D3864"/>
    <w:rsid w:val="003D38E5"/>
    <w:rsid w:val="003D3AEC"/>
    <w:rsid w:val="003D3B61"/>
    <w:rsid w:val="003D3BCD"/>
    <w:rsid w:val="003D3C9B"/>
    <w:rsid w:val="003D406E"/>
    <w:rsid w:val="003D411E"/>
    <w:rsid w:val="003D4131"/>
    <w:rsid w:val="003D4186"/>
    <w:rsid w:val="003D41B6"/>
    <w:rsid w:val="003D437C"/>
    <w:rsid w:val="003D43AA"/>
    <w:rsid w:val="003D4502"/>
    <w:rsid w:val="003D453B"/>
    <w:rsid w:val="003D4551"/>
    <w:rsid w:val="003D4683"/>
    <w:rsid w:val="003D468D"/>
    <w:rsid w:val="003D46BE"/>
    <w:rsid w:val="003D4848"/>
    <w:rsid w:val="003D4916"/>
    <w:rsid w:val="003D49B4"/>
    <w:rsid w:val="003D49BE"/>
    <w:rsid w:val="003D4AE9"/>
    <w:rsid w:val="003D4B13"/>
    <w:rsid w:val="003D4BDC"/>
    <w:rsid w:val="003D4CDD"/>
    <w:rsid w:val="003D4D52"/>
    <w:rsid w:val="003D4EBB"/>
    <w:rsid w:val="003D4F2E"/>
    <w:rsid w:val="003D4F73"/>
    <w:rsid w:val="003D50B9"/>
    <w:rsid w:val="003D516E"/>
    <w:rsid w:val="003D51E3"/>
    <w:rsid w:val="003D53FD"/>
    <w:rsid w:val="003D54F2"/>
    <w:rsid w:val="003D556F"/>
    <w:rsid w:val="003D5699"/>
    <w:rsid w:val="003D5701"/>
    <w:rsid w:val="003D57E8"/>
    <w:rsid w:val="003D58A3"/>
    <w:rsid w:val="003D58FD"/>
    <w:rsid w:val="003D5994"/>
    <w:rsid w:val="003D5A67"/>
    <w:rsid w:val="003D5AF1"/>
    <w:rsid w:val="003D5AF8"/>
    <w:rsid w:val="003D5B16"/>
    <w:rsid w:val="003D5B25"/>
    <w:rsid w:val="003D5B7F"/>
    <w:rsid w:val="003D5CC3"/>
    <w:rsid w:val="003D5CC9"/>
    <w:rsid w:val="003D5DCB"/>
    <w:rsid w:val="003D5E02"/>
    <w:rsid w:val="003D5ED1"/>
    <w:rsid w:val="003D5F80"/>
    <w:rsid w:val="003D6108"/>
    <w:rsid w:val="003D6137"/>
    <w:rsid w:val="003D616F"/>
    <w:rsid w:val="003D617B"/>
    <w:rsid w:val="003D6223"/>
    <w:rsid w:val="003D622D"/>
    <w:rsid w:val="003D6256"/>
    <w:rsid w:val="003D6268"/>
    <w:rsid w:val="003D6292"/>
    <w:rsid w:val="003D62C8"/>
    <w:rsid w:val="003D649F"/>
    <w:rsid w:val="003D6676"/>
    <w:rsid w:val="003D6709"/>
    <w:rsid w:val="003D6734"/>
    <w:rsid w:val="003D691F"/>
    <w:rsid w:val="003D6927"/>
    <w:rsid w:val="003D6AA2"/>
    <w:rsid w:val="003D6AD9"/>
    <w:rsid w:val="003D6B0C"/>
    <w:rsid w:val="003D6B14"/>
    <w:rsid w:val="003D6B38"/>
    <w:rsid w:val="003D6B46"/>
    <w:rsid w:val="003D6B4E"/>
    <w:rsid w:val="003D6BA0"/>
    <w:rsid w:val="003D6BA7"/>
    <w:rsid w:val="003D6D62"/>
    <w:rsid w:val="003D6E0C"/>
    <w:rsid w:val="003D6E94"/>
    <w:rsid w:val="003D6F20"/>
    <w:rsid w:val="003D7006"/>
    <w:rsid w:val="003D7011"/>
    <w:rsid w:val="003D7086"/>
    <w:rsid w:val="003D71DF"/>
    <w:rsid w:val="003D721F"/>
    <w:rsid w:val="003D7346"/>
    <w:rsid w:val="003D743D"/>
    <w:rsid w:val="003D75D1"/>
    <w:rsid w:val="003D7604"/>
    <w:rsid w:val="003D76E8"/>
    <w:rsid w:val="003D7791"/>
    <w:rsid w:val="003D77EB"/>
    <w:rsid w:val="003D789F"/>
    <w:rsid w:val="003D79DF"/>
    <w:rsid w:val="003D7C0A"/>
    <w:rsid w:val="003D7C1B"/>
    <w:rsid w:val="003D7DCA"/>
    <w:rsid w:val="003D7DCD"/>
    <w:rsid w:val="003D7DEA"/>
    <w:rsid w:val="003D7E14"/>
    <w:rsid w:val="003D7F80"/>
    <w:rsid w:val="003E001B"/>
    <w:rsid w:val="003E00BC"/>
    <w:rsid w:val="003E01E9"/>
    <w:rsid w:val="003E0240"/>
    <w:rsid w:val="003E025D"/>
    <w:rsid w:val="003E0320"/>
    <w:rsid w:val="003E034D"/>
    <w:rsid w:val="003E0630"/>
    <w:rsid w:val="003E06CC"/>
    <w:rsid w:val="003E0895"/>
    <w:rsid w:val="003E0995"/>
    <w:rsid w:val="003E09BA"/>
    <w:rsid w:val="003E09DD"/>
    <w:rsid w:val="003E0A4A"/>
    <w:rsid w:val="003E0AF8"/>
    <w:rsid w:val="003E0B49"/>
    <w:rsid w:val="003E0B92"/>
    <w:rsid w:val="003E0C10"/>
    <w:rsid w:val="003E0CC5"/>
    <w:rsid w:val="003E0FB0"/>
    <w:rsid w:val="003E0FFF"/>
    <w:rsid w:val="003E1088"/>
    <w:rsid w:val="003E110B"/>
    <w:rsid w:val="003E111F"/>
    <w:rsid w:val="003E1149"/>
    <w:rsid w:val="003E1343"/>
    <w:rsid w:val="003E1527"/>
    <w:rsid w:val="003E165F"/>
    <w:rsid w:val="003E17E7"/>
    <w:rsid w:val="003E1815"/>
    <w:rsid w:val="003E198A"/>
    <w:rsid w:val="003E1B2B"/>
    <w:rsid w:val="003E1B44"/>
    <w:rsid w:val="003E1BED"/>
    <w:rsid w:val="003E1C9A"/>
    <w:rsid w:val="003E1CD3"/>
    <w:rsid w:val="003E1CF9"/>
    <w:rsid w:val="003E1D7F"/>
    <w:rsid w:val="003E1DEF"/>
    <w:rsid w:val="003E1E3B"/>
    <w:rsid w:val="003E1F5C"/>
    <w:rsid w:val="003E1FBB"/>
    <w:rsid w:val="003E201D"/>
    <w:rsid w:val="003E2189"/>
    <w:rsid w:val="003E2298"/>
    <w:rsid w:val="003E22BD"/>
    <w:rsid w:val="003E22D2"/>
    <w:rsid w:val="003E24CB"/>
    <w:rsid w:val="003E24EF"/>
    <w:rsid w:val="003E25E7"/>
    <w:rsid w:val="003E2670"/>
    <w:rsid w:val="003E280D"/>
    <w:rsid w:val="003E286A"/>
    <w:rsid w:val="003E28F1"/>
    <w:rsid w:val="003E294B"/>
    <w:rsid w:val="003E295A"/>
    <w:rsid w:val="003E2A75"/>
    <w:rsid w:val="003E2AC9"/>
    <w:rsid w:val="003E2AE6"/>
    <w:rsid w:val="003E2AF3"/>
    <w:rsid w:val="003E2B5C"/>
    <w:rsid w:val="003E2BBB"/>
    <w:rsid w:val="003E2C1F"/>
    <w:rsid w:val="003E2D68"/>
    <w:rsid w:val="003E2F6F"/>
    <w:rsid w:val="003E2FA5"/>
    <w:rsid w:val="003E2FAB"/>
    <w:rsid w:val="003E2FFA"/>
    <w:rsid w:val="003E3001"/>
    <w:rsid w:val="003E30BF"/>
    <w:rsid w:val="003E30ED"/>
    <w:rsid w:val="003E314B"/>
    <w:rsid w:val="003E3188"/>
    <w:rsid w:val="003E33B7"/>
    <w:rsid w:val="003E33CA"/>
    <w:rsid w:val="003E3411"/>
    <w:rsid w:val="003E34D1"/>
    <w:rsid w:val="003E354E"/>
    <w:rsid w:val="003E357A"/>
    <w:rsid w:val="003E3585"/>
    <w:rsid w:val="003E361A"/>
    <w:rsid w:val="003E36DA"/>
    <w:rsid w:val="003E37D1"/>
    <w:rsid w:val="003E3960"/>
    <w:rsid w:val="003E3A16"/>
    <w:rsid w:val="003E3A56"/>
    <w:rsid w:val="003E3AAB"/>
    <w:rsid w:val="003E3BC1"/>
    <w:rsid w:val="003E3E5E"/>
    <w:rsid w:val="003E3EBC"/>
    <w:rsid w:val="003E3F8F"/>
    <w:rsid w:val="003E4048"/>
    <w:rsid w:val="003E41F5"/>
    <w:rsid w:val="003E4293"/>
    <w:rsid w:val="003E42B4"/>
    <w:rsid w:val="003E42DF"/>
    <w:rsid w:val="003E4352"/>
    <w:rsid w:val="003E45F4"/>
    <w:rsid w:val="003E4795"/>
    <w:rsid w:val="003E4869"/>
    <w:rsid w:val="003E48D1"/>
    <w:rsid w:val="003E49CD"/>
    <w:rsid w:val="003E49DD"/>
    <w:rsid w:val="003E4B1C"/>
    <w:rsid w:val="003E4B23"/>
    <w:rsid w:val="003E4B61"/>
    <w:rsid w:val="003E4C4A"/>
    <w:rsid w:val="003E4C5E"/>
    <w:rsid w:val="003E4CC0"/>
    <w:rsid w:val="003E4D1A"/>
    <w:rsid w:val="003E505A"/>
    <w:rsid w:val="003E50AF"/>
    <w:rsid w:val="003E522C"/>
    <w:rsid w:val="003E52B3"/>
    <w:rsid w:val="003E5335"/>
    <w:rsid w:val="003E53B0"/>
    <w:rsid w:val="003E5439"/>
    <w:rsid w:val="003E5455"/>
    <w:rsid w:val="003E566E"/>
    <w:rsid w:val="003E5691"/>
    <w:rsid w:val="003E5701"/>
    <w:rsid w:val="003E575A"/>
    <w:rsid w:val="003E58ED"/>
    <w:rsid w:val="003E5A37"/>
    <w:rsid w:val="003E5AA0"/>
    <w:rsid w:val="003E5B17"/>
    <w:rsid w:val="003E5B30"/>
    <w:rsid w:val="003E5B86"/>
    <w:rsid w:val="003E5BB0"/>
    <w:rsid w:val="003E5BF9"/>
    <w:rsid w:val="003E5C48"/>
    <w:rsid w:val="003E5E74"/>
    <w:rsid w:val="003E5EBA"/>
    <w:rsid w:val="003E5EF8"/>
    <w:rsid w:val="003E5F2C"/>
    <w:rsid w:val="003E5F44"/>
    <w:rsid w:val="003E5FB1"/>
    <w:rsid w:val="003E6067"/>
    <w:rsid w:val="003E615B"/>
    <w:rsid w:val="003E6288"/>
    <w:rsid w:val="003E641F"/>
    <w:rsid w:val="003E647C"/>
    <w:rsid w:val="003E65BD"/>
    <w:rsid w:val="003E65C1"/>
    <w:rsid w:val="003E667D"/>
    <w:rsid w:val="003E6803"/>
    <w:rsid w:val="003E6836"/>
    <w:rsid w:val="003E6842"/>
    <w:rsid w:val="003E6948"/>
    <w:rsid w:val="003E6986"/>
    <w:rsid w:val="003E6BEE"/>
    <w:rsid w:val="003E6C3E"/>
    <w:rsid w:val="003E6DAB"/>
    <w:rsid w:val="003E6E8D"/>
    <w:rsid w:val="003E6FF2"/>
    <w:rsid w:val="003E7088"/>
    <w:rsid w:val="003E70F9"/>
    <w:rsid w:val="003E7242"/>
    <w:rsid w:val="003E72C6"/>
    <w:rsid w:val="003E7327"/>
    <w:rsid w:val="003E7377"/>
    <w:rsid w:val="003E73A2"/>
    <w:rsid w:val="003E73C9"/>
    <w:rsid w:val="003E74C0"/>
    <w:rsid w:val="003E7514"/>
    <w:rsid w:val="003E75E0"/>
    <w:rsid w:val="003E7613"/>
    <w:rsid w:val="003E764A"/>
    <w:rsid w:val="003E7703"/>
    <w:rsid w:val="003E7877"/>
    <w:rsid w:val="003E78B2"/>
    <w:rsid w:val="003E78C8"/>
    <w:rsid w:val="003E78CF"/>
    <w:rsid w:val="003E79B5"/>
    <w:rsid w:val="003E7AE1"/>
    <w:rsid w:val="003E7B21"/>
    <w:rsid w:val="003E7C26"/>
    <w:rsid w:val="003E7D06"/>
    <w:rsid w:val="003E7DEA"/>
    <w:rsid w:val="003E7E1D"/>
    <w:rsid w:val="003E7E3A"/>
    <w:rsid w:val="003E7E63"/>
    <w:rsid w:val="003E7EC7"/>
    <w:rsid w:val="003E7ED1"/>
    <w:rsid w:val="003E7F5F"/>
    <w:rsid w:val="003E7F8C"/>
    <w:rsid w:val="003E7FDA"/>
    <w:rsid w:val="003E7FF6"/>
    <w:rsid w:val="003F009F"/>
    <w:rsid w:val="003F017F"/>
    <w:rsid w:val="003F0188"/>
    <w:rsid w:val="003F01D7"/>
    <w:rsid w:val="003F01E8"/>
    <w:rsid w:val="003F02C3"/>
    <w:rsid w:val="003F0352"/>
    <w:rsid w:val="003F0367"/>
    <w:rsid w:val="003F03C3"/>
    <w:rsid w:val="003F0401"/>
    <w:rsid w:val="003F04B2"/>
    <w:rsid w:val="003F04D4"/>
    <w:rsid w:val="003F0541"/>
    <w:rsid w:val="003F06B6"/>
    <w:rsid w:val="003F07EB"/>
    <w:rsid w:val="003F0808"/>
    <w:rsid w:val="003F08C7"/>
    <w:rsid w:val="003F0960"/>
    <w:rsid w:val="003F097D"/>
    <w:rsid w:val="003F0982"/>
    <w:rsid w:val="003F09E3"/>
    <w:rsid w:val="003F0A00"/>
    <w:rsid w:val="003F0A1A"/>
    <w:rsid w:val="003F0A97"/>
    <w:rsid w:val="003F0BD1"/>
    <w:rsid w:val="003F0D64"/>
    <w:rsid w:val="003F0D65"/>
    <w:rsid w:val="003F0DD4"/>
    <w:rsid w:val="003F0E03"/>
    <w:rsid w:val="003F0E8B"/>
    <w:rsid w:val="003F106A"/>
    <w:rsid w:val="003F1145"/>
    <w:rsid w:val="003F12F5"/>
    <w:rsid w:val="003F12F7"/>
    <w:rsid w:val="003F1336"/>
    <w:rsid w:val="003F1354"/>
    <w:rsid w:val="003F149D"/>
    <w:rsid w:val="003F14CD"/>
    <w:rsid w:val="003F14ED"/>
    <w:rsid w:val="003F1550"/>
    <w:rsid w:val="003F1578"/>
    <w:rsid w:val="003F15DB"/>
    <w:rsid w:val="003F164D"/>
    <w:rsid w:val="003F16CE"/>
    <w:rsid w:val="003F1731"/>
    <w:rsid w:val="003F175D"/>
    <w:rsid w:val="003F17F8"/>
    <w:rsid w:val="003F1814"/>
    <w:rsid w:val="003F1867"/>
    <w:rsid w:val="003F18BE"/>
    <w:rsid w:val="003F18CF"/>
    <w:rsid w:val="003F190E"/>
    <w:rsid w:val="003F19B8"/>
    <w:rsid w:val="003F1A00"/>
    <w:rsid w:val="003F1BB2"/>
    <w:rsid w:val="003F1BE2"/>
    <w:rsid w:val="003F1CAC"/>
    <w:rsid w:val="003F1D4C"/>
    <w:rsid w:val="003F1DDE"/>
    <w:rsid w:val="003F1E31"/>
    <w:rsid w:val="003F1E80"/>
    <w:rsid w:val="003F1FD4"/>
    <w:rsid w:val="003F200A"/>
    <w:rsid w:val="003F2087"/>
    <w:rsid w:val="003F209C"/>
    <w:rsid w:val="003F2109"/>
    <w:rsid w:val="003F213B"/>
    <w:rsid w:val="003F21A9"/>
    <w:rsid w:val="003F2284"/>
    <w:rsid w:val="003F22A5"/>
    <w:rsid w:val="003F2378"/>
    <w:rsid w:val="003F23F6"/>
    <w:rsid w:val="003F248F"/>
    <w:rsid w:val="003F250E"/>
    <w:rsid w:val="003F2558"/>
    <w:rsid w:val="003F2772"/>
    <w:rsid w:val="003F27A4"/>
    <w:rsid w:val="003F27CB"/>
    <w:rsid w:val="003F2801"/>
    <w:rsid w:val="003F290D"/>
    <w:rsid w:val="003F2A9E"/>
    <w:rsid w:val="003F2B3D"/>
    <w:rsid w:val="003F2E23"/>
    <w:rsid w:val="003F2E91"/>
    <w:rsid w:val="003F2EF5"/>
    <w:rsid w:val="003F2F3F"/>
    <w:rsid w:val="003F2F5B"/>
    <w:rsid w:val="003F3056"/>
    <w:rsid w:val="003F30C9"/>
    <w:rsid w:val="003F3239"/>
    <w:rsid w:val="003F33AA"/>
    <w:rsid w:val="003F3418"/>
    <w:rsid w:val="003F343E"/>
    <w:rsid w:val="003F34F3"/>
    <w:rsid w:val="003F3567"/>
    <w:rsid w:val="003F356B"/>
    <w:rsid w:val="003F3620"/>
    <w:rsid w:val="003F365D"/>
    <w:rsid w:val="003F3753"/>
    <w:rsid w:val="003F37E8"/>
    <w:rsid w:val="003F37FB"/>
    <w:rsid w:val="003F38BD"/>
    <w:rsid w:val="003F398E"/>
    <w:rsid w:val="003F398F"/>
    <w:rsid w:val="003F3B1D"/>
    <w:rsid w:val="003F3B22"/>
    <w:rsid w:val="003F3C3C"/>
    <w:rsid w:val="003F3C5D"/>
    <w:rsid w:val="003F3CCA"/>
    <w:rsid w:val="003F3FAC"/>
    <w:rsid w:val="003F3FD8"/>
    <w:rsid w:val="003F4064"/>
    <w:rsid w:val="003F40BF"/>
    <w:rsid w:val="003F4162"/>
    <w:rsid w:val="003F418B"/>
    <w:rsid w:val="003F4195"/>
    <w:rsid w:val="003F46C5"/>
    <w:rsid w:val="003F470C"/>
    <w:rsid w:val="003F495C"/>
    <w:rsid w:val="003F4A10"/>
    <w:rsid w:val="003F4B6D"/>
    <w:rsid w:val="003F4C32"/>
    <w:rsid w:val="003F4CA3"/>
    <w:rsid w:val="003F4F3B"/>
    <w:rsid w:val="003F4F53"/>
    <w:rsid w:val="003F4F8A"/>
    <w:rsid w:val="003F5055"/>
    <w:rsid w:val="003F51BB"/>
    <w:rsid w:val="003F5292"/>
    <w:rsid w:val="003F5312"/>
    <w:rsid w:val="003F5335"/>
    <w:rsid w:val="003F57D7"/>
    <w:rsid w:val="003F57FE"/>
    <w:rsid w:val="003F5800"/>
    <w:rsid w:val="003F59C4"/>
    <w:rsid w:val="003F59E8"/>
    <w:rsid w:val="003F5A90"/>
    <w:rsid w:val="003F5BC5"/>
    <w:rsid w:val="003F5BFF"/>
    <w:rsid w:val="003F5CFC"/>
    <w:rsid w:val="003F5D87"/>
    <w:rsid w:val="003F5DBF"/>
    <w:rsid w:val="003F5E58"/>
    <w:rsid w:val="003F5E59"/>
    <w:rsid w:val="003F5E84"/>
    <w:rsid w:val="003F5EFC"/>
    <w:rsid w:val="003F5F41"/>
    <w:rsid w:val="003F60CE"/>
    <w:rsid w:val="003F60DF"/>
    <w:rsid w:val="003F624E"/>
    <w:rsid w:val="003F6268"/>
    <w:rsid w:val="003F6372"/>
    <w:rsid w:val="003F6475"/>
    <w:rsid w:val="003F654F"/>
    <w:rsid w:val="003F6745"/>
    <w:rsid w:val="003F68CB"/>
    <w:rsid w:val="003F6B51"/>
    <w:rsid w:val="003F6E91"/>
    <w:rsid w:val="003F6EB6"/>
    <w:rsid w:val="003F6EEF"/>
    <w:rsid w:val="003F6EF6"/>
    <w:rsid w:val="003F6F8F"/>
    <w:rsid w:val="003F6FD2"/>
    <w:rsid w:val="003F701E"/>
    <w:rsid w:val="003F707C"/>
    <w:rsid w:val="003F721A"/>
    <w:rsid w:val="003F722F"/>
    <w:rsid w:val="003F7384"/>
    <w:rsid w:val="003F73C5"/>
    <w:rsid w:val="003F7410"/>
    <w:rsid w:val="003F7439"/>
    <w:rsid w:val="003F74C1"/>
    <w:rsid w:val="003F752D"/>
    <w:rsid w:val="003F7560"/>
    <w:rsid w:val="003F7577"/>
    <w:rsid w:val="003F75C8"/>
    <w:rsid w:val="003F7648"/>
    <w:rsid w:val="003F7699"/>
    <w:rsid w:val="003F7784"/>
    <w:rsid w:val="003F77F9"/>
    <w:rsid w:val="003F7B0B"/>
    <w:rsid w:val="003F7B75"/>
    <w:rsid w:val="003F7BF8"/>
    <w:rsid w:val="003F7CD5"/>
    <w:rsid w:val="003F7E02"/>
    <w:rsid w:val="003F7E05"/>
    <w:rsid w:val="003F7E5F"/>
    <w:rsid w:val="003F7EC6"/>
    <w:rsid w:val="003F7F80"/>
    <w:rsid w:val="003F7F8D"/>
    <w:rsid w:val="003F7F94"/>
    <w:rsid w:val="0040017A"/>
    <w:rsid w:val="004001E9"/>
    <w:rsid w:val="004002A5"/>
    <w:rsid w:val="004002D1"/>
    <w:rsid w:val="004004B7"/>
    <w:rsid w:val="00400596"/>
    <w:rsid w:val="00400637"/>
    <w:rsid w:val="004006A7"/>
    <w:rsid w:val="0040089B"/>
    <w:rsid w:val="004008B3"/>
    <w:rsid w:val="004009EF"/>
    <w:rsid w:val="00400A19"/>
    <w:rsid w:val="00400AAD"/>
    <w:rsid w:val="00400B27"/>
    <w:rsid w:val="00400B4B"/>
    <w:rsid w:val="00400B6A"/>
    <w:rsid w:val="00400BA3"/>
    <w:rsid w:val="00400BA7"/>
    <w:rsid w:val="00400BEC"/>
    <w:rsid w:val="00400C9C"/>
    <w:rsid w:val="00400D21"/>
    <w:rsid w:val="00400D82"/>
    <w:rsid w:val="00400D88"/>
    <w:rsid w:val="0040116A"/>
    <w:rsid w:val="00401182"/>
    <w:rsid w:val="004011E4"/>
    <w:rsid w:val="004011F3"/>
    <w:rsid w:val="0040127E"/>
    <w:rsid w:val="004012D9"/>
    <w:rsid w:val="004013BC"/>
    <w:rsid w:val="004013C9"/>
    <w:rsid w:val="00401465"/>
    <w:rsid w:val="00401480"/>
    <w:rsid w:val="00401525"/>
    <w:rsid w:val="00401658"/>
    <w:rsid w:val="004016A3"/>
    <w:rsid w:val="00401782"/>
    <w:rsid w:val="0040178A"/>
    <w:rsid w:val="00401807"/>
    <w:rsid w:val="00401849"/>
    <w:rsid w:val="00401855"/>
    <w:rsid w:val="0040198B"/>
    <w:rsid w:val="00401B33"/>
    <w:rsid w:val="00401BD6"/>
    <w:rsid w:val="00401C91"/>
    <w:rsid w:val="00401CC9"/>
    <w:rsid w:val="00401EBA"/>
    <w:rsid w:val="00401EF3"/>
    <w:rsid w:val="00401FCC"/>
    <w:rsid w:val="00401FF2"/>
    <w:rsid w:val="00402025"/>
    <w:rsid w:val="0040223C"/>
    <w:rsid w:val="00402243"/>
    <w:rsid w:val="0040225C"/>
    <w:rsid w:val="00402289"/>
    <w:rsid w:val="004022C0"/>
    <w:rsid w:val="004023AA"/>
    <w:rsid w:val="004023B4"/>
    <w:rsid w:val="004023C0"/>
    <w:rsid w:val="004023EC"/>
    <w:rsid w:val="00402427"/>
    <w:rsid w:val="00402791"/>
    <w:rsid w:val="0040297C"/>
    <w:rsid w:val="004029B5"/>
    <w:rsid w:val="004029F6"/>
    <w:rsid w:val="00402B22"/>
    <w:rsid w:val="00402B25"/>
    <w:rsid w:val="00402B2B"/>
    <w:rsid w:val="00402B5C"/>
    <w:rsid w:val="00402B6A"/>
    <w:rsid w:val="00402C5D"/>
    <w:rsid w:val="00402CBE"/>
    <w:rsid w:val="00402E2B"/>
    <w:rsid w:val="00402EA1"/>
    <w:rsid w:val="00403036"/>
    <w:rsid w:val="0040317C"/>
    <w:rsid w:val="00403194"/>
    <w:rsid w:val="00403256"/>
    <w:rsid w:val="0040341B"/>
    <w:rsid w:val="004035E9"/>
    <w:rsid w:val="00403611"/>
    <w:rsid w:val="00403617"/>
    <w:rsid w:val="004036F0"/>
    <w:rsid w:val="00403710"/>
    <w:rsid w:val="0040379B"/>
    <w:rsid w:val="00403802"/>
    <w:rsid w:val="0040384F"/>
    <w:rsid w:val="004038FB"/>
    <w:rsid w:val="004039DE"/>
    <w:rsid w:val="00403A83"/>
    <w:rsid w:val="00403B25"/>
    <w:rsid w:val="00403B39"/>
    <w:rsid w:val="00403D84"/>
    <w:rsid w:val="00403EBF"/>
    <w:rsid w:val="00403F5A"/>
    <w:rsid w:val="00404016"/>
    <w:rsid w:val="0040405B"/>
    <w:rsid w:val="004040D6"/>
    <w:rsid w:val="004041BC"/>
    <w:rsid w:val="00404260"/>
    <w:rsid w:val="0040437A"/>
    <w:rsid w:val="004043A2"/>
    <w:rsid w:val="0040456E"/>
    <w:rsid w:val="004046B0"/>
    <w:rsid w:val="004046B5"/>
    <w:rsid w:val="00404735"/>
    <w:rsid w:val="0040484E"/>
    <w:rsid w:val="004048D8"/>
    <w:rsid w:val="0040492E"/>
    <w:rsid w:val="00404A64"/>
    <w:rsid w:val="00404B87"/>
    <w:rsid w:val="00404BD4"/>
    <w:rsid w:val="00404CA8"/>
    <w:rsid w:val="00404D5B"/>
    <w:rsid w:val="00404E16"/>
    <w:rsid w:val="00404EF7"/>
    <w:rsid w:val="00405082"/>
    <w:rsid w:val="0040510E"/>
    <w:rsid w:val="004051CC"/>
    <w:rsid w:val="004052C9"/>
    <w:rsid w:val="0040542A"/>
    <w:rsid w:val="00405508"/>
    <w:rsid w:val="0040558B"/>
    <w:rsid w:val="004056CC"/>
    <w:rsid w:val="004057C5"/>
    <w:rsid w:val="004058C7"/>
    <w:rsid w:val="00405958"/>
    <w:rsid w:val="00405A6C"/>
    <w:rsid w:val="00405AF7"/>
    <w:rsid w:val="00405B01"/>
    <w:rsid w:val="00405B35"/>
    <w:rsid w:val="00405D1A"/>
    <w:rsid w:val="00405D4B"/>
    <w:rsid w:val="00405DC0"/>
    <w:rsid w:val="00405E7C"/>
    <w:rsid w:val="00405EB3"/>
    <w:rsid w:val="00405FF9"/>
    <w:rsid w:val="00406053"/>
    <w:rsid w:val="00406058"/>
    <w:rsid w:val="00406158"/>
    <w:rsid w:val="00406208"/>
    <w:rsid w:val="0040623A"/>
    <w:rsid w:val="0040624C"/>
    <w:rsid w:val="004062D2"/>
    <w:rsid w:val="00406351"/>
    <w:rsid w:val="004063D5"/>
    <w:rsid w:val="00406578"/>
    <w:rsid w:val="00406617"/>
    <w:rsid w:val="00406651"/>
    <w:rsid w:val="004067A4"/>
    <w:rsid w:val="0040684D"/>
    <w:rsid w:val="0040690A"/>
    <w:rsid w:val="00406937"/>
    <w:rsid w:val="00406AA6"/>
    <w:rsid w:val="00406BF7"/>
    <w:rsid w:val="00406C11"/>
    <w:rsid w:val="00406C7B"/>
    <w:rsid w:val="00406D39"/>
    <w:rsid w:val="00406D5B"/>
    <w:rsid w:val="00406DC3"/>
    <w:rsid w:val="00406E6E"/>
    <w:rsid w:val="00406F4E"/>
    <w:rsid w:val="0040701C"/>
    <w:rsid w:val="00407053"/>
    <w:rsid w:val="0040710A"/>
    <w:rsid w:val="004071F2"/>
    <w:rsid w:val="00407473"/>
    <w:rsid w:val="00407493"/>
    <w:rsid w:val="004074E8"/>
    <w:rsid w:val="00407802"/>
    <w:rsid w:val="004078BD"/>
    <w:rsid w:val="00407BCC"/>
    <w:rsid w:val="00407DC8"/>
    <w:rsid w:val="00407EFB"/>
    <w:rsid w:val="004102E5"/>
    <w:rsid w:val="00410300"/>
    <w:rsid w:val="004103B0"/>
    <w:rsid w:val="004103CE"/>
    <w:rsid w:val="004103FC"/>
    <w:rsid w:val="004104ED"/>
    <w:rsid w:val="00410512"/>
    <w:rsid w:val="004107AA"/>
    <w:rsid w:val="00410810"/>
    <w:rsid w:val="00410A00"/>
    <w:rsid w:val="00410A04"/>
    <w:rsid w:val="00410B53"/>
    <w:rsid w:val="00410B59"/>
    <w:rsid w:val="00410C42"/>
    <w:rsid w:val="00410C4B"/>
    <w:rsid w:val="00410C70"/>
    <w:rsid w:val="00410CAF"/>
    <w:rsid w:val="00410CF7"/>
    <w:rsid w:val="00411021"/>
    <w:rsid w:val="00411046"/>
    <w:rsid w:val="004111CD"/>
    <w:rsid w:val="00411283"/>
    <w:rsid w:val="0041139A"/>
    <w:rsid w:val="00411429"/>
    <w:rsid w:val="00411460"/>
    <w:rsid w:val="00411473"/>
    <w:rsid w:val="004114B7"/>
    <w:rsid w:val="00411586"/>
    <w:rsid w:val="004115E3"/>
    <w:rsid w:val="004115F2"/>
    <w:rsid w:val="0041169B"/>
    <w:rsid w:val="004117EB"/>
    <w:rsid w:val="004117F8"/>
    <w:rsid w:val="00411813"/>
    <w:rsid w:val="00411814"/>
    <w:rsid w:val="0041185D"/>
    <w:rsid w:val="00411992"/>
    <w:rsid w:val="004119D1"/>
    <w:rsid w:val="00411A0F"/>
    <w:rsid w:val="00411BDD"/>
    <w:rsid w:val="00411C6E"/>
    <w:rsid w:val="00411CA4"/>
    <w:rsid w:val="00411D32"/>
    <w:rsid w:val="00411D66"/>
    <w:rsid w:val="00411E26"/>
    <w:rsid w:val="00411F24"/>
    <w:rsid w:val="00411F3A"/>
    <w:rsid w:val="00412110"/>
    <w:rsid w:val="00412142"/>
    <w:rsid w:val="00412188"/>
    <w:rsid w:val="00412293"/>
    <w:rsid w:val="004122F7"/>
    <w:rsid w:val="004123EA"/>
    <w:rsid w:val="00412412"/>
    <w:rsid w:val="0041248C"/>
    <w:rsid w:val="0041255F"/>
    <w:rsid w:val="00412612"/>
    <w:rsid w:val="00412614"/>
    <w:rsid w:val="00412660"/>
    <w:rsid w:val="0041279E"/>
    <w:rsid w:val="00412C6A"/>
    <w:rsid w:val="00412D4B"/>
    <w:rsid w:val="00412E82"/>
    <w:rsid w:val="00412F5F"/>
    <w:rsid w:val="00412F77"/>
    <w:rsid w:val="00413095"/>
    <w:rsid w:val="004131C5"/>
    <w:rsid w:val="004131EC"/>
    <w:rsid w:val="0041332C"/>
    <w:rsid w:val="0041343C"/>
    <w:rsid w:val="00413489"/>
    <w:rsid w:val="004134BF"/>
    <w:rsid w:val="0041365C"/>
    <w:rsid w:val="00413721"/>
    <w:rsid w:val="00413876"/>
    <w:rsid w:val="00413A10"/>
    <w:rsid w:val="00413A31"/>
    <w:rsid w:val="00413A3B"/>
    <w:rsid w:val="00413B44"/>
    <w:rsid w:val="00413C75"/>
    <w:rsid w:val="00413C8B"/>
    <w:rsid w:val="00413DBE"/>
    <w:rsid w:val="00413F34"/>
    <w:rsid w:val="00414054"/>
    <w:rsid w:val="00414078"/>
    <w:rsid w:val="00414087"/>
    <w:rsid w:val="00414092"/>
    <w:rsid w:val="0041414E"/>
    <w:rsid w:val="00414170"/>
    <w:rsid w:val="004141E4"/>
    <w:rsid w:val="00414241"/>
    <w:rsid w:val="00414284"/>
    <w:rsid w:val="004142E1"/>
    <w:rsid w:val="004142FA"/>
    <w:rsid w:val="00414414"/>
    <w:rsid w:val="0041441C"/>
    <w:rsid w:val="004144F5"/>
    <w:rsid w:val="00414687"/>
    <w:rsid w:val="004146B7"/>
    <w:rsid w:val="00414736"/>
    <w:rsid w:val="004147A3"/>
    <w:rsid w:val="004147DC"/>
    <w:rsid w:val="00414889"/>
    <w:rsid w:val="00414993"/>
    <w:rsid w:val="00414A0B"/>
    <w:rsid w:val="00414BB6"/>
    <w:rsid w:val="00414C33"/>
    <w:rsid w:val="00414DDC"/>
    <w:rsid w:val="00414E0C"/>
    <w:rsid w:val="00414EF9"/>
    <w:rsid w:val="00414F52"/>
    <w:rsid w:val="0041506D"/>
    <w:rsid w:val="00415127"/>
    <w:rsid w:val="00415150"/>
    <w:rsid w:val="0041527F"/>
    <w:rsid w:val="004152B4"/>
    <w:rsid w:val="004153A6"/>
    <w:rsid w:val="004153E0"/>
    <w:rsid w:val="00415792"/>
    <w:rsid w:val="00415877"/>
    <w:rsid w:val="00415902"/>
    <w:rsid w:val="00415969"/>
    <w:rsid w:val="0041599A"/>
    <w:rsid w:val="00415A4C"/>
    <w:rsid w:val="00415AB9"/>
    <w:rsid w:val="00415AF7"/>
    <w:rsid w:val="00415B44"/>
    <w:rsid w:val="00415B97"/>
    <w:rsid w:val="00415C6E"/>
    <w:rsid w:val="00415DC8"/>
    <w:rsid w:val="00415E13"/>
    <w:rsid w:val="00415FED"/>
    <w:rsid w:val="00416259"/>
    <w:rsid w:val="00416294"/>
    <w:rsid w:val="00416301"/>
    <w:rsid w:val="00416328"/>
    <w:rsid w:val="0041633B"/>
    <w:rsid w:val="0041636F"/>
    <w:rsid w:val="004163B0"/>
    <w:rsid w:val="00416676"/>
    <w:rsid w:val="0041675A"/>
    <w:rsid w:val="00416775"/>
    <w:rsid w:val="004167E5"/>
    <w:rsid w:val="00416887"/>
    <w:rsid w:val="00416911"/>
    <w:rsid w:val="00416AFA"/>
    <w:rsid w:val="00416BFC"/>
    <w:rsid w:val="00416E12"/>
    <w:rsid w:val="00416F05"/>
    <w:rsid w:val="0041707D"/>
    <w:rsid w:val="004171DF"/>
    <w:rsid w:val="00417290"/>
    <w:rsid w:val="004173CC"/>
    <w:rsid w:val="004174D6"/>
    <w:rsid w:val="0041751F"/>
    <w:rsid w:val="004176AF"/>
    <w:rsid w:val="0041780E"/>
    <w:rsid w:val="004178FC"/>
    <w:rsid w:val="00417A56"/>
    <w:rsid w:val="00417A5C"/>
    <w:rsid w:val="00417C25"/>
    <w:rsid w:val="00417C32"/>
    <w:rsid w:val="00417C3D"/>
    <w:rsid w:val="00417D1B"/>
    <w:rsid w:val="00417E59"/>
    <w:rsid w:val="00417FB0"/>
    <w:rsid w:val="00417FD4"/>
    <w:rsid w:val="004200F5"/>
    <w:rsid w:val="004201D7"/>
    <w:rsid w:val="00420220"/>
    <w:rsid w:val="00420230"/>
    <w:rsid w:val="00420403"/>
    <w:rsid w:val="00420561"/>
    <w:rsid w:val="00420668"/>
    <w:rsid w:val="0042073B"/>
    <w:rsid w:val="00420752"/>
    <w:rsid w:val="00420827"/>
    <w:rsid w:val="00420930"/>
    <w:rsid w:val="0042097E"/>
    <w:rsid w:val="004209FF"/>
    <w:rsid w:val="00420A88"/>
    <w:rsid w:val="00420CB0"/>
    <w:rsid w:val="00420CF0"/>
    <w:rsid w:val="00420DBC"/>
    <w:rsid w:val="00420E5B"/>
    <w:rsid w:val="00420EB9"/>
    <w:rsid w:val="00420F3B"/>
    <w:rsid w:val="00420F5D"/>
    <w:rsid w:val="00420F85"/>
    <w:rsid w:val="0042121D"/>
    <w:rsid w:val="0042121F"/>
    <w:rsid w:val="0042138A"/>
    <w:rsid w:val="00421580"/>
    <w:rsid w:val="004215B6"/>
    <w:rsid w:val="00421619"/>
    <w:rsid w:val="0042170F"/>
    <w:rsid w:val="004218CB"/>
    <w:rsid w:val="00421944"/>
    <w:rsid w:val="00421A5C"/>
    <w:rsid w:val="00421B36"/>
    <w:rsid w:val="00421B8B"/>
    <w:rsid w:val="00421BC3"/>
    <w:rsid w:val="00421CED"/>
    <w:rsid w:val="00421D9B"/>
    <w:rsid w:val="00421E1A"/>
    <w:rsid w:val="00421ECE"/>
    <w:rsid w:val="00421F05"/>
    <w:rsid w:val="00421F6E"/>
    <w:rsid w:val="0042211B"/>
    <w:rsid w:val="004221C9"/>
    <w:rsid w:val="004222DB"/>
    <w:rsid w:val="00422361"/>
    <w:rsid w:val="0042237D"/>
    <w:rsid w:val="00422462"/>
    <w:rsid w:val="00422516"/>
    <w:rsid w:val="00422537"/>
    <w:rsid w:val="004225AE"/>
    <w:rsid w:val="0042262A"/>
    <w:rsid w:val="00422661"/>
    <w:rsid w:val="0042271F"/>
    <w:rsid w:val="00422735"/>
    <w:rsid w:val="00422841"/>
    <w:rsid w:val="004228D5"/>
    <w:rsid w:val="00422A55"/>
    <w:rsid w:val="00422AD4"/>
    <w:rsid w:val="00422B2B"/>
    <w:rsid w:val="00422B97"/>
    <w:rsid w:val="00422BC4"/>
    <w:rsid w:val="00422C71"/>
    <w:rsid w:val="00422F28"/>
    <w:rsid w:val="00422F58"/>
    <w:rsid w:val="00423038"/>
    <w:rsid w:val="004230AD"/>
    <w:rsid w:val="004230B0"/>
    <w:rsid w:val="0042318C"/>
    <w:rsid w:val="0042334F"/>
    <w:rsid w:val="0042360B"/>
    <w:rsid w:val="00423616"/>
    <w:rsid w:val="00423663"/>
    <w:rsid w:val="004236D9"/>
    <w:rsid w:val="004237AE"/>
    <w:rsid w:val="0042395A"/>
    <w:rsid w:val="004239CB"/>
    <w:rsid w:val="00423A5F"/>
    <w:rsid w:val="00423BC7"/>
    <w:rsid w:val="00423D9A"/>
    <w:rsid w:val="00423F14"/>
    <w:rsid w:val="00423F41"/>
    <w:rsid w:val="00423FF6"/>
    <w:rsid w:val="00424096"/>
    <w:rsid w:val="004241EC"/>
    <w:rsid w:val="00424232"/>
    <w:rsid w:val="00424247"/>
    <w:rsid w:val="00424258"/>
    <w:rsid w:val="004242D7"/>
    <w:rsid w:val="00424316"/>
    <w:rsid w:val="00424458"/>
    <w:rsid w:val="00424667"/>
    <w:rsid w:val="0042469A"/>
    <w:rsid w:val="00424700"/>
    <w:rsid w:val="004247E2"/>
    <w:rsid w:val="004249D2"/>
    <w:rsid w:val="00424A45"/>
    <w:rsid w:val="00424A9E"/>
    <w:rsid w:val="00424BA3"/>
    <w:rsid w:val="00424BD7"/>
    <w:rsid w:val="00424CE0"/>
    <w:rsid w:val="00424D2B"/>
    <w:rsid w:val="00424D52"/>
    <w:rsid w:val="00424D57"/>
    <w:rsid w:val="00424E87"/>
    <w:rsid w:val="00424EA7"/>
    <w:rsid w:val="00424FC0"/>
    <w:rsid w:val="00425035"/>
    <w:rsid w:val="00425061"/>
    <w:rsid w:val="004250AB"/>
    <w:rsid w:val="00425183"/>
    <w:rsid w:val="004251B4"/>
    <w:rsid w:val="00425293"/>
    <w:rsid w:val="004253B3"/>
    <w:rsid w:val="004253FF"/>
    <w:rsid w:val="00425426"/>
    <w:rsid w:val="00425473"/>
    <w:rsid w:val="0042548D"/>
    <w:rsid w:val="004254D6"/>
    <w:rsid w:val="004254FB"/>
    <w:rsid w:val="00425519"/>
    <w:rsid w:val="004256DF"/>
    <w:rsid w:val="00425761"/>
    <w:rsid w:val="004257C5"/>
    <w:rsid w:val="004257F0"/>
    <w:rsid w:val="00425863"/>
    <w:rsid w:val="004258E9"/>
    <w:rsid w:val="00425B6F"/>
    <w:rsid w:val="00425D0E"/>
    <w:rsid w:val="00425DAF"/>
    <w:rsid w:val="00425DC6"/>
    <w:rsid w:val="00425E39"/>
    <w:rsid w:val="00425EC2"/>
    <w:rsid w:val="00425F92"/>
    <w:rsid w:val="00425FE0"/>
    <w:rsid w:val="0042601A"/>
    <w:rsid w:val="0042601D"/>
    <w:rsid w:val="004260BC"/>
    <w:rsid w:val="004260FD"/>
    <w:rsid w:val="0042617D"/>
    <w:rsid w:val="0042622C"/>
    <w:rsid w:val="00426242"/>
    <w:rsid w:val="00426342"/>
    <w:rsid w:val="00426345"/>
    <w:rsid w:val="004263D3"/>
    <w:rsid w:val="00426546"/>
    <w:rsid w:val="004267B8"/>
    <w:rsid w:val="00426932"/>
    <w:rsid w:val="0042694D"/>
    <w:rsid w:val="00426A76"/>
    <w:rsid w:val="00426A8A"/>
    <w:rsid w:val="00426ABB"/>
    <w:rsid w:val="00426B87"/>
    <w:rsid w:val="00426BCB"/>
    <w:rsid w:val="00426BD7"/>
    <w:rsid w:val="00426C08"/>
    <w:rsid w:val="00426CA3"/>
    <w:rsid w:val="00426D28"/>
    <w:rsid w:val="00426DF7"/>
    <w:rsid w:val="00426E7E"/>
    <w:rsid w:val="00426FB6"/>
    <w:rsid w:val="00426FF4"/>
    <w:rsid w:val="00427051"/>
    <w:rsid w:val="00427078"/>
    <w:rsid w:val="004270FE"/>
    <w:rsid w:val="00427159"/>
    <w:rsid w:val="0042716E"/>
    <w:rsid w:val="0042729D"/>
    <w:rsid w:val="004272BF"/>
    <w:rsid w:val="004273F9"/>
    <w:rsid w:val="00427448"/>
    <w:rsid w:val="004274A1"/>
    <w:rsid w:val="004274DA"/>
    <w:rsid w:val="00427506"/>
    <w:rsid w:val="0042750F"/>
    <w:rsid w:val="00427527"/>
    <w:rsid w:val="0042769A"/>
    <w:rsid w:val="004276AD"/>
    <w:rsid w:val="004276D9"/>
    <w:rsid w:val="00427739"/>
    <w:rsid w:val="00427783"/>
    <w:rsid w:val="00427831"/>
    <w:rsid w:val="00427881"/>
    <w:rsid w:val="004279A6"/>
    <w:rsid w:val="00427AF3"/>
    <w:rsid w:val="00427BBD"/>
    <w:rsid w:val="00427BD6"/>
    <w:rsid w:val="00427C9C"/>
    <w:rsid w:val="00427D42"/>
    <w:rsid w:val="00427D79"/>
    <w:rsid w:val="00427E06"/>
    <w:rsid w:val="00427F5A"/>
    <w:rsid w:val="00427FA9"/>
    <w:rsid w:val="0043002B"/>
    <w:rsid w:val="004300FC"/>
    <w:rsid w:val="00430175"/>
    <w:rsid w:val="0043017E"/>
    <w:rsid w:val="004302A3"/>
    <w:rsid w:val="004302B1"/>
    <w:rsid w:val="004302E2"/>
    <w:rsid w:val="004303DF"/>
    <w:rsid w:val="0043046D"/>
    <w:rsid w:val="0043047C"/>
    <w:rsid w:val="00430489"/>
    <w:rsid w:val="00430584"/>
    <w:rsid w:val="004305BA"/>
    <w:rsid w:val="004305E9"/>
    <w:rsid w:val="004305FC"/>
    <w:rsid w:val="00430664"/>
    <w:rsid w:val="004307C8"/>
    <w:rsid w:val="0043085F"/>
    <w:rsid w:val="00430AF0"/>
    <w:rsid w:val="00430B5A"/>
    <w:rsid w:val="00430B91"/>
    <w:rsid w:val="00430CB2"/>
    <w:rsid w:val="00430CB9"/>
    <w:rsid w:val="00430DA0"/>
    <w:rsid w:val="00430DF6"/>
    <w:rsid w:val="00430DFC"/>
    <w:rsid w:val="00430E07"/>
    <w:rsid w:val="00430E0A"/>
    <w:rsid w:val="00430F63"/>
    <w:rsid w:val="00430F6B"/>
    <w:rsid w:val="004312C9"/>
    <w:rsid w:val="004314C9"/>
    <w:rsid w:val="00431673"/>
    <w:rsid w:val="004316A6"/>
    <w:rsid w:val="004316B1"/>
    <w:rsid w:val="00431731"/>
    <w:rsid w:val="00431832"/>
    <w:rsid w:val="00431911"/>
    <w:rsid w:val="00431923"/>
    <w:rsid w:val="0043198F"/>
    <w:rsid w:val="004319D3"/>
    <w:rsid w:val="00431A31"/>
    <w:rsid w:val="00431A4F"/>
    <w:rsid w:val="00431AD8"/>
    <w:rsid w:val="00431B36"/>
    <w:rsid w:val="00431B6E"/>
    <w:rsid w:val="00431BC6"/>
    <w:rsid w:val="00431C2A"/>
    <w:rsid w:val="00431CE7"/>
    <w:rsid w:val="00431D48"/>
    <w:rsid w:val="00431DB2"/>
    <w:rsid w:val="00431DC8"/>
    <w:rsid w:val="00431E8D"/>
    <w:rsid w:val="00431F54"/>
    <w:rsid w:val="00431FA9"/>
    <w:rsid w:val="00431FAD"/>
    <w:rsid w:val="00431FB0"/>
    <w:rsid w:val="00432018"/>
    <w:rsid w:val="00432072"/>
    <w:rsid w:val="00432391"/>
    <w:rsid w:val="00432426"/>
    <w:rsid w:val="00432454"/>
    <w:rsid w:val="0043251C"/>
    <w:rsid w:val="0043259E"/>
    <w:rsid w:val="004325A2"/>
    <w:rsid w:val="0043265C"/>
    <w:rsid w:val="00432691"/>
    <w:rsid w:val="00432696"/>
    <w:rsid w:val="0043276F"/>
    <w:rsid w:val="00432772"/>
    <w:rsid w:val="0043282B"/>
    <w:rsid w:val="00432877"/>
    <w:rsid w:val="0043287C"/>
    <w:rsid w:val="00432957"/>
    <w:rsid w:val="00432A49"/>
    <w:rsid w:val="00432A86"/>
    <w:rsid w:val="00432B1A"/>
    <w:rsid w:val="00432E13"/>
    <w:rsid w:val="00432E56"/>
    <w:rsid w:val="00432E6D"/>
    <w:rsid w:val="00432ECD"/>
    <w:rsid w:val="00432F90"/>
    <w:rsid w:val="00433022"/>
    <w:rsid w:val="00433069"/>
    <w:rsid w:val="00433070"/>
    <w:rsid w:val="004330B3"/>
    <w:rsid w:val="00433254"/>
    <w:rsid w:val="0043349D"/>
    <w:rsid w:val="004334F1"/>
    <w:rsid w:val="0043362E"/>
    <w:rsid w:val="004336A3"/>
    <w:rsid w:val="004337AB"/>
    <w:rsid w:val="00433858"/>
    <w:rsid w:val="00433959"/>
    <w:rsid w:val="0043396F"/>
    <w:rsid w:val="004339A8"/>
    <w:rsid w:val="00433A40"/>
    <w:rsid w:val="00433A5B"/>
    <w:rsid w:val="00433AA7"/>
    <w:rsid w:val="00433B79"/>
    <w:rsid w:val="00433BBC"/>
    <w:rsid w:val="00433CF4"/>
    <w:rsid w:val="00433E35"/>
    <w:rsid w:val="00433E4B"/>
    <w:rsid w:val="00433EC9"/>
    <w:rsid w:val="00433ECD"/>
    <w:rsid w:val="00433FF7"/>
    <w:rsid w:val="004340C3"/>
    <w:rsid w:val="00434109"/>
    <w:rsid w:val="004341F1"/>
    <w:rsid w:val="0043429C"/>
    <w:rsid w:val="004342CB"/>
    <w:rsid w:val="00434351"/>
    <w:rsid w:val="0043440C"/>
    <w:rsid w:val="004344C4"/>
    <w:rsid w:val="004344DB"/>
    <w:rsid w:val="004345C6"/>
    <w:rsid w:val="0043461E"/>
    <w:rsid w:val="00434711"/>
    <w:rsid w:val="00434732"/>
    <w:rsid w:val="0043479F"/>
    <w:rsid w:val="004347F7"/>
    <w:rsid w:val="00434907"/>
    <w:rsid w:val="00434927"/>
    <w:rsid w:val="0043493B"/>
    <w:rsid w:val="00434A5D"/>
    <w:rsid w:val="00434B5E"/>
    <w:rsid w:val="00434B62"/>
    <w:rsid w:val="00434B6C"/>
    <w:rsid w:val="00434D11"/>
    <w:rsid w:val="00434DED"/>
    <w:rsid w:val="00434E8E"/>
    <w:rsid w:val="00434FDA"/>
    <w:rsid w:val="00435051"/>
    <w:rsid w:val="00435091"/>
    <w:rsid w:val="004350F0"/>
    <w:rsid w:val="004351BA"/>
    <w:rsid w:val="0043529B"/>
    <w:rsid w:val="00435320"/>
    <w:rsid w:val="0043532F"/>
    <w:rsid w:val="00435435"/>
    <w:rsid w:val="00435498"/>
    <w:rsid w:val="004354B1"/>
    <w:rsid w:val="004354D4"/>
    <w:rsid w:val="004354FA"/>
    <w:rsid w:val="0043571C"/>
    <w:rsid w:val="00435855"/>
    <w:rsid w:val="004359AE"/>
    <w:rsid w:val="00435A08"/>
    <w:rsid w:val="00435A09"/>
    <w:rsid w:val="00435A55"/>
    <w:rsid w:val="00435B90"/>
    <w:rsid w:val="00435BF8"/>
    <w:rsid w:val="00435CCF"/>
    <w:rsid w:val="00435D27"/>
    <w:rsid w:val="00435EEB"/>
    <w:rsid w:val="00435F32"/>
    <w:rsid w:val="00435F4E"/>
    <w:rsid w:val="004360EA"/>
    <w:rsid w:val="00436148"/>
    <w:rsid w:val="00436163"/>
    <w:rsid w:val="00436418"/>
    <w:rsid w:val="004364A9"/>
    <w:rsid w:val="00436529"/>
    <w:rsid w:val="004365DA"/>
    <w:rsid w:val="00436773"/>
    <w:rsid w:val="004367F0"/>
    <w:rsid w:val="004368CD"/>
    <w:rsid w:val="00436C52"/>
    <w:rsid w:val="00436D33"/>
    <w:rsid w:val="00436D92"/>
    <w:rsid w:val="00436DB6"/>
    <w:rsid w:val="00436E10"/>
    <w:rsid w:val="00436F9A"/>
    <w:rsid w:val="00436FBB"/>
    <w:rsid w:val="0043701F"/>
    <w:rsid w:val="004371A3"/>
    <w:rsid w:val="004371D6"/>
    <w:rsid w:val="00437233"/>
    <w:rsid w:val="004372DD"/>
    <w:rsid w:val="004372FF"/>
    <w:rsid w:val="004373BF"/>
    <w:rsid w:val="004375DA"/>
    <w:rsid w:val="004375EF"/>
    <w:rsid w:val="00437703"/>
    <w:rsid w:val="004377B6"/>
    <w:rsid w:val="004377FA"/>
    <w:rsid w:val="00437814"/>
    <w:rsid w:val="00437A0B"/>
    <w:rsid w:val="00437A61"/>
    <w:rsid w:val="00437AE6"/>
    <w:rsid w:val="00437B55"/>
    <w:rsid w:val="00437B89"/>
    <w:rsid w:val="00437BE7"/>
    <w:rsid w:val="00437C74"/>
    <w:rsid w:val="00437CE0"/>
    <w:rsid w:val="00437CEC"/>
    <w:rsid w:val="00437D9F"/>
    <w:rsid w:val="00437DCF"/>
    <w:rsid w:val="00437E49"/>
    <w:rsid w:val="00437E75"/>
    <w:rsid w:val="00437FAA"/>
    <w:rsid w:val="00437FAB"/>
    <w:rsid w:val="00437FFE"/>
    <w:rsid w:val="004400FC"/>
    <w:rsid w:val="00440161"/>
    <w:rsid w:val="0044025E"/>
    <w:rsid w:val="0044032B"/>
    <w:rsid w:val="004403B7"/>
    <w:rsid w:val="004403F2"/>
    <w:rsid w:val="00440472"/>
    <w:rsid w:val="0044069A"/>
    <w:rsid w:val="004406F3"/>
    <w:rsid w:val="00440774"/>
    <w:rsid w:val="004408B5"/>
    <w:rsid w:val="004408CF"/>
    <w:rsid w:val="0044094B"/>
    <w:rsid w:val="004409BF"/>
    <w:rsid w:val="004409EE"/>
    <w:rsid w:val="00440ABC"/>
    <w:rsid w:val="00440B2E"/>
    <w:rsid w:val="00440BD6"/>
    <w:rsid w:val="00440BDA"/>
    <w:rsid w:val="00440C54"/>
    <w:rsid w:val="00440DBB"/>
    <w:rsid w:val="00440FEB"/>
    <w:rsid w:val="004411AB"/>
    <w:rsid w:val="00441218"/>
    <w:rsid w:val="004412C4"/>
    <w:rsid w:val="004412F7"/>
    <w:rsid w:val="0044131B"/>
    <w:rsid w:val="00441354"/>
    <w:rsid w:val="0044139B"/>
    <w:rsid w:val="004415EE"/>
    <w:rsid w:val="004416FA"/>
    <w:rsid w:val="0044175C"/>
    <w:rsid w:val="0044178B"/>
    <w:rsid w:val="004419DF"/>
    <w:rsid w:val="00441A55"/>
    <w:rsid w:val="00441A9F"/>
    <w:rsid w:val="00441C5B"/>
    <w:rsid w:val="00441C78"/>
    <w:rsid w:val="00441D8A"/>
    <w:rsid w:val="00441D8E"/>
    <w:rsid w:val="00441E3D"/>
    <w:rsid w:val="00441EBB"/>
    <w:rsid w:val="00442093"/>
    <w:rsid w:val="004420B6"/>
    <w:rsid w:val="004420D0"/>
    <w:rsid w:val="00442242"/>
    <w:rsid w:val="004422E4"/>
    <w:rsid w:val="004424CA"/>
    <w:rsid w:val="004425B7"/>
    <w:rsid w:val="00442617"/>
    <w:rsid w:val="00442651"/>
    <w:rsid w:val="00442679"/>
    <w:rsid w:val="004426CD"/>
    <w:rsid w:val="00442945"/>
    <w:rsid w:val="0044296D"/>
    <w:rsid w:val="004429C0"/>
    <w:rsid w:val="00442A7B"/>
    <w:rsid w:val="00442AA8"/>
    <w:rsid w:val="00442B01"/>
    <w:rsid w:val="00442CD9"/>
    <w:rsid w:val="00442E9D"/>
    <w:rsid w:val="00442EAD"/>
    <w:rsid w:val="00442EDD"/>
    <w:rsid w:val="00443031"/>
    <w:rsid w:val="00443092"/>
    <w:rsid w:val="00443160"/>
    <w:rsid w:val="00443318"/>
    <w:rsid w:val="004434C1"/>
    <w:rsid w:val="0044355D"/>
    <w:rsid w:val="00443606"/>
    <w:rsid w:val="0044370C"/>
    <w:rsid w:val="00443754"/>
    <w:rsid w:val="004437C6"/>
    <w:rsid w:val="00443804"/>
    <w:rsid w:val="004438A1"/>
    <w:rsid w:val="00443957"/>
    <w:rsid w:val="00443B13"/>
    <w:rsid w:val="00443BCE"/>
    <w:rsid w:val="00443C2B"/>
    <w:rsid w:val="00443CF4"/>
    <w:rsid w:val="00443D58"/>
    <w:rsid w:val="00443D69"/>
    <w:rsid w:val="00443DB0"/>
    <w:rsid w:val="00443E02"/>
    <w:rsid w:val="00443E17"/>
    <w:rsid w:val="00443F45"/>
    <w:rsid w:val="00444071"/>
    <w:rsid w:val="00444134"/>
    <w:rsid w:val="0044436D"/>
    <w:rsid w:val="0044446C"/>
    <w:rsid w:val="0044449F"/>
    <w:rsid w:val="004444B2"/>
    <w:rsid w:val="004445A9"/>
    <w:rsid w:val="00444601"/>
    <w:rsid w:val="0044472C"/>
    <w:rsid w:val="00444C70"/>
    <w:rsid w:val="00444E2D"/>
    <w:rsid w:val="00444E43"/>
    <w:rsid w:val="0044502F"/>
    <w:rsid w:val="004450AC"/>
    <w:rsid w:val="004453FC"/>
    <w:rsid w:val="004454EF"/>
    <w:rsid w:val="004455B2"/>
    <w:rsid w:val="0044567A"/>
    <w:rsid w:val="00445755"/>
    <w:rsid w:val="00445769"/>
    <w:rsid w:val="00445771"/>
    <w:rsid w:val="00445883"/>
    <w:rsid w:val="00445889"/>
    <w:rsid w:val="004458A0"/>
    <w:rsid w:val="00445942"/>
    <w:rsid w:val="0044595A"/>
    <w:rsid w:val="004459DC"/>
    <w:rsid w:val="00445B50"/>
    <w:rsid w:val="00445D5B"/>
    <w:rsid w:val="00445D71"/>
    <w:rsid w:val="00445ED0"/>
    <w:rsid w:val="00445F10"/>
    <w:rsid w:val="00445F38"/>
    <w:rsid w:val="00446349"/>
    <w:rsid w:val="00446370"/>
    <w:rsid w:val="004464A4"/>
    <w:rsid w:val="00446571"/>
    <w:rsid w:val="00446590"/>
    <w:rsid w:val="004466B7"/>
    <w:rsid w:val="004466F4"/>
    <w:rsid w:val="00446707"/>
    <w:rsid w:val="00446708"/>
    <w:rsid w:val="00446778"/>
    <w:rsid w:val="00446A31"/>
    <w:rsid w:val="00446ABD"/>
    <w:rsid w:val="00446B93"/>
    <w:rsid w:val="00446C50"/>
    <w:rsid w:val="00446CD2"/>
    <w:rsid w:val="00446D96"/>
    <w:rsid w:val="00446E93"/>
    <w:rsid w:val="00446EEE"/>
    <w:rsid w:val="00446EF1"/>
    <w:rsid w:val="0044704D"/>
    <w:rsid w:val="00447126"/>
    <w:rsid w:val="004471BE"/>
    <w:rsid w:val="00447268"/>
    <w:rsid w:val="00447276"/>
    <w:rsid w:val="004472D2"/>
    <w:rsid w:val="004474F1"/>
    <w:rsid w:val="00447525"/>
    <w:rsid w:val="00447528"/>
    <w:rsid w:val="0044765C"/>
    <w:rsid w:val="004476B1"/>
    <w:rsid w:val="004477AB"/>
    <w:rsid w:val="00447947"/>
    <w:rsid w:val="00447A6F"/>
    <w:rsid w:val="00447A7B"/>
    <w:rsid w:val="00447A89"/>
    <w:rsid w:val="00447B7C"/>
    <w:rsid w:val="00447C5E"/>
    <w:rsid w:val="00447E49"/>
    <w:rsid w:val="00447EC6"/>
    <w:rsid w:val="00450148"/>
    <w:rsid w:val="004501A4"/>
    <w:rsid w:val="0045037C"/>
    <w:rsid w:val="0045042C"/>
    <w:rsid w:val="0045045C"/>
    <w:rsid w:val="004504A6"/>
    <w:rsid w:val="0045052B"/>
    <w:rsid w:val="004505FF"/>
    <w:rsid w:val="00450677"/>
    <w:rsid w:val="004506C8"/>
    <w:rsid w:val="004507F6"/>
    <w:rsid w:val="00450956"/>
    <w:rsid w:val="004509EE"/>
    <w:rsid w:val="00450A26"/>
    <w:rsid w:val="00450ABD"/>
    <w:rsid w:val="00450BA0"/>
    <w:rsid w:val="00450C9F"/>
    <w:rsid w:val="00450EE8"/>
    <w:rsid w:val="0045100D"/>
    <w:rsid w:val="0045113B"/>
    <w:rsid w:val="004511D9"/>
    <w:rsid w:val="00451232"/>
    <w:rsid w:val="00451400"/>
    <w:rsid w:val="0045140C"/>
    <w:rsid w:val="0045141B"/>
    <w:rsid w:val="00451450"/>
    <w:rsid w:val="00451485"/>
    <w:rsid w:val="00451494"/>
    <w:rsid w:val="004514AE"/>
    <w:rsid w:val="004515C7"/>
    <w:rsid w:val="00451617"/>
    <w:rsid w:val="0045169D"/>
    <w:rsid w:val="004518EF"/>
    <w:rsid w:val="00451C39"/>
    <w:rsid w:val="00451C86"/>
    <w:rsid w:val="00451CFD"/>
    <w:rsid w:val="00451D72"/>
    <w:rsid w:val="00451D9B"/>
    <w:rsid w:val="00451DB3"/>
    <w:rsid w:val="00451DF8"/>
    <w:rsid w:val="00452012"/>
    <w:rsid w:val="0045208C"/>
    <w:rsid w:val="00452233"/>
    <w:rsid w:val="0045232D"/>
    <w:rsid w:val="00452404"/>
    <w:rsid w:val="00452454"/>
    <w:rsid w:val="00452561"/>
    <w:rsid w:val="004526EB"/>
    <w:rsid w:val="0045271D"/>
    <w:rsid w:val="004528AA"/>
    <w:rsid w:val="0045296F"/>
    <w:rsid w:val="004529AE"/>
    <w:rsid w:val="00452A2C"/>
    <w:rsid w:val="00452AC7"/>
    <w:rsid w:val="00452BAB"/>
    <w:rsid w:val="00452D67"/>
    <w:rsid w:val="00452D6F"/>
    <w:rsid w:val="00452D77"/>
    <w:rsid w:val="00452D9A"/>
    <w:rsid w:val="00452DD7"/>
    <w:rsid w:val="00452E68"/>
    <w:rsid w:val="00452EC0"/>
    <w:rsid w:val="00452F12"/>
    <w:rsid w:val="0045302F"/>
    <w:rsid w:val="004530B9"/>
    <w:rsid w:val="004530F2"/>
    <w:rsid w:val="004530F6"/>
    <w:rsid w:val="004530FD"/>
    <w:rsid w:val="004531A0"/>
    <w:rsid w:val="00453326"/>
    <w:rsid w:val="004534AA"/>
    <w:rsid w:val="004534FC"/>
    <w:rsid w:val="004535E3"/>
    <w:rsid w:val="004535E8"/>
    <w:rsid w:val="004536B1"/>
    <w:rsid w:val="004537AD"/>
    <w:rsid w:val="004537C9"/>
    <w:rsid w:val="004539C7"/>
    <w:rsid w:val="00453A0F"/>
    <w:rsid w:val="00453A81"/>
    <w:rsid w:val="00453BFB"/>
    <w:rsid w:val="00453C14"/>
    <w:rsid w:val="00453C79"/>
    <w:rsid w:val="00453CA5"/>
    <w:rsid w:val="00453CBF"/>
    <w:rsid w:val="00453CD3"/>
    <w:rsid w:val="00453D61"/>
    <w:rsid w:val="00453DC3"/>
    <w:rsid w:val="00453E02"/>
    <w:rsid w:val="00453E44"/>
    <w:rsid w:val="00453E88"/>
    <w:rsid w:val="00453EE7"/>
    <w:rsid w:val="00453F2A"/>
    <w:rsid w:val="00453F42"/>
    <w:rsid w:val="00453F63"/>
    <w:rsid w:val="00453F83"/>
    <w:rsid w:val="00454092"/>
    <w:rsid w:val="0045427F"/>
    <w:rsid w:val="00454281"/>
    <w:rsid w:val="0045438F"/>
    <w:rsid w:val="00454405"/>
    <w:rsid w:val="004544A9"/>
    <w:rsid w:val="00454666"/>
    <w:rsid w:val="00454668"/>
    <w:rsid w:val="004546D2"/>
    <w:rsid w:val="004548C9"/>
    <w:rsid w:val="004548CD"/>
    <w:rsid w:val="004548F3"/>
    <w:rsid w:val="00454A9C"/>
    <w:rsid w:val="00454B05"/>
    <w:rsid w:val="00454B61"/>
    <w:rsid w:val="00454C1C"/>
    <w:rsid w:val="00454C25"/>
    <w:rsid w:val="00454C38"/>
    <w:rsid w:val="00454CCF"/>
    <w:rsid w:val="00454CEC"/>
    <w:rsid w:val="00454D58"/>
    <w:rsid w:val="00454D96"/>
    <w:rsid w:val="00454DDC"/>
    <w:rsid w:val="00454E1E"/>
    <w:rsid w:val="00454F83"/>
    <w:rsid w:val="0045525C"/>
    <w:rsid w:val="004553E6"/>
    <w:rsid w:val="00455402"/>
    <w:rsid w:val="00455543"/>
    <w:rsid w:val="004556D2"/>
    <w:rsid w:val="00455750"/>
    <w:rsid w:val="00455773"/>
    <w:rsid w:val="00455857"/>
    <w:rsid w:val="004558A4"/>
    <w:rsid w:val="004559D8"/>
    <w:rsid w:val="004559DE"/>
    <w:rsid w:val="00455B28"/>
    <w:rsid w:val="00455C19"/>
    <w:rsid w:val="00455D6D"/>
    <w:rsid w:val="00455D85"/>
    <w:rsid w:val="00455DAC"/>
    <w:rsid w:val="00455E01"/>
    <w:rsid w:val="00455E0F"/>
    <w:rsid w:val="00455E96"/>
    <w:rsid w:val="0045601C"/>
    <w:rsid w:val="00456058"/>
    <w:rsid w:val="00456115"/>
    <w:rsid w:val="00456156"/>
    <w:rsid w:val="0045618E"/>
    <w:rsid w:val="00456215"/>
    <w:rsid w:val="0045621B"/>
    <w:rsid w:val="004562B6"/>
    <w:rsid w:val="0045644F"/>
    <w:rsid w:val="00456482"/>
    <w:rsid w:val="00456503"/>
    <w:rsid w:val="004567F8"/>
    <w:rsid w:val="00456879"/>
    <w:rsid w:val="00456918"/>
    <w:rsid w:val="00456935"/>
    <w:rsid w:val="0045694A"/>
    <w:rsid w:val="00456965"/>
    <w:rsid w:val="00456A45"/>
    <w:rsid w:val="00456A62"/>
    <w:rsid w:val="00456B74"/>
    <w:rsid w:val="00456BCB"/>
    <w:rsid w:val="00456BE7"/>
    <w:rsid w:val="00456C1F"/>
    <w:rsid w:val="00456C28"/>
    <w:rsid w:val="00456CAE"/>
    <w:rsid w:val="00456D3B"/>
    <w:rsid w:val="00456E0A"/>
    <w:rsid w:val="00456F74"/>
    <w:rsid w:val="00456F8F"/>
    <w:rsid w:val="00456FF8"/>
    <w:rsid w:val="004570A4"/>
    <w:rsid w:val="004570B4"/>
    <w:rsid w:val="00457264"/>
    <w:rsid w:val="00457294"/>
    <w:rsid w:val="0045739F"/>
    <w:rsid w:val="00457587"/>
    <w:rsid w:val="004575B8"/>
    <w:rsid w:val="0045786D"/>
    <w:rsid w:val="004579F2"/>
    <w:rsid w:val="00457A08"/>
    <w:rsid w:val="00457BBF"/>
    <w:rsid w:val="00457C84"/>
    <w:rsid w:val="00457CE7"/>
    <w:rsid w:val="00457D10"/>
    <w:rsid w:val="00457DD8"/>
    <w:rsid w:val="00457E2B"/>
    <w:rsid w:val="00457E45"/>
    <w:rsid w:val="00457F9F"/>
    <w:rsid w:val="00460036"/>
    <w:rsid w:val="004600BE"/>
    <w:rsid w:val="0046018E"/>
    <w:rsid w:val="00460377"/>
    <w:rsid w:val="004603ED"/>
    <w:rsid w:val="004603F0"/>
    <w:rsid w:val="00460434"/>
    <w:rsid w:val="0046046B"/>
    <w:rsid w:val="00460487"/>
    <w:rsid w:val="0046064F"/>
    <w:rsid w:val="0046065D"/>
    <w:rsid w:val="0046075B"/>
    <w:rsid w:val="00460802"/>
    <w:rsid w:val="00460835"/>
    <w:rsid w:val="00460973"/>
    <w:rsid w:val="00460AC0"/>
    <w:rsid w:val="00460B01"/>
    <w:rsid w:val="00460F02"/>
    <w:rsid w:val="00460FC5"/>
    <w:rsid w:val="00461006"/>
    <w:rsid w:val="00461105"/>
    <w:rsid w:val="00461222"/>
    <w:rsid w:val="00461224"/>
    <w:rsid w:val="004613ED"/>
    <w:rsid w:val="004613F2"/>
    <w:rsid w:val="00461457"/>
    <w:rsid w:val="004614AB"/>
    <w:rsid w:val="0046151F"/>
    <w:rsid w:val="004615DF"/>
    <w:rsid w:val="0046167B"/>
    <w:rsid w:val="004616D2"/>
    <w:rsid w:val="004616D4"/>
    <w:rsid w:val="004616DE"/>
    <w:rsid w:val="004617E8"/>
    <w:rsid w:val="00461823"/>
    <w:rsid w:val="00461892"/>
    <w:rsid w:val="004618B6"/>
    <w:rsid w:val="0046199A"/>
    <w:rsid w:val="00461BEC"/>
    <w:rsid w:val="00461BF1"/>
    <w:rsid w:val="00461EEA"/>
    <w:rsid w:val="004620A3"/>
    <w:rsid w:val="004620A5"/>
    <w:rsid w:val="0046214D"/>
    <w:rsid w:val="004621A9"/>
    <w:rsid w:val="00462201"/>
    <w:rsid w:val="004622A6"/>
    <w:rsid w:val="00462372"/>
    <w:rsid w:val="0046239E"/>
    <w:rsid w:val="00462566"/>
    <w:rsid w:val="004625D7"/>
    <w:rsid w:val="004625DB"/>
    <w:rsid w:val="00462709"/>
    <w:rsid w:val="004628A1"/>
    <w:rsid w:val="0046290D"/>
    <w:rsid w:val="004629CA"/>
    <w:rsid w:val="004629F3"/>
    <w:rsid w:val="00462B33"/>
    <w:rsid w:val="00462BB4"/>
    <w:rsid w:val="00462C3A"/>
    <w:rsid w:val="00462C4F"/>
    <w:rsid w:val="00462DC7"/>
    <w:rsid w:val="00462EAB"/>
    <w:rsid w:val="00462F0E"/>
    <w:rsid w:val="00462F9A"/>
    <w:rsid w:val="00463032"/>
    <w:rsid w:val="00463048"/>
    <w:rsid w:val="004630EA"/>
    <w:rsid w:val="00463125"/>
    <w:rsid w:val="00463152"/>
    <w:rsid w:val="0046317A"/>
    <w:rsid w:val="0046321B"/>
    <w:rsid w:val="00463369"/>
    <w:rsid w:val="004633D2"/>
    <w:rsid w:val="004635AF"/>
    <w:rsid w:val="0046364C"/>
    <w:rsid w:val="004636C9"/>
    <w:rsid w:val="0046372C"/>
    <w:rsid w:val="0046381F"/>
    <w:rsid w:val="0046389F"/>
    <w:rsid w:val="00463971"/>
    <w:rsid w:val="004639DA"/>
    <w:rsid w:val="00463A4D"/>
    <w:rsid w:val="00463AD9"/>
    <w:rsid w:val="00463B1C"/>
    <w:rsid w:val="00463D3F"/>
    <w:rsid w:val="00463F04"/>
    <w:rsid w:val="00464259"/>
    <w:rsid w:val="004642D4"/>
    <w:rsid w:val="0046430F"/>
    <w:rsid w:val="004643F4"/>
    <w:rsid w:val="0046442C"/>
    <w:rsid w:val="004644A4"/>
    <w:rsid w:val="004644F0"/>
    <w:rsid w:val="00464581"/>
    <w:rsid w:val="004645E4"/>
    <w:rsid w:val="00464999"/>
    <w:rsid w:val="00464BF6"/>
    <w:rsid w:val="00464C52"/>
    <w:rsid w:val="00464E14"/>
    <w:rsid w:val="00464E33"/>
    <w:rsid w:val="00464ECB"/>
    <w:rsid w:val="00464F40"/>
    <w:rsid w:val="00464F50"/>
    <w:rsid w:val="00464F56"/>
    <w:rsid w:val="00464F58"/>
    <w:rsid w:val="00464F84"/>
    <w:rsid w:val="004652BE"/>
    <w:rsid w:val="004654DB"/>
    <w:rsid w:val="0046552C"/>
    <w:rsid w:val="004655D4"/>
    <w:rsid w:val="00465657"/>
    <w:rsid w:val="004656D6"/>
    <w:rsid w:val="004658A4"/>
    <w:rsid w:val="004659FC"/>
    <w:rsid w:val="00465B1E"/>
    <w:rsid w:val="00465BDC"/>
    <w:rsid w:val="00465D05"/>
    <w:rsid w:val="00465D65"/>
    <w:rsid w:val="00465D74"/>
    <w:rsid w:val="00465F14"/>
    <w:rsid w:val="00465F61"/>
    <w:rsid w:val="0046604B"/>
    <w:rsid w:val="004660BE"/>
    <w:rsid w:val="00466100"/>
    <w:rsid w:val="00466123"/>
    <w:rsid w:val="00466172"/>
    <w:rsid w:val="00466241"/>
    <w:rsid w:val="00466251"/>
    <w:rsid w:val="004662B1"/>
    <w:rsid w:val="004665A1"/>
    <w:rsid w:val="004665C2"/>
    <w:rsid w:val="0046663D"/>
    <w:rsid w:val="00466654"/>
    <w:rsid w:val="00466765"/>
    <w:rsid w:val="004668FF"/>
    <w:rsid w:val="0046694F"/>
    <w:rsid w:val="00466956"/>
    <w:rsid w:val="00466957"/>
    <w:rsid w:val="00466B5F"/>
    <w:rsid w:val="00466CE3"/>
    <w:rsid w:val="00466DB2"/>
    <w:rsid w:val="00466DDF"/>
    <w:rsid w:val="00466E0A"/>
    <w:rsid w:val="00466E80"/>
    <w:rsid w:val="00467005"/>
    <w:rsid w:val="00467078"/>
    <w:rsid w:val="004670EC"/>
    <w:rsid w:val="004673B7"/>
    <w:rsid w:val="004674BB"/>
    <w:rsid w:val="004674C6"/>
    <w:rsid w:val="004675DC"/>
    <w:rsid w:val="004675DE"/>
    <w:rsid w:val="004675E9"/>
    <w:rsid w:val="00467641"/>
    <w:rsid w:val="00467653"/>
    <w:rsid w:val="004676F9"/>
    <w:rsid w:val="004678FF"/>
    <w:rsid w:val="00467A36"/>
    <w:rsid w:val="00467AEA"/>
    <w:rsid w:val="00467CD7"/>
    <w:rsid w:val="00467D49"/>
    <w:rsid w:val="00467DA2"/>
    <w:rsid w:val="00467DB4"/>
    <w:rsid w:val="00470190"/>
    <w:rsid w:val="004701D0"/>
    <w:rsid w:val="00470213"/>
    <w:rsid w:val="00470225"/>
    <w:rsid w:val="004702EA"/>
    <w:rsid w:val="004703B8"/>
    <w:rsid w:val="004704B7"/>
    <w:rsid w:val="0047053B"/>
    <w:rsid w:val="00470600"/>
    <w:rsid w:val="00470621"/>
    <w:rsid w:val="00470626"/>
    <w:rsid w:val="004708CC"/>
    <w:rsid w:val="0047094B"/>
    <w:rsid w:val="00470972"/>
    <w:rsid w:val="0047097E"/>
    <w:rsid w:val="00470A2F"/>
    <w:rsid w:val="00470EF6"/>
    <w:rsid w:val="00470F6A"/>
    <w:rsid w:val="00470F77"/>
    <w:rsid w:val="00470FFF"/>
    <w:rsid w:val="0047117D"/>
    <w:rsid w:val="004711B1"/>
    <w:rsid w:val="004711DB"/>
    <w:rsid w:val="00471208"/>
    <w:rsid w:val="00471221"/>
    <w:rsid w:val="004712D0"/>
    <w:rsid w:val="0047145D"/>
    <w:rsid w:val="004715F4"/>
    <w:rsid w:val="004716A8"/>
    <w:rsid w:val="004717A5"/>
    <w:rsid w:val="0047184B"/>
    <w:rsid w:val="00471854"/>
    <w:rsid w:val="004719D6"/>
    <w:rsid w:val="00471A4B"/>
    <w:rsid w:val="00471B3E"/>
    <w:rsid w:val="00471B96"/>
    <w:rsid w:val="00471C2B"/>
    <w:rsid w:val="00471DFE"/>
    <w:rsid w:val="00471E57"/>
    <w:rsid w:val="00471EB3"/>
    <w:rsid w:val="00471F23"/>
    <w:rsid w:val="00471FC8"/>
    <w:rsid w:val="004720B3"/>
    <w:rsid w:val="004720DA"/>
    <w:rsid w:val="0047210B"/>
    <w:rsid w:val="00472155"/>
    <w:rsid w:val="0047218D"/>
    <w:rsid w:val="004723E6"/>
    <w:rsid w:val="0047241D"/>
    <w:rsid w:val="004725F9"/>
    <w:rsid w:val="004727D3"/>
    <w:rsid w:val="004727D5"/>
    <w:rsid w:val="0047293C"/>
    <w:rsid w:val="00472AFF"/>
    <w:rsid w:val="00472BC0"/>
    <w:rsid w:val="00472CAD"/>
    <w:rsid w:val="00472D06"/>
    <w:rsid w:val="00472D2C"/>
    <w:rsid w:val="00472D67"/>
    <w:rsid w:val="00472D87"/>
    <w:rsid w:val="00472E25"/>
    <w:rsid w:val="00472EB5"/>
    <w:rsid w:val="00472F03"/>
    <w:rsid w:val="00473170"/>
    <w:rsid w:val="00473397"/>
    <w:rsid w:val="00473427"/>
    <w:rsid w:val="00473489"/>
    <w:rsid w:val="00473527"/>
    <w:rsid w:val="00473699"/>
    <w:rsid w:val="004736D4"/>
    <w:rsid w:val="004736F0"/>
    <w:rsid w:val="00473738"/>
    <w:rsid w:val="0047376B"/>
    <w:rsid w:val="004737DE"/>
    <w:rsid w:val="0047384C"/>
    <w:rsid w:val="00473A04"/>
    <w:rsid w:val="00473AE2"/>
    <w:rsid w:val="00473BFF"/>
    <w:rsid w:val="00473C1B"/>
    <w:rsid w:val="00473CE3"/>
    <w:rsid w:val="00473F3A"/>
    <w:rsid w:val="00473F7E"/>
    <w:rsid w:val="00473FB2"/>
    <w:rsid w:val="00473FE0"/>
    <w:rsid w:val="00474006"/>
    <w:rsid w:val="004742F1"/>
    <w:rsid w:val="00474556"/>
    <w:rsid w:val="0047457D"/>
    <w:rsid w:val="0047458B"/>
    <w:rsid w:val="0047459D"/>
    <w:rsid w:val="004745AA"/>
    <w:rsid w:val="00474703"/>
    <w:rsid w:val="00474747"/>
    <w:rsid w:val="00474778"/>
    <w:rsid w:val="00474793"/>
    <w:rsid w:val="0047479A"/>
    <w:rsid w:val="004747A5"/>
    <w:rsid w:val="00474984"/>
    <w:rsid w:val="004749C9"/>
    <w:rsid w:val="004749F1"/>
    <w:rsid w:val="00474A6F"/>
    <w:rsid w:val="00474BEB"/>
    <w:rsid w:val="00474CB5"/>
    <w:rsid w:val="00474CC1"/>
    <w:rsid w:val="00474E2B"/>
    <w:rsid w:val="00474FCB"/>
    <w:rsid w:val="00474FF2"/>
    <w:rsid w:val="0047515E"/>
    <w:rsid w:val="004751DC"/>
    <w:rsid w:val="004752DF"/>
    <w:rsid w:val="00475356"/>
    <w:rsid w:val="00475403"/>
    <w:rsid w:val="004754D9"/>
    <w:rsid w:val="00475506"/>
    <w:rsid w:val="0047564E"/>
    <w:rsid w:val="004756E2"/>
    <w:rsid w:val="00475774"/>
    <w:rsid w:val="0047599C"/>
    <w:rsid w:val="00475A09"/>
    <w:rsid w:val="00475A56"/>
    <w:rsid w:val="00475ABB"/>
    <w:rsid w:val="00475ABD"/>
    <w:rsid w:val="00475B6F"/>
    <w:rsid w:val="00475CBF"/>
    <w:rsid w:val="00475D8C"/>
    <w:rsid w:val="00475DFA"/>
    <w:rsid w:val="00475E6D"/>
    <w:rsid w:val="00475FE0"/>
    <w:rsid w:val="00476268"/>
    <w:rsid w:val="0047640B"/>
    <w:rsid w:val="00476492"/>
    <w:rsid w:val="00476591"/>
    <w:rsid w:val="004766CC"/>
    <w:rsid w:val="004768AC"/>
    <w:rsid w:val="004768EA"/>
    <w:rsid w:val="00476962"/>
    <w:rsid w:val="00476AF8"/>
    <w:rsid w:val="00476B5D"/>
    <w:rsid w:val="00476CFF"/>
    <w:rsid w:val="00476D34"/>
    <w:rsid w:val="00476DE5"/>
    <w:rsid w:val="00476E18"/>
    <w:rsid w:val="00476F09"/>
    <w:rsid w:val="00476F4D"/>
    <w:rsid w:val="00477011"/>
    <w:rsid w:val="00477060"/>
    <w:rsid w:val="00477081"/>
    <w:rsid w:val="004770A1"/>
    <w:rsid w:val="00477163"/>
    <w:rsid w:val="00477206"/>
    <w:rsid w:val="004772CB"/>
    <w:rsid w:val="0047741C"/>
    <w:rsid w:val="00477505"/>
    <w:rsid w:val="0047759F"/>
    <w:rsid w:val="004775DE"/>
    <w:rsid w:val="0047764F"/>
    <w:rsid w:val="00477731"/>
    <w:rsid w:val="0047774A"/>
    <w:rsid w:val="0047782B"/>
    <w:rsid w:val="0047791E"/>
    <w:rsid w:val="00477A6E"/>
    <w:rsid w:val="00477B77"/>
    <w:rsid w:val="00477C2A"/>
    <w:rsid w:val="00477C4B"/>
    <w:rsid w:val="00477C8A"/>
    <w:rsid w:val="00477D9A"/>
    <w:rsid w:val="00477DF1"/>
    <w:rsid w:val="00477E44"/>
    <w:rsid w:val="00477E6B"/>
    <w:rsid w:val="00477F39"/>
    <w:rsid w:val="00480284"/>
    <w:rsid w:val="004802DF"/>
    <w:rsid w:val="004802FC"/>
    <w:rsid w:val="00480324"/>
    <w:rsid w:val="004803FF"/>
    <w:rsid w:val="0048043B"/>
    <w:rsid w:val="004804AF"/>
    <w:rsid w:val="004804F9"/>
    <w:rsid w:val="00480572"/>
    <w:rsid w:val="00480663"/>
    <w:rsid w:val="00480679"/>
    <w:rsid w:val="004806A0"/>
    <w:rsid w:val="004806FE"/>
    <w:rsid w:val="004806FF"/>
    <w:rsid w:val="0048077B"/>
    <w:rsid w:val="004807B2"/>
    <w:rsid w:val="004807E0"/>
    <w:rsid w:val="0048080C"/>
    <w:rsid w:val="00480847"/>
    <w:rsid w:val="00480888"/>
    <w:rsid w:val="004808E1"/>
    <w:rsid w:val="00480A7A"/>
    <w:rsid w:val="00480B6E"/>
    <w:rsid w:val="00480C72"/>
    <w:rsid w:val="00480CA9"/>
    <w:rsid w:val="00480DEF"/>
    <w:rsid w:val="00480FA8"/>
    <w:rsid w:val="00480FC3"/>
    <w:rsid w:val="00480FD8"/>
    <w:rsid w:val="00481017"/>
    <w:rsid w:val="004810E1"/>
    <w:rsid w:val="00481163"/>
    <w:rsid w:val="00481254"/>
    <w:rsid w:val="00481348"/>
    <w:rsid w:val="00481650"/>
    <w:rsid w:val="0048169A"/>
    <w:rsid w:val="00481725"/>
    <w:rsid w:val="004817C2"/>
    <w:rsid w:val="004817C9"/>
    <w:rsid w:val="004817D5"/>
    <w:rsid w:val="0048193F"/>
    <w:rsid w:val="004819FD"/>
    <w:rsid w:val="00481A56"/>
    <w:rsid w:val="00481B77"/>
    <w:rsid w:val="00481BE7"/>
    <w:rsid w:val="00481E35"/>
    <w:rsid w:val="00481EFF"/>
    <w:rsid w:val="00481F08"/>
    <w:rsid w:val="00481F2A"/>
    <w:rsid w:val="00481FEF"/>
    <w:rsid w:val="004820CD"/>
    <w:rsid w:val="00482133"/>
    <w:rsid w:val="004821A4"/>
    <w:rsid w:val="004821AE"/>
    <w:rsid w:val="004821EE"/>
    <w:rsid w:val="0048220D"/>
    <w:rsid w:val="00482322"/>
    <w:rsid w:val="004823BF"/>
    <w:rsid w:val="004825D4"/>
    <w:rsid w:val="004829F2"/>
    <w:rsid w:val="00482BA6"/>
    <w:rsid w:val="00482C5B"/>
    <w:rsid w:val="00482C91"/>
    <w:rsid w:val="00482D3D"/>
    <w:rsid w:val="00482D56"/>
    <w:rsid w:val="00482F7D"/>
    <w:rsid w:val="00483005"/>
    <w:rsid w:val="004830C1"/>
    <w:rsid w:val="004830DC"/>
    <w:rsid w:val="00483108"/>
    <w:rsid w:val="0048315E"/>
    <w:rsid w:val="0048327B"/>
    <w:rsid w:val="004832C8"/>
    <w:rsid w:val="0048338C"/>
    <w:rsid w:val="004833F7"/>
    <w:rsid w:val="0048354C"/>
    <w:rsid w:val="0048361E"/>
    <w:rsid w:val="00483721"/>
    <w:rsid w:val="004838A1"/>
    <w:rsid w:val="004838A7"/>
    <w:rsid w:val="004838B6"/>
    <w:rsid w:val="004839AE"/>
    <w:rsid w:val="00483A2C"/>
    <w:rsid w:val="00483A87"/>
    <w:rsid w:val="00483B87"/>
    <w:rsid w:val="00483BB1"/>
    <w:rsid w:val="00483BD4"/>
    <w:rsid w:val="00483C60"/>
    <w:rsid w:val="00483D69"/>
    <w:rsid w:val="00483D87"/>
    <w:rsid w:val="00483D91"/>
    <w:rsid w:val="00483E0A"/>
    <w:rsid w:val="00483E32"/>
    <w:rsid w:val="00483E39"/>
    <w:rsid w:val="00483F3D"/>
    <w:rsid w:val="00483FCD"/>
    <w:rsid w:val="00483FFD"/>
    <w:rsid w:val="00484026"/>
    <w:rsid w:val="0048406B"/>
    <w:rsid w:val="004840B0"/>
    <w:rsid w:val="004840FB"/>
    <w:rsid w:val="0048415F"/>
    <w:rsid w:val="0048418E"/>
    <w:rsid w:val="004841EC"/>
    <w:rsid w:val="00484320"/>
    <w:rsid w:val="00484389"/>
    <w:rsid w:val="00484390"/>
    <w:rsid w:val="00484521"/>
    <w:rsid w:val="004845C0"/>
    <w:rsid w:val="004849FD"/>
    <w:rsid w:val="00484ADF"/>
    <w:rsid w:val="00484DDA"/>
    <w:rsid w:val="00484E49"/>
    <w:rsid w:val="0048500D"/>
    <w:rsid w:val="004850BE"/>
    <w:rsid w:val="00485112"/>
    <w:rsid w:val="00485138"/>
    <w:rsid w:val="0048521B"/>
    <w:rsid w:val="0048525A"/>
    <w:rsid w:val="00485278"/>
    <w:rsid w:val="00485350"/>
    <w:rsid w:val="004853A9"/>
    <w:rsid w:val="004853C8"/>
    <w:rsid w:val="00485436"/>
    <w:rsid w:val="00485443"/>
    <w:rsid w:val="00485451"/>
    <w:rsid w:val="0048547F"/>
    <w:rsid w:val="004855A2"/>
    <w:rsid w:val="004855BB"/>
    <w:rsid w:val="0048578A"/>
    <w:rsid w:val="00485887"/>
    <w:rsid w:val="00485A64"/>
    <w:rsid w:val="00485C8C"/>
    <w:rsid w:val="00485CD9"/>
    <w:rsid w:val="00485CF1"/>
    <w:rsid w:val="00485D86"/>
    <w:rsid w:val="00485D9A"/>
    <w:rsid w:val="00485E3D"/>
    <w:rsid w:val="00485E6B"/>
    <w:rsid w:val="00485EC0"/>
    <w:rsid w:val="00485F82"/>
    <w:rsid w:val="004860DD"/>
    <w:rsid w:val="00486112"/>
    <w:rsid w:val="00486185"/>
    <w:rsid w:val="0048623D"/>
    <w:rsid w:val="00486259"/>
    <w:rsid w:val="00486275"/>
    <w:rsid w:val="00486288"/>
    <w:rsid w:val="00486314"/>
    <w:rsid w:val="0048647C"/>
    <w:rsid w:val="004864C7"/>
    <w:rsid w:val="004864E6"/>
    <w:rsid w:val="0048655D"/>
    <w:rsid w:val="00486629"/>
    <w:rsid w:val="00486645"/>
    <w:rsid w:val="004866FE"/>
    <w:rsid w:val="004867F0"/>
    <w:rsid w:val="004868A5"/>
    <w:rsid w:val="00486ACC"/>
    <w:rsid w:val="00486B36"/>
    <w:rsid w:val="00486B68"/>
    <w:rsid w:val="00486E92"/>
    <w:rsid w:val="0048700C"/>
    <w:rsid w:val="00487092"/>
    <w:rsid w:val="0048711A"/>
    <w:rsid w:val="004871AE"/>
    <w:rsid w:val="004871C1"/>
    <w:rsid w:val="00487257"/>
    <w:rsid w:val="004873F8"/>
    <w:rsid w:val="00487450"/>
    <w:rsid w:val="00487480"/>
    <w:rsid w:val="0048786E"/>
    <w:rsid w:val="00487881"/>
    <w:rsid w:val="0048789F"/>
    <w:rsid w:val="00487AA2"/>
    <w:rsid w:val="00487CFB"/>
    <w:rsid w:val="00487D14"/>
    <w:rsid w:val="00487D5D"/>
    <w:rsid w:val="00487DBE"/>
    <w:rsid w:val="004900CC"/>
    <w:rsid w:val="00490136"/>
    <w:rsid w:val="0049019A"/>
    <w:rsid w:val="0049032E"/>
    <w:rsid w:val="00490380"/>
    <w:rsid w:val="00490591"/>
    <w:rsid w:val="0049066F"/>
    <w:rsid w:val="00490775"/>
    <w:rsid w:val="004907D3"/>
    <w:rsid w:val="004908F8"/>
    <w:rsid w:val="00490A9D"/>
    <w:rsid w:val="00490B82"/>
    <w:rsid w:val="00490BED"/>
    <w:rsid w:val="00490BEF"/>
    <w:rsid w:val="00490D32"/>
    <w:rsid w:val="00490F1A"/>
    <w:rsid w:val="0049108C"/>
    <w:rsid w:val="004911DF"/>
    <w:rsid w:val="004911E3"/>
    <w:rsid w:val="00491399"/>
    <w:rsid w:val="004913FF"/>
    <w:rsid w:val="0049145C"/>
    <w:rsid w:val="00491557"/>
    <w:rsid w:val="00491603"/>
    <w:rsid w:val="00491685"/>
    <w:rsid w:val="0049172F"/>
    <w:rsid w:val="0049179C"/>
    <w:rsid w:val="0049180D"/>
    <w:rsid w:val="0049196B"/>
    <w:rsid w:val="004919C8"/>
    <w:rsid w:val="004919CC"/>
    <w:rsid w:val="00491B10"/>
    <w:rsid w:val="00491B34"/>
    <w:rsid w:val="00491B57"/>
    <w:rsid w:val="00491B88"/>
    <w:rsid w:val="00491BA2"/>
    <w:rsid w:val="00491BC5"/>
    <w:rsid w:val="00491D99"/>
    <w:rsid w:val="00491E88"/>
    <w:rsid w:val="00491E8E"/>
    <w:rsid w:val="00491FFE"/>
    <w:rsid w:val="0049203C"/>
    <w:rsid w:val="0049206D"/>
    <w:rsid w:val="0049209D"/>
    <w:rsid w:val="00492192"/>
    <w:rsid w:val="0049219F"/>
    <w:rsid w:val="00492257"/>
    <w:rsid w:val="00492277"/>
    <w:rsid w:val="00492285"/>
    <w:rsid w:val="00492342"/>
    <w:rsid w:val="004923D0"/>
    <w:rsid w:val="004923D4"/>
    <w:rsid w:val="00492429"/>
    <w:rsid w:val="004925DD"/>
    <w:rsid w:val="004925F8"/>
    <w:rsid w:val="004926E1"/>
    <w:rsid w:val="00492721"/>
    <w:rsid w:val="00492811"/>
    <w:rsid w:val="00492919"/>
    <w:rsid w:val="00492A18"/>
    <w:rsid w:val="00492AC7"/>
    <w:rsid w:val="00492B2D"/>
    <w:rsid w:val="00492B49"/>
    <w:rsid w:val="00492B6A"/>
    <w:rsid w:val="00492CE7"/>
    <w:rsid w:val="00492D08"/>
    <w:rsid w:val="00492EFA"/>
    <w:rsid w:val="00493094"/>
    <w:rsid w:val="00493220"/>
    <w:rsid w:val="004932F3"/>
    <w:rsid w:val="004934ED"/>
    <w:rsid w:val="00493629"/>
    <w:rsid w:val="0049366F"/>
    <w:rsid w:val="004936C5"/>
    <w:rsid w:val="0049379B"/>
    <w:rsid w:val="004937D2"/>
    <w:rsid w:val="00493816"/>
    <w:rsid w:val="00493884"/>
    <w:rsid w:val="00493898"/>
    <w:rsid w:val="004938A5"/>
    <w:rsid w:val="0049393B"/>
    <w:rsid w:val="00493B8B"/>
    <w:rsid w:val="00493C52"/>
    <w:rsid w:val="00493CA8"/>
    <w:rsid w:val="00493D3C"/>
    <w:rsid w:val="00493D75"/>
    <w:rsid w:val="00493D8D"/>
    <w:rsid w:val="00493DDA"/>
    <w:rsid w:val="00493E0E"/>
    <w:rsid w:val="00493F45"/>
    <w:rsid w:val="00494160"/>
    <w:rsid w:val="004941CD"/>
    <w:rsid w:val="004942A9"/>
    <w:rsid w:val="0049438C"/>
    <w:rsid w:val="004943E6"/>
    <w:rsid w:val="0049451C"/>
    <w:rsid w:val="0049459B"/>
    <w:rsid w:val="0049464F"/>
    <w:rsid w:val="00494707"/>
    <w:rsid w:val="00494859"/>
    <w:rsid w:val="00494961"/>
    <w:rsid w:val="0049498B"/>
    <w:rsid w:val="00494A84"/>
    <w:rsid w:val="00494B18"/>
    <w:rsid w:val="00494B55"/>
    <w:rsid w:val="00494B9B"/>
    <w:rsid w:val="00494BAC"/>
    <w:rsid w:val="00494BC3"/>
    <w:rsid w:val="00494BFE"/>
    <w:rsid w:val="00494C6A"/>
    <w:rsid w:val="00494D48"/>
    <w:rsid w:val="00494E6E"/>
    <w:rsid w:val="00494F5F"/>
    <w:rsid w:val="0049500B"/>
    <w:rsid w:val="0049510C"/>
    <w:rsid w:val="004951B9"/>
    <w:rsid w:val="0049536C"/>
    <w:rsid w:val="004953F2"/>
    <w:rsid w:val="0049546D"/>
    <w:rsid w:val="0049549F"/>
    <w:rsid w:val="004954B6"/>
    <w:rsid w:val="004954C4"/>
    <w:rsid w:val="004954D1"/>
    <w:rsid w:val="00495619"/>
    <w:rsid w:val="0049563B"/>
    <w:rsid w:val="00495666"/>
    <w:rsid w:val="00495676"/>
    <w:rsid w:val="00495687"/>
    <w:rsid w:val="004956B9"/>
    <w:rsid w:val="004956D2"/>
    <w:rsid w:val="004957CB"/>
    <w:rsid w:val="004957FD"/>
    <w:rsid w:val="004958C7"/>
    <w:rsid w:val="00495AA4"/>
    <w:rsid w:val="00495B27"/>
    <w:rsid w:val="00495B44"/>
    <w:rsid w:val="00495B50"/>
    <w:rsid w:val="00495C31"/>
    <w:rsid w:val="00495D84"/>
    <w:rsid w:val="00495DA3"/>
    <w:rsid w:val="00495E51"/>
    <w:rsid w:val="00495F2A"/>
    <w:rsid w:val="00495F72"/>
    <w:rsid w:val="00495F79"/>
    <w:rsid w:val="0049601F"/>
    <w:rsid w:val="00496070"/>
    <w:rsid w:val="0049607C"/>
    <w:rsid w:val="004960A6"/>
    <w:rsid w:val="004961A7"/>
    <w:rsid w:val="004961E1"/>
    <w:rsid w:val="00496232"/>
    <w:rsid w:val="004962C5"/>
    <w:rsid w:val="004962F2"/>
    <w:rsid w:val="004962F4"/>
    <w:rsid w:val="0049636F"/>
    <w:rsid w:val="004963A5"/>
    <w:rsid w:val="00496477"/>
    <w:rsid w:val="004964A6"/>
    <w:rsid w:val="004964B1"/>
    <w:rsid w:val="00496546"/>
    <w:rsid w:val="00496579"/>
    <w:rsid w:val="00496594"/>
    <w:rsid w:val="004965F6"/>
    <w:rsid w:val="004965FC"/>
    <w:rsid w:val="00496607"/>
    <w:rsid w:val="0049662D"/>
    <w:rsid w:val="00496659"/>
    <w:rsid w:val="004966D0"/>
    <w:rsid w:val="004967A9"/>
    <w:rsid w:val="00496823"/>
    <w:rsid w:val="00496885"/>
    <w:rsid w:val="00496943"/>
    <w:rsid w:val="004969D4"/>
    <w:rsid w:val="00496A47"/>
    <w:rsid w:val="00496B7D"/>
    <w:rsid w:val="00496C68"/>
    <w:rsid w:val="00496D13"/>
    <w:rsid w:val="00496D82"/>
    <w:rsid w:val="00496DF7"/>
    <w:rsid w:val="00496F95"/>
    <w:rsid w:val="00497075"/>
    <w:rsid w:val="00497239"/>
    <w:rsid w:val="0049724B"/>
    <w:rsid w:val="004972C0"/>
    <w:rsid w:val="00497430"/>
    <w:rsid w:val="00497448"/>
    <w:rsid w:val="00497532"/>
    <w:rsid w:val="00497668"/>
    <w:rsid w:val="004977A1"/>
    <w:rsid w:val="004977B7"/>
    <w:rsid w:val="004977E4"/>
    <w:rsid w:val="0049795F"/>
    <w:rsid w:val="00497967"/>
    <w:rsid w:val="0049797A"/>
    <w:rsid w:val="00497A0D"/>
    <w:rsid w:val="00497A97"/>
    <w:rsid w:val="00497AA2"/>
    <w:rsid w:val="00497AB2"/>
    <w:rsid w:val="00497C29"/>
    <w:rsid w:val="00497C38"/>
    <w:rsid w:val="00497C55"/>
    <w:rsid w:val="00497DE6"/>
    <w:rsid w:val="00497E4E"/>
    <w:rsid w:val="00497EEC"/>
    <w:rsid w:val="004A007B"/>
    <w:rsid w:val="004A00F6"/>
    <w:rsid w:val="004A00FB"/>
    <w:rsid w:val="004A01DF"/>
    <w:rsid w:val="004A034D"/>
    <w:rsid w:val="004A03B6"/>
    <w:rsid w:val="004A041E"/>
    <w:rsid w:val="004A055B"/>
    <w:rsid w:val="004A06A7"/>
    <w:rsid w:val="004A06D5"/>
    <w:rsid w:val="004A06F2"/>
    <w:rsid w:val="004A0B23"/>
    <w:rsid w:val="004A0BB9"/>
    <w:rsid w:val="004A0BD8"/>
    <w:rsid w:val="004A0BE9"/>
    <w:rsid w:val="004A0BF3"/>
    <w:rsid w:val="004A0CD2"/>
    <w:rsid w:val="004A0DCC"/>
    <w:rsid w:val="004A0E73"/>
    <w:rsid w:val="004A0E76"/>
    <w:rsid w:val="004A0E7F"/>
    <w:rsid w:val="004A0EB9"/>
    <w:rsid w:val="004A0EC7"/>
    <w:rsid w:val="004A0F73"/>
    <w:rsid w:val="004A0F90"/>
    <w:rsid w:val="004A0FEF"/>
    <w:rsid w:val="004A10AB"/>
    <w:rsid w:val="004A11D2"/>
    <w:rsid w:val="004A1378"/>
    <w:rsid w:val="004A1507"/>
    <w:rsid w:val="004A1579"/>
    <w:rsid w:val="004A160F"/>
    <w:rsid w:val="004A175E"/>
    <w:rsid w:val="004A17AE"/>
    <w:rsid w:val="004A17E1"/>
    <w:rsid w:val="004A17EE"/>
    <w:rsid w:val="004A1826"/>
    <w:rsid w:val="004A1829"/>
    <w:rsid w:val="004A1835"/>
    <w:rsid w:val="004A1A8F"/>
    <w:rsid w:val="004A1AA0"/>
    <w:rsid w:val="004A1B16"/>
    <w:rsid w:val="004A1B3E"/>
    <w:rsid w:val="004A1B83"/>
    <w:rsid w:val="004A1BA7"/>
    <w:rsid w:val="004A1C75"/>
    <w:rsid w:val="004A1CC7"/>
    <w:rsid w:val="004A1D1E"/>
    <w:rsid w:val="004A1EA3"/>
    <w:rsid w:val="004A2162"/>
    <w:rsid w:val="004A231E"/>
    <w:rsid w:val="004A233B"/>
    <w:rsid w:val="004A2423"/>
    <w:rsid w:val="004A246A"/>
    <w:rsid w:val="004A24D9"/>
    <w:rsid w:val="004A2671"/>
    <w:rsid w:val="004A2729"/>
    <w:rsid w:val="004A2846"/>
    <w:rsid w:val="004A287E"/>
    <w:rsid w:val="004A290D"/>
    <w:rsid w:val="004A294A"/>
    <w:rsid w:val="004A2952"/>
    <w:rsid w:val="004A29C9"/>
    <w:rsid w:val="004A2A0E"/>
    <w:rsid w:val="004A2A32"/>
    <w:rsid w:val="004A2A6B"/>
    <w:rsid w:val="004A2B1E"/>
    <w:rsid w:val="004A2B22"/>
    <w:rsid w:val="004A2B50"/>
    <w:rsid w:val="004A2B7E"/>
    <w:rsid w:val="004A2BCC"/>
    <w:rsid w:val="004A2BD5"/>
    <w:rsid w:val="004A2D44"/>
    <w:rsid w:val="004A2D5F"/>
    <w:rsid w:val="004A2E32"/>
    <w:rsid w:val="004A2F24"/>
    <w:rsid w:val="004A3001"/>
    <w:rsid w:val="004A3007"/>
    <w:rsid w:val="004A308E"/>
    <w:rsid w:val="004A30D6"/>
    <w:rsid w:val="004A30F4"/>
    <w:rsid w:val="004A311F"/>
    <w:rsid w:val="004A31B5"/>
    <w:rsid w:val="004A3204"/>
    <w:rsid w:val="004A3284"/>
    <w:rsid w:val="004A3399"/>
    <w:rsid w:val="004A33AA"/>
    <w:rsid w:val="004A349D"/>
    <w:rsid w:val="004A34EC"/>
    <w:rsid w:val="004A35D3"/>
    <w:rsid w:val="004A3658"/>
    <w:rsid w:val="004A372C"/>
    <w:rsid w:val="004A3832"/>
    <w:rsid w:val="004A39D1"/>
    <w:rsid w:val="004A3A8A"/>
    <w:rsid w:val="004A3ADD"/>
    <w:rsid w:val="004A3B44"/>
    <w:rsid w:val="004A3C24"/>
    <w:rsid w:val="004A3EA5"/>
    <w:rsid w:val="004A3F67"/>
    <w:rsid w:val="004A3F8A"/>
    <w:rsid w:val="004A3F9F"/>
    <w:rsid w:val="004A3FA9"/>
    <w:rsid w:val="004A3FE8"/>
    <w:rsid w:val="004A40DA"/>
    <w:rsid w:val="004A4131"/>
    <w:rsid w:val="004A414B"/>
    <w:rsid w:val="004A41D9"/>
    <w:rsid w:val="004A4206"/>
    <w:rsid w:val="004A423C"/>
    <w:rsid w:val="004A4252"/>
    <w:rsid w:val="004A4367"/>
    <w:rsid w:val="004A440A"/>
    <w:rsid w:val="004A44A2"/>
    <w:rsid w:val="004A44A4"/>
    <w:rsid w:val="004A45A0"/>
    <w:rsid w:val="004A45C1"/>
    <w:rsid w:val="004A471B"/>
    <w:rsid w:val="004A4960"/>
    <w:rsid w:val="004A4984"/>
    <w:rsid w:val="004A49E8"/>
    <w:rsid w:val="004A4B33"/>
    <w:rsid w:val="004A4C7E"/>
    <w:rsid w:val="004A4D99"/>
    <w:rsid w:val="004A4EBF"/>
    <w:rsid w:val="004A4F10"/>
    <w:rsid w:val="004A4F22"/>
    <w:rsid w:val="004A4F28"/>
    <w:rsid w:val="004A5078"/>
    <w:rsid w:val="004A50CF"/>
    <w:rsid w:val="004A50DD"/>
    <w:rsid w:val="004A5161"/>
    <w:rsid w:val="004A52E3"/>
    <w:rsid w:val="004A52E7"/>
    <w:rsid w:val="004A5441"/>
    <w:rsid w:val="004A55B3"/>
    <w:rsid w:val="004A5685"/>
    <w:rsid w:val="004A568A"/>
    <w:rsid w:val="004A56F5"/>
    <w:rsid w:val="004A5812"/>
    <w:rsid w:val="004A583E"/>
    <w:rsid w:val="004A5985"/>
    <w:rsid w:val="004A5A8E"/>
    <w:rsid w:val="004A5ACC"/>
    <w:rsid w:val="004A5B9C"/>
    <w:rsid w:val="004A5C66"/>
    <w:rsid w:val="004A5FF9"/>
    <w:rsid w:val="004A6047"/>
    <w:rsid w:val="004A607B"/>
    <w:rsid w:val="004A6176"/>
    <w:rsid w:val="004A61C1"/>
    <w:rsid w:val="004A6238"/>
    <w:rsid w:val="004A63CC"/>
    <w:rsid w:val="004A6417"/>
    <w:rsid w:val="004A653A"/>
    <w:rsid w:val="004A657B"/>
    <w:rsid w:val="004A67D2"/>
    <w:rsid w:val="004A6836"/>
    <w:rsid w:val="004A68A4"/>
    <w:rsid w:val="004A696C"/>
    <w:rsid w:val="004A6AEF"/>
    <w:rsid w:val="004A6B2F"/>
    <w:rsid w:val="004A6C9F"/>
    <w:rsid w:val="004A6D08"/>
    <w:rsid w:val="004A6D88"/>
    <w:rsid w:val="004A6DDE"/>
    <w:rsid w:val="004A6E0C"/>
    <w:rsid w:val="004A6F7B"/>
    <w:rsid w:val="004A7061"/>
    <w:rsid w:val="004A7165"/>
    <w:rsid w:val="004A71E3"/>
    <w:rsid w:val="004A7244"/>
    <w:rsid w:val="004A724C"/>
    <w:rsid w:val="004A7289"/>
    <w:rsid w:val="004A72CD"/>
    <w:rsid w:val="004A72CF"/>
    <w:rsid w:val="004A73ED"/>
    <w:rsid w:val="004A740C"/>
    <w:rsid w:val="004A7450"/>
    <w:rsid w:val="004A757F"/>
    <w:rsid w:val="004A75FA"/>
    <w:rsid w:val="004A75FE"/>
    <w:rsid w:val="004A7755"/>
    <w:rsid w:val="004A7759"/>
    <w:rsid w:val="004A778F"/>
    <w:rsid w:val="004A7800"/>
    <w:rsid w:val="004A787A"/>
    <w:rsid w:val="004A79B2"/>
    <w:rsid w:val="004A7A4F"/>
    <w:rsid w:val="004A7B4A"/>
    <w:rsid w:val="004A7C56"/>
    <w:rsid w:val="004A7D75"/>
    <w:rsid w:val="004A7E99"/>
    <w:rsid w:val="004A7F4B"/>
    <w:rsid w:val="004A7FBC"/>
    <w:rsid w:val="004B01A4"/>
    <w:rsid w:val="004B01C8"/>
    <w:rsid w:val="004B0314"/>
    <w:rsid w:val="004B0579"/>
    <w:rsid w:val="004B0622"/>
    <w:rsid w:val="004B087C"/>
    <w:rsid w:val="004B091F"/>
    <w:rsid w:val="004B093C"/>
    <w:rsid w:val="004B099A"/>
    <w:rsid w:val="004B0A3E"/>
    <w:rsid w:val="004B0A70"/>
    <w:rsid w:val="004B0AAA"/>
    <w:rsid w:val="004B0AED"/>
    <w:rsid w:val="004B0CB0"/>
    <w:rsid w:val="004B0D45"/>
    <w:rsid w:val="004B0D7F"/>
    <w:rsid w:val="004B0DF0"/>
    <w:rsid w:val="004B0F1D"/>
    <w:rsid w:val="004B0FA3"/>
    <w:rsid w:val="004B0FC6"/>
    <w:rsid w:val="004B1210"/>
    <w:rsid w:val="004B13DC"/>
    <w:rsid w:val="004B147D"/>
    <w:rsid w:val="004B15B6"/>
    <w:rsid w:val="004B15D3"/>
    <w:rsid w:val="004B16C8"/>
    <w:rsid w:val="004B174A"/>
    <w:rsid w:val="004B1872"/>
    <w:rsid w:val="004B18FE"/>
    <w:rsid w:val="004B1A8D"/>
    <w:rsid w:val="004B1AF2"/>
    <w:rsid w:val="004B1B70"/>
    <w:rsid w:val="004B1D1E"/>
    <w:rsid w:val="004B1F0D"/>
    <w:rsid w:val="004B1F51"/>
    <w:rsid w:val="004B21A5"/>
    <w:rsid w:val="004B21E2"/>
    <w:rsid w:val="004B220D"/>
    <w:rsid w:val="004B2373"/>
    <w:rsid w:val="004B24F0"/>
    <w:rsid w:val="004B255D"/>
    <w:rsid w:val="004B281E"/>
    <w:rsid w:val="004B2991"/>
    <w:rsid w:val="004B2A9D"/>
    <w:rsid w:val="004B2C6F"/>
    <w:rsid w:val="004B2C85"/>
    <w:rsid w:val="004B2E0E"/>
    <w:rsid w:val="004B2F7E"/>
    <w:rsid w:val="004B2FA0"/>
    <w:rsid w:val="004B3060"/>
    <w:rsid w:val="004B3099"/>
    <w:rsid w:val="004B3237"/>
    <w:rsid w:val="004B3245"/>
    <w:rsid w:val="004B3260"/>
    <w:rsid w:val="004B32AF"/>
    <w:rsid w:val="004B3351"/>
    <w:rsid w:val="004B335B"/>
    <w:rsid w:val="004B34F0"/>
    <w:rsid w:val="004B35E7"/>
    <w:rsid w:val="004B366B"/>
    <w:rsid w:val="004B3757"/>
    <w:rsid w:val="004B3814"/>
    <w:rsid w:val="004B389C"/>
    <w:rsid w:val="004B3AF6"/>
    <w:rsid w:val="004B3BC8"/>
    <w:rsid w:val="004B3C21"/>
    <w:rsid w:val="004B3D34"/>
    <w:rsid w:val="004B3E4D"/>
    <w:rsid w:val="004B3E83"/>
    <w:rsid w:val="004B3EBF"/>
    <w:rsid w:val="004B407D"/>
    <w:rsid w:val="004B40E7"/>
    <w:rsid w:val="004B41FE"/>
    <w:rsid w:val="004B4241"/>
    <w:rsid w:val="004B42FE"/>
    <w:rsid w:val="004B42FF"/>
    <w:rsid w:val="004B436E"/>
    <w:rsid w:val="004B43AF"/>
    <w:rsid w:val="004B43F7"/>
    <w:rsid w:val="004B4487"/>
    <w:rsid w:val="004B44ED"/>
    <w:rsid w:val="004B4501"/>
    <w:rsid w:val="004B4671"/>
    <w:rsid w:val="004B46F0"/>
    <w:rsid w:val="004B471D"/>
    <w:rsid w:val="004B48E6"/>
    <w:rsid w:val="004B4999"/>
    <w:rsid w:val="004B49EE"/>
    <w:rsid w:val="004B4A3F"/>
    <w:rsid w:val="004B4A82"/>
    <w:rsid w:val="004B4AA6"/>
    <w:rsid w:val="004B4ACD"/>
    <w:rsid w:val="004B4C14"/>
    <w:rsid w:val="004B4DCC"/>
    <w:rsid w:val="004B4E45"/>
    <w:rsid w:val="004B53D3"/>
    <w:rsid w:val="004B53FF"/>
    <w:rsid w:val="004B5485"/>
    <w:rsid w:val="004B551D"/>
    <w:rsid w:val="004B56B8"/>
    <w:rsid w:val="004B56C6"/>
    <w:rsid w:val="004B575D"/>
    <w:rsid w:val="004B5793"/>
    <w:rsid w:val="004B5976"/>
    <w:rsid w:val="004B5A41"/>
    <w:rsid w:val="004B5A69"/>
    <w:rsid w:val="004B5B03"/>
    <w:rsid w:val="004B5B18"/>
    <w:rsid w:val="004B5C49"/>
    <w:rsid w:val="004B5C60"/>
    <w:rsid w:val="004B5C87"/>
    <w:rsid w:val="004B5CEE"/>
    <w:rsid w:val="004B5D6A"/>
    <w:rsid w:val="004B5E5B"/>
    <w:rsid w:val="004B5EB9"/>
    <w:rsid w:val="004B5EF3"/>
    <w:rsid w:val="004B5F9C"/>
    <w:rsid w:val="004B6092"/>
    <w:rsid w:val="004B6096"/>
    <w:rsid w:val="004B611A"/>
    <w:rsid w:val="004B6178"/>
    <w:rsid w:val="004B6309"/>
    <w:rsid w:val="004B638C"/>
    <w:rsid w:val="004B63B4"/>
    <w:rsid w:val="004B6466"/>
    <w:rsid w:val="004B64EB"/>
    <w:rsid w:val="004B66A0"/>
    <w:rsid w:val="004B6838"/>
    <w:rsid w:val="004B6850"/>
    <w:rsid w:val="004B69D6"/>
    <w:rsid w:val="004B6A1F"/>
    <w:rsid w:val="004B6A2B"/>
    <w:rsid w:val="004B6B48"/>
    <w:rsid w:val="004B6C13"/>
    <w:rsid w:val="004B6C82"/>
    <w:rsid w:val="004B6D07"/>
    <w:rsid w:val="004B6D65"/>
    <w:rsid w:val="004B6D96"/>
    <w:rsid w:val="004B6DB1"/>
    <w:rsid w:val="004B6DE4"/>
    <w:rsid w:val="004B6E40"/>
    <w:rsid w:val="004B6EB7"/>
    <w:rsid w:val="004B6EBE"/>
    <w:rsid w:val="004B6EDD"/>
    <w:rsid w:val="004B6F87"/>
    <w:rsid w:val="004B6FAD"/>
    <w:rsid w:val="004B6FDD"/>
    <w:rsid w:val="004B7072"/>
    <w:rsid w:val="004B7074"/>
    <w:rsid w:val="004B707F"/>
    <w:rsid w:val="004B7080"/>
    <w:rsid w:val="004B723A"/>
    <w:rsid w:val="004B7263"/>
    <w:rsid w:val="004B72EF"/>
    <w:rsid w:val="004B7473"/>
    <w:rsid w:val="004B747B"/>
    <w:rsid w:val="004B7A1C"/>
    <w:rsid w:val="004B7B6F"/>
    <w:rsid w:val="004B7BF0"/>
    <w:rsid w:val="004B7CD6"/>
    <w:rsid w:val="004B7CDE"/>
    <w:rsid w:val="004B7CE7"/>
    <w:rsid w:val="004B7D81"/>
    <w:rsid w:val="004B7DD4"/>
    <w:rsid w:val="004B7E06"/>
    <w:rsid w:val="004B7EFD"/>
    <w:rsid w:val="004B7F46"/>
    <w:rsid w:val="004C00E6"/>
    <w:rsid w:val="004C01B4"/>
    <w:rsid w:val="004C0260"/>
    <w:rsid w:val="004C035F"/>
    <w:rsid w:val="004C042D"/>
    <w:rsid w:val="004C0674"/>
    <w:rsid w:val="004C06AF"/>
    <w:rsid w:val="004C06E6"/>
    <w:rsid w:val="004C0721"/>
    <w:rsid w:val="004C0827"/>
    <w:rsid w:val="004C0852"/>
    <w:rsid w:val="004C096B"/>
    <w:rsid w:val="004C096F"/>
    <w:rsid w:val="004C09AA"/>
    <w:rsid w:val="004C09C7"/>
    <w:rsid w:val="004C0A2D"/>
    <w:rsid w:val="004C0AC9"/>
    <w:rsid w:val="004C0B3C"/>
    <w:rsid w:val="004C0C5D"/>
    <w:rsid w:val="004C0C76"/>
    <w:rsid w:val="004C0CEC"/>
    <w:rsid w:val="004C0DA9"/>
    <w:rsid w:val="004C0EC9"/>
    <w:rsid w:val="004C0F80"/>
    <w:rsid w:val="004C0F98"/>
    <w:rsid w:val="004C1244"/>
    <w:rsid w:val="004C1377"/>
    <w:rsid w:val="004C1425"/>
    <w:rsid w:val="004C1682"/>
    <w:rsid w:val="004C1756"/>
    <w:rsid w:val="004C175F"/>
    <w:rsid w:val="004C18C3"/>
    <w:rsid w:val="004C18CB"/>
    <w:rsid w:val="004C1B6D"/>
    <w:rsid w:val="004C1BB3"/>
    <w:rsid w:val="004C1C0E"/>
    <w:rsid w:val="004C1D32"/>
    <w:rsid w:val="004C1D92"/>
    <w:rsid w:val="004C1DAE"/>
    <w:rsid w:val="004C1E49"/>
    <w:rsid w:val="004C1E4F"/>
    <w:rsid w:val="004C1E6F"/>
    <w:rsid w:val="004C1EB5"/>
    <w:rsid w:val="004C1F6F"/>
    <w:rsid w:val="004C215C"/>
    <w:rsid w:val="004C2169"/>
    <w:rsid w:val="004C236F"/>
    <w:rsid w:val="004C23F1"/>
    <w:rsid w:val="004C2406"/>
    <w:rsid w:val="004C2480"/>
    <w:rsid w:val="004C24D0"/>
    <w:rsid w:val="004C25F2"/>
    <w:rsid w:val="004C2682"/>
    <w:rsid w:val="004C2800"/>
    <w:rsid w:val="004C2808"/>
    <w:rsid w:val="004C28E4"/>
    <w:rsid w:val="004C28E9"/>
    <w:rsid w:val="004C29DA"/>
    <w:rsid w:val="004C2C1E"/>
    <w:rsid w:val="004C2D85"/>
    <w:rsid w:val="004C2D90"/>
    <w:rsid w:val="004C2DA4"/>
    <w:rsid w:val="004C2DAD"/>
    <w:rsid w:val="004C2E91"/>
    <w:rsid w:val="004C2E98"/>
    <w:rsid w:val="004C2EE3"/>
    <w:rsid w:val="004C2F37"/>
    <w:rsid w:val="004C3041"/>
    <w:rsid w:val="004C30C6"/>
    <w:rsid w:val="004C324D"/>
    <w:rsid w:val="004C3577"/>
    <w:rsid w:val="004C36BF"/>
    <w:rsid w:val="004C3700"/>
    <w:rsid w:val="004C37D2"/>
    <w:rsid w:val="004C37EC"/>
    <w:rsid w:val="004C3845"/>
    <w:rsid w:val="004C3902"/>
    <w:rsid w:val="004C392A"/>
    <w:rsid w:val="004C3991"/>
    <w:rsid w:val="004C39DB"/>
    <w:rsid w:val="004C3A7B"/>
    <w:rsid w:val="004C3AA3"/>
    <w:rsid w:val="004C3C5A"/>
    <w:rsid w:val="004C3D6D"/>
    <w:rsid w:val="004C3E6E"/>
    <w:rsid w:val="004C3EF3"/>
    <w:rsid w:val="004C42CA"/>
    <w:rsid w:val="004C43EF"/>
    <w:rsid w:val="004C4529"/>
    <w:rsid w:val="004C452B"/>
    <w:rsid w:val="004C45DE"/>
    <w:rsid w:val="004C4677"/>
    <w:rsid w:val="004C495B"/>
    <w:rsid w:val="004C49A3"/>
    <w:rsid w:val="004C49BE"/>
    <w:rsid w:val="004C4A31"/>
    <w:rsid w:val="004C4A36"/>
    <w:rsid w:val="004C4AC2"/>
    <w:rsid w:val="004C4BC8"/>
    <w:rsid w:val="004C4BD4"/>
    <w:rsid w:val="004C4BF5"/>
    <w:rsid w:val="004C4C53"/>
    <w:rsid w:val="004C4CC0"/>
    <w:rsid w:val="004C4CC6"/>
    <w:rsid w:val="004C4D3A"/>
    <w:rsid w:val="004C4D44"/>
    <w:rsid w:val="004C4E14"/>
    <w:rsid w:val="004C4EE5"/>
    <w:rsid w:val="004C4FA6"/>
    <w:rsid w:val="004C4FC9"/>
    <w:rsid w:val="004C5034"/>
    <w:rsid w:val="004C5040"/>
    <w:rsid w:val="004C5053"/>
    <w:rsid w:val="004C50B4"/>
    <w:rsid w:val="004C50C3"/>
    <w:rsid w:val="004C5330"/>
    <w:rsid w:val="004C544A"/>
    <w:rsid w:val="004C547C"/>
    <w:rsid w:val="004C5625"/>
    <w:rsid w:val="004C5791"/>
    <w:rsid w:val="004C583E"/>
    <w:rsid w:val="004C5880"/>
    <w:rsid w:val="004C5953"/>
    <w:rsid w:val="004C5966"/>
    <w:rsid w:val="004C5A02"/>
    <w:rsid w:val="004C5A48"/>
    <w:rsid w:val="004C5A9D"/>
    <w:rsid w:val="004C5CAC"/>
    <w:rsid w:val="004C5CC8"/>
    <w:rsid w:val="004C5D08"/>
    <w:rsid w:val="004C5DA9"/>
    <w:rsid w:val="004C5DB9"/>
    <w:rsid w:val="004C5EE7"/>
    <w:rsid w:val="004C5F3E"/>
    <w:rsid w:val="004C5FDC"/>
    <w:rsid w:val="004C5FED"/>
    <w:rsid w:val="004C6069"/>
    <w:rsid w:val="004C60D7"/>
    <w:rsid w:val="004C60E7"/>
    <w:rsid w:val="004C60FB"/>
    <w:rsid w:val="004C6482"/>
    <w:rsid w:val="004C6775"/>
    <w:rsid w:val="004C6789"/>
    <w:rsid w:val="004C6800"/>
    <w:rsid w:val="004C697C"/>
    <w:rsid w:val="004C6BAE"/>
    <w:rsid w:val="004C6C0B"/>
    <w:rsid w:val="004C6C50"/>
    <w:rsid w:val="004C6CA0"/>
    <w:rsid w:val="004C6CEF"/>
    <w:rsid w:val="004C6ECB"/>
    <w:rsid w:val="004C6F45"/>
    <w:rsid w:val="004C6F6C"/>
    <w:rsid w:val="004C714C"/>
    <w:rsid w:val="004C740D"/>
    <w:rsid w:val="004C758F"/>
    <w:rsid w:val="004C763F"/>
    <w:rsid w:val="004C7671"/>
    <w:rsid w:val="004C7740"/>
    <w:rsid w:val="004C7836"/>
    <w:rsid w:val="004C7910"/>
    <w:rsid w:val="004C791E"/>
    <w:rsid w:val="004C79B8"/>
    <w:rsid w:val="004C7A22"/>
    <w:rsid w:val="004C7AC5"/>
    <w:rsid w:val="004C7B47"/>
    <w:rsid w:val="004C7C05"/>
    <w:rsid w:val="004C7DA7"/>
    <w:rsid w:val="004C7DB7"/>
    <w:rsid w:val="004C7E42"/>
    <w:rsid w:val="004C7F6B"/>
    <w:rsid w:val="004C7FCD"/>
    <w:rsid w:val="004C7FFE"/>
    <w:rsid w:val="004D00D4"/>
    <w:rsid w:val="004D01D4"/>
    <w:rsid w:val="004D01D5"/>
    <w:rsid w:val="004D02FB"/>
    <w:rsid w:val="004D0434"/>
    <w:rsid w:val="004D054D"/>
    <w:rsid w:val="004D063E"/>
    <w:rsid w:val="004D0660"/>
    <w:rsid w:val="004D0758"/>
    <w:rsid w:val="004D075F"/>
    <w:rsid w:val="004D081E"/>
    <w:rsid w:val="004D0900"/>
    <w:rsid w:val="004D096A"/>
    <w:rsid w:val="004D0A4F"/>
    <w:rsid w:val="004D0A82"/>
    <w:rsid w:val="004D0B41"/>
    <w:rsid w:val="004D0BC9"/>
    <w:rsid w:val="004D0C31"/>
    <w:rsid w:val="004D0CA0"/>
    <w:rsid w:val="004D0D61"/>
    <w:rsid w:val="004D0E53"/>
    <w:rsid w:val="004D0FC9"/>
    <w:rsid w:val="004D1009"/>
    <w:rsid w:val="004D1095"/>
    <w:rsid w:val="004D1118"/>
    <w:rsid w:val="004D1195"/>
    <w:rsid w:val="004D12FC"/>
    <w:rsid w:val="004D1370"/>
    <w:rsid w:val="004D13A1"/>
    <w:rsid w:val="004D13C0"/>
    <w:rsid w:val="004D13FD"/>
    <w:rsid w:val="004D150C"/>
    <w:rsid w:val="004D1655"/>
    <w:rsid w:val="004D173C"/>
    <w:rsid w:val="004D1748"/>
    <w:rsid w:val="004D1751"/>
    <w:rsid w:val="004D175C"/>
    <w:rsid w:val="004D17BF"/>
    <w:rsid w:val="004D181F"/>
    <w:rsid w:val="004D186E"/>
    <w:rsid w:val="004D1910"/>
    <w:rsid w:val="004D19EE"/>
    <w:rsid w:val="004D1B03"/>
    <w:rsid w:val="004D1BF4"/>
    <w:rsid w:val="004D1C35"/>
    <w:rsid w:val="004D1C80"/>
    <w:rsid w:val="004D1CB0"/>
    <w:rsid w:val="004D1D7B"/>
    <w:rsid w:val="004D1F7D"/>
    <w:rsid w:val="004D1FCF"/>
    <w:rsid w:val="004D203D"/>
    <w:rsid w:val="004D2131"/>
    <w:rsid w:val="004D2149"/>
    <w:rsid w:val="004D2151"/>
    <w:rsid w:val="004D21F2"/>
    <w:rsid w:val="004D232A"/>
    <w:rsid w:val="004D2368"/>
    <w:rsid w:val="004D2511"/>
    <w:rsid w:val="004D253C"/>
    <w:rsid w:val="004D26C2"/>
    <w:rsid w:val="004D26EE"/>
    <w:rsid w:val="004D279F"/>
    <w:rsid w:val="004D2889"/>
    <w:rsid w:val="004D2897"/>
    <w:rsid w:val="004D28DA"/>
    <w:rsid w:val="004D2952"/>
    <w:rsid w:val="004D2AC3"/>
    <w:rsid w:val="004D2BED"/>
    <w:rsid w:val="004D2CEE"/>
    <w:rsid w:val="004D2D2A"/>
    <w:rsid w:val="004D2E48"/>
    <w:rsid w:val="004D2FF5"/>
    <w:rsid w:val="004D31B5"/>
    <w:rsid w:val="004D3344"/>
    <w:rsid w:val="004D3348"/>
    <w:rsid w:val="004D3503"/>
    <w:rsid w:val="004D359C"/>
    <w:rsid w:val="004D35DA"/>
    <w:rsid w:val="004D35F6"/>
    <w:rsid w:val="004D364B"/>
    <w:rsid w:val="004D37A7"/>
    <w:rsid w:val="004D37CD"/>
    <w:rsid w:val="004D38E6"/>
    <w:rsid w:val="004D3AD7"/>
    <w:rsid w:val="004D3C94"/>
    <w:rsid w:val="004D3CE5"/>
    <w:rsid w:val="004D3DFA"/>
    <w:rsid w:val="004D3E3F"/>
    <w:rsid w:val="004D3E6A"/>
    <w:rsid w:val="004D3EAD"/>
    <w:rsid w:val="004D3EC3"/>
    <w:rsid w:val="004D4032"/>
    <w:rsid w:val="004D41CB"/>
    <w:rsid w:val="004D44E4"/>
    <w:rsid w:val="004D4500"/>
    <w:rsid w:val="004D45FC"/>
    <w:rsid w:val="004D46D7"/>
    <w:rsid w:val="004D4799"/>
    <w:rsid w:val="004D47C2"/>
    <w:rsid w:val="004D47EC"/>
    <w:rsid w:val="004D487B"/>
    <w:rsid w:val="004D497A"/>
    <w:rsid w:val="004D49B6"/>
    <w:rsid w:val="004D49B8"/>
    <w:rsid w:val="004D49B9"/>
    <w:rsid w:val="004D4AAF"/>
    <w:rsid w:val="004D4AE1"/>
    <w:rsid w:val="004D4BA2"/>
    <w:rsid w:val="004D4D2A"/>
    <w:rsid w:val="004D4E17"/>
    <w:rsid w:val="004D4E37"/>
    <w:rsid w:val="004D4E49"/>
    <w:rsid w:val="004D4F05"/>
    <w:rsid w:val="004D4F42"/>
    <w:rsid w:val="004D4F51"/>
    <w:rsid w:val="004D4FBD"/>
    <w:rsid w:val="004D50C4"/>
    <w:rsid w:val="004D5248"/>
    <w:rsid w:val="004D5426"/>
    <w:rsid w:val="004D5441"/>
    <w:rsid w:val="004D568D"/>
    <w:rsid w:val="004D571F"/>
    <w:rsid w:val="004D574F"/>
    <w:rsid w:val="004D589A"/>
    <w:rsid w:val="004D58BF"/>
    <w:rsid w:val="004D58F6"/>
    <w:rsid w:val="004D5B70"/>
    <w:rsid w:val="004D5C0F"/>
    <w:rsid w:val="004D5E34"/>
    <w:rsid w:val="004D5E82"/>
    <w:rsid w:val="004D5EEC"/>
    <w:rsid w:val="004D6143"/>
    <w:rsid w:val="004D61B0"/>
    <w:rsid w:val="004D61CD"/>
    <w:rsid w:val="004D63D7"/>
    <w:rsid w:val="004D63EC"/>
    <w:rsid w:val="004D664D"/>
    <w:rsid w:val="004D66B5"/>
    <w:rsid w:val="004D6731"/>
    <w:rsid w:val="004D681A"/>
    <w:rsid w:val="004D6858"/>
    <w:rsid w:val="004D688F"/>
    <w:rsid w:val="004D68B2"/>
    <w:rsid w:val="004D68E1"/>
    <w:rsid w:val="004D68E8"/>
    <w:rsid w:val="004D6A7D"/>
    <w:rsid w:val="004D6B01"/>
    <w:rsid w:val="004D6B2D"/>
    <w:rsid w:val="004D6C1D"/>
    <w:rsid w:val="004D6CD2"/>
    <w:rsid w:val="004D6CD4"/>
    <w:rsid w:val="004D6D80"/>
    <w:rsid w:val="004D6E46"/>
    <w:rsid w:val="004D6EF8"/>
    <w:rsid w:val="004D7041"/>
    <w:rsid w:val="004D70D9"/>
    <w:rsid w:val="004D70DD"/>
    <w:rsid w:val="004D7100"/>
    <w:rsid w:val="004D724A"/>
    <w:rsid w:val="004D733F"/>
    <w:rsid w:val="004D7369"/>
    <w:rsid w:val="004D73E0"/>
    <w:rsid w:val="004D7447"/>
    <w:rsid w:val="004D74E4"/>
    <w:rsid w:val="004D753D"/>
    <w:rsid w:val="004D75F9"/>
    <w:rsid w:val="004D760D"/>
    <w:rsid w:val="004D7614"/>
    <w:rsid w:val="004D778C"/>
    <w:rsid w:val="004D786D"/>
    <w:rsid w:val="004D78D4"/>
    <w:rsid w:val="004D78F4"/>
    <w:rsid w:val="004D7AF5"/>
    <w:rsid w:val="004D7AFF"/>
    <w:rsid w:val="004D7B3D"/>
    <w:rsid w:val="004D7C0B"/>
    <w:rsid w:val="004D7CC7"/>
    <w:rsid w:val="004D7CE8"/>
    <w:rsid w:val="004D7D6A"/>
    <w:rsid w:val="004D7E1F"/>
    <w:rsid w:val="004D7FE3"/>
    <w:rsid w:val="004E008E"/>
    <w:rsid w:val="004E00BC"/>
    <w:rsid w:val="004E01B6"/>
    <w:rsid w:val="004E0217"/>
    <w:rsid w:val="004E025A"/>
    <w:rsid w:val="004E030D"/>
    <w:rsid w:val="004E0336"/>
    <w:rsid w:val="004E03E2"/>
    <w:rsid w:val="004E0484"/>
    <w:rsid w:val="004E05CB"/>
    <w:rsid w:val="004E0788"/>
    <w:rsid w:val="004E07F9"/>
    <w:rsid w:val="004E0826"/>
    <w:rsid w:val="004E0902"/>
    <w:rsid w:val="004E0998"/>
    <w:rsid w:val="004E0A8F"/>
    <w:rsid w:val="004E0C7A"/>
    <w:rsid w:val="004E0CEB"/>
    <w:rsid w:val="004E0DBB"/>
    <w:rsid w:val="004E0EC6"/>
    <w:rsid w:val="004E0F46"/>
    <w:rsid w:val="004E0F62"/>
    <w:rsid w:val="004E0FAA"/>
    <w:rsid w:val="004E0FF8"/>
    <w:rsid w:val="004E1008"/>
    <w:rsid w:val="004E10D7"/>
    <w:rsid w:val="004E1123"/>
    <w:rsid w:val="004E116E"/>
    <w:rsid w:val="004E11AF"/>
    <w:rsid w:val="004E12F4"/>
    <w:rsid w:val="004E1323"/>
    <w:rsid w:val="004E13F5"/>
    <w:rsid w:val="004E1490"/>
    <w:rsid w:val="004E14CC"/>
    <w:rsid w:val="004E1583"/>
    <w:rsid w:val="004E179A"/>
    <w:rsid w:val="004E18DD"/>
    <w:rsid w:val="004E1A15"/>
    <w:rsid w:val="004E1B40"/>
    <w:rsid w:val="004E1C1A"/>
    <w:rsid w:val="004E1C64"/>
    <w:rsid w:val="004E1CCF"/>
    <w:rsid w:val="004E1EA3"/>
    <w:rsid w:val="004E1F49"/>
    <w:rsid w:val="004E1F51"/>
    <w:rsid w:val="004E2022"/>
    <w:rsid w:val="004E20BE"/>
    <w:rsid w:val="004E20E3"/>
    <w:rsid w:val="004E21D5"/>
    <w:rsid w:val="004E22E4"/>
    <w:rsid w:val="004E2312"/>
    <w:rsid w:val="004E2354"/>
    <w:rsid w:val="004E254C"/>
    <w:rsid w:val="004E25EB"/>
    <w:rsid w:val="004E2813"/>
    <w:rsid w:val="004E2905"/>
    <w:rsid w:val="004E2929"/>
    <w:rsid w:val="004E2AD2"/>
    <w:rsid w:val="004E2B55"/>
    <w:rsid w:val="004E2D52"/>
    <w:rsid w:val="004E2D70"/>
    <w:rsid w:val="004E2E6C"/>
    <w:rsid w:val="004E2E8A"/>
    <w:rsid w:val="004E2F40"/>
    <w:rsid w:val="004E2F44"/>
    <w:rsid w:val="004E2FE1"/>
    <w:rsid w:val="004E3100"/>
    <w:rsid w:val="004E3104"/>
    <w:rsid w:val="004E3106"/>
    <w:rsid w:val="004E3393"/>
    <w:rsid w:val="004E33FD"/>
    <w:rsid w:val="004E3434"/>
    <w:rsid w:val="004E3563"/>
    <w:rsid w:val="004E36CA"/>
    <w:rsid w:val="004E371C"/>
    <w:rsid w:val="004E3736"/>
    <w:rsid w:val="004E37FF"/>
    <w:rsid w:val="004E3862"/>
    <w:rsid w:val="004E3968"/>
    <w:rsid w:val="004E3AF4"/>
    <w:rsid w:val="004E3B5B"/>
    <w:rsid w:val="004E3C8E"/>
    <w:rsid w:val="004E3CD9"/>
    <w:rsid w:val="004E3CE2"/>
    <w:rsid w:val="004E3D04"/>
    <w:rsid w:val="004E3D05"/>
    <w:rsid w:val="004E3E0F"/>
    <w:rsid w:val="004E3F9C"/>
    <w:rsid w:val="004E4016"/>
    <w:rsid w:val="004E4108"/>
    <w:rsid w:val="004E4301"/>
    <w:rsid w:val="004E4371"/>
    <w:rsid w:val="004E439D"/>
    <w:rsid w:val="004E43CF"/>
    <w:rsid w:val="004E4471"/>
    <w:rsid w:val="004E457C"/>
    <w:rsid w:val="004E4615"/>
    <w:rsid w:val="004E4663"/>
    <w:rsid w:val="004E4679"/>
    <w:rsid w:val="004E474A"/>
    <w:rsid w:val="004E4784"/>
    <w:rsid w:val="004E49DE"/>
    <w:rsid w:val="004E4A03"/>
    <w:rsid w:val="004E4A36"/>
    <w:rsid w:val="004E4D96"/>
    <w:rsid w:val="004E4DC8"/>
    <w:rsid w:val="004E4E19"/>
    <w:rsid w:val="004E4E6B"/>
    <w:rsid w:val="004E4F8C"/>
    <w:rsid w:val="004E4FFD"/>
    <w:rsid w:val="004E4FFE"/>
    <w:rsid w:val="004E5040"/>
    <w:rsid w:val="004E51F9"/>
    <w:rsid w:val="004E52AE"/>
    <w:rsid w:val="004E54D8"/>
    <w:rsid w:val="004E5613"/>
    <w:rsid w:val="004E5623"/>
    <w:rsid w:val="004E568C"/>
    <w:rsid w:val="004E5762"/>
    <w:rsid w:val="004E5765"/>
    <w:rsid w:val="004E5833"/>
    <w:rsid w:val="004E584E"/>
    <w:rsid w:val="004E58BE"/>
    <w:rsid w:val="004E5AD2"/>
    <w:rsid w:val="004E5CC5"/>
    <w:rsid w:val="004E5F38"/>
    <w:rsid w:val="004E6038"/>
    <w:rsid w:val="004E60E4"/>
    <w:rsid w:val="004E6172"/>
    <w:rsid w:val="004E61E0"/>
    <w:rsid w:val="004E620D"/>
    <w:rsid w:val="004E6223"/>
    <w:rsid w:val="004E6333"/>
    <w:rsid w:val="004E65A7"/>
    <w:rsid w:val="004E667A"/>
    <w:rsid w:val="004E677D"/>
    <w:rsid w:val="004E6A05"/>
    <w:rsid w:val="004E6A71"/>
    <w:rsid w:val="004E6AAB"/>
    <w:rsid w:val="004E6AC4"/>
    <w:rsid w:val="004E6BBB"/>
    <w:rsid w:val="004E6C0D"/>
    <w:rsid w:val="004E6CDF"/>
    <w:rsid w:val="004E6D0C"/>
    <w:rsid w:val="004E6D32"/>
    <w:rsid w:val="004E6D8C"/>
    <w:rsid w:val="004E6DA6"/>
    <w:rsid w:val="004E6E0A"/>
    <w:rsid w:val="004E6E25"/>
    <w:rsid w:val="004E6E94"/>
    <w:rsid w:val="004E6F49"/>
    <w:rsid w:val="004E6FB3"/>
    <w:rsid w:val="004E71F8"/>
    <w:rsid w:val="004E7218"/>
    <w:rsid w:val="004E7254"/>
    <w:rsid w:val="004E7346"/>
    <w:rsid w:val="004E73AD"/>
    <w:rsid w:val="004E73C3"/>
    <w:rsid w:val="004E7478"/>
    <w:rsid w:val="004E7485"/>
    <w:rsid w:val="004E7643"/>
    <w:rsid w:val="004E764D"/>
    <w:rsid w:val="004E777A"/>
    <w:rsid w:val="004E789E"/>
    <w:rsid w:val="004E797A"/>
    <w:rsid w:val="004E7A50"/>
    <w:rsid w:val="004E7AF0"/>
    <w:rsid w:val="004E7B44"/>
    <w:rsid w:val="004E7C1B"/>
    <w:rsid w:val="004E7C9F"/>
    <w:rsid w:val="004E7D72"/>
    <w:rsid w:val="004E7E18"/>
    <w:rsid w:val="004E7E21"/>
    <w:rsid w:val="004E7EF1"/>
    <w:rsid w:val="004F00BD"/>
    <w:rsid w:val="004F0194"/>
    <w:rsid w:val="004F01D2"/>
    <w:rsid w:val="004F0366"/>
    <w:rsid w:val="004F0400"/>
    <w:rsid w:val="004F0464"/>
    <w:rsid w:val="004F04C6"/>
    <w:rsid w:val="004F0539"/>
    <w:rsid w:val="004F053B"/>
    <w:rsid w:val="004F0586"/>
    <w:rsid w:val="004F05EF"/>
    <w:rsid w:val="004F0723"/>
    <w:rsid w:val="004F073F"/>
    <w:rsid w:val="004F083C"/>
    <w:rsid w:val="004F0989"/>
    <w:rsid w:val="004F0A36"/>
    <w:rsid w:val="004F0AA1"/>
    <w:rsid w:val="004F0BFB"/>
    <w:rsid w:val="004F0C52"/>
    <w:rsid w:val="004F0D22"/>
    <w:rsid w:val="004F0D3A"/>
    <w:rsid w:val="004F0D94"/>
    <w:rsid w:val="004F0E13"/>
    <w:rsid w:val="004F0E31"/>
    <w:rsid w:val="004F0EAB"/>
    <w:rsid w:val="004F0EB3"/>
    <w:rsid w:val="004F0F02"/>
    <w:rsid w:val="004F0F8A"/>
    <w:rsid w:val="004F11B1"/>
    <w:rsid w:val="004F1269"/>
    <w:rsid w:val="004F1329"/>
    <w:rsid w:val="004F1387"/>
    <w:rsid w:val="004F13B5"/>
    <w:rsid w:val="004F13CE"/>
    <w:rsid w:val="004F1448"/>
    <w:rsid w:val="004F14B6"/>
    <w:rsid w:val="004F14D7"/>
    <w:rsid w:val="004F1609"/>
    <w:rsid w:val="004F1745"/>
    <w:rsid w:val="004F185E"/>
    <w:rsid w:val="004F1899"/>
    <w:rsid w:val="004F19AF"/>
    <w:rsid w:val="004F1A78"/>
    <w:rsid w:val="004F1BF0"/>
    <w:rsid w:val="004F1C9C"/>
    <w:rsid w:val="004F1E75"/>
    <w:rsid w:val="004F1EE0"/>
    <w:rsid w:val="004F1F5A"/>
    <w:rsid w:val="004F2015"/>
    <w:rsid w:val="004F21AC"/>
    <w:rsid w:val="004F21B5"/>
    <w:rsid w:val="004F2217"/>
    <w:rsid w:val="004F2248"/>
    <w:rsid w:val="004F227C"/>
    <w:rsid w:val="004F22DC"/>
    <w:rsid w:val="004F23A0"/>
    <w:rsid w:val="004F23C4"/>
    <w:rsid w:val="004F243B"/>
    <w:rsid w:val="004F2492"/>
    <w:rsid w:val="004F24CA"/>
    <w:rsid w:val="004F2524"/>
    <w:rsid w:val="004F2586"/>
    <w:rsid w:val="004F2599"/>
    <w:rsid w:val="004F263A"/>
    <w:rsid w:val="004F264A"/>
    <w:rsid w:val="004F269E"/>
    <w:rsid w:val="004F276E"/>
    <w:rsid w:val="004F2A06"/>
    <w:rsid w:val="004F2C97"/>
    <w:rsid w:val="004F2DA6"/>
    <w:rsid w:val="004F2DC1"/>
    <w:rsid w:val="004F2E58"/>
    <w:rsid w:val="004F2F27"/>
    <w:rsid w:val="004F2FA3"/>
    <w:rsid w:val="004F2FEB"/>
    <w:rsid w:val="004F2FF0"/>
    <w:rsid w:val="004F3094"/>
    <w:rsid w:val="004F31BF"/>
    <w:rsid w:val="004F32AB"/>
    <w:rsid w:val="004F345A"/>
    <w:rsid w:val="004F3461"/>
    <w:rsid w:val="004F34A8"/>
    <w:rsid w:val="004F3777"/>
    <w:rsid w:val="004F3888"/>
    <w:rsid w:val="004F3890"/>
    <w:rsid w:val="004F3A19"/>
    <w:rsid w:val="004F3B53"/>
    <w:rsid w:val="004F3B87"/>
    <w:rsid w:val="004F3BC1"/>
    <w:rsid w:val="004F3C9D"/>
    <w:rsid w:val="004F3E8F"/>
    <w:rsid w:val="004F3F05"/>
    <w:rsid w:val="004F4059"/>
    <w:rsid w:val="004F409D"/>
    <w:rsid w:val="004F4195"/>
    <w:rsid w:val="004F41FE"/>
    <w:rsid w:val="004F42F0"/>
    <w:rsid w:val="004F4323"/>
    <w:rsid w:val="004F4389"/>
    <w:rsid w:val="004F44C3"/>
    <w:rsid w:val="004F4570"/>
    <w:rsid w:val="004F45FA"/>
    <w:rsid w:val="004F46AA"/>
    <w:rsid w:val="004F4800"/>
    <w:rsid w:val="004F4897"/>
    <w:rsid w:val="004F4BAC"/>
    <w:rsid w:val="004F4BF9"/>
    <w:rsid w:val="004F4C80"/>
    <w:rsid w:val="004F4CEC"/>
    <w:rsid w:val="004F4D17"/>
    <w:rsid w:val="004F4D69"/>
    <w:rsid w:val="004F4E16"/>
    <w:rsid w:val="004F4FCD"/>
    <w:rsid w:val="004F50A4"/>
    <w:rsid w:val="004F514B"/>
    <w:rsid w:val="004F515E"/>
    <w:rsid w:val="004F51DB"/>
    <w:rsid w:val="004F5354"/>
    <w:rsid w:val="004F53F1"/>
    <w:rsid w:val="004F55FB"/>
    <w:rsid w:val="004F5679"/>
    <w:rsid w:val="004F570A"/>
    <w:rsid w:val="004F571C"/>
    <w:rsid w:val="004F5871"/>
    <w:rsid w:val="004F58B6"/>
    <w:rsid w:val="004F59D8"/>
    <w:rsid w:val="004F5B4B"/>
    <w:rsid w:val="004F5D5B"/>
    <w:rsid w:val="004F5D81"/>
    <w:rsid w:val="004F5D8E"/>
    <w:rsid w:val="004F5F69"/>
    <w:rsid w:val="004F5FDA"/>
    <w:rsid w:val="004F604C"/>
    <w:rsid w:val="004F61AD"/>
    <w:rsid w:val="004F62DE"/>
    <w:rsid w:val="004F6358"/>
    <w:rsid w:val="004F6377"/>
    <w:rsid w:val="004F638A"/>
    <w:rsid w:val="004F6469"/>
    <w:rsid w:val="004F64B9"/>
    <w:rsid w:val="004F66BC"/>
    <w:rsid w:val="004F6816"/>
    <w:rsid w:val="004F682F"/>
    <w:rsid w:val="004F68D5"/>
    <w:rsid w:val="004F68D6"/>
    <w:rsid w:val="004F68F8"/>
    <w:rsid w:val="004F6A25"/>
    <w:rsid w:val="004F6AED"/>
    <w:rsid w:val="004F6C9F"/>
    <w:rsid w:val="004F6D4F"/>
    <w:rsid w:val="004F6EF7"/>
    <w:rsid w:val="004F6F38"/>
    <w:rsid w:val="004F6FAD"/>
    <w:rsid w:val="004F71AF"/>
    <w:rsid w:val="004F7293"/>
    <w:rsid w:val="004F72EC"/>
    <w:rsid w:val="004F731D"/>
    <w:rsid w:val="004F735D"/>
    <w:rsid w:val="004F744B"/>
    <w:rsid w:val="004F7547"/>
    <w:rsid w:val="004F765D"/>
    <w:rsid w:val="004F76F0"/>
    <w:rsid w:val="004F77A0"/>
    <w:rsid w:val="004F7A8E"/>
    <w:rsid w:val="004F7AA1"/>
    <w:rsid w:val="004F7AEE"/>
    <w:rsid w:val="004F7B92"/>
    <w:rsid w:val="004F7E3E"/>
    <w:rsid w:val="004F7E7D"/>
    <w:rsid w:val="004F7EAC"/>
    <w:rsid w:val="004F7EBF"/>
    <w:rsid w:val="004F7F7A"/>
    <w:rsid w:val="005000BC"/>
    <w:rsid w:val="00500176"/>
    <w:rsid w:val="005001AC"/>
    <w:rsid w:val="0050023E"/>
    <w:rsid w:val="005002A8"/>
    <w:rsid w:val="005002B3"/>
    <w:rsid w:val="005004B2"/>
    <w:rsid w:val="00500565"/>
    <w:rsid w:val="005005AD"/>
    <w:rsid w:val="0050064D"/>
    <w:rsid w:val="005006C2"/>
    <w:rsid w:val="005008A4"/>
    <w:rsid w:val="00500980"/>
    <w:rsid w:val="00500A53"/>
    <w:rsid w:val="00500A7A"/>
    <w:rsid w:val="00500CBB"/>
    <w:rsid w:val="00500D2C"/>
    <w:rsid w:val="00500D6F"/>
    <w:rsid w:val="00500D76"/>
    <w:rsid w:val="00500DB1"/>
    <w:rsid w:val="00500ED3"/>
    <w:rsid w:val="00500EFE"/>
    <w:rsid w:val="00500FA0"/>
    <w:rsid w:val="00501007"/>
    <w:rsid w:val="0050104A"/>
    <w:rsid w:val="00501053"/>
    <w:rsid w:val="0050109B"/>
    <w:rsid w:val="005010FE"/>
    <w:rsid w:val="005012F2"/>
    <w:rsid w:val="00501359"/>
    <w:rsid w:val="00501424"/>
    <w:rsid w:val="00501625"/>
    <w:rsid w:val="00501626"/>
    <w:rsid w:val="00501670"/>
    <w:rsid w:val="0050179D"/>
    <w:rsid w:val="005017CC"/>
    <w:rsid w:val="005018A3"/>
    <w:rsid w:val="005018B4"/>
    <w:rsid w:val="00501A6D"/>
    <w:rsid w:val="00501A97"/>
    <w:rsid w:val="00501B51"/>
    <w:rsid w:val="00501B6F"/>
    <w:rsid w:val="00501C13"/>
    <w:rsid w:val="00501C63"/>
    <w:rsid w:val="00501E19"/>
    <w:rsid w:val="00502070"/>
    <w:rsid w:val="0050216B"/>
    <w:rsid w:val="00502194"/>
    <w:rsid w:val="00502254"/>
    <w:rsid w:val="00502301"/>
    <w:rsid w:val="00502363"/>
    <w:rsid w:val="005024C0"/>
    <w:rsid w:val="00502558"/>
    <w:rsid w:val="005025BE"/>
    <w:rsid w:val="0050267F"/>
    <w:rsid w:val="00502773"/>
    <w:rsid w:val="005027A0"/>
    <w:rsid w:val="005028C9"/>
    <w:rsid w:val="00502BB0"/>
    <w:rsid w:val="00502C5F"/>
    <w:rsid w:val="00502C78"/>
    <w:rsid w:val="00502CDC"/>
    <w:rsid w:val="00502D47"/>
    <w:rsid w:val="00502E1A"/>
    <w:rsid w:val="00502E1B"/>
    <w:rsid w:val="0050305F"/>
    <w:rsid w:val="005030E3"/>
    <w:rsid w:val="0050325B"/>
    <w:rsid w:val="00503288"/>
    <w:rsid w:val="005032E8"/>
    <w:rsid w:val="00503364"/>
    <w:rsid w:val="00503371"/>
    <w:rsid w:val="00503378"/>
    <w:rsid w:val="00503404"/>
    <w:rsid w:val="0050340B"/>
    <w:rsid w:val="00503464"/>
    <w:rsid w:val="005034BC"/>
    <w:rsid w:val="005035A3"/>
    <w:rsid w:val="0050361D"/>
    <w:rsid w:val="00503677"/>
    <w:rsid w:val="005036AA"/>
    <w:rsid w:val="0050376C"/>
    <w:rsid w:val="005037C6"/>
    <w:rsid w:val="00503825"/>
    <w:rsid w:val="0050382E"/>
    <w:rsid w:val="00503838"/>
    <w:rsid w:val="00503839"/>
    <w:rsid w:val="0050391D"/>
    <w:rsid w:val="005039CF"/>
    <w:rsid w:val="00503AD9"/>
    <w:rsid w:val="00503AE4"/>
    <w:rsid w:val="00503B12"/>
    <w:rsid w:val="00503D4D"/>
    <w:rsid w:val="00503D99"/>
    <w:rsid w:val="00503E3B"/>
    <w:rsid w:val="00503E81"/>
    <w:rsid w:val="00504213"/>
    <w:rsid w:val="005042C2"/>
    <w:rsid w:val="00504548"/>
    <w:rsid w:val="00504623"/>
    <w:rsid w:val="005046FD"/>
    <w:rsid w:val="00504720"/>
    <w:rsid w:val="0050478F"/>
    <w:rsid w:val="0050479B"/>
    <w:rsid w:val="00504999"/>
    <w:rsid w:val="00504A4E"/>
    <w:rsid w:val="00504C26"/>
    <w:rsid w:val="00504D50"/>
    <w:rsid w:val="00504D9D"/>
    <w:rsid w:val="00504DAF"/>
    <w:rsid w:val="00504E0A"/>
    <w:rsid w:val="00504EA5"/>
    <w:rsid w:val="00504EB7"/>
    <w:rsid w:val="00504EF1"/>
    <w:rsid w:val="00504F38"/>
    <w:rsid w:val="00504FFC"/>
    <w:rsid w:val="0050504C"/>
    <w:rsid w:val="0050509A"/>
    <w:rsid w:val="00505144"/>
    <w:rsid w:val="005051DB"/>
    <w:rsid w:val="0050525D"/>
    <w:rsid w:val="005052B1"/>
    <w:rsid w:val="005052E3"/>
    <w:rsid w:val="0050530D"/>
    <w:rsid w:val="005054D7"/>
    <w:rsid w:val="00505599"/>
    <w:rsid w:val="005055AF"/>
    <w:rsid w:val="00505745"/>
    <w:rsid w:val="00505774"/>
    <w:rsid w:val="00505894"/>
    <w:rsid w:val="00505A16"/>
    <w:rsid w:val="00505AF9"/>
    <w:rsid w:val="00505B4E"/>
    <w:rsid w:val="00505C3F"/>
    <w:rsid w:val="00505C5B"/>
    <w:rsid w:val="00505D19"/>
    <w:rsid w:val="00505E45"/>
    <w:rsid w:val="00505EFE"/>
    <w:rsid w:val="00505F95"/>
    <w:rsid w:val="005060E2"/>
    <w:rsid w:val="0050623A"/>
    <w:rsid w:val="005063C0"/>
    <w:rsid w:val="00506494"/>
    <w:rsid w:val="00506512"/>
    <w:rsid w:val="00506555"/>
    <w:rsid w:val="005065B8"/>
    <w:rsid w:val="00506684"/>
    <w:rsid w:val="005066B8"/>
    <w:rsid w:val="00506AE3"/>
    <w:rsid w:val="00506D2A"/>
    <w:rsid w:val="00506DA9"/>
    <w:rsid w:val="00506DC5"/>
    <w:rsid w:val="00506DE6"/>
    <w:rsid w:val="00506ED5"/>
    <w:rsid w:val="005072B5"/>
    <w:rsid w:val="0050732B"/>
    <w:rsid w:val="005073BE"/>
    <w:rsid w:val="005074BF"/>
    <w:rsid w:val="005076C2"/>
    <w:rsid w:val="00507763"/>
    <w:rsid w:val="005077F1"/>
    <w:rsid w:val="005079DE"/>
    <w:rsid w:val="00507A70"/>
    <w:rsid w:val="00507A81"/>
    <w:rsid w:val="00507AE0"/>
    <w:rsid w:val="00507AE7"/>
    <w:rsid w:val="00507D26"/>
    <w:rsid w:val="00507DAF"/>
    <w:rsid w:val="00507E40"/>
    <w:rsid w:val="00507E47"/>
    <w:rsid w:val="00510059"/>
    <w:rsid w:val="00510133"/>
    <w:rsid w:val="0051016F"/>
    <w:rsid w:val="0051028B"/>
    <w:rsid w:val="005102A1"/>
    <w:rsid w:val="00510322"/>
    <w:rsid w:val="0051051A"/>
    <w:rsid w:val="005106E3"/>
    <w:rsid w:val="00510720"/>
    <w:rsid w:val="0051082F"/>
    <w:rsid w:val="005108F9"/>
    <w:rsid w:val="00510929"/>
    <w:rsid w:val="005109B4"/>
    <w:rsid w:val="00510A27"/>
    <w:rsid w:val="00510B83"/>
    <w:rsid w:val="00510BC6"/>
    <w:rsid w:val="00510CEB"/>
    <w:rsid w:val="00510DB5"/>
    <w:rsid w:val="00510DB8"/>
    <w:rsid w:val="00510E0E"/>
    <w:rsid w:val="00511014"/>
    <w:rsid w:val="0051101B"/>
    <w:rsid w:val="00511095"/>
    <w:rsid w:val="00511181"/>
    <w:rsid w:val="00511188"/>
    <w:rsid w:val="0051129C"/>
    <w:rsid w:val="005112B9"/>
    <w:rsid w:val="005119DF"/>
    <w:rsid w:val="005119FB"/>
    <w:rsid w:val="00511A47"/>
    <w:rsid w:val="00511AB3"/>
    <w:rsid w:val="00511CDE"/>
    <w:rsid w:val="00511D51"/>
    <w:rsid w:val="00511E76"/>
    <w:rsid w:val="00511F36"/>
    <w:rsid w:val="00511F39"/>
    <w:rsid w:val="00511F77"/>
    <w:rsid w:val="00511F9E"/>
    <w:rsid w:val="00512085"/>
    <w:rsid w:val="005120D2"/>
    <w:rsid w:val="005121B2"/>
    <w:rsid w:val="005121C7"/>
    <w:rsid w:val="0051232A"/>
    <w:rsid w:val="005123ED"/>
    <w:rsid w:val="00512526"/>
    <w:rsid w:val="00512530"/>
    <w:rsid w:val="0051253E"/>
    <w:rsid w:val="00512612"/>
    <w:rsid w:val="0051267E"/>
    <w:rsid w:val="005126ED"/>
    <w:rsid w:val="005126F2"/>
    <w:rsid w:val="005127EE"/>
    <w:rsid w:val="00512861"/>
    <w:rsid w:val="00512B52"/>
    <w:rsid w:val="00512DDC"/>
    <w:rsid w:val="00512F23"/>
    <w:rsid w:val="00512F58"/>
    <w:rsid w:val="00512F81"/>
    <w:rsid w:val="0051310F"/>
    <w:rsid w:val="00513113"/>
    <w:rsid w:val="00513290"/>
    <w:rsid w:val="005132CD"/>
    <w:rsid w:val="0051331F"/>
    <w:rsid w:val="005133F2"/>
    <w:rsid w:val="005134A1"/>
    <w:rsid w:val="00513570"/>
    <w:rsid w:val="0051371C"/>
    <w:rsid w:val="0051379B"/>
    <w:rsid w:val="005137DC"/>
    <w:rsid w:val="00513847"/>
    <w:rsid w:val="0051386B"/>
    <w:rsid w:val="00513A28"/>
    <w:rsid w:val="00513AC5"/>
    <w:rsid w:val="00513C39"/>
    <w:rsid w:val="00513CCD"/>
    <w:rsid w:val="00513CE8"/>
    <w:rsid w:val="00513D54"/>
    <w:rsid w:val="00513D63"/>
    <w:rsid w:val="00513DD4"/>
    <w:rsid w:val="00513EF3"/>
    <w:rsid w:val="00514108"/>
    <w:rsid w:val="0051414E"/>
    <w:rsid w:val="0051416C"/>
    <w:rsid w:val="0051420A"/>
    <w:rsid w:val="00514255"/>
    <w:rsid w:val="00514331"/>
    <w:rsid w:val="005143CB"/>
    <w:rsid w:val="005143D1"/>
    <w:rsid w:val="005145AB"/>
    <w:rsid w:val="00514699"/>
    <w:rsid w:val="00514780"/>
    <w:rsid w:val="0051478C"/>
    <w:rsid w:val="0051479D"/>
    <w:rsid w:val="005148B7"/>
    <w:rsid w:val="005149D2"/>
    <w:rsid w:val="00514A29"/>
    <w:rsid w:val="00514A66"/>
    <w:rsid w:val="00514A70"/>
    <w:rsid w:val="00514AE0"/>
    <w:rsid w:val="00514B14"/>
    <w:rsid w:val="00514B35"/>
    <w:rsid w:val="00514B5F"/>
    <w:rsid w:val="00514D9A"/>
    <w:rsid w:val="00514F1E"/>
    <w:rsid w:val="00514F78"/>
    <w:rsid w:val="00514F9A"/>
    <w:rsid w:val="00514FF6"/>
    <w:rsid w:val="00515094"/>
    <w:rsid w:val="005150AA"/>
    <w:rsid w:val="005150E2"/>
    <w:rsid w:val="0051514E"/>
    <w:rsid w:val="005152D9"/>
    <w:rsid w:val="0051530C"/>
    <w:rsid w:val="005153C4"/>
    <w:rsid w:val="005153F0"/>
    <w:rsid w:val="0051556D"/>
    <w:rsid w:val="00515586"/>
    <w:rsid w:val="005156A2"/>
    <w:rsid w:val="005156C6"/>
    <w:rsid w:val="00515747"/>
    <w:rsid w:val="00515770"/>
    <w:rsid w:val="005158DC"/>
    <w:rsid w:val="00515948"/>
    <w:rsid w:val="00515985"/>
    <w:rsid w:val="00515C3C"/>
    <w:rsid w:val="00515C7D"/>
    <w:rsid w:val="00515E68"/>
    <w:rsid w:val="00515E90"/>
    <w:rsid w:val="00515EAA"/>
    <w:rsid w:val="00515EDB"/>
    <w:rsid w:val="00515EFA"/>
    <w:rsid w:val="005161EA"/>
    <w:rsid w:val="005161F9"/>
    <w:rsid w:val="00516498"/>
    <w:rsid w:val="005164AC"/>
    <w:rsid w:val="0051659E"/>
    <w:rsid w:val="005167F1"/>
    <w:rsid w:val="00516896"/>
    <w:rsid w:val="00516928"/>
    <w:rsid w:val="0051694F"/>
    <w:rsid w:val="00516A4D"/>
    <w:rsid w:val="00516AE2"/>
    <w:rsid w:val="00516AF9"/>
    <w:rsid w:val="00516B48"/>
    <w:rsid w:val="00516C4C"/>
    <w:rsid w:val="00516E2F"/>
    <w:rsid w:val="00516EB3"/>
    <w:rsid w:val="00516EB7"/>
    <w:rsid w:val="00516F0F"/>
    <w:rsid w:val="00516F8C"/>
    <w:rsid w:val="00517121"/>
    <w:rsid w:val="005171B0"/>
    <w:rsid w:val="0051723C"/>
    <w:rsid w:val="005176AE"/>
    <w:rsid w:val="00517733"/>
    <w:rsid w:val="005178BA"/>
    <w:rsid w:val="00517A51"/>
    <w:rsid w:val="00517DB7"/>
    <w:rsid w:val="00517F0B"/>
    <w:rsid w:val="00517FA8"/>
    <w:rsid w:val="00520055"/>
    <w:rsid w:val="005201F4"/>
    <w:rsid w:val="005202B4"/>
    <w:rsid w:val="005202DC"/>
    <w:rsid w:val="0052035A"/>
    <w:rsid w:val="005203FA"/>
    <w:rsid w:val="005204FA"/>
    <w:rsid w:val="00520589"/>
    <w:rsid w:val="0052076A"/>
    <w:rsid w:val="00520819"/>
    <w:rsid w:val="0052084B"/>
    <w:rsid w:val="00520956"/>
    <w:rsid w:val="005209FD"/>
    <w:rsid w:val="00520A29"/>
    <w:rsid w:val="00520AFB"/>
    <w:rsid w:val="00520B80"/>
    <w:rsid w:val="00520BAC"/>
    <w:rsid w:val="00520BDD"/>
    <w:rsid w:val="00520CBB"/>
    <w:rsid w:val="00520CFC"/>
    <w:rsid w:val="00520EAF"/>
    <w:rsid w:val="00520ED8"/>
    <w:rsid w:val="00520F0E"/>
    <w:rsid w:val="00520F76"/>
    <w:rsid w:val="0052104C"/>
    <w:rsid w:val="005211E6"/>
    <w:rsid w:val="0052129A"/>
    <w:rsid w:val="00521567"/>
    <w:rsid w:val="005217F8"/>
    <w:rsid w:val="00521873"/>
    <w:rsid w:val="005219AF"/>
    <w:rsid w:val="00521A5A"/>
    <w:rsid w:val="00521A5F"/>
    <w:rsid w:val="00521A64"/>
    <w:rsid w:val="00521A65"/>
    <w:rsid w:val="00521A6C"/>
    <w:rsid w:val="00521A79"/>
    <w:rsid w:val="00521E95"/>
    <w:rsid w:val="00521E9B"/>
    <w:rsid w:val="00521EC0"/>
    <w:rsid w:val="00521ED9"/>
    <w:rsid w:val="005220C0"/>
    <w:rsid w:val="005220D0"/>
    <w:rsid w:val="0052211F"/>
    <w:rsid w:val="00522368"/>
    <w:rsid w:val="0052238F"/>
    <w:rsid w:val="005225D4"/>
    <w:rsid w:val="005226CA"/>
    <w:rsid w:val="005226DC"/>
    <w:rsid w:val="0052279A"/>
    <w:rsid w:val="005227ED"/>
    <w:rsid w:val="00522849"/>
    <w:rsid w:val="00522898"/>
    <w:rsid w:val="005228CB"/>
    <w:rsid w:val="005229A9"/>
    <w:rsid w:val="00522A60"/>
    <w:rsid w:val="00522AB4"/>
    <w:rsid w:val="00522AB8"/>
    <w:rsid w:val="00522ABD"/>
    <w:rsid w:val="00522C33"/>
    <w:rsid w:val="00522C85"/>
    <w:rsid w:val="00522C97"/>
    <w:rsid w:val="00522DAC"/>
    <w:rsid w:val="00522E8A"/>
    <w:rsid w:val="00522EC6"/>
    <w:rsid w:val="00522F41"/>
    <w:rsid w:val="00522FAD"/>
    <w:rsid w:val="00523124"/>
    <w:rsid w:val="00523215"/>
    <w:rsid w:val="00523281"/>
    <w:rsid w:val="0052337E"/>
    <w:rsid w:val="005233EF"/>
    <w:rsid w:val="00523475"/>
    <w:rsid w:val="005234FF"/>
    <w:rsid w:val="00523510"/>
    <w:rsid w:val="005236B7"/>
    <w:rsid w:val="0052374D"/>
    <w:rsid w:val="00523798"/>
    <w:rsid w:val="005237AE"/>
    <w:rsid w:val="00523850"/>
    <w:rsid w:val="00523877"/>
    <w:rsid w:val="005238DB"/>
    <w:rsid w:val="00523964"/>
    <w:rsid w:val="0052396F"/>
    <w:rsid w:val="0052399A"/>
    <w:rsid w:val="00523A6E"/>
    <w:rsid w:val="00523B31"/>
    <w:rsid w:val="00523C23"/>
    <w:rsid w:val="00523D07"/>
    <w:rsid w:val="00523E60"/>
    <w:rsid w:val="00523EC0"/>
    <w:rsid w:val="00523F9A"/>
    <w:rsid w:val="00523FD5"/>
    <w:rsid w:val="0052405C"/>
    <w:rsid w:val="00524065"/>
    <w:rsid w:val="0052441E"/>
    <w:rsid w:val="0052450E"/>
    <w:rsid w:val="00524533"/>
    <w:rsid w:val="00524575"/>
    <w:rsid w:val="00524685"/>
    <w:rsid w:val="00524751"/>
    <w:rsid w:val="0052478F"/>
    <w:rsid w:val="00524796"/>
    <w:rsid w:val="005247A4"/>
    <w:rsid w:val="00524878"/>
    <w:rsid w:val="0052489B"/>
    <w:rsid w:val="0052490D"/>
    <w:rsid w:val="00524910"/>
    <w:rsid w:val="00524989"/>
    <w:rsid w:val="00524AD6"/>
    <w:rsid w:val="00524BB7"/>
    <w:rsid w:val="00524BDF"/>
    <w:rsid w:val="00524CA1"/>
    <w:rsid w:val="005250D4"/>
    <w:rsid w:val="0052510F"/>
    <w:rsid w:val="00525253"/>
    <w:rsid w:val="005252B5"/>
    <w:rsid w:val="00525346"/>
    <w:rsid w:val="00525353"/>
    <w:rsid w:val="005253AB"/>
    <w:rsid w:val="00525428"/>
    <w:rsid w:val="005255D1"/>
    <w:rsid w:val="00525624"/>
    <w:rsid w:val="0052568A"/>
    <w:rsid w:val="005256A1"/>
    <w:rsid w:val="005256A3"/>
    <w:rsid w:val="0052573D"/>
    <w:rsid w:val="00525829"/>
    <w:rsid w:val="0052582C"/>
    <w:rsid w:val="00525A25"/>
    <w:rsid w:val="00525A2D"/>
    <w:rsid w:val="00525A6B"/>
    <w:rsid w:val="00525AEF"/>
    <w:rsid w:val="00525BCB"/>
    <w:rsid w:val="00525C95"/>
    <w:rsid w:val="00525CF1"/>
    <w:rsid w:val="00525D74"/>
    <w:rsid w:val="00525E31"/>
    <w:rsid w:val="00525E3A"/>
    <w:rsid w:val="00525F12"/>
    <w:rsid w:val="00525F85"/>
    <w:rsid w:val="00525FFC"/>
    <w:rsid w:val="005260FE"/>
    <w:rsid w:val="005261B8"/>
    <w:rsid w:val="005261D7"/>
    <w:rsid w:val="005261F0"/>
    <w:rsid w:val="005262BB"/>
    <w:rsid w:val="005262C1"/>
    <w:rsid w:val="00526340"/>
    <w:rsid w:val="005264D1"/>
    <w:rsid w:val="00526739"/>
    <w:rsid w:val="0052678C"/>
    <w:rsid w:val="00526880"/>
    <w:rsid w:val="00526994"/>
    <w:rsid w:val="005269A1"/>
    <w:rsid w:val="005269E4"/>
    <w:rsid w:val="00526A2F"/>
    <w:rsid w:val="00526AE7"/>
    <w:rsid w:val="00526B9D"/>
    <w:rsid w:val="00526BC3"/>
    <w:rsid w:val="00526D31"/>
    <w:rsid w:val="00526DEA"/>
    <w:rsid w:val="00526E4F"/>
    <w:rsid w:val="00526F27"/>
    <w:rsid w:val="00527038"/>
    <w:rsid w:val="00527077"/>
    <w:rsid w:val="005270F0"/>
    <w:rsid w:val="0052713F"/>
    <w:rsid w:val="0052714F"/>
    <w:rsid w:val="005271C5"/>
    <w:rsid w:val="005271E6"/>
    <w:rsid w:val="0052737A"/>
    <w:rsid w:val="005273D7"/>
    <w:rsid w:val="0052749E"/>
    <w:rsid w:val="005274D9"/>
    <w:rsid w:val="00527549"/>
    <w:rsid w:val="005275E8"/>
    <w:rsid w:val="0052760A"/>
    <w:rsid w:val="0052763F"/>
    <w:rsid w:val="00527665"/>
    <w:rsid w:val="005276A3"/>
    <w:rsid w:val="005276A9"/>
    <w:rsid w:val="005276C3"/>
    <w:rsid w:val="005276E2"/>
    <w:rsid w:val="005277E1"/>
    <w:rsid w:val="005278D2"/>
    <w:rsid w:val="0052794D"/>
    <w:rsid w:val="005279BF"/>
    <w:rsid w:val="00527A3D"/>
    <w:rsid w:val="00527A61"/>
    <w:rsid w:val="00527A76"/>
    <w:rsid w:val="00527B01"/>
    <w:rsid w:val="00527B97"/>
    <w:rsid w:val="00527C0C"/>
    <w:rsid w:val="00527C2B"/>
    <w:rsid w:val="00527C93"/>
    <w:rsid w:val="00527CDA"/>
    <w:rsid w:val="00527DE1"/>
    <w:rsid w:val="00527FAA"/>
    <w:rsid w:val="0053006F"/>
    <w:rsid w:val="00530127"/>
    <w:rsid w:val="0053017C"/>
    <w:rsid w:val="005301E0"/>
    <w:rsid w:val="00530256"/>
    <w:rsid w:val="005302AA"/>
    <w:rsid w:val="0053030D"/>
    <w:rsid w:val="00530412"/>
    <w:rsid w:val="0053041B"/>
    <w:rsid w:val="005305D7"/>
    <w:rsid w:val="005306D6"/>
    <w:rsid w:val="005306F8"/>
    <w:rsid w:val="005307EB"/>
    <w:rsid w:val="005307EF"/>
    <w:rsid w:val="00530942"/>
    <w:rsid w:val="00530A14"/>
    <w:rsid w:val="00530A8C"/>
    <w:rsid w:val="00530AB7"/>
    <w:rsid w:val="00530ADC"/>
    <w:rsid w:val="00530C70"/>
    <w:rsid w:val="00530D7B"/>
    <w:rsid w:val="00530DB1"/>
    <w:rsid w:val="00530E13"/>
    <w:rsid w:val="00530F60"/>
    <w:rsid w:val="005310F2"/>
    <w:rsid w:val="00531137"/>
    <w:rsid w:val="0053117A"/>
    <w:rsid w:val="005311B4"/>
    <w:rsid w:val="00531226"/>
    <w:rsid w:val="005313ED"/>
    <w:rsid w:val="005314B1"/>
    <w:rsid w:val="005314FF"/>
    <w:rsid w:val="005315B1"/>
    <w:rsid w:val="005318F7"/>
    <w:rsid w:val="00531996"/>
    <w:rsid w:val="00531B17"/>
    <w:rsid w:val="00531B5D"/>
    <w:rsid w:val="00531B94"/>
    <w:rsid w:val="00531B98"/>
    <w:rsid w:val="00531D78"/>
    <w:rsid w:val="00531D84"/>
    <w:rsid w:val="00531E3E"/>
    <w:rsid w:val="00531F31"/>
    <w:rsid w:val="00531F4F"/>
    <w:rsid w:val="005322A7"/>
    <w:rsid w:val="005322DF"/>
    <w:rsid w:val="00532585"/>
    <w:rsid w:val="005325F4"/>
    <w:rsid w:val="00532716"/>
    <w:rsid w:val="005327DA"/>
    <w:rsid w:val="00532A8F"/>
    <w:rsid w:val="00532C11"/>
    <w:rsid w:val="00532C1E"/>
    <w:rsid w:val="00532C2F"/>
    <w:rsid w:val="00532C7D"/>
    <w:rsid w:val="00532CE7"/>
    <w:rsid w:val="00532D2B"/>
    <w:rsid w:val="00532DF1"/>
    <w:rsid w:val="00532FA9"/>
    <w:rsid w:val="0053301C"/>
    <w:rsid w:val="005330FD"/>
    <w:rsid w:val="00533159"/>
    <w:rsid w:val="005331A9"/>
    <w:rsid w:val="00533200"/>
    <w:rsid w:val="0053323E"/>
    <w:rsid w:val="005332A9"/>
    <w:rsid w:val="005332DE"/>
    <w:rsid w:val="005332F5"/>
    <w:rsid w:val="0053333B"/>
    <w:rsid w:val="0053346A"/>
    <w:rsid w:val="00533488"/>
    <w:rsid w:val="0053357D"/>
    <w:rsid w:val="0053358A"/>
    <w:rsid w:val="00533679"/>
    <w:rsid w:val="00533865"/>
    <w:rsid w:val="00533885"/>
    <w:rsid w:val="005338CC"/>
    <w:rsid w:val="0053396A"/>
    <w:rsid w:val="005339F8"/>
    <w:rsid w:val="00533A39"/>
    <w:rsid w:val="00533A57"/>
    <w:rsid w:val="00533AF0"/>
    <w:rsid w:val="00533BF7"/>
    <w:rsid w:val="00533D00"/>
    <w:rsid w:val="00533D1F"/>
    <w:rsid w:val="00533DCA"/>
    <w:rsid w:val="00534021"/>
    <w:rsid w:val="00534087"/>
    <w:rsid w:val="005340AB"/>
    <w:rsid w:val="005341EF"/>
    <w:rsid w:val="00534231"/>
    <w:rsid w:val="00534232"/>
    <w:rsid w:val="00534390"/>
    <w:rsid w:val="005343BB"/>
    <w:rsid w:val="005343ED"/>
    <w:rsid w:val="0053441C"/>
    <w:rsid w:val="005345A7"/>
    <w:rsid w:val="0053469C"/>
    <w:rsid w:val="005346F9"/>
    <w:rsid w:val="0053478C"/>
    <w:rsid w:val="00534832"/>
    <w:rsid w:val="0053491B"/>
    <w:rsid w:val="00534926"/>
    <w:rsid w:val="0053496A"/>
    <w:rsid w:val="00534B30"/>
    <w:rsid w:val="00534B96"/>
    <w:rsid w:val="00534EC0"/>
    <w:rsid w:val="00534F16"/>
    <w:rsid w:val="00535016"/>
    <w:rsid w:val="005350C3"/>
    <w:rsid w:val="005351F4"/>
    <w:rsid w:val="00535285"/>
    <w:rsid w:val="005352DB"/>
    <w:rsid w:val="00535320"/>
    <w:rsid w:val="005354C7"/>
    <w:rsid w:val="005354E8"/>
    <w:rsid w:val="005355C0"/>
    <w:rsid w:val="00535643"/>
    <w:rsid w:val="0053564E"/>
    <w:rsid w:val="00535675"/>
    <w:rsid w:val="005356B9"/>
    <w:rsid w:val="0053583D"/>
    <w:rsid w:val="005358D6"/>
    <w:rsid w:val="00535B13"/>
    <w:rsid w:val="00535B5D"/>
    <w:rsid w:val="00535B86"/>
    <w:rsid w:val="00535BFF"/>
    <w:rsid w:val="00535D22"/>
    <w:rsid w:val="00535D48"/>
    <w:rsid w:val="00535DB8"/>
    <w:rsid w:val="00535F36"/>
    <w:rsid w:val="0053605E"/>
    <w:rsid w:val="005360CC"/>
    <w:rsid w:val="005360FF"/>
    <w:rsid w:val="005361B0"/>
    <w:rsid w:val="005362EF"/>
    <w:rsid w:val="005364D1"/>
    <w:rsid w:val="00536564"/>
    <w:rsid w:val="00536601"/>
    <w:rsid w:val="0053662D"/>
    <w:rsid w:val="005366DD"/>
    <w:rsid w:val="005368A2"/>
    <w:rsid w:val="005368CE"/>
    <w:rsid w:val="005369FE"/>
    <w:rsid w:val="00536A64"/>
    <w:rsid w:val="00536AD2"/>
    <w:rsid w:val="00536B5A"/>
    <w:rsid w:val="00536D76"/>
    <w:rsid w:val="00536DD5"/>
    <w:rsid w:val="00536EB2"/>
    <w:rsid w:val="00536EC4"/>
    <w:rsid w:val="00536EEE"/>
    <w:rsid w:val="00537018"/>
    <w:rsid w:val="005370DA"/>
    <w:rsid w:val="00537193"/>
    <w:rsid w:val="005372B9"/>
    <w:rsid w:val="0053731B"/>
    <w:rsid w:val="0053733F"/>
    <w:rsid w:val="005373AC"/>
    <w:rsid w:val="005373EC"/>
    <w:rsid w:val="00537468"/>
    <w:rsid w:val="00537474"/>
    <w:rsid w:val="00537500"/>
    <w:rsid w:val="00537539"/>
    <w:rsid w:val="00537543"/>
    <w:rsid w:val="00537580"/>
    <w:rsid w:val="00537644"/>
    <w:rsid w:val="00537668"/>
    <w:rsid w:val="0053766B"/>
    <w:rsid w:val="0053767A"/>
    <w:rsid w:val="0053767C"/>
    <w:rsid w:val="005377D5"/>
    <w:rsid w:val="00537882"/>
    <w:rsid w:val="00537938"/>
    <w:rsid w:val="0053797D"/>
    <w:rsid w:val="00537A79"/>
    <w:rsid w:val="00537BA1"/>
    <w:rsid w:val="00537C8B"/>
    <w:rsid w:val="00537CA3"/>
    <w:rsid w:val="00537CC0"/>
    <w:rsid w:val="00537D0E"/>
    <w:rsid w:val="00537E1A"/>
    <w:rsid w:val="00537FF7"/>
    <w:rsid w:val="00540115"/>
    <w:rsid w:val="00540128"/>
    <w:rsid w:val="005401A6"/>
    <w:rsid w:val="0054032E"/>
    <w:rsid w:val="00540330"/>
    <w:rsid w:val="00540498"/>
    <w:rsid w:val="0054049B"/>
    <w:rsid w:val="005404D7"/>
    <w:rsid w:val="005404F0"/>
    <w:rsid w:val="00540522"/>
    <w:rsid w:val="00540650"/>
    <w:rsid w:val="005406E4"/>
    <w:rsid w:val="0054076C"/>
    <w:rsid w:val="005408DE"/>
    <w:rsid w:val="00540956"/>
    <w:rsid w:val="00540A02"/>
    <w:rsid w:val="00540A7E"/>
    <w:rsid w:val="00540B0F"/>
    <w:rsid w:val="00540B89"/>
    <w:rsid w:val="00540C09"/>
    <w:rsid w:val="00540D61"/>
    <w:rsid w:val="00540E18"/>
    <w:rsid w:val="00540E99"/>
    <w:rsid w:val="00540F78"/>
    <w:rsid w:val="00541097"/>
    <w:rsid w:val="00541181"/>
    <w:rsid w:val="00541195"/>
    <w:rsid w:val="005412CF"/>
    <w:rsid w:val="005413EC"/>
    <w:rsid w:val="00541459"/>
    <w:rsid w:val="0054145C"/>
    <w:rsid w:val="00541577"/>
    <w:rsid w:val="00541607"/>
    <w:rsid w:val="00541677"/>
    <w:rsid w:val="00541784"/>
    <w:rsid w:val="00541863"/>
    <w:rsid w:val="00541971"/>
    <w:rsid w:val="00541A06"/>
    <w:rsid w:val="00541AAA"/>
    <w:rsid w:val="00541AEC"/>
    <w:rsid w:val="00541EA5"/>
    <w:rsid w:val="00541F2B"/>
    <w:rsid w:val="00541F3B"/>
    <w:rsid w:val="00541F5C"/>
    <w:rsid w:val="00541F9A"/>
    <w:rsid w:val="00541FF1"/>
    <w:rsid w:val="005421CC"/>
    <w:rsid w:val="00542228"/>
    <w:rsid w:val="00542247"/>
    <w:rsid w:val="005422E1"/>
    <w:rsid w:val="00542404"/>
    <w:rsid w:val="005425F6"/>
    <w:rsid w:val="0054268F"/>
    <w:rsid w:val="005426F5"/>
    <w:rsid w:val="0054278A"/>
    <w:rsid w:val="005427DF"/>
    <w:rsid w:val="005428C7"/>
    <w:rsid w:val="005429A1"/>
    <w:rsid w:val="00542A1C"/>
    <w:rsid w:val="00542A63"/>
    <w:rsid w:val="00542A78"/>
    <w:rsid w:val="00542C07"/>
    <w:rsid w:val="00542CF2"/>
    <w:rsid w:val="00542D5C"/>
    <w:rsid w:val="00542DF9"/>
    <w:rsid w:val="00542E48"/>
    <w:rsid w:val="00542E7D"/>
    <w:rsid w:val="00542EDA"/>
    <w:rsid w:val="00542FA6"/>
    <w:rsid w:val="005430CC"/>
    <w:rsid w:val="0054318E"/>
    <w:rsid w:val="005431DC"/>
    <w:rsid w:val="00543261"/>
    <w:rsid w:val="00543307"/>
    <w:rsid w:val="00543328"/>
    <w:rsid w:val="0054337F"/>
    <w:rsid w:val="00543472"/>
    <w:rsid w:val="00543524"/>
    <w:rsid w:val="00543581"/>
    <w:rsid w:val="005435F8"/>
    <w:rsid w:val="00543616"/>
    <w:rsid w:val="005436C5"/>
    <w:rsid w:val="0054371F"/>
    <w:rsid w:val="00543755"/>
    <w:rsid w:val="0054377B"/>
    <w:rsid w:val="00543796"/>
    <w:rsid w:val="005437E8"/>
    <w:rsid w:val="00543821"/>
    <w:rsid w:val="00543885"/>
    <w:rsid w:val="00543A5D"/>
    <w:rsid w:val="00543C4C"/>
    <w:rsid w:val="00543DAE"/>
    <w:rsid w:val="00543DC0"/>
    <w:rsid w:val="00543E1C"/>
    <w:rsid w:val="00543E4C"/>
    <w:rsid w:val="00543F37"/>
    <w:rsid w:val="00543F3B"/>
    <w:rsid w:val="00543F64"/>
    <w:rsid w:val="00543FEF"/>
    <w:rsid w:val="00543FFF"/>
    <w:rsid w:val="00544064"/>
    <w:rsid w:val="00544069"/>
    <w:rsid w:val="0054413E"/>
    <w:rsid w:val="005441CD"/>
    <w:rsid w:val="0054423A"/>
    <w:rsid w:val="0054432C"/>
    <w:rsid w:val="00544394"/>
    <w:rsid w:val="00544448"/>
    <w:rsid w:val="00544469"/>
    <w:rsid w:val="005444A8"/>
    <w:rsid w:val="005444E1"/>
    <w:rsid w:val="0054451E"/>
    <w:rsid w:val="00544639"/>
    <w:rsid w:val="00544688"/>
    <w:rsid w:val="00544716"/>
    <w:rsid w:val="00544760"/>
    <w:rsid w:val="00544777"/>
    <w:rsid w:val="00544785"/>
    <w:rsid w:val="00544848"/>
    <w:rsid w:val="005448BD"/>
    <w:rsid w:val="005448D3"/>
    <w:rsid w:val="005448DF"/>
    <w:rsid w:val="005448E5"/>
    <w:rsid w:val="00544966"/>
    <w:rsid w:val="0054498B"/>
    <w:rsid w:val="00544AFB"/>
    <w:rsid w:val="00544B64"/>
    <w:rsid w:val="00544BF9"/>
    <w:rsid w:val="00544C78"/>
    <w:rsid w:val="00544C95"/>
    <w:rsid w:val="00544CC3"/>
    <w:rsid w:val="00544D88"/>
    <w:rsid w:val="00544DE7"/>
    <w:rsid w:val="00544DFA"/>
    <w:rsid w:val="00544E2D"/>
    <w:rsid w:val="00544F00"/>
    <w:rsid w:val="00544F61"/>
    <w:rsid w:val="00544F9D"/>
    <w:rsid w:val="00544FBF"/>
    <w:rsid w:val="00545043"/>
    <w:rsid w:val="005450C3"/>
    <w:rsid w:val="005451A6"/>
    <w:rsid w:val="00545458"/>
    <w:rsid w:val="00545467"/>
    <w:rsid w:val="00545696"/>
    <w:rsid w:val="00545754"/>
    <w:rsid w:val="00545854"/>
    <w:rsid w:val="00545880"/>
    <w:rsid w:val="005458F9"/>
    <w:rsid w:val="00545904"/>
    <w:rsid w:val="005459DC"/>
    <w:rsid w:val="00545B4E"/>
    <w:rsid w:val="00545B8E"/>
    <w:rsid w:val="00545D61"/>
    <w:rsid w:val="00545D9C"/>
    <w:rsid w:val="00545E32"/>
    <w:rsid w:val="00545E65"/>
    <w:rsid w:val="00546163"/>
    <w:rsid w:val="00546246"/>
    <w:rsid w:val="00546267"/>
    <w:rsid w:val="005462CE"/>
    <w:rsid w:val="005462EB"/>
    <w:rsid w:val="005463E8"/>
    <w:rsid w:val="005463EC"/>
    <w:rsid w:val="005463F0"/>
    <w:rsid w:val="00546495"/>
    <w:rsid w:val="005464E8"/>
    <w:rsid w:val="00546738"/>
    <w:rsid w:val="00546753"/>
    <w:rsid w:val="0054675E"/>
    <w:rsid w:val="005467F1"/>
    <w:rsid w:val="005469BC"/>
    <w:rsid w:val="00546B69"/>
    <w:rsid w:val="00546B8F"/>
    <w:rsid w:val="00546BBB"/>
    <w:rsid w:val="00546C7A"/>
    <w:rsid w:val="00546D55"/>
    <w:rsid w:val="00546ED9"/>
    <w:rsid w:val="00546F0B"/>
    <w:rsid w:val="00546F7C"/>
    <w:rsid w:val="00546F84"/>
    <w:rsid w:val="0054702F"/>
    <w:rsid w:val="0054711C"/>
    <w:rsid w:val="00547206"/>
    <w:rsid w:val="005473EE"/>
    <w:rsid w:val="005474E5"/>
    <w:rsid w:val="00547508"/>
    <w:rsid w:val="00547614"/>
    <w:rsid w:val="00547646"/>
    <w:rsid w:val="005476B7"/>
    <w:rsid w:val="005476D4"/>
    <w:rsid w:val="00547740"/>
    <w:rsid w:val="005477B8"/>
    <w:rsid w:val="005477C2"/>
    <w:rsid w:val="00547847"/>
    <w:rsid w:val="005478D0"/>
    <w:rsid w:val="00547A4B"/>
    <w:rsid w:val="00547AF0"/>
    <w:rsid w:val="00547B81"/>
    <w:rsid w:val="00547CDF"/>
    <w:rsid w:val="00547D04"/>
    <w:rsid w:val="00547D6D"/>
    <w:rsid w:val="00547E37"/>
    <w:rsid w:val="00547F5E"/>
    <w:rsid w:val="00547F63"/>
    <w:rsid w:val="00550038"/>
    <w:rsid w:val="0055005F"/>
    <w:rsid w:val="00550069"/>
    <w:rsid w:val="005500F7"/>
    <w:rsid w:val="00550134"/>
    <w:rsid w:val="00550219"/>
    <w:rsid w:val="0055031B"/>
    <w:rsid w:val="00550506"/>
    <w:rsid w:val="0055068F"/>
    <w:rsid w:val="0055070B"/>
    <w:rsid w:val="005507E3"/>
    <w:rsid w:val="005507F4"/>
    <w:rsid w:val="00550949"/>
    <w:rsid w:val="0055097F"/>
    <w:rsid w:val="00550AD2"/>
    <w:rsid w:val="00550B61"/>
    <w:rsid w:val="00550C91"/>
    <w:rsid w:val="00550CB6"/>
    <w:rsid w:val="00550D41"/>
    <w:rsid w:val="00550D68"/>
    <w:rsid w:val="00550EF2"/>
    <w:rsid w:val="00550FA2"/>
    <w:rsid w:val="00550FA3"/>
    <w:rsid w:val="0055101A"/>
    <w:rsid w:val="0055105E"/>
    <w:rsid w:val="005511E7"/>
    <w:rsid w:val="00551464"/>
    <w:rsid w:val="005514E3"/>
    <w:rsid w:val="0055157D"/>
    <w:rsid w:val="0055169B"/>
    <w:rsid w:val="00551704"/>
    <w:rsid w:val="0055172F"/>
    <w:rsid w:val="0055176D"/>
    <w:rsid w:val="00551944"/>
    <w:rsid w:val="00551988"/>
    <w:rsid w:val="00551A2F"/>
    <w:rsid w:val="00551B46"/>
    <w:rsid w:val="00551B4F"/>
    <w:rsid w:val="00551C73"/>
    <w:rsid w:val="00551CC9"/>
    <w:rsid w:val="00551D6D"/>
    <w:rsid w:val="00551D97"/>
    <w:rsid w:val="00551DC7"/>
    <w:rsid w:val="00551E4C"/>
    <w:rsid w:val="00551F34"/>
    <w:rsid w:val="00551FE4"/>
    <w:rsid w:val="00551FE5"/>
    <w:rsid w:val="0055201D"/>
    <w:rsid w:val="005520B9"/>
    <w:rsid w:val="00552108"/>
    <w:rsid w:val="00552195"/>
    <w:rsid w:val="005522C4"/>
    <w:rsid w:val="00552385"/>
    <w:rsid w:val="0055241A"/>
    <w:rsid w:val="005524C8"/>
    <w:rsid w:val="005525F0"/>
    <w:rsid w:val="00552692"/>
    <w:rsid w:val="005526AA"/>
    <w:rsid w:val="0055271D"/>
    <w:rsid w:val="00552828"/>
    <w:rsid w:val="005528E6"/>
    <w:rsid w:val="00552A7F"/>
    <w:rsid w:val="00552AD9"/>
    <w:rsid w:val="00552B01"/>
    <w:rsid w:val="00552B6A"/>
    <w:rsid w:val="00552C31"/>
    <w:rsid w:val="00552CA5"/>
    <w:rsid w:val="00552D59"/>
    <w:rsid w:val="00552E6A"/>
    <w:rsid w:val="00552F6A"/>
    <w:rsid w:val="00552FC6"/>
    <w:rsid w:val="00552FDF"/>
    <w:rsid w:val="0055307F"/>
    <w:rsid w:val="005531E9"/>
    <w:rsid w:val="005532EA"/>
    <w:rsid w:val="005533D5"/>
    <w:rsid w:val="00553411"/>
    <w:rsid w:val="005534CF"/>
    <w:rsid w:val="0055358B"/>
    <w:rsid w:val="005535A3"/>
    <w:rsid w:val="005535E1"/>
    <w:rsid w:val="005536B3"/>
    <w:rsid w:val="005537CB"/>
    <w:rsid w:val="005537D3"/>
    <w:rsid w:val="00553869"/>
    <w:rsid w:val="00553870"/>
    <w:rsid w:val="0055389A"/>
    <w:rsid w:val="005538AF"/>
    <w:rsid w:val="005538C1"/>
    <w:rsid w:val="005538F6"/>
    <w:rsid w:val="0055394F"/>
    <w:rsid w:val="00553AF3"/>
    <w:rsid w:val="00553BC7"/>
    <w:rsid w:val="00553BEE"/>
    <w:rsid w:val="00553C21"/>
    <w:rsid w:val="00553C54"/>
    <w:rsid w:val="00553C86"/>
    <w:rsid w:val="00553CAE"/>
    <w:rsid w:val="00553DD8"/>
    <w:rsid w:val="00553E1E"/>
    <w:rsid w:val="00553EF2"/>
    <w:rsid w:val="00553F3E"/>
    <w:rsid w:val="00553F58"/>
    <w:rsid w:val="0055408F"/>
    <w:rsid w:val="00554147"/>
    <w:rsid w:val="005541FE"/>
    <w:rsid w:val="0055422A"/>
    <w:rsid w:val="0055434C"/>
    <w:rsid w:val="005544BF"/>
    <w:rsid w:val="00554572"/>
    <w:rsid w:val="005545DE"/>
    <w:rsid w:val="00554649"/>
    <w:rsid w:val="005546C2"/>
    <w:rsid w:val="005546F4"/>
    <w:rsid w:val="005546FB"/>
    <w:rsid w:val="00554774"/>
    <w:rsid w:val="005547A8"/>
    <w:rsid w:val="0055495E"/>
    <w:rsid w:val="00554969"/>
    <w:rsid w:val="005549C6"/>
    <w:rsid w:val="00554A9A"/>
    <w:rsid w:val="00554AC7"/>
    <w:rsid w:val="00554AC9"/>
    <w:rsid w:val="00554B60"/>
    <w:rsid w:val="00554BE1"/>
    <w:rsid w:val="00554CDB"/>
    <w:rsid w:val="00554D67"/>
    <w:rsid w:val="00554D7E"/>
    <w:rsid w:val="00554D9B"/>
    <w:rsid w:val="00554D9D"/>
    <w:rsid w:val="00554EEE"/>
    <w:rsid w:val="00554F9C"/>
    <w:rsid w:val="0055509F"/>
    <w:rsid w:val="00555299"/>
    <w:rsid w:val="005556E0"/>
    <w:rsid w:val="00555902"/>
    <w:rsid w:val="005559BD"/>
    <w:rsid w:val="00555BCF"/>
    <w:rsid w:val="00555C0E"/>
    <w:rsid w:val="00555CF7"/>
    <w:rsid w:val="00555D96"/>
    <w:rsid w:val="00555E41"/>
    <w:rsid w:val="00555EE7"/>
    <w:rsid w:val="005560A9"/>
    <w:rsid w:val="005560ED"/>
    <w:rsid w:val="0055621F"/>
    <w:rsid w:val="00556255"/>
    <w:rsid w:val="0055628B"/>
    <w:rsid w:val="00556517"/>
    <w:rsid w:val="0055663A"/>
    <w:rsid w:val="005566BB"/>
    <w:rsid w:val="0055675D"/>
    <w:rsid w:val="005567A4"/>
    <w:rsid w:val="005567E0"/>
    <w:rsid w:val="00556879"/>
    <w:rsid w:val="005568AB"/>
    <w:rsid w:val="00556949"/>
    <w:rsid w:val="00556AFF"/>
    <w:rsid w:val="00556B1A"/>
    <w:rsid w:val="00556D41"/>
    <w:rsid w:val="005570BA"/>
    <w:rsid w:val="005571F1"/>
    <w:rsid w:val="00557233"/>
    <w:rsid w:val="005574D0"/>
    <w:rsid w:val="005574DB"/>
    <w:rsid w:val="0055752C"/>
    <w:rsid w:val="005575C9"/>
    <w:rsid w:val="005575CD"/>
    <w:rsid w:val="005576D2"/>
    <w:rsid w:val="00557886"/>
    <w:rsid w:val="005578C9"/>
    <w:rsid w:val="005578DE"/>
    <w:rsid w:val="0055794A"/>
    <w:rsid w:val="005579CE"/>
    <w:rsid w:val="00557A64"/>
    <w:rsid w:val="00557A6C"/>
    <w:rsid w:val="00557BC6"/>
    <w:rsid w:val="00557C90"/>
    <w:rsid w:val="00557CBB"/>
    <w:rsid w:val="00557CF5"/>
    <w:rsid w:val="00557E04"/>
    <w:rsid w:val="00557E1E"/>
    <w:rsid w:val="00557EBF"/>
    <w:rsid w:val="00557F11"/>
    <w:rsid w:val="00557F45"/>
    <w:rsid w:val="00557FF4"/>
    <w:rsid w:val="00560051"/>
    <w:rsid w:val="005602EA"/>
    <w:rsid w:val="005603D5"/>
    <w:rsid w:val="005604D7"/>
    <w:rsid w:val="005605CE"/>
    <w:rsid w:val="005605E2"/>
    <w:rsid w:val="005605FD"/>
    <w:rsid w:val="00560641"/>
    <w:rsid w:val="0056066B"/>
    <w:rsid w:val="005607E8"/>
    <w:rsid w:val="0056083C"/>
    <w:rsid w:val="0056089E"/>
    <w:rsid w:val="005608AF"/>
    <w:rsid w:val="00560DE9"/>
    <w:rsid w:val="00560E25"/>
    <w:rsid w:val="00560E48"/>
    <w:rsid w:val="00560E57"/>
    <w:rsid w:val="00560ED1"/>
    <w:rsid w:val="00560EED"/>
    <w:rsid w:val="00560FC5"/>
    <w:rsid w:val="00560FD6"/>
    <w:rsid w:val="00561019"/>
    <w:rsid w:val="00561116"/>
    <w:rsid w:val="005612A0"/>
    <w:rsid w:val="005612A5"/>
    <w:rsid w:val="005614FA"/>
    <w:rsid w:val="0056160E"/>
    <w:rsid w:val="00561660"/>
    <w:rsid w:val="00561676"/>
    <w:rsid w:val="0056170C"/>
    <w:rsid w:val="0056174A"/>
    <w:rsid w:val="005617F0"/>
    <w:rsid w:val="00561806"/>
    <w:rsid w:val="00561861"/>
    <w:rsid w:val="005618B5"/>
    <w:rsid w:val="0056196F"/>
    <w:rsid w:val="00561A2A"/>
    <w:rsid w:val="00561A2C"/>
    <w:rsid w:val="00561AAD"/>
    <w:rsid w:val="00561B21"/>
    <w:rsid w:val="00561B64"/>
    <w:rsid w:val="00561C20"/>
    <w:rsid w:val="00561D35"/>
    <w:rsid w:val="00561E02"/>
    <w:rsid w:val="005620E4"/>
    <w:rsid w:val="0056214D"/>
    <w:rsid w:val="0056217A"/>
    <w:rsid w:val="0056234F"/>
    <w:rsid w:val="005623AC"/>
    <w:rsid w:val="0056248B"/>
    <w:rsid w:val="00562586"/>
    <w:rsid w:val="005625AE"/>
    <w:rsid w:val="0056263B"/>
    <w:rsid w:val="0056278C"/>
    <w:rsid w:val="005628D7"/>
    <w:rsid w:val="00562CA1"/>
    <w:rsid w:val="00562D96"/>
    <w:rsid w:val="00562E2F"/>
    <w:rsid w:val="00562E88"/>
    <w:rsid w:val="00562EA7"/>
    <w:rsid w:val="00562F1B"/>
    <w:rsid w:val="0056300F"/>
    <w:rsid w:val="00563219"/>
    <w:rsid w:val="00563255"/>
    <w:rsid w:val="00563292"/>
    <w:rsid w:val="005632B4"/>
    <w:rsid w:val="00563483"/>
    <w:rsid w:val="005634B1"/>
    <w:rsid w:val="005635B1"/>
    <w:rsid w:val="005635BF"/>
    <w:rsid w:val="0056362F"/>
    <w:rsid w:val="0056385D"/>
    <w:rsid w:val="0056389B"/>
    <w:rsid w:val="005639C6"/>
    <w:rsid w:val="00563A2C"/>
    <w:rsid w:val="00563AF5"/>
    <w:rsid w:val="00563AFF"/>
    <w:rsid w:val="00563B18"/>
    <w:rsid w:val="00563C02"/>
    <w:rsid w:val="00563C25"/>
    <w:rsid w:val="00563D39"/>
    <w:rsid w:val="00563D4B"/>
    <w:rsid w:val="00563EA9"/>
    <w:rsid w:val="00563EDC"/>
    <w:rsid w:val="00563F77"/>
    <w:rsid w:val="00563FF6"/>
    <w:rsid w:val="00564108"/>
    <w:rsid w:val="005641CD"/>
    <w:rsid w:val="005641D8"/>
    <w:rsid w:val="00564343"/>
    <w:rsid w:val="0056435B"/>
    <w:rsid w:val="00564373"/>
    <w:rsid w:val="005643FE"/>
    <w:rsid w:val="00564473"/>
    <w:rsid w:val="0056449B"/>
    <w:rsid w:val="005645A0"/>
    <w:rsid w:val="0056467F"/>
    <w:rsid w:val="005646E5"/>
    <w:rsid w:val="005648A8"/>
    <w:rsid w:val="005648AA"/>
    <w:rsid w:val="005648D0"/>
    <w:rsid w:val="00564A09"/>
    <w:rsid w:val="00564BAD"/>
    <w:rsid w:val="00564CCB"/>
    <w:rsid w:val="00564CFA"/>
    <w:rsid w:val="00564F43"/>
    <w:rsid w:val="0056518A"/>
    <w:rsid w:val="005651C2"/>
    <w:rsid w:val="00565607"/>
    <w:rsid w:val="0056560E"/>
    <w:rsid w:val="0056561F"/>
    <w:rsid w:val="0056562B"/>
    <w:rsid w:val="00565770"/>
    <w:rsid w:val="0056577F"/>
    <w:rsid w:val="005658C6"/>
    <w:rsid w:val="00565942"/>
    <w:rsid w:val="00565999"/>
    <w:rsid w:val="00565A28"/>
    <w:rsid w:val="00565A4D"/>
    <w:rsid w:val="00565A64"/>
    <w:rsid w:val="00565B52"/>
    <w:rsid w:val="00565C11"/>
    <w:rsid w:val="00565C1A"/>
    <w:rsid w:val="00565C22"/>
    <w:rsid w:val="00565C41"/>
    <w:rsid w:val="00565CD4"/>
    <w:rsid w:val="00565E3E"/>
    <w:rsid w:val="00565FFD"/>
    <w:rsid w:val="00566143"/>
    <w:rsid w:val="0056627A"/>
    <w:rsid w:val="005662C5"/>
    <w:rsid w:val="005663FA"/>
    <w:rsid w:val="005664F2"/>
    <w:rsid w:val="00566580"/>
    <w:rsid w:val="005665A2"/>
    <w:rsid w:val="005665C2"/>
    <w:rsid w:val="0056660A"/>
    <w:rsid w:val="005666B2"/>
    <w:rsid w:val="005666BF"/>
    <w:rsid w:val="00566719"/>
    <w:rsid w:val="0056675B"/>
    <w:rsid w:val="0056676E"/>
    <w:rsid w:val="00566879"/>
    <w:rsid w:val="005668ED"/>
    <w:rsid w:val="005668F8"/>
    <w:rsid w:val="00566A69"/>
    <w:rsid w:val="00566AAA"/>
    <w:rsid w:val="00566AD4"/>
    <w:rsid w:val="00566C32"/>
    <w:rsid w:val="00566D33"/>
    <w:rsid w:val="00566DD8"/>
    <w:rsid w:val="00566E50"/>
    <w:rsid w:val="00566F30"/>
    <w:rsid w:val="005670B3"/>
    <w:rsid w:val="00567243"/>
    <w:rsid w:val="005674B8"/>
    <w:rsid w:val="005675CF"/>
    <w:rsid w:val="00567743"/>
    <w:rsid w:val="005677E2"/>
    <w:rsid w:val="0056787B"/>
    <w:rsid w:val="00567929"/>
    <w:rsid w:val="00567987"/>
    <w:rsid w:val="005679DF"/>
    <w:rsid w:val="00567A88"/>
    <w:rsid w:val="00567B32"/>
    <w:rsid w:val="00567B52"/>
    <w:rsid w:val="00567D69"/>
    <w:rsid w:val="00567D8C"/>
    <w:rsid w:val="00567E70"/>
    <w:rsid w:val="00567EBB"/>
    <w:rsid w:val="00567F03"/>
    <w:rsid w:val="00567FF9"/>
    <w:rsid w:val="005700B7"/>
    <w:rsid w:val="00570125"/>
    <w:rsid w:val="00570159"/>
    <w:rsid w:val="005702E4"/>
    <w:rsid w:val="0057043C"/>
    <w:rsid w:val="0057046C"/>
    <w:rsid w:val="005704B5"/>
    <w:rsid w:val="005704D9"/>
    <w:rsid w:val="00570550"/>
    <w:rsid w:val="00570648"/>
    <w:rsid w:val="00570660"/>
    <w:rsid w:val="0057078D"/>
    <w:rsid w:val="005708A4"/>
    <w:rsid w:val="00570B05"/>
    <w:rsid w:val="00571018"/>
    <w:rsid w:val="0057110D"/>
    <w:rsid w:val="00571248"/>
    <w:rsid w:val="0057124A"/>
    <w:rsid w:val="005714CB"/>
    <w:rsid w:val="005717EB"/>
    <w:rsid w:val="00571AB3"/>
    <w:rsid w:val="00571AD7"/>
    <w:rsid w:val="00571B46"/>
    <w:rsid w:val="00571BF5"/>
    <w:rsid w:val="00571C82"/>
    <w:rsid w:val="00571DE9"/>
    <w:rsid w:val="00571E1A"/>
    <w:rsid w:val="00571E25"/>
    <w:rsid w:val="00571E82"/>
    <w:rsid w:val="00571ED9"/>
    <w:rsid w:val="00571F28"/>
    <w:rsid w:val="00572011"/>
    <w:rsid w:val="00572106"/>
    <w:rsid w:val="0057220F"/>
    <w:rsid w:val="00572322"/>
    <w:rsid w:val="005723A5"/>
    <w:rsid w:val="00572526"/>
    <w:rsid w:val="0057252E"/>
    <w:rsid w:val="00572544"/>
    <w:rsid w:val="00572618"/>
    <w:rsid w:val="00572634"/>
    <w:rsid w:val="0057269E"/>
    <w:rsid w:val="005726E2"/>
    <w:rsid w:val="0057280E"/>
    <w:rsid w:val="0057293F"/>
    <w:rsid w:val="005729E7"/>
    <w:rsid w:val="00572B91"/>
    <w:rsid w:val="00572D43"/>
    <w:rsid w:val="00572EFB"/>
    <w:rsid w:val="00572F02"/>
    <w:rsid w:val="00572F30"/>
    <w:rsid w:val="00572F56"/>
    <w:rsid w:val="00572F81"/>
    <w:rsid w:val="0057305B"/>
    <w:rsid w:val="0057309B"/>
    <w:rsid w:val="0057313B"/>
    <w:rsid w:val="0057318E"/>
    <w:rsid w:val="0057324C"/>
    <w:rsid w:val="0057334A"/>
    <w:rsid w:val="005733D4"/>
    <w:rsid w:val="00573435"/>
    <w:rsid w:val="005734C6"/>
    <w:rsid w:val="0057355F"/>
    <w:rsid w:val="00573657"/>
    <w:rsid w:val="0057365B"/>
    <w:rsid w:val="005736F8"/>
    <w:rsid w:val="00573719"/>
    <w:rsid w:val="005737A0"/>
    <w:rsid w:val="0057389C"/>
    <w:rsid w:val="005739B1"/>
    <w:rsid w:val="00573B0B"/>
    <w:rsid w:val="00573BAC"/>
    <w:rsid w:val="00573CBC"/>
    <w:rsid w:val="00573CDE"/>
    <w:rsid w:val="00573D00"/>
    <w:rsid w:val="00573D04"/>
    <w:rsid w:val="00573D8B"/>
    <w:rsid w:val="00573E5D"/>
    <w:rsid w:val="00573E73"/>
    <w:rsid w:val="00573F6D"/>
    <w:rsid w:val="00573F71"/>
    <w:rsid w:val="00574044"/>
    <w:rsid w:val="005740AC"/>
    <w:rsid w:val="0057410D"/>
    <w:rsid w:val="0057411C"/>
    <w:rsid w:val="00574151"/>
    <w:rsid w:val="0057423B"/>
    <w:rsid w:val="00574269"/>
    <w:rsid w:val="0057436D"/>
    <w:rsid w:val="0057439B"/>
    <w:rsid w:val="0057449B"/>
    <w:rsid w:val="0057456E"/>
    <w:rsid w:val="00574606"/>
    <w:rsid w:val="00574696"/>
    <w:rsid w:val="005746FE"/>
    <w:rsid w:val="0057474F"/>
    <w:rsid w:val="0057478C"/>
    <w:rsid w:val="00574827"/>
    <w:rsid w:val="005749E0"/>
    <w:rsid w:val="00574A02"/>
    <w:rsid w:val="00574A98"/>
    <w:rsid w:val="00574B43"/>
    <w:rsid w:val="00574C4D"/>
    <w:rsid w:val="0057507F"/>
    <w:rsid w:val="005750B4"/>
    <w:rsid w:val="005751E8"/>
    <w:rsid w:val="005753A1"/>
    <w:rsid w:val="00575404"/>
    <w:rsid w:val="00575409"/>
    <w:rsid w:val="0057551E"/>
    <w:rsid w:val="005755BF"/>
    <w:rsid w:val="00575680"/>
    <w:rsid w:val="0057575D"/>
    <w:rsid w:val="00575992"/>
    <w:rsid w:val="005759B0"/>
    <w:rsid w:val="00575A54"/>
    <w:rsid w:val="00575A57"/>
    <w:rsid w:val="00575AA2"/>
    <w:rsid w:val="00575B06"/>
    <w:rsid w:val="00575B93"/>
    <w:rsid w:val="00575BF7"/>
    <w:rsid w:val="00575D9B"/>
    <w:rsid w:val="00575DBE"/>
    <w:rsid w:val="00575DFB"/>
    <w:rsid w:val="00575E33"/>
    <w:rsid w:val="00575E4A"/>
    <w:rsid w:val="00575FF6"/>
    <w:rsid w:val="005760AE"/>
    <w:rsid w:val="005760B8"/>
    <w:rsid w:val="005760E6"/>
    <w:rsid w:val="0057611E"/>
    <w:rsid w:val="005762D7"/>
    <w:rsid w:val="005764B1"/>
    <w:rsid w:val="005764CC"/>
    <w:rsid w:val="00576559"/>
    <w:rsid w:val="00576646"/>
    <w:rsid w:val="00576710"/>
    <w:rsid w:val="00576773"/>
    <w:rsid w:val="005767AE"/>
    <w:rsid w:val="005767B8"/>
    <w:rsid w:val="005767D0"/>
    <w:rsid w:val="005767FA"/>
    <w:rsid w:val="00576848"/>
    <w:rsid w:val="00576CA2"/>
    <w:rsid w:val="00576CE9"/>
    <w:rsid w:val="00576CEA"/>
    <w:rsid w:val="00576D4A"/>
    <w:rsid w:val="00576DF7"/>
    <w:rsid w:val="0057700A"/>
    <w:rsid w:val="005770DD"/>
    <w:rsid w:val="0057724F"/>
    <w:rsid w:val="0057727F"/>
    <w:rsid w:val="0057730C"/>
    <w:rsid w:val="00577327"/>
    <w:rsid w:val="00577390"/>
    <w:rsid w:val="0057745D"/>
    <w:rsid w:val="00577531"/>
    <w:rsid w:val="00577596"/>
    <w:rsid w:val="005775C5"/>
    <w:rsid w:val="005775F3"/>
    <w:rsid w:val="0057780D"/>
    <w:rsid w:val="00577848"/>
    <w:rsid w:val="00577859"/>
    <w:rsid w:val="00577C3A"/>
    <w:rsid w:val="00577CB3"/>
    <w:rsid w:val="00577CD5"/>
    <w:rsid w:val="00577D02"/>
    <w:rsid w:val="00577D14"/>
    <w:rsid w:val="00577DDE"/>
    <w:rsid w:val="00577DF5"/>
    <w:rsid w:val="00577DF9"/>
    <w:rsid w:val="00577F5A"/>
    <w:rsid w:val="00577FDE"/>
    <w:rsid w:val="00577FF8"/>
    <w:rsid w:val="00580169"/>
    <w:rsid w:val="005801B5"/>
    <w:rsid w:val="005802CF"/>
    <w:rsid w:val="00580339"/>
    <w:rsid w:val="00580341"/>
    <w:rsid w:val="00580408"/>
    <w:rsid w:val="00580451"/>
    <w:rsid w:val="00580528"/>
    <w:rsid w:val="005805A3"/>
    <w:rsid w:val="00580641"/>
    <w:rsid w:val="0058066E"/>
    <w:rsid w:val="0058068B"/>
    <w:rsid w:val="005806DA"/>
    <w:rsid w:val="00580707"/>
    <w:rsid w:val="00580765"/>
    <w:rsid w:val="0058078F"/>
    <w:rsid w:val="0058090A"/>
    <w:rsid w:val="0058093E"/>
    <w:rsid w:val="00580A13"/>
    <w:rsid w:val="00580A5F"/>
    <w:rsid w:val="00580AFB"/>
    <w:rsid w:val="00580CDD"/>
    <w:rsid w:val="00580D38"/>
    <w:rsid w:val="00580DB7"/>
    <w:rsid w:val="00580E0A"/>
    <w:rsid w:val="00580EED"/>
    <w:rsid w:val="00580FCE"/>
    <w:rsid w:val="00580FF8"/>
    <w:rsid w:val="005810E0"/>
    <w:rsid w:val="005811D1"/>
    <w:rsid w:val="00581220"/>
    <w:rsid w:val="00581233"/>
    <w:rsid w:val="005812AC"/>
    <w:rsid w:val="00581374"/>
    <w:rsid w:val="005813BD"/>
    <w:rsid w:val="00581420"/>
    <w:rsid w:val="005814CF"/>
    <w:rsid w:val="005814DB"/>
    <w:rsid w:val="005814DE"/>
    <w:rsid w:val="005815B9"/>
    <w:rsid w:val="005815C4"/>
    <w:rsid w:val="00581603"/>
    <w:rsid w:val="00581660"/>
    <w:rsid w:val="00581708"/>
    <w:rsid w:val="00581728"/>
    <w:rsid w:val="005817F0"/>
    <w:rsid w:val="00581854"/>
    <w:rsid w:val="00581995"/>
    <w:rsid w:val="00581A8A"/>
    <w:rsid w:val="00581B0B"/>
    <w:rsid w:val="00581B0D"/>
    <w:rsid w:val="00581B8D"/>
    <w:rsid w:val="00581C29"/>
    <w:rsid w:val="00581CFD"/>
    <w:rsid w:val="00581E8D"/>
    <w:rsid w:val="00581ECF"/>
    <w:rsid w:val="00581EEB"/>
    <w:rsid w:val="00581F2F"/>
    <w:rsid w:val="00582032"/>
    <w:rsid w:val="005820CF"/>
    <w:rsid w:val="00582317"/>
    <w:rsid w:val="0058240A"/>
    <w:rsid w:val="0058249F"/>
    <w:rsid w:val="005824A5"/>
    <w:rsid w:val="00582558"/>
    <w:rsid w:val="00582723"/>
    <w:rsid w:val="005827E4"/>
    <w:rsid w:val="00582885"/>
    <w:rsid w:val="005828EF"/>
    <w:rsid w:val="005829B4"/>
    <w:rsid w:val="00582A11"/>
    <w:rsid w:val="00582B30"/>
    <w:rsid w:val="00582BA1"/>
    <w:rsid w:val="00582BF4"/>
    <w:rsid w:val="00582C83"/>
    <w:rsid w:val="00582E4B"/>
    <w:rsid w:val="00582F0A"/>
    <w:rsid w:val="00583055"/>
    <w:rsid w:val="0058328C"/>
    <w:rsid w:val="005832B0"/>
    <w:rsid w:val="005833FC"/>
    <w:rsid w:val="0058343F"/>
    <w:rsid w:val="0058345F"/>
    <w:rsid w:val="005834B0"/>
    <w:rsid w:val="0058353A"/>
    <w:rsid w:val="00583605"/>
    <w:rsid w:val="00583673"/>
    <w:rsid w:val="0058380D"/>
    <w:rsid w:val="00583824"/>
    <w:rsid w:val="005838FE"/>
    <w:rsid w:val="0058394A"/>
    <w:rsid w:val="00583AFE"/>
    <w:rsid w:val="00583D25"/>
    <w:rsid w:val="00583D88"/>
    <w:rsid w:val="00583E37"/>
    <w:rsid w:val="00583FB7"/>
    <w:rsid w:val="00584010"/>
    <w:rsid w:val="0058402E"/>
    <w:rsid w:val="00584048"/>
    <w:rsid w:val="0058409F"/>
    <w:rsid w:val="00584111"/>
    <w:rsid w:val="0058416D"/>
    <w:rsid w:val="0058438F"/>
    <w:rsid w:val="00584450"/>
    <w:rsid w:val="00584486"/>
    <w:rsid w:val="00584492"/>
    <w:rsid w:val="005844AF"/>
    <w:rsid w:val="005844B3"/>
    <w:rsid w:val="005844FB"/>
    <w:rsid w:val="00584504"/>
    <w:rsid w:val="005846B8"/>
    <w:rsid w:val="0058475F"/>
    <w:rsid w:val="00584795"/>
    <w:rsid w:val="005847CA"/>
    <w:rsid w:val="00584807"/>
    <w:rsid w:val="00584814"/>
    <w:rsid w:val="00584835"/>
    <w:rsid w:val="00584871"/>
    <w:rsid w:val="005848EA"/>
    <w:rsid w:val="0058497C"/>
    <w:rsid w:val="00584B76"/>
    <w:rsid w:val="00584B97"/>
    <w:rsid w:val="00584C30"/>
    <w:rsid w:val="00584C7B"/>
    <w:rsid w:val="00584C81"/>
    <w:rsid w:val="00584D02"/>
    <w:rsid w:val="00584DAF"/>
    <w:rsid w:val="00584EBB"/>
    <w:rsid w:val="00584F5E"/>
    <w:rsid w:val="0058514D"/>
    <w:rsid w:val="00585205"/>
    <w:rsid w:val="0058521F"/>
    <w:rsid w:val="00585305"/>
    <w:rsid w:val="00585398"/>
    <w:rsid w:val="005853A6"/>
    <w:rsid w:val="00585477"/>
    <w:rsid w:val="00585580"/>
    <w:rsid w:val="00585597"/>
    <w:rsid w:val="00585754"/>
    <w:rsid w:val="0058575B"/>
    <w:rsid w:val="00585791"/>
    <w:rsid w:val="0058583D"/>
    <w:rsid w:val="00585861"/>
    <w:rsid w:val="00585862"/>
    <w:rsid w:val="005858BA"/>
    <w:rsid w:val="005859D8"/>
    <w:rsid w:val="00585B6B"/>
    <w:rsid w:val="00585BD6"/>
    <w:rsid w:val="00585C3E"/>
    <w:rsid w:val="00585CAC"/>
    <w:rsid w:val="00585CBE"/>
    <w:rsid w:val="00585ED9"/>
    <w:rsid w:val="00585F37"/>
    <w:rsid w:val="00585FF9"/>
    <w:rsid w:val="00586402"/>
    <w:rsid w:val="0058643E"/>
    <w:rsid w:val="00586464"/>
    <w:rsid w:val="00586492"/>
    <w:rsid w:val="0058650F"/>
    <w:rsid w:val="005867F5"/>
    <w:rsid w:val="005868E3"/>
    <w:rsid w:val="0058690E"/>
    <w:rsid w:val="0058695C"/>
    <w:rsid w:val="00586A79"/>
    <w:rsid w:val="00586B1A"/>
    <w:rsid w:val="00586B80"/>
    <w:rsid w:val="00586B96"/>
    <w:rsid w:val="00586C9B"/>
    <w:rsid w:val="00586CC3"/>
    <w:rsid w:val="00586D3B"/>
    <w:rsid w:val="00586D71"/>
    <w:rsid w:val="00586EE1"/>
    <w:rsid w:val="00586F0E"/>
    <w:rsid w:val="00586F74"/>
    <w:rsid w:val="005871B3"/>
    <w:rsid w:val="005871FC"/>
    <w:rsid w:val="00587273"/>
    <w:rsid w:val="0058735C"/>
    <w:rsid w:val="0058737F"/>
    <w:rsid w:val="0058739D"/>
    <w:rsid w:val="00587528"/>
    <w:rsid w:val="005878A3"/>
    <w:rsid w:val="00587959"/>
    <w:rsid w:val="005879A0"/>
    <w:rsid w:val="00587A42"/>
    <w:rsid w:val="00587B2F"/>
    <w:rsid w:val="00587C35"/>
    <w:rsid w:val="00587C75"/>
    <w:rsid w:val="00587C7C"/>
    <w:rsid w:val="00587C92"/>
    <w:rsid w:val="00587CA6"/>
    <w:rsid w:val="00587E07"/>
    <w:rsid w:val="00587EA1"/>
    <w:rsid w:val="00587F12"/>
    <w:rsid w:val="00587F1B"/>
    <w:rsid w:val="00587FF6"/>
    <w:rsid w:val="00590506"/>
    <w:rsid w:val="00590516"/>
    <w:rsid w:val="0059058C"/>
    <w:rsid w:val="00590619"/>
    <w:rsid w:val="0059062C"/>
    <w:rsid w:val="00590670"/>
    <w:rsid w:val="00590681"/>
    <w:rsid w:val="00590687"/>
    <w:rsid w:val="005906AD"/>
    <w:rsid w:val="00590791"/>
    <w:rsid w:val="00590852"/>
    <w:rsid w:val="00590894"/>
    <w:rsid w:val="00590989"/>
    <w:rsid w:val="00590A3A"/>
    <w:rsid w:val="00590D2A"/>
    <w:rsid w:val="00590DE1"/>
    <w:rsid w:val="00591083"/>
    <w:rsid w:val="005910D1"/>
    <w:rsid w:val="00591175"/>
    <w:rsid w:val="005912E1"/>
    <w:rsid w:val="00591319"/>
    <w:rsid w:val="005913E3"/>
    <w:rsid w:val="00591496"/>
    <w:rsid w:val="00591578"/>
    <w:rsid w:val="00591667"/>
    <w:rsid w:val="0059170A"/>
    <w:rsid w:val="00591718"/>
    <w:rsid w:val="005918F4"/>
    <w:rsid w:val="005919D5"/>
    <w:rsid w:val="00591B74"/>
    <w:rsid w:val="00591B85"/>
    <w:rsid w:val="00591C91"/>
    <w:rsid w:val="00591CC0"/>
    <w:rsid w:val="00591CC8"/>
    <w:rsid w:val="00591DC4"/>
    <w:rsid w:val="00591E1B"/>
    <w:rsid w:val="00591E35"/>
    <w:rsid w:val="00591E41"/>
    <w:rsid w:val="00591E75"/>
    <w:rsid w:val="00591F91"/>
    <w:rsid w:val="0059210B"/>
    <w:rsid w:val="00592185"/>
    <w:rsid w:val="0059230D"/>
    <w:rsid w:val="00592430"/>
    <w:rsid w:val="0059247C"/>
    <w:rsid w:val="00592550"/>
    <w:rsid w:val="00592593"/>
    <w:rsid w:val="005925AC"/>
    <w:rsid w:val="00592735"/>
    <w:rsid w:val="0059274B"/>
    <w:rsid w:val="00592839"/>
    <w:rsid w:val="00592877"/>
    <w:rsid w:val="005928BB"/>
    <w:rsid w:val="005928ED"/>
    <w:rsid w:val="0059297C"/>
    <w:rsid w:val="005929D3"/>
    <w:rsid w:val="005929D8"/>
    <w:rsid w:val="00592A0A"/>
    <w:rsid w:val="00592AE2"/>
    <w:rsid w:val="00592B41"/>
    <w:rsid w:val="00592B7D"/>
    <w:rsid w:val="00592E11"/>
    <w:rsid w:val="00592F2C"/>
    <w:rsid w:val="0059308B"/>
    <w:rsid w:val="005930C6"/>
    <w:rsid w:val="00593136"/>
    <w:rsid w:val="00593487"/>
    <w:rsid w:val="00593772"/>
    <w:rsid w:val="005937CC"/>
    <w:rsid w:val="00593814"/>
    <w:rsid w:val="00593A4D"/>
    <w:rsid w:val="00593AF7"/>
    <w:rsid w:val="00593B85"/>
    <w:rsid w:val="00593C37"/>
    <w:rsid w:val="00593D16"/>
    <w:rsid w:val="00593D72"/>
    <w:rsid w:val="00593EA4"/>
    <w:rsid w:val="00593ECC"/>
    <w:rsid w:val="00593FA9"/>
    <w:rsid w:val="00594209"/>
    <w:rsid w:val="00594281"/>
    <w:rsid w:val="0059429E"/>
    <w:rsid w:val="005942A2"/>
    <w:rsid w:val="005942EE"/>
    <w:rsid w:val="00594303"/>
    <w:rsid w:val="00594388"/>
    <w:rsid w:val="0059444F"/>
    <w:rsid w:val="00594627"/>
    <w:rsid w:val="005946BF"/>
    <w:rsid w:val="005946C7"/>
    <w:rsid w:val="005946D8"/>
    <w:rsid w:val="00594714"/>
    <w:rsid w:val="00594733"/>
    <w:rsid w:val="005947CB"/>
    <w:rsid w:val="00594826"/>
    <w:rsid w:val="0059482C"/>
    <w:rsid w:val="005948A1"/>
    <w:rsid w:val="005948DF"/>
    <w:rsid w:val="0059492C"/>
    <w:rsid w:val="00594996"/>
    <w:rsid w:val="0059499A"/>
    <w:rsid w:val="00594BBF"/>
    <w:rsid w:val="00594D7E"/>
    <w:rsid w:val="00594DA0"/>
    <w:rsid w:val="00594DE0"/>
    <w:rsid w:val="00594DF5"/>
    <w:rsid w:val="00594EBC"/>
    <w:rsid w:val="00594EFC"/>
    <w:rsid w:val="00594F00"/>
    <w:rsid w:val="00594F4B"/>
    <w:rsid w:val="00595091"/>
    <w:rsid w:val="00595109"/>
    <w:rsid w:val="00595113"/>
    <w:rsid w:val="00595144"/>
    <w:rsid w:val="00595146"/>
    <w:rsid w:val="00595163"/>
    <w:rsid w:val="005951F9"/>
    <w:rsid w:val="0059530B"/>
    <w:rsid w:val="0059530D"/>
    <w:rsid w:val="0059533F"/>
    <w:rsid w:val="0059539C"/>
    <w:rsid w:val="0059547B"/>
    <w:rsid w:val="005954C3"/>
    <w:rsid w:val="005954E0"/>
    <w:rsid w:val="00595544"/>
    <w:rsid w:val="005955B2"/>
    <w:rsid w:val="005955C8"/>
    <w:rsid w:val="0059575A"/>
    <w:rsid w:val="005957B8"/>
    <w:rsid w:val="005957E9"/>
    <w:rsid w:val="005958AF"/>
    <w:rsid w:val="00595AC3"/>
    <w:rsid w:val="00595B0B"/>
    <w:rsid w:val="00595BD7"/>
    <w:rsid w:val="00595C13"/>
    <w:rsid w:val="00595C2A"/>
    <w:rsid w:val="00595DF6"/>
    <w:rsid w:val="00595E07"/>
    <w:rsid w:val="00596024"/>
    <w:rsid w:val="0059605A"/>
    <w:rsid w:val="005960A9"/>
    <w:rsid w:val="00596100"/>
    <w:rsid w:val="005961A1"/>
    <w:rsid w:val="005961D4"/>
    <w:rsid w:val="00596488"/>
    <w:rsid w:val="0059656A"/>
    <w:rsid w:val="00596607"/>
    <w:rsid w:val="0059686F"/>
    <w:rsid w:val="00596A24"/>
    <w:rsid w:val="00596A83"/>
    <w:rsid w:val="00596A9B"/>
    <w:rsid w:val="00596E52"/>
    <w:rsid w:val="00596F6A"/>
    <w:rsid w:val="005970B4"/>
    <w:rsid w:val="005971A5"/>
    <w:rsid w:val="00597295"/>
    <w:rsid w:val="005972C3"/>
    <w:rsid w:val="00597362"/>
    <w:rsid w:val="005974CC"/>
    <w:rsid w:val="005974D7"/>
    <w:rsid w:val="00597671"/>
    <w:rsid w:val="005976E7"/>
    <w:rsid w:val="00597749"/>
    <w:rsid w:val="0059779E"/>
    <w:rsid w:val="005977D1"/>
    <w:rsid w:val="005977E9"/>
    <w:rsid w:val="00597824"/>
    <w:rsid w:val="0059793C"/>
    <w:rsid w:val="00597CE7"/>
    <w:rsid w:val="00597CF3"/>
    <w:rsid w:val="00597DB5"/>
    <w:rsid w:val="00597DEE"/>
    <w:rsid w:val="00597DFD"/>
    <w:rsid w:val="00597E92"/>
    <w:rsid w:val="005A00F4"/>
    <w:rsid w:val="005A00FF"/>
    <w:rsid w:val="005A010F"/>
    <w:rsid w:val="005A019C"/>
    <w:rsid w:val="005A01A0"/>
    <w:rsid w:val="005A01C5"/>
    <w:rsid w:val="005A0236"/>
    <w:rsid w:val="005A0265"/>
    <w:rsid w:val="005A02D3"/>
    <w:rsid w:val="005A0363"/>
    <w:rsid w:val="005A0408"/>
    <w:rsid w:val="005A04E2"/>
    <w:rsid w:val="005A04FA"/>
    <w:rsid w:val="005A05DB"/>
    <w:rsid w:val="005A07D7"/>
    <w:rsid w:val="005A0820"/>
    <w:rsid w:val="005A0834"/>
    <w:rsid w:val="005A092B"/>
    <w:rsid w:val="005A0AB0"/>
    <w:rsid w:val="005A0BBF"/>
    <w:rsid w:val="005A0D33"/>
    <w:rsid w:val="005A0DAC"/>
    <w:rsid w:val="005A0DE5"/>
    <w:rsid w:val="005A0EE0"/>
    <w:rsid w:val="005A0F1E"/>
    <w:rsid w:val="005A0FA6"/>
    <w:rsid w:val="005A0FC1"/>
    <w:rsid w:val="005A1009"/>
    <w:rsid w:val="005A1080"/>
    <w:rsid w:val="005A1180"/>
    <w:rsid w:val="005A11F0"/>
    <w:rsid w:val="005A12F6"/>
    <w:rsid w:val="005A12F9"/>
    <w:rsid w:val="005A1355"/>
    <w:rsid w:val="005A13C8"/>
    <w:rsid w:val="005A166F"/>
    <w:rsid w:val="005A1685"/>
    <w:rsid w:val="005A1753"/>
    <w:rsid w:val="005A176F"/>
    <w:rsid w:val="005A1878"/>
    <w:rsid w:val="005A18DE"/>
    <w:rsid w:val="005A1ADC"/>
    <w:rsid w:val="005A1B12"/>
    <w:rsid w:val="005A1DB5"/>
    <w:rsid w:val="005A1E67"/>
    <w:rsid w:val="005A1E77"/>
    <w:rsid w:val="005A21B7"/>
    <w:rsid w:val="005A2259"/>
    <w:rsid w:val="005A254D"/>
    <w:rsid w:val="005A2560"/>
    <w:rsid w:val="005A262E"/>
    <w:rsid w:val="005A263C"/>
    <w:rsid w:val="005A2650"/>
    <w:rsid w:val="005A271C"/>
    <w:rsid w:val="005A2B24"/>
    <w:rsid w:val="005A2B8C"/>
    <w:rsid w:val="005A2DAC"/>
    <w:rsid w:val="005A2DEC"/>
    <w:rsid w:val="005A2E77"/>
    <w:rsid w:val="005A2F89"/>
    <w:rsid w:val="005A2FD8"/>
    <w:rsid w:val="005A304C"/>
    <w:rsid w:val="005A3136"/>
    <w:rsid w:val="005A3177"/>
    <w:rsid w:val="005A326A"/>
    <w:rsid w:val="005A32CB"/>
    <w:rsid w:val="005A339D"/>
    <w:rsid w:val="005A340A"/>
    <w:rsid w:val="005A346B"/>
    <w:rsid w:val="005A348A"/>
    <w:rsid w:val="005A34BA"/>
    <w:rsid w:val="005A3506"/>
    <w:rsid w:val="005A3552"/>
    <w:rsid w:val="005A3572"/>
    <w:rsid w:val="005A358C"/>
    <w:rsid w:val="005A3717"/>
    <w:rsid w:val="005A3752"/>
    <w:rsid w:val="005A3778"/>
    <w:rsid w:val="005A3812"/>
    <w:rsid w:val="005A39E9"/>
    <w:rsid w:val="005A3A2F"/>
    <w:rsid w:val="005A3BCB"/>
    <w:rsid w:val="005A3C37"/>
    <w:rsid w:val="005A3C40"/>
    <w:rsid w:val="005A3C63"/>
    <w:rsid w:val="005A3EDD"/>
    <w:rsid w:val="005A3F30"/>
    <w:rsid w:val="005A4038"/>
    <w:rsid w:val="005A4068"/>
    <w:rsid w:val="005A40C4"/>
    <w:rsid w:val="005A40C8"/>
    <w:rsid w:val="005A418F"/>
    <w:rsid w:val="005A423F"/>
    <w:rsid w:val="005A4381"/>
    <w:rsid w:val="005A444C"/>
    <w:rsid w:val="005A4485"/>
    <w:rsid w:val="005A4645"/>
    <w:rsid w:val="005A4661"/>
    <w:rsid w:val="005A4788"/>
    <w:rsid w:val="005A47F6"/>
    <w:rsid w:val="005A48C8"/>
    <w:rsid w:val="005A48F5"/>
    <w:rsid w:val="005A4942"/>
    <w:rsid w:val="005A496B"/>
    <w:rsid w:val="005A4A0D"/>
    <w:rsid w:val="005A4A26"/>
    <w:rsid w:val="005A4A81"/>
    <w:rsid w:val="005A4B4B"/>
    <w:rsid w:val="005A4C00"/>
    <w:rsid w:val="005A4D49"/>
    <w:rsid w:val="005A4EE3"/>
    <w:rsid w:val="005A50EF"/>
    <w:rsid w:val="005A5109"/>
    <w:rsid w:val="005A521F"/>
    <w:rsid w:val="005A52F4"/>
    <w:rsid w:val="005A530C"/>
    <w:rsid w:val="005A5486"/>
    <w:rsid w:val="005A552A"/>
    <w:rsid w:val="005A5543"/>
    <w:rsid w:val="005A5613"/>
    <w:rsid w:val="005A5850"/>
    <w:rsid w:val="005A589C"/>
    <w:rsid w:val="005A5999"/>
    <w:rsid w:val="005A59D0"/>
    <w:rsid w:val="005A59F0"/>
    <w:rsid w:val="005A5ABD"/>
    <w:rsid w:val="005A5B45"/>
    <w:rsid w:val="005A5D0A"/>
    <w:rsid w:val="005A5D4C"/>
    <w:rsid w:val="005A5E04"/>
    <w:rsid w:val="005A5EB2"/>
    <w:rsid w:val="005A600D"/>
    <w:rsid w:val="005A61A1"/>
    <w:rsid w:val="005A6333"/>
    <w:rsid w:val="005A637D"/>
    <w:rsid w:val="005A6489"/>
    <w:rsid w:val="005A655F"/>
    <w:rsid w:val="005A6622"/>
    <w:rsid w:val="005A66E3"/>
    <w:rsid w:val="005A6713"/>
    <w:rsid w:val="005A6717"/>
    <w:rsid w:val="005A67FA"/>
    <w:rsid w:val="005A681C"/>
    <w:rsid w:val="005A68D6"/>
    <w:rsid w:val="005A690A"/>
    <w:rsid w:val="005A6953"/>
    <w:rsid w:val="005A6A0C"/>
    <w:rsid w:val="005A6B09"/>
    <w:rsid w:val="005A6CA2"/>
    <w:rsid w:val="005A6E67"/>
    <w:rsid w:val="005A6F2E"/>
    <w:rsid w:val="005A6F5A"/>
    <w:rsid w:val="005A6F7E"/>
    <w:rsid w:val="005A7046"/>
    <w:rsid w:val="005A70FD"/>
    <w:rsid w:val="005A710B"/>
    <w:rsid w:val="005A717A"/>
    <w:rsid w:val="005A71FB"/>
    <w:rsid w:val="005A723E"/>
    <w:rsid w:val="005A7288"/>
    <w:rsid w:val="005A73C8"/>
    <w:rsid w:val="005A73F3"/>
    <w:rsid w:val="005A746B"/>
    <w:rsid w:val="005A74DE"/>
    <w:rsid w:val="005A7521"/>
    <w:rsid w:val="005A759B"/>
    <w:rsid w:val="005A7699"/>
    <w:rsid w:val="005A7775"/>
    <w:rsid w:val="005A7790"/>
    <w:rsid w:val="005A77C9"/>
    <w:rsid w:val="005A7861"/>
    <w:rsid w:val="005A7A0B"/>
    <w:rsid w:val="005A7B6B"/>
    <w:rsid w:val="005A7BF0"/>
    <w:rsid w:val="005A7D77"/>
    <w:rsid w:val="005A7E53"/>
    <w:rsid w:val="005B00D1"/>
    <w:rsid w:val="005B02EE"/>
    <w:rsid w:val="005B03B4"/>
    <w:rsid w:val="005B03BC"/>
    <w:rsid w:val="005B0457"/>
    <w:rsid w:val="005B049E"/>
    <w:rsid w:val="005B04B6"/>
    <w:rsid w:val="005B0603"/>
    <w:rsid w:val="005B0623"/>
    <w:rsid w:val="005B06BB"/>
    <w:rsid w:val="005B06F7"/>
    <w:rsid w:val="005B07E8"/>
    <w:rsid w:val="005B0A82"/>
    <w:rsid w:val="005B0ACD"/>
    <w:rsid w:val="005B0D0A"/>
    <w:rsid w:val="005B0EA5"/>
    <w:rsid w:val="005B0EBA"/>
    <w:rsid w:val="005B0F40"/>
    <w:rsid w:val="005B0F45"/>
    <w:rsid w:val="005B0F90"/>
    <w:rsid w:val="005B1011"/>
    <w:rsid w:val="005B110B"/>
    <w:rsid w:val="005B13B9"/>
    <w:rsid w:val="005B1542"/>
    <w:rsid w:val="005B1562"/>
    <w:rsid w:val="005B15A1"/>
    <w:rsid w:val="005B174E"/>
    <w:rsid w:val="005B17D8"/>
    <w:rsid w:val="005B17DE"/>
    <w:rsid w:val="005B192C"/>
    <w:rsid w:val="005B196C"/>
    <w:rsid w:val="005B19F2"/>
    <w:rsid w:val="005B1A1F"/>
    <w:rsid w:val="005B1B06"/>
    <w:rsid w:val="005B1B5F"/>
    <w:rsid w:val="005B1BCA"/>
    <w:rsid w:val="005B1C64"/>
    <w:rsid w:val="005B1E09"/>
    <w:rsid w:val="005B1F05"/>
    <w:rsid w:val="005B1F24"/>
    <w:rsid w:val="005B1F56"/>
    <w:rsid w:val="005B1F75"/>
    <w:rsid w:val="005B1FB1"/>
    <w:rsid w:val="005B1FB2"/>
    <w:rsid w:val="005B1FCF"/>
    <w:rsid w:val="005B219E"/>
    <w:rsid w:val="005B22F6"/>
    <w:rsid w:val="005B233D"/>
    <w:rsid w:val="005B2376"/>
    <w:rsid w:val="005B2675"/>
    <w:rsid w:val="005B275C"/>
    <w:rsid w:val="005B280D"/>
    <w:rsid w:val="005B2864"/>
    <w:rsid w:val="005B292B"/>
    <w:rsid w:val="005B29B9"/>
    <w:rsid w:val="005B2A3E"/>
    <w:rsid w:val="005B2B72"/>
    <w:rsid w:val="005B2C0F"/>
    <w:rsid w:val="005B2C50"/>
    <w:rsid w:val="005B2C92"/>
    <w:rsid w:val="005B2D39"/>
    <w:rsid w:val="005B2D41"/>
    <w:rsid w:val="005B2D65"/>
    <w:rsid w:val="005B2D6F"/>
    <w:rsid w:val="005B2EA3"/>
    <w:rsid w:val="005B2F16"/>
    <w:rsid w:val="005B2FE9"/>
    <w:rsid w:val="005B3075"/>
    <w:rsid w:val="005B3103"/>
    <w:rsid w:val="005B3182"/>
    <w:rsid w:val="005B3291"/>
    <w:rsid w:val="005B33A3"/>
    <w:rsid w:val="005B3440"/>
    <w:rsid w:val="005B345E"/>
    <w:rsid w:val="005B34DE"/>
    <w:rsid w:val="005B3553"/>
    <w:rsid w:val="005B3888"/>
    <w:rsid w:val="005B38DD"/>
    <w:rsid w:val="005B39F7"/>
    <w:rsid w:val="005B3A32"/>
    <w:rsid w:val="005B3A36"/>
    <w:rsid w:val="005B3AA2"/>
    <w:rsid w:val="005B3B68"/>
    <w:rsid w:val="005B3C9E"/>
    <w:rsid w:val="005B3CA2"/>
    <w:rsid w:val="005B3CA7"/>
    <w:rsid w:val="005B3D13"/>
    <w:rsid w:val="005B3DF7"/>
    <w:rsid w:val="005B3E09"/>
    <w:rsid w:val="005B3F45"/>
    <w:rsid w:val="005B3F52"/>
    <w:rsid w:val="005B4007"/>
    <w:rsid w:val="005B41B1"/>
    <w:rsid w:val="005B422B"/>
    <w:rsid w:val="005B42D7"/>
    <w:rsid w:val="005B4365"/>
    <w:rsid w:val="005B43BF"/>
    <w:rsid w:val="005B44F3"/>
    <w:rsid w:val="005B47AA"/>
    <w:rsid w:val="005B48B9"/>
    <w:rsid w:val="005B48CC"/>
    <w:rsid w:val="005B4961"/>
    <w:rsid w:val="005B4993"/>
    <w:rsid w:val="005B4A4E"/>
    <w:rsid w:val="005B4C84"/>
    <w:rsid w:val="005B4D3D"/>
    <w:rsid w:val="005B4D58"/>
    <w:rsid w:val="005B4D89"/>
    <w:rsid w:val="005B4E92"/>
    <w:rsid w:val="005B4F7A"/>
    <w:rsid w:val="005B5085"/>
    <w:rsid w:val="005B50CF"/>
    <w:rsid w:val="005B5126"/>
    <w:rsid w:val="005B51A1"/>
    <w:rsid w:val="005B5228"/>
    <w:rsid w:val="005B528E"/>
    <w:rsid w:val="005B52AB"/>
    <w:rsid w:val="005B53F6"/>
    <w:rsid w:val="005B540B"/>
    <w:rsid w:val="005B54D5"/>
    <w:rsid w:val="005B56EB"/>
    <w:rsid w:val="005B570D"/>
    <w:rsid w:val="005B5851"/>
    <w:rsid w:val="005B5902"/>
    <w:rsid w:val="005B5986"/>
    <w:rsid w:val="005B59E1"/>
    <w:rsid w:val="005B5D0E"/>
    <w:rsid w:val="005B5DC5"/>
    <w:rsid w:val="005B5EBF"/>
    <w:rsid w:val="005B5EE3"/>
    <w:rsid w:val="005B6148"/>
    <w:rsid w:val="005B6196"/>
    <w:rsid w:val="005B64BC"/>
    <w:rsid w:val="005B6547"/>
    <w:rsid w:val="005B66B8"/>
    <w:rsid w:val="005B66D3"/>
    <w:rsid w:val="005B6708"/>
    <w:rsid w:val="005B6746"/>
    <w:rsid w:val="005B67C8"/>
    <w:rsid w:val="005B6842"/>
    <w:rsid w:val="005B6972"/>
    <w:rsid w:val="005B69DF"/>
    <w:rsid w:val="005B6A15"/>
    <w:rsid w:val="005B6AA7"/>
    <w:rsid w:val="005B6C08"/>
    <w:rsid w:val="005B6C89"/>
    <w:rsid w:val="005B6CA1"/>
    <w:rsid w:val="005B6D30"/>
    <w:rsid w:val="005B6E95"/>
    <w:rsid w:val="005B6F99"/>
    <w:rsid w:val="005B7286"/>
    <w:rsid w:val="005B72C9"/>
    <w:rsid w:val="005B72E2"/>
    <w:rsid w:val="005B73FD"/>
    <w:rsid w:val="005B743A"/>
    <w:rsid w:val="005B7586"/>
    <w:rsid w:val="005B76E8"/>
    <w:rsid w:val="005B7724"/>
    <w:rsid w:val="005B7782"/>
    <w:rsid w:val="005B7792"/>
    <w:rsid w:val="005B77E6"/>
    <w:rsid w:val="005B7891"/>
    <w:rsid w:val="005B78CB"/>
    <w:rsid w:val="005B7936"/>
    <w:rsid w:val="005B7A1D"/>
    <w:rsid w:val="005B7A3A"/>
    <w:rsid w:val="005B7C76"/>
    <w:rsid w:val="005B7CC6"/>
    <w:rsid w:val="005B7CE5"/>
    <w:rsid w:val="005B7DCA"/>
    <w:rsid w:val="005B7ED7"/>
    <w:rsid w:val="005C0067"/>
    <w:rsid w:val="005C00A9"/>
    <w:rsid w:val="005C0135"/>
    <w:rsid w:val="005C0141"/>
    <w:rsid w:val="005C01CD"/>
    <w:rsid w:val="005C046D"/>
    <w:rsid w:val="005C0567"/>
    <w:rsid w:val="005C0579"/>
    <w:rsid w:val="005C063B"/>
    <w:rsid w:val="005C06E0"/>
    <w:rsid w:val="005C06E1"/>
    <w:rsid w:val="005C071A"/>
    <w:rsid w:val="005C086A"/>
    <w:rsid w:val="005C0875"/>
    <w:rsid w:val="005C087E"/>
    <w:rsid w:val="005C0903"/>
    <w:rsid w:val="005C09F2"/>
    <w:rsid w:val="005C0A1C"/>
    <w:rsid w:val="005C0AA1"/>
    <w:rsid w:val="005C0AA8"/>
    <w:rsid w:val="005C0ACD"/>
    <w:rsid w:val="005C0AE6"/>
    <w:rsid w:val="005C0C7A"/>
    <w:rsid w:val="005C0C8C"/>
    <w:rsid w:val="005C0C9F"/>
    <w:rsid w:val="005C0CA5"/>
    <w:rsid w:val="005C0CB4"/>
    <w:rsid w:val="005C0E5D"/>
    <w:rsid w:val="005C0EA8"/>
    <w:rsid w:val="005C0ED9"/>
    <w:rsid w:val="005C1422"/>
    <w:rsid w:val="005C143F"/>
    <w:rsid w:val="005C1503"/>
    <w:rsid w:val="005C15B2"/>
    <w:rsid w:val="005C1622"/>
    <w:rsid w:val="005C175F"/>
    <w:rsid w:val="005C177B"/>
    <w:rsid w:val="005C180C"/>
    <w:rsid w:val="005C182F"/>
    <w:rsid w:val="005C1839"/>
    <w:rsid w:val="005C1A6D"/>
    <w:rsid w:val="005C1A95"/>
    <w:rsid w:val="005C1B85"/>
    <w:rsid w:val="005C1C7C"/>
    <w:rsid w:val="005C1D95"/>
    <w:rsid w:val="005C1E03"/>
    <w:rsid w:val="005C2007"/>
    <w:rsid w:val="005C203F"/>
    <w:rsid w:val="005C21CE"/>
    <w:rsid w:val="005C2261"/>
    <w:rsid w:val="005C232D"/>
    <w:rsid w:val="005C23B3"/>
    <w:rsid w:val="005C23BB"/>
    <w:rsid w:val="005C24E5"/>
    <w:rsid w:val="005C25D3"/>
    <w:rsid w:val="005C260D"/>
    <w:rsid w:val="005C26B3"/>
    <w:rsid w:val="005C276D"/>
    <w:rsid w:val="005C28A2"/>
    <w:rsid w:val="005C29DC"/>
    <w:rsid w:val="005C2A08"/>
    <w:rsid w:val="005C2A98"/>
    <w:rsid w:val="005C2AF5"/>
    <w:rsid w:val="005C2BE5"/>
    <w:rsid w:val="005C2C07"/>
    <w:rsid w:val="005C3298"/>
    <w:rsid w:val="005C3344"/>
    <w:rsid w:val="005C342F"/>
    <w:rsid w:val="005C346F"/>
    <w:rsid w:val="005C348D"/>
    <w:rsid w:val="005C35C2"/>
    <w:rsid w:val="005C3879"/>
    <w:rsid w:val="005C3908"/>
    <w:rsid w:val="005C397D"/>
    <w:rsid w:val="005C3B0D"/>
    <w:rsid w:val="005C3B13"/>
    <w:rsid w:val="005C3B1C"/>
    <w:rsid w:val="005C3B67"/>
    <w:rsid w:val="005C3C7F"/>
    <w:rsid w:val="005C3CDA"/>
    <w:rsid w:val="005C3CDF"/>
    <w:rsid w:val="005C3D8A"/>
    <w:rsid w:val="005C3FCB"/>
    <w:rsid w:val="005C3FEC"/>
    <w:rsid w:val="005C4189"/>
    <w:rsid w:val="005C4259"/>
    <w:rsid w:val="005C44F2"/>
    <w:rsid w:val="005C4662"/>
    <w:rsid w:val="005C46D7"/>
    <w:rsid w:val="005C4758"/>
    <w:rsid w:val="005C4764"/>
    <w:rsid w:val="005C4779"/>
    <w:rsid w:val="005C48E0"/>
    <w:rsid w:val="005C4A03"/>
    <w:rsid w:val="005C4A4E"/>
    <w:rsid w:val="005C4A96"/>
    <w:rsid w:val="005C4B44"/>
    <w:rsid w:val="005C4ED4"/>
    <w:rsid w:val="005C4F23"/>
    <w:rsid w:val="005C4F33"/>
    <w:rsid w:val="005C4F7E"/>
    <w:rsid w:val="005C4FE3"/>
    <w:rsid w:val="005C5191"/>
    <w:rsid w:val="005C51A1"/>
    <w:rsid w:val="005C5283"/>
    <w:rsid w:val="005C5342"/>
    <w:rsid w:val="005C5483"/>
    <w:rsid w:val="005C5843"/>
    <w:rsid w:val="005C5889"/>
    <w:rsid w:val="005C58B3"/>
    <w:rsid w:val="005C5909"/>
    <w:rsid w:val="005C59EF"/>
    <w:rsid w:val="005C5A1E"/>
    <w:rsid w:val="005C5A71"/>
    <w:rsid w:val="005C5A80"/>
    <w:rsid w:val="005C5AAC"/>
    <w:rsid w:val="005C5B48"/>
    <w:rsid w:val="005C5CCF"/>
    <w:rsid w:val="005C5D96"/>
    <w:rsid w:val="005C5ECB"/>
    <w:rsid w:val="005C5F61"/>
    <w:rsid w:val="005C5F65"/>
    <w:rsid w:val="005C60DA"/>
    <w:rsid w:val="005C6319"/>
    <w:rsid w:val="005C635B"/>
    <w:rsid w:val="005C63BF"/>
    <w:rsid w:val="005C64E4"/>
    <w:rsid w:val="005C6573"/>
    <w:rsid w:val="005C6711"/>
    <w:rsid w:val="005C680A"/>
    <w:rsid w:val="005C68D7"/>
    <w:rsid w:val="005C6B14"/>
    <w:rsid w:val="005C6C24"/>
    <w:rsid w:val="005C6C45"/>
    <w:rsid w:val="005C6C81"/>
    <w:rsid w:val="005C6E96"/>
    <w:rsid w:val="005C6EE0"/>
    <w:rsid w:val="005C6FA5"/>
    <w:rsid w:val="005C7033"/>
    <w:rsid w:val="005C7063"/>
    <w:rsid w:val="005C70F9"/>
    <w:rsid w:val="005C72C7"/>
    <w:rsid w:val="005C7383"/>
    <w:rsid w:val="005C739A"/>
    <w:rsid w:val="005C74E1"/>
    <w:rsid w:val="005C7567"/>
    <w:rsid w:val="005C76AF"/>
    <w:rsid w:val="005C76EB"/>
    <w:rsid w:val="005C7719"/>
    <w:rsid w:val="005C7783"/>
    <w:rsid w:val="005C78CD"/>
    <w:rsid w:val="005C7914"/>
    <w:rsid w:val="005C7A01"/>
    <w:rsid w:val="005C7BA0"/>
    <w:rsid w:val="005C7D47"/>
    <w:rsid w:val="005C7D69"/>
    <w:rsid w:val="005C7F48"/>
    <w:rsid w:val="005C7FF5"/>
    <w:rsid w:val="005D000C"/>
    <w:rsid w:val="005D00B9"/>
    <w:rsid w:val="005D016E"/>
    <w:rsid w:val="005D0280"/>
    <w:rsid w:val="005D04F1"/>
    <w:rsid w:val="005D0547"/>
    <w:rsid w:val="005D0602"/>
    <w:rsid w:val="005D06C3"/>
    <w:rsid w:val="005D07C5"/>
    <w:rsid w:val="005D07F7"/>
    <w:rsid w:val="005D088D"/>
    <w:rsid w:val="005D08CC"/>
    <w:rsid w:val="005D093C"/>
    <w:rsid w:val="005D0BFF"/>
    <w:rsid w:val="005D0CBF"/>
    <w:rsid w:val="005D0D10"/>
    <w:rsid w:val="005D0FBC"/>
    <w:rsid w:val="005D1130"/>
    <w:rsid w:val="005D1259"/>
    <w:rsid w:val="005D129B"/>
    <w:rsid w:val="005D1531"/>
    <w:rsid w:val="005D1702"/>
    <w:rsid w:val="005D170C"/>
    <w:rsid w:val="005D1780"/>
    <w:rsid w:val="005D17A6"/>
    <w:rsid w:val="005D17ED"/>
    <w:rsid w:val="005D194D"/>
    <w:rsid w:val="005D19FB"/>
    <w:rsid w:val="005D1A2F"/>
    <w:rsid w:val="005D1B0C"/>
    <w:rsid w:val="005D1B7E"/>
    <w:rsid w:val="005D1BE7"/>
    <w:rsid w:val="005D1C03"/>
    <w:rsid w:val="005D1C0E"/>
    <w:rsid w:val="005D1C8F"/>
    <w:rsid w:val="005D1CAE"/>
    <w:rsid w:val="005D1D09"/>
    <w:rsid w:val="005D1F7C"/>
    <w:rsid w:val="005D2005"/>
    <w:rsid w:val="005D2182"/>
    <w:rsid w:val="005D2185"/>
    <w:rsid w:val="005D2192"/>
    <w:rsid w:val="005D21A6"/>
    <w:rsid w:val="005D2292"/>
    <w:rsid w:val="005D23A3"/>
    <w:rsid w:val="005D23BB"/>
    <w:rsid w:val="005D25A1"/>
    <w:rsid w:val="005D26B4"/>
    <w:rsid w:val="005D278D"/>
    <w:rsid w:val="005D27C4"/>
    <w:rsid w:val="005D2812"/>
    <w:rsid w:val="005D2882"/>
    <w:rsid w:val="005D28E2"/>
    <w:rsid w:val="005D28F7"/>
    <w:rsid w:val="005D2933"/>
    <w:rsid w:val="005D29FD"/>
    <w:rsid w:val="005D2ABA"/>
    <w:rsid w:val="005D2BEF"/>
    <w:rsid w:val="005D2CAE"/>
    <w:rsid w:val="005D2D08"/>
    <w:rsid w:val="005D2DF4"/>
    <w:rsid w:val="005D3127"/>
    <w:rsid w:val="005D3361"/>
    <w:rsid w:val="005D3384"/>
    <w:rsid w:val="005D3398"/>
    <w:rsid w:val="005D34BA"/>
    <w:rsid w:val="005D34E3"/>
    <w:rsid w:val="005D34FF"/>
    <w:rsid w:val="005D36D8"/>
    <w:rsid w:val="005D37D9"/>
    <w:rsid w:val="005D386E"/>
    <w:rsid w:val="005D38A2"/>
    <w:rsid w:val="005D3AF1"/>
    <w:rsid w:val="005D3B3E"/>
    <w:rsid w:val="005D3BDA"/>
    <w:rsid w:val="005D3D6D"/>
    <w:rsid w:val="005D3DF8"/>
    <w:rsid w:val="005D3E05"/>
    <w:rsid w:val="005D3E1A"/>
    <w:rsid w:val="005D3E6E"/>
    <w:rsid w:val="005D3F02"/>
    <w:rsid w:val="005D41A3"/>
    <w:rsid w:val="005D4212"/>
    <w:rsid w:val="005D4288"/>
    <w:rsid w:val="005D4310"/>
    <w:rsid w:val="005D4393"/>
    <w:rsid w:val="005D43A3"/>
    <w:rsid w:val="005D440E"/>
    <w:rsid w:val="005D44D2"/>
    <w:rsid w:val="005D44DE"/>
    <w:rsid w:val="005D45E4"/>
    <w:rsid w:val="005D4620"/>
    <w:rsid w:val="005D4880"/>
    <w:rsid w:val="005D48A6"/>
    <w:rsid w:val="005D48AD"/>
    <w:rsid w:val="005D48B4"/>
    <w:rsid w:val="005D4A92"/>
    <w:rsid w:val="005D4C4C"/>
    <w:rsid w:val="005D4CA5"/>
    <w:rsid w:val="005D4D02"/>
    <w:rsid w:val="005D4DD5"/>
    <w:rsid w:val="005D4EBD"/>
    <w:rsid w:val="005D5009"/>
    <w:rsid w:val="005D509F"/>
    <w:rsid w:val="005D50D9"/>
    <w:rsid w:val="005D5136"/>
    <w:rsid w:val="005D52E2"/>
    <w:rsid w:val="005D5345"/>
    <w:rsid w:val="005D53EE"/>
    <w:rsid w:val="005D5460"/>
    <w:rsid w:val="005D54D4"/>
    <w:rsid w:val="005D55D6"/>
    <w:rsid w:val="005D55EE"/>
    <w:rsid w:val="005D5672"/>
    <w:rsid w:val="005D5755"/>
    <w:rsid w:val="005D582A"/>
    <w:rsid w:val="005D58B5"/>
    <w:rsid w:val="005D58FB"/>
    <w:rsid w:val="005D5948"/>
    <w:rsid w:val="005D598B"/>
    <w:rsid w:val="005D5AEB"/>
    <w:rsid w:val="005D5B31"/>
    <w:rsid w:val="005D5BB7"/>
    <w:rsid w:val="005D5CC4"/>
    <w:rsid w:val="005D5F10"/>
    <w:rsid w:val="005D5F25"/>
    <w:rsid w:val="005D5F2A"/>
    <w:rsid w:val="005D5FE0"/>
    <w:rsid w:val="005D5FE9"/>
    <w:rsid w:val="005D5FEB"/>
    <w:rsid w:val="005D6171"/>
    <w:rsid w:val="005D62B9"/>
    <w:rsid w:val="005D6302"/>
    <w:rsid w:val="005D635D"/>
    <w:rsid w:val="005D6379"/>
    <w:rsid w:val="005D6400"/>
    <w:rsid w:val="005D6416"/>
    <w:rsid w:val="005D6450"/>
    <w:rsid w:val="005D654F"/>
    <w:rsid w:val="005D6568"/>
    <w:rsid w:val="005D662C"/>
    <w:rsid w:val="005D6698"/>
    <w:rsid w:val="005D67D5"/>
    <w:rsid w:val="005D67F1"/>
    <w:rsid w:val="005D6804"/>
    <w:rsid w:val="005D696F"/>
    <w:rsid w:val="005D6A67"/>
    <w:rsid w:val="005D6ACE"/>
    <w:rsid w:val="005D6BC6"/>
    <w:rsid w:val="005D6D9D"/>
    <w:rsid w:val="005D6DE3"/>
    <w:rsid w:val="005D6F41"/>
    <w:rsid w:val="005D6FA3"/>
    <w:rsid w:val="005D6FC6"/>
    <w:rsid w:val="005D702C"/>
    <w:rsid w:val="005D711D"/>
    <w:rsid w:val="005D722D"/>
    <w:rsid w:val="005D72C8"/>
    <w:rsid w:val="005D72FD"/>
    <w:rsid w:val="005D731C"/>
    <w:rsid w:val="005D73C5"/>
    <w:rsid w:val="005D7411"/>
    <w:rsid w:val="005D755F"/>
    <w:rsid w:val="005D7572"/>
    <w:rsid w:val="005D7579"/>
    <w:rsid w:val="005D77E6"/>
    <w:rsid w:val="005D78EE"/>
    <w:rsid w:val="005D7AA0"/>
    <w:rsid w:val="005D7BEA"/>
    <w:rsid w:val="005D7CB6"/>
    <w:rsid w:val="005D7D3F"/>
    <w:rsid w:val="005D7DD9"/>
    <w:rsid w:val="005D7E3F"/>
    <w:rsid w:val="005D7F63"/>
    <w:rsid w:val="005E004C"/>
    <w:rsid w:val="005E0182"/>
    <w:rsid w:val="005E0184"/>
    <w:rsid w:val="005E02A1"/>
    <w:rsid w:val="005E02B3"/>
    <w:rsid w:val="005E031E"/>
    <w:rsid w:val="005E0437"/>
    <w:rsid w:val="005E04B1"/>
    <w:rsid w:val="005E0648"/>
    <w:rsid w:val="005E07F9"/>
    <w:rsid w:val="005E080B"/>
    <w:rsid w:val="005E096C"/>
    <w:rsid w:val="005E097A"/>
    <w:rsid w:val="005E09D1"/>
    <w:rsid w:val="005E0A31"/>
    <w:rsid w:val="005E0B91"/>
    <w:rsid w:val="005E0C56"/>
    <w:rsid w:val="005E0D3D"/>
    <w:rsid w:val="005E1066"/>
    <w:rsid w:val="005E11A4"/>
    <w:rsid w:val="005E11B5"/>
    <w:rsid w:val="005E1243"/>
    <w:rsid w:val="005E12D7"/>
    <w:rsid w:val="005E1442"/>
    <w:rsid w:val="005E15FA"/>
    <w:rsid w:val="005E16DC"/>
    <w:rsid w:val="005E1759"/>
    <w:rsid w:val="005E1780"/>
    <w:rsid w:val="005E178B"/>
    <w:rsid w:val="005E1A21"/>
    <w:rsid w:val="005E1ABA"/>
    <w:rsid w:val="005E1CCB"/>
    <w:rsid w:val="005E1E86"/>
    <w:rsid w:val="005E1EC0"/>
    <w:rsid w:val="005E2176"/>
    <w:rsid w:val="005E21C4"/>
    <w:rsid w:val="005E22E6"/>
    <w:rsid w:val="005E2385"/>
    <w:rsid w:val="005E25E0"/>
    <w:rsid w:val="005E2610"/>
    <w:rsid w:val="005E271B"/>
    <w:rsid w:val="005E27A6"/>
    <w:rsid w:val="005E295B"/>
    <w:rsid w:val="005E2A24"/>
    <w:rsid w:val="005E2A98"/>
    <w:rsid w:val="005E2B00"/>
    <w:rsid w:val="005E2B67"/>
    <w:rsid w:val="005E2C0D"/>
    <w:rsid w:val="005E2C59"/>
    <w:rsid w:val="005E2F72"/>
    <w:rsid w:val="005E2FDA"/>
    <w:rsid w:val="005E3011"/>
    <w:rsid w:val="005E3028"/>
    <w:rsid w:val="005E3080"/>
    <w:rsid w:val="005E316F"/>
    <w:rsid w:val="005E3228"/>
    <w:rsid w:val="005E329F"/>
    <w:rsid w:val="005E3322"/>
    <w:rsid w:val="005E338B"/>
    <w:rsid w:val="005E3479"/>
    <w:rsid w:val="005E35F8"/>
    <w:rsid w:val="005E35F9"/>
    <w:rsid w:val="005E368E"/>
    <w:rsid w:val="005E392E"/>
    <w:rsid w:val="005E3A36"/>
    <w:rsid w:val="005E3A7F"/>
    <w:rsid w:val="005E3B45"/>
    <w:rsid w:val="005E3BC2"/>
    <w:rsid w:val="005E3C02"/>
    <w:rsid w:val="005E3C34"/>
    <w:rsid w:val="005E3D1C"/>
    <w:rsid w:val="005E3D36"/>
    <w:rsid w:val="005E3E71"/>
    <w:rsid w:val="005E3F30"/>
    <w:rsid w:val="005E3FD4"/>
    <w:rsid w:val="005E4065"/>
    <w:rsid w:val="005E40CF"/>
    <w:rsid w:val="005E411C"/>
    <w:rsid w:val="005E41B3"/>
    <w:rsid w:val="005E42F7"/>
    <w:rsid w:val="005E4434"/>
    <w:rsid w:val="005E4439"/>
    <w:rsid w:val="005E466A"/>
    <w:rsid w:val="005E46E3"/>
    <w:rsid w:val="005E4780"/>
    <w:rsid w:val="005E47CA"/>
    <w:rsid w:val="005E4B5C"/>
    <w:rsid w:val="005E4C02"/>
    <w:rsid w:val="005E4CB4"/>
    <w:rsid w:val="005E4E46"/>
    <w:rsid w:val="005E4E53"/>
    <w:rsid w:val="005E4FAB"/>
    <w:rsid w:val="005E505F"/>
    <w:rsid w:val="005E50FF"/>
    <w:rsid w:val="005E5110"/>
    <w:rsid w:val="005E5122"/>
    <w:rsid w:val="005E513F"/>
    <w:rsid w:val="005E535A"/>
    <w:rsid w:val="005E538C"/>
    <w:rsid w:val="005E5402"/>
    <w:rsid w:val="005E5541"/>
    <w:rsid w:val="005E5569"/>
    <w:rsid w:val="005E55BB"/>
    <w:rsid w:val="005E56A4"/>
    <w:rsid w:val="005E56C8"/>
    <w:rsid w:val="005E5704"/>
    <w:rsid w:val="005E5816"/>
    <w:rsid w:val="005E59A4"/>
    <w:rsid w:val="005E5A4F"/>
    <w:rsid w:val="005E5B1E"/>
    <w:rsid w:val="005E5B35"/>
    <w:rsid w:val="005E5B77"/>
    <w:rsid w:val="005E5C2A"/>
    <w:rsid w:val="005E5DEF"/>
    <w:rsid w:val="005E5E0A"/>
    <w:rsid w:val="005E5F3D"/>
    <w:rsid w:val="005E5F48"/>
    <w:rsid w:val="005E600C"/>
    <w:rsid w:val="005E61CC"/>
    <w:rsid w:val="005E61F5"/>
    <w:rsid w:val="005E64D6"/>
    <w:rsid w:val="005E6582"/>
    <w:rsid w:val="005E65A1"/>
    <w:rsid w:val="005E65A6"/>
    <w:rsid w:val="005E65FB"/>
    <w:rsid w:val="005E660E"/>
    <w:rsid w:val="005E6741"/>
    <w:rsid w:val="005E6753"/>
    <w:rsid w:val="005E685B"/>
    <w:rsid w:val="005E694C"/>
    <w:rsid w:val="005E6A9E"/>
    <w:rsid w:val="005E6B94"/>
    <w:rsid w:val="005E6D4F"/>
    <w:rsid w:val="005E6D65"/>
    <w:rsid w:val="005E6E25"/>
    <w:rsid w:val="005E6E75"/>
    <w:rsid w:val="005E6FF0"/>
    <w:rsid w:val="005E7000"/>
    <w:rsid w:val="005E708E"/>
    <w:rsid w:val="005E7151"/>
    <w:rsid w:val="005E72A1"/>
    <w:rsid w:val="005E7362"/>
    <w:rsid w:val="005E737F"/>
    <w:rsid w:val="005E73D3"/>
    <w:rsid w:val="005E7590"/>
    <w:rsid w:val="005E7626"/>
    <w:rsid w:val="005E763A"/>
    <w:rsid w:val="005E76AA"/>
    <w:rsid w:val="005E782A"/>
    <w:rsid w:val="005E7852"/>
    <w:rsid w:val="005E789F"/>
    <w:rsid w:val="005E78DA"/>
    <w:rsid w:val="005E7981"/>
    <w:rsid w:val="005E79D2"/>
    <w:rsid w:val="005E7A00"/>
    <w:rsid w:val="005E7C4A"/>
    <w:rsid w:val="005E7D24"/>
    <w:rsid w:val="005E7D72"/>
    <w:rsid w:val="005E7ED8"/>
    <w:rsid w:val="005E7F33"/>
    <w:rsid w:val="005E7F62"/>
    <w:rsid w:val="005E7F67"/>
    <w:rsid w:val="005F0054"/>
    <w:rsid w:val="005F0149"/>
    <w:rsid w:val="005F02C6"/>
    <w:rsid w:val="005F0375"/>
    <w:rsid w:val="005F04D6"/>
    <w:rsid w:val="005F064D"/>
    <w:rsid w:val="005F0746"/>
    <w:rsid w:val="005F077B"/>
    <w:rsid w:val="005F07D6"/>
    <w:rsid w:val="005F087A"/>
    <w:rsid w:val="005F0909"/>
    <w:rsid w:val="005F09D2"/>
    <w:rsid w:val="005F0A5D"/>
    <w:rsid w:val="005F0A81"/>
    <w:rsid w:val="005F0C5A"/>
    <w:rsid w:val="005F1094"/>
    <w:rsid w:val="005F10FF"/>
    <w:rsid w:val="005F12F7"/>
    <w:rsid w:val="005F137D"/>
    <w:rsid w:val="005F1491"/>
    <w:rsid w:val="005F14AB"/>
    <w:rsid w:val="005F1677"/>
    <w:rsid w:val="005F16EE"/>
    <w:rsid w:val="005F16FA"/>
    <w:rsid w:val="005F1729"/>
    <w:rsid w:val="005F1736"/>
    <w:rsid w:val="005F176E"/>
    <w:rsid w:val="005F1799"/>
    <w:rsid w:val="005F17B4"/>
    <w:rsid w:val="005F18CF"/>
    <w:rsid w:val="005F18DD"/>
    <w:rsid w:val="005F192C"/>
    <w:rsid w:val="005F1948"/>
    <w:rsid w:val="005F19B4"/>
    <w:rsid w:val="005F19D4"/>
    <w:rsid w:val="005F1B64"/>
    <w:rsid w:val="005F1BCE"/>
    <w:rsid w:val="005F1BF3"/>
    <w:rsid w:val="005F1CD4"/>
    <w:rsid w:val="005F1D14"/>
    <w:rsid w:val="005F20C7"/>
    <w:rsid w:val="005F20D9"/>
    <w:rsid w:val="005F21A2"/>
    <w:rsid w:val="005F21B8"/>
    <w:rsid w:val="005F2213"/>
    <w:rsid w:val="005F2247"/>
    <w:rsid w:val="005F22D0"/>
    <w:rsid w:val="005F22ED"/>
    <w:rsid w:val="005F22FB"/>
    <w:rsid w:val="005F25B4"/>
    <w:rsid w:val="005F26B1"/>
    <w:rsid w:val="005F26FB"/>
    <w:rsid w:val="005F27C9"/>
    <w:rsid w:val="005F2826"/>
    <w:rsid w:val="005F289F"/>
    <w:rsid w:val="005F28CC"/>
    <w:rsid w:val="005F2AEB"/>
    <w:rsid w:val="005F2D1E"/>
    <w:rsid w:val="005F2E33"/>
    <w:rsid w:val="005F2E35"/>
    <w:rsid w:val="005F2EA4"/>
    <w:rsid w:val="005F2F51"/>
    <w:rsid w:val="005F30F7"/>
    <w:rsid w:val="005F3146"/>
    <w:rsid w:val="005F33A4"/>
    <w:rsid w:val="005F34B6"/>
    <w:rsid w:val="005F34FE"/>
    <w:rsid w:val="005F376C"/>
    <w:rsid w:val="005F38D2"/>
    <w:rsid w:val="005F39C1"/>
    <w:rsid w:val="005F39F7"/>
    <w:rsid w:val="005F39FB"/>
    <w:rsid w:val="005F3B2D"/>
    <w:rsid w:val="005F3BCE"/>
    <w:rsid w:val="005F3BD2"/>
    <w:rsid w:val="005F3C1C"/>
    <w:rsid w:val="005F3C72"/>
    <w:rsid w:val="005F3DC7"/>
    <w:rsid w:val="005F3DE4"/>
    <w:rsid w:val="005F3F50"/>
    <w:rsid w:val="005F407F"/>
    <w:rsid w:val="005F4197"/>
    <w:rsid w:val="005F4231"/>
    <w:rsid w:val="005F42F3"/>
    <w:rsid w:val="005F433F"/>
    <w:rsid w:val="005F44FB"/>
    <w:rsid w:val="005F45BC"/>
    <w:rsid w:val="005F4633"/>
    <w:rsid w:val="005F4661"/>
    <w:rsid w:val="005F47C9"/>
    <w:rsid w:val="005F47D8"/>
    <w:rsid w:val="005F483A"/>
    <w:rsid w:val="005F4ADF"/>
    <w:rsid w:val="005F4B99"/>
    <w:rsid w:val="005F4C11"/>
    <w:rsid w:val="005F4D0E"/>
    <w:rsid w:val="005F4D54"/>
    <w:rsid w:val="005F4EEE"/>
    <w:rsid w:val="005F4F15"/>
    <w:rsid w:val="005F500B"/>
    <w:rsid w:val="005F5017"/>
    <w:rsid w:val="005F50FD"/>
    <w:rsid w:val="005F5160"/>
    <w:rsid w:val="005F51D8"/>
    <w:rsid w:val="005F53EA"/>
    <w:rsid w:val="005F5404"/>
    <w:rsid w:val="005F5466"/>
    <w:rsid w:val="005F549E"/>
    <w:rsid w:val="005F54A6"/>
    <w:rsid w:val="005F5899"/>
    <w:rsid w:val="005F58EF"/>
    <w:rsid w:val="005F5905"/>
    <w:rsid w:val="005F5965"/>
    <w:rsid w:val="005F5A0B"/>
    <w:rsid w:val="005F5A33"/>
    <w:rsid w:val="005F5C69"/>
    <w:rsid w:val="005F5C9B"/>
    <w:rsid w:val="005F5D6A"/>
    <w:rsid w:val="005F5D6F"/>
    <w:rsid w:val="005F5E1E"/>
    <w:rsid w:val="005F5ECE"/>
    <w:rsid w:val="005F5FCD"/>
    <w:rsid w:val="005F5FE9"/>
    <w:rsid w:val="005F6004"/>
    <w:rsid w:val="005F604E"/>
    <w:rsid w:val="005F610D"/>
    <w:rsid w:val="005F616F"/>
    <w:rsid w:val="005F61A9"/>
    <w:rsid w:val="005F6221"/>
    <w:rsid w:val="005F6292"/>
    <w:rsid w:val="005F6462"/>
    <w:rsid w:val="005F64A6"/>
    <w:rsid w:val="005F64BE"/>
    <w:rsid w:val="005F65E7"/>
    <w:rsid w:val="005F6834"/>
    <w:rsid w:val="005F6878"/>
    <w:rsid w:val="005F687E"/>
    <w:rsid w:val="005F6969"/>
    <w:rsid w:val="005F6B6A"/>
    <w:rsid w:val="005F6C00"/>
    <w:rsid w:val="005F6C58"/>
    <w:rsid w:val="005F6DB7"/>
    <w:rsid w:val="005F6DCF"/>
    <w:rsid w:val="005F7083"/>
    <w:rsid w:val="005F70EC"/>
    <w:rsid w:val="005F70EF"/>
    <w:rsid w:val="005F7123"/>
    <w:rsid w:val="005F7147"/>
    <w:rsid w:val="005F729D"/>
    <w:rsid w:val="005F72AA"/>
    <w:rsid w:val="005F72EF"/>
    <w:rsid w:val="005F72FC"/>
    <w:rsid w:val="005F746E"/>
    <w:rsid w:val="005F754C"/>
    <w:rsid w:val="005F7663"/>
    <w:rsid w:val="005F766B"/>
    <w:rsid w:val="005F76E6"/>
    <w:rsid w:val="005F7805"/>
    <w:rsid w:val="005F782E"/>
    <w:rsid w:val="005F784D"/>
    <w:rsid w:val="005F78FA"/>
    <w:rsid w:val="005F7AE0"/>
    <w:rsid w:val="005F7C73"/>
    <w:rsid w:val="005F7D12"/>
    <w:rsid w:val="005F7D15"/>
    <w:rsid w:val="005F7D87"/>
    <w:rsid w:val="005F7DBA"/>
    <w:rsid w:val="005F7E00"/>
    <w:rsid w:val="005F7EC0"/>
    <w:rsid w:val="005F7F31"/>
    <w:rsid w:val="005F7F69"/>
    <w:rsid w:val="00600022"/>
    <w:rsid w:val="006001F7"/>
    <w:rsid w:val="00600220"/>
    <w:rsid w:val="0060042A"/>
    <w:rsid w:val="00600555"/>
    <w:rsid w:val="00600767"/>
    <w:rsid w:val="006007D6"/>
    <w:rsid w:val="006008A7"/>
    <w:rsid w:val="00600964"/>
    <w:rsid w:val="00600A11"/>
    <w:rsid w:val="00600C8E"/>
    <w:rsid w:val="00600CC6"/>
    <w:rsid w:val="00600D95"/>
    <w:rsid w:val="00600DC9"/>
    <w:rsid w:val="00600E0E"/>
    <w:rsid w:val="00600E49"/>
    <w:rsid w:val="00600F14"/>
    <w:rsid w:val="00600F4C"/>
    <w:rsid w:val="00600F85"/>
    <w:rsid w:val="0060101C"/>
    <w:rsid w:val="0060106E"/>
    <w:rsid w:val="0060117E"/>
    <w:rsid w:val="006011E0"/>
    <w:rsid w:val="0060125E"/>
    <w:rsid w:val="006012EA"/>
    <w:rsid w:val="00601335"/>
    <w:rsid w:val="006014AA"/>
    <w:rsid w:val="00601521"/>
    <w:rsid w:val="00601530"/>
    <w:rsid w:val="0060155F"/>
    <w:rsid w:val="00601612"/>
    <w:rsid w:val="0060169D"/>
    <w:rsid w:val="006016A9"/>
    <w:rsid w:val="00601763"/>
    <w:rsid w:val="0060180B"/>
    <w:rsid w:val="00601811"/>
    <w:rsid w:val="0060188C"/>
    <w:rsid w:val="006019F2"/>
    <w:rsid w:val="00601AE2"/>
    <w:rsid w:val="00601B4F"/>
    <w:rsid w:val="00601CB6"/>
    <w:rsid w:val="00601D38"/>
    <w:rsid w:val="00601D4B"/>
    <w:rsid w:val="00601E08"/>
    <w:rsid w:val="00601EA5"/>
    <w:rsid w:val="00601F2B"/>
    <w:rsid w:val="00601F34"/>
    <w:rsid w:val="00601F9C"/>
    <w:rsid w:val="00601FE8"/>
    <w:rsid w:val="0060200F"/>
    <w:rsid w:val="0060207A"/>
    <w:rsid w:val="006020AE"/>
    <w:rsid w:val="00602223"/>
    <w:rsid w:val="00602253"/>
    <w:rsid w:val="006022BA"/>
    <w:rsid w:val="00602304"/>
    <w:rsid w:val="0060239F"/>
    <w:rsid w:val="006024EF"/>
    <w:rsid w:val="006025FF"/>
    <w:rsid w:val="006027EE"/>
    <w:rsid w:val="006029A9"/>
    <w:rsid w:val="00602A17"/>
    <w:rsid w:val="00602B8F"/>
    <w:rsid w:val="00602D26"/>
    <w:rsid w:val="00602F91"/>
    <w:rsid w:val="00602FCA"/>
    <w:rsid w:val="0060301E"/>
    <w:rsid w:val="006030C4"/>
    <w:rsid w:val="006030F9"/>
    <w:rsid w:val="00603139"/>
    <w:rsid w:val="0060314E"/>
    <w:rsid w:val="0060327C"/>
    <w:rsid w:val="00603319"/>
    <w:rsid w:val="006033A9"/>
    <w:rsid w:val="0060341B"/>
    <w:rsid w:val="006034DB"/>
    <w:rsid w:val="00603506"/>
    <w:rsid w:val="0060356D"/>
    <w:rsid w:val="00603642"/>
    <w:rsid w:val="0060382F"/>
    <w:rsid w:val="0060388D"/>
    <w:rsid w:val="006038B4"/>
    <w:rsid w:val="0060398A"/>
    <w:rsid w:val="00603C46"/>
    <w:rsid w:val="00603EFF"/>
    <w:rsid w:val="00603F8A"/>
    <w:rsid w:val="00603FE9"/>
    <w:rsid w:val="006040C4"/>
    <w:rsid w:val="006040D2"/>
    <w:rsid w:val="00604140"/>
    <w:rsid w:val="00604141"/>
    <w:rsid w:val="0060417A"/>
    <w:rsid w:val="0060451B"/>
    <w:rsid w:val="00604536"/>
    <w:rsid w:val="00604618"/>
    <w:rsid w:val="00604645"/>
    <w:rsid w:val="00604650"/>
    <w:rsid w:val="00604743"/>
    <w:rsid w:val="00604785"/>
    <w:rsid w:val="006047A1"/>
    <w:rsid w:val="0060484F"/>
    <w:rsid w:val="0060489B"/>
    <w:rsid w:val="0060491E"/>
    <w:rsid w:val="0060491F"/>
    <w:rsid w:val="00604A08"/>
    <w:rsid w:val="00604A43"/>
    <w:rsid w:val="00604A45"/>
    <w:rsid w:val="00604A6A"/>
    <w:rsid w:val="00604AA2"/>
    <w:rsid w:val="00604C78"/>
    <w:rsid w:val="00604D87"/>
    <w:rsid w:val="00604E39"/>
    <w:rsid w:val="00604E7D"/>
    <w:rsid w:val="00604F0A"/>
    <w:rsid w:val="00604F25"/>
    <w:rsid w:val="00604F34"/>
    <w:rsid w:val="00604F47"/>
    <w:rsid w:val="00605091"/>
    <w:rsid w:val="0060509D"/>
    <w:rsid w:val="006054D5"/>
    <w:rsid w:val="006055E2"/>
    <w:rsid w:val="00605629"/>
    <w:rsid w:val="00605633"/>
    <w:rsid w:val="0060580D"/>
    <w:rsid w:val="00605822"/>
    <w:rsid w:val="006058C0"/>
    <w:rsid w:val="006058E9"/>
    <w:rsid w:val="00605940"/>
    <w:rsid w:val="00605A4B"/>
    <w:rsid w:val="00605C27"/>
    <w:rsid w:val="00605C50"/>
    <w:rsid w:val="00605C86"/>
    <w:rsid w:val="00605DF2"/>
    <w:rsid w:val="00605F0B"/>
    <w:rsid w:val="0060610F"/>
    <w:rsid w:val="0060624A"/>
    <w:rsid w:val="00606272"/>
    <w:rsid w:val="00606290"/>
    <w:rsid w:val="00606407"/>
    <w:rsid w:val="00606415"/>
    <w:rsid w:val="006066C8"/>
    <w:rsid w:val="00606884"/>
    <w:rsid w:val="006068A3"/>
    <w:rsid w:val="00606A8C"/>
    <w:rsid w:val="00606ABA"/>
    <w:rsid w:val="00606AD8"/>
    <w:rsid w:val="00606B25"/>
    <w:rsid w:val="00606B42"/>
    <w:rsid w:val="00606CA1"/>
    <w:rsid w:val="00606DB0"/>
    <w:rsid w:val="00606E64"/>
    <w:rsid w:val="00606E92"/>
    <w:rsid w:val="00606EF9"/>
    <w:rsid w:val="00607011"/>
    <w:rsid w:val="00607041"/>
    <w:rsid w:val="0060726B"/>
    <w:rsid w:val="0060729F"/>
    <w:rsid w:val="00607310"/>
    <w:rsid w:val="006073FD"/>
    <w:rsid w:val="00607402"/>
    <w:rsid w:val="00607425"/>
    <w:rsid w:val="0060771A"/>
    <w:rsid w:val="0060792D"/>
    <w:rsid w:val="00607AB6"/>
    <w:rsid w:val="00607BDF"/>
    <w:rsid w:val="00607C4E"/>
    <w:rsid w:val="00607C67"/>
    <w:rsid w:val="00607D52"/>
    <w:rsid w:val="00607DF2"/>
    <w:rsid w:val="00607F29"/>
    <w:rsid w:val="0061008F"/>
    <w:rsid w:val="00610091"/>
    <w:rsid w:val="00610169"/>
    <w:rsid w:val="006101BD"/>
    <w:rsid w:val="0061039D"/>
    <w:rsid w:val="006103A4"/>
    <w:rsid w:val="006105A2"/>
    <w:rsid w:val="00610603"/>
    <w:rsid w:val="00610718"/>
    <w:rsid w:val="0061081C"/>
    <w:rsid w:val="00610862"/>
    <w:rsid w:val="006108D1"/>
    <w:rsid w:val="006109DB"/>
    <w:rsid w:val="00610A88"/>
    <w:rsid w:val="00610C38"/>
    <w:rsid w:val="00610C50"/>
    <w:rsid w:val="00610CD3"/>
    <w:rsid w:val="00610CE2"/>
    <w:rsid w:val="00610FC4"/>
    <w:rsid w:val="00611017"/>
    <w:rsid w:val="00611050"/>
    <w:rsid w:val="006110AD"/>
    <w:rsid w:val="006110AF"/>
    <w:rsid w:val="006110E3"/>
    <w:rsid w:val="0061116D"/>
    <w:rsid w:val="006111B8"/>
    <w:rsid w:val="006112EF"/>
    <w:rsid w:val="00611309"/>
    <w:rsid w:val="00611427"/>
    <w:rsid w:val="0061147B"/>
    <w:rsid w:val="006114BF"/>
    <w:rsid w:val="006114C2"/>
    <w:rsid w:val="0061150E"/>
    <w:rsid w:val="00611677"/>
    <w:rsid w:val="00611685"/>
    <w:rsid w:val="00611711"/>
    <w:rsid w:val="006117C6"/>
    <w:rsid w:val="00611AB9"/>
    <w:rsid w:val="00611C21"/>
    <w:rsid w:val="00611C4A"/>
    <w:rsid w:val="00611C71"/>
    <w:rsid w:val="00611C98"/>
    <w:rsid w:val="00611CBE"/>
    <w:rsid w:val="00611CCD"/>
    <w:rsid w:val="00611D7E"/>
    <w:rsid w:val="00611E10"/>
    <w:rsid w:val="00611EFC"/>
    <w:rsid w:val="00611F97"/>
    <w:rsid w:val="006120FA"/>
    <w:rsid w:val="00612109"/>
    <w:rsid w:val="00612135"/>
    <w:rsid w:val="0061226D"/>
    <w:rsid w:val="006122BD"/>
    <w:rsid w:val="00612400"/>
    <w:rsid w:val="00612413"/>
    <w:rsid w:val="00612483"/>
    <w:rsid w:val="00612749"/>
    <w:rsid w:val="0061274A"/>
    <w:rsid w:val="00612834"/>
    <w:rsid w:val="00612882"/>
    <w:rsid w:val="00612BA5"/>
    <w:rsid w:val="00612BAA"/>
    <w:rsid w:val="00612BEE"/>
    <w:rsid w:val="00612C40"/>
    <w:rsid w:val="00612C43"/>
    <w:rsid w:val="00612E46"/>
    <w:rsid w:val="00612ECE"/>
    <w:rsid w:val="00612F50"/>
    <w:rsid w:val="00612F60"/>
    <w:rsid w:val="00613061"/>
    <w:rsid w:val="0061307C"/>
    <w:rsid w:val="0061311B"/>
    <w:rsid w:val="00613221"/>
    <w:rsid w:val="00613231"/>
    <w:rsid w:val="006132E7"/>
    <w:rsid w:val="00613325"/>
    <w:rsid w:val="0061335A"/>
    <w:rsid w:val="00613391"/>
    <w:rsid w:val="00613409"/>
    <w:rsid w:val="00613460"/>
    <w:rsid w:val="0061346A"/>
    <w:rsid w:val="0061348B"/>
    <w:rsid w:val="006135F3"/>
    <w:rsid w:val="006136D2"/>
    <w:rsid w:val="00613798"/>
    <w:rsid w:val="00613842"/>
    <w:rsid w:val="0061384B"/>
    <w:rsid w:val="0061385E"/>
    <w:rsid w:val="0061387A"/>
    <w:rsid w:val="00613932"/>
    <w:rsid w:val="006139D1"/>
    <w:rsid w:val="00613A05"/>
    <w:rsid w:val="00613A28"/>
    <w:rsid w:val="00613B23"/>
    <w:rsid w:val="00613DBC"/>
    <w:rsid w:val="0061401C"/>
    <w:rsid w:val="00614104"/>
    <w:rsid w:val="00614264"/>
    <w:rsid w:val="00614297"/>
    <w:rsid w:val="00614301"/>
    <w:rsid w:val="006143D7"/>
    <w:rsid w:val="006143E5"/>
    <w:rsid w:val="00614401"/>
    <w:rsid w:val="00614498"/>
    <w:rsid w:val="00614586"/>
    <w:rsid w:val="006145F1"/>
    <w:rsid w:val="0061460D"/>
    <w:rsid w:val="00614717"/>
    <w:rsid w:val="006147B1"/>
    <w:rsid w:val="00614938"/>
    <w:rsid w:val="00614A68"/>
    <w:rsid w:val="00614AE6"/>
    <w:rsid w:val="00614B37"/>
    <w:rsid w:val="00614B4C"/>
    <w:rsid w:val="00614B9F"/>
    <w:rsid w:val="00614D14"/>
    <w:rsid w:val="00614DF4"/>
    <w:rsid w:val="00614E07"/>
    <w:rsid w:val="00614E2F"/>
    <w:rsid w:val="00614E9C"/>
    <w:rsid w:val="00614F90"/>
    <w:rsid w:val="00614FD9"/>
    <w:rsid w:val="00615010"/>
    <w:rsid w:val="00615311"/>
    <w:rsid w:val="00615567"/>
    <w:rsid w:val="006156A3"/>
    <w:rsid w:val="00615730"/>
    <w:rsid w:val="0061589E"/>
    <w:rsid w:val="006158F3"/>
    <w:rsid w:val="00615903"/>
    <w:rsid w:val="006159CA"/>
    <w:rsid w:val="00615C66"/>
    <w:rsid w:val="00615C73"/>
    <w:rsid w:val="00615DB7"/>
    <w:rsid w:val="00615E18"/>
    <w:rsid w:val="00615FF0"/>
    <w:rsid w:val="00616014"/>
    <w:rsid w:val="0061610A"/>
    <w:rsid w:val="00616273"/>
    <w:rsid w:val="00616379"/>
    <w:rsid w:val="0061657E"/>
    <w:rsid w:val="006165C1"/>
    <w:rsid w:val="006166D5"/>
    <w:rsid w:val="00616772"/>
    <w:rsid w:val="006167B4"/>
    <w:rsid w:val="00616844"/>
    <w:rsid w:val="0061688A"/>
    <w:rsid w:val="006168AF"/>
    <w:rsid w:val="006169EE"/>
    <w:rsid w:val="00616A34"/>
    <w:rsid w:val="00616A88"/>
    <w:rsid w:val="00616CAD"/>
    <w:rsid w:val="00616CBC"/>
    <w:rsid w:val="00616D7D"/>
    <w:rsid w:val="00616DF1"/>
    <w:rsid w:val="00616EB8"/>
    <w:rsid w:val="0061705E"/>
    <w:rsid w:val="0061741E"/>
    <w:rsid w:val="0061747B"/>
    <w:rsid w:val="00617526"/>
    <w:rsid w:val="0061754D"/>
    <w:rsid w:val="006178CE"/>
    <w:rsid w:val="00617916"/>
    <w:rsid w:val="00617A04"/>
    <w:rsid w:val="00617A0E"/>
    <w:rsid w:val="00617A14"/>
    <w:rsid w:val="00617CEF"/>
    <w:rsid w:val="00617D34"/>
    <w:rsid w:val="00617DFC"/>
    <w:rsid w:val="00617F29"/>
    <w:rsid w:val="00620097"/>
    <w:rsid w:val="006201C2"/>
    <w:rsid w:val="0062030B"/>
    <w:rsid w:val="0062042F"/>
    <w:rsid w:val="00620446"/>
    <w:rsid w:val="0062046E"/>
    <w:rsid w:val="00620507"/>
    <w:rsid w:val="0062057A"/>
    <w:rsid w:val="0062063A"/>
    <w:rsid w:val="006206DC"/>
    <w:rsid w:val="0062076C"/>
    <w:rsid w:val="00620794"/>
    <w:rsid w:val="006207FD"/>
    <w:rsid w:val="00620872"/>
    <w:rsid w:val="006208A2"/>
    <w:rsid w:val="006208D5"/>
    <w:rsid w:val="006209C9"/>
    <w:rsid w:val="00620BC3"/>
    <w:rsid w:val="00620C13"/>
    <w:rsid w:val="00620CFF"/>
    <w:rsid w:val="00620E90"/>
    <w:rsid w:val="00620ECB"/>
    <w:rsid w:val="00621011"/>
    <w:rsid w:val="00621018"/>
    <w:rsid w:val="00621094"/>
    <w:rsid w:val="006211FE"/>
    <w:rsid w:val="00621267"/>
    <w:rsid w:val="006212B1"/>
    <w:rsid w:val="006212B7"/>
    <w:rsid w:val="00621308"/>
    <w:rsid w:val="0062142E"/>
    <w:rsid w:val="0062144B"/>
    <w:rsid w:val="0062156C"/>
    <w:rsid w:val="00621585"/>
    <w:rsid w:val="006215D7"/>
    <w:rsid w:val="006216E3"/>
    <w:rsid w:val="0062181D"/>
    <w:rsid w:val="0062183E"/>
    <w:rsid w:val="00621958"/>
    <w:rsid w:val="00621A46"/>
    <w:rsid w:val="00621B0C"/>
    <w:rsid w:val="00621B78"/>
    <w:rsid w:val="00621C0E"/>
    <w:rsid w:val="00621C98"/>
    <w:rsid w:val="00621CA7"/>
    <w:rsid w:val="00621CCD"/>
    <w:rsid w:val="00621D63"/>
    <w:rsid w:val="00621E05"/>
    <w:rsid w:val="00621E29"/>
    <w:rsid w:val="00621FC1"/>
    <w:rsid w:val="006220D0"/>
    <w:rsid w:val="006220E4"/>
    <w:rsid w:val="006221D4"/>
    <w:rsid w:val="006221F1"/>
    <w:rsid w:val="00622297"/>
    <w:rsid w:val="006223AB"/>
    <w:rsid w:val="006223B6"/>
    <w:rsid w:val="006223ED"/>
    <w:rsid w:val="0062246E"/>
    <w:rsid w:val="006224AE"/>
    <w:rsid w:val="0062252C"/>
    <w:rsid w:val="0062253F"/>
    <w:rsid w:val="00622576"/>
    <w:rsid w:val="0062262E"/>
    <w:rsid w:val="0062269F"/>
    <w:rsid w:val="006226B8"/>
    <w:rsid w:val="006226D5"/>
    <w:rsid w:val="00622811"/>
    <w:rsid w:val="00622856"/>
    <w:rsid w:val="00622A3E"/>
    <w:rsid w:val="00622BDA"/>
    <w:rsid w:val="00622C24"/>
    <w:rsid w:val="00622D9C"/>
    <w:rsid w:val="00622DB6"/>
    <w:rsid w:val="00622E89"/>
    <w:rsid w:val="00622E96"/>
    <w:rsid w:val="00622EB7"/>
    <w:rsid w:val="00622FA8"/>
    <w:rsid w:val="0062303B"/>
    <w:rsid w:val="00623241"/>
    <w:rsid w:val="006232C2"/>
    <w:rsid w:val="006232E5"/>
    <w:rsid w:val="00623386"/>
    <w:rsid w:val="006234AA"/>
    <w:rsid w:val="0062370B"/>
    <w:rsid w:val="0062378C"/>
    <w:rsid w:val="00623910"/>
    <w:rsid w:val="0062397F"/>
    <w:rsid w:val="00623A00"/>
    <w:rsid w:val="00623AE7"/>
    <w:rsid w:val="00623B09"/>
    <w:rsid w:val="00623B7D"/>
    <w:rsid w:val="00623D29"/>
    <w:rsid w:val="00623ED3"/>
    <w:rsid w:val="00623ED7"/>
    <w:rsid w:val="00623EEC"/>
    <w:rsid w:val="00623FB5"/>
    <w:rsid w:val="00623FBE"/>
    <w:rsid w:val="0062422A"/>
    <w:rsid w:val="006242D0"/>
    <w:rsid w:val="00624362"/>
    <w:rsid w:val="0062449C"/>
    <w:rsid w:val="0062457C"/>
    <w:rsid w:val="00624693"/>
    <w:rsid w:val="006246B9"/>
    <w:rsid w:val="00624760"/>
    <w:rsid w:val="006247C3"/>
    <w:rsid w:val="0062481C"/>
    <w:rsid w:val="00624A53"/>
    <w:rsid w:val="00624C30"/>
    <w:rsid w:val="00624C6E"/>
    <w:rsid w:val="00624CFC"/>
    <w:rsid w:val="00624D5D"/>
    <w:rsid w:val="00624DFE"/>
    <w:rsid w:val="00624ECA"/>
    <w:rsid w:val="00624F1C"/>
    <w:rsid w:val="006250C9"/>
    <w:rsid w:val="00625240"/>
    <w:rsid w:val="006254A2"/>
    <w:rsid w:val="006254FF"/>
    <w:rsid w:val="00625533"/>
    <w:rsid w:val="00625672"/>
    <w:rsid w:val="00625787"/>
    <w:rsid w:val="0062579D"/>
    <w:rsid w:val="00625811"/>
    <w:rsid w:val="006258AD"/>
    <w:rsid w:val="00625946"/>
    <w:rsid w:val="00625A61"/>
    <w:rsid w:val="00625BDF"/>
    <w:rsid w:val="00625C12"/>
    <w:rsid w:val="00625DAC"/>
    <w:rsid w:val="00625EC9"/>
    <w:rsid w:val="00625F72"/>
    <w:rsid w:val="00625F73"/>
    <w:rsid w:val="00625F94"/>
    <w:rsid w:val="00625FA5"/>
    <w:rsid w:val="0062616C"/>
    <w:rsid w:val="006261AF"/>
    <w:rsid w:val="00626276"/>
    <w:rsid w:val="00626328"/>
    <w:rsid w:val="00626493"/>
    <w:rsid w:val="006264FF"/>
    <w:rsid w:val="0062659E"/>
    <w:rsid w:val="006265DD"/>
    <w:rsid w:val="006265FE"/>
    <w:rsid w:val="0062662A"/>
    <w:rsid w:val="0062663E"/>
    <w:rsid w:val="006266E9"/>
    <w:rsid w:val="0062672C"/>
    <w:rsid w:val="00626824"/>
    <w:rsid w:val="00626870"/>
    <w:rsid w:val="006268C0"/>
    <w:rsid w:val="00626963"/>
    <w:rsid w:val="006269CC"/>
    <w:rsid w:val="00626B6F"/>
    <w:rsid w:val="00626BFA"/>
    <w:rsid w:val="00626C29"/>
    <w:rsid w:val="00626CC2"/>
    <w:rsid w:val="00626CE2"/>
    <w:rsid w:val="00626D64"/>
    <w:rsid w:val="00626E73"/>
    <w:rsid w:val="00626ECA"/>
    <w:rsid w:val="00626F28"/>
    <w:rsid w:val="00626F55"/>
    <w:rsid w:val="00626FD3"/>
    <w:rsid w:val="0062700B"/>
    <w:rsid w:val="006270EC"/>
    <w:rsid w:val="0062712F"/>
    <w:rsid w:val="0062717C"/>
    <w:rsid w:val="006271FC"/>
    <w:rsid w:val="00627215"/>
    <w:rsid w:val="0062721D"/>
    <w:rsid w:val="006272C0"/>
    <w:rsid w:val="006274A7"/>
    <w:rsid w:val="00627695"/>
    <w:rsid w:val="006276E0"/>
    <w:rsid w:val="00627793"/>
    <w:rsid w:val="006277EC"/>
    <w:rsid w:val="0062786E"/>
    <w:rsid w:val="00627888"/>
    <w:rsid w:val="006278DE"/>
    <w:rsid w:val="006278F0"/>
    <w:rsid w:val="00627ACD"/>
    <w:rsid w:val="00627B6E"/>
    <w:rsid w:val="00627B86"/>
    <w:rsid w:val="00627BAC"/>
    <w:rsid w:val="00627BBB"/>
    <w:rsid w:val="00627CE2"/>
    <w:rsid w:val="00627CEA"/>
    <w:rsid w:val="00627D66"/>
    <w:rsid w:val="00627D74"/>
    <w:rsid w:val="00627DE2"/>
    <w:rsid w:val="00627E22"/>
    <w:rsid w:val="0063023D"/>
    <w:rsid w:val="006302A3"/>
    <w:rsid w:val="00630466"/>
    <w:rsid w:val="006304FB"/>
    <w:rsid w:val="006304FD"/>
    <w:rsid w:val="00630559"/>
    <w:rsid w:val="00630723"/>
    <w:rsid w:val="006309D5"/>
    <w:rsid w:val="00630C0E"/>
    <w:rsid w:val="00630F88"/>
    <w:rsid w:val="00631017"/>
    <w:rsid w:val="00631026"/>
    <w:rsid w:val="00631058"/>
    <w:rsid w:val="00631088"/>
    <w:rsid w:val="00631103"/>
    <w:rsid w:val="0063111A"/>
    <w:rsid w:val="00631178"/>
    <w:rsid w:val="006312C4"/>
    <w:rsid w:val="0063131A"/>
    <w:rsid w:val="0063134D"/>
    <w:rsid w:val="006313C0"/>
    <w:rsid w:val="00631548"/>
    <w:rsid w:val="0063166F"/>
    <w:rsid w:val="0063177B"/>
    <w:rsid w:val="00631925"/>
    <w:rsid w:val="00631937"/>
    <w:rsid w:val="006319E6"/>
    <w:rsid w:val="00631A43"/>
    <w:rsid w:val="00631B37"/>
    <w:rsid w:val="00631B54"/>
    <w:rsid w:val="00631BC6"/>
    <w:rsid w:val="00631BDB"/>
    <w:rsid w:val="00631C02"/>
    <w:rsid w:val="00631CCD"/>
    <w:rsid w:val="00631D6B"/>
    <w:rsid w:val="00631E11"/>
    <w:rsid w:val="00631EA5"/>
    <w:rsid w:val="006320FA"/>
    <w:rsid w:val="00632135"/>
    <w:rsid w:val="00632169"/>
    <w:rsid w:val="0063222B"/>
    <w:rsid w:val="00632253"/>
    <w:rsid w:val="0063228A"/>
    <w:rsid w:val="006322B8"/>
    <w:rsid w:val="006322C2"/>
    <w:rsid w:val="006322E0"/>
    <w:rsid w:val="00632538"/>
    <w:rsid w:val="006326F2"/>
    <w:rsid w:val="0063270B"/>
    <w:rsid w:val="006327AC"/>
    <w:rsid w:val="00632828"/>
    <w:rsid w:val="00632917"/>
    <w:rsid w:val="00632932"/>
    <w:rsid w:val="0063293A"/>
    <w:rsid w:val="00632AE5"/>
    <w:rsid w:val="00632B37"/>
    <w:rsid w:val="00632C3A"/>
    <w:rsid w:val="00632C46"/>
    <w:rsid w:val="00632D29"/>
    <w:rsid w:val="00632E1D"/>
    <w:rsid w:val="00632E71"/>
    <w:rsid w:val="00632EEA"/>
    <w:rsid w:val="00633258"/>
    <w:rsid w:val="006332A3"/>
    <w:rsid w:val="006332C2"/>
    <w:rsid w:val="006333B7"/>
    <w:rsid w:val="006333CA"/>
    <w:rsid w:val="00633419"/>
    <w:rsid w:val="006334BD"/>
    <w:rsid w:val="00633623"/>
    <w:rsid w:val="00633650"/>
    <w:rsid w:val="006336D9"/>
    <w:rsid w:val="006336E1"/>
    <w:rsid w:val="006337AB"/>
    <w:rsid w:val="006338FA"/>
    <w:rsid w:val="00633992"/>
    <w:rsid w:val="00633AAE"/>
    <w:rsid w:val="00633AD1"/>
    <w:rsid w:val="00633B32"/>
    <w:rsid w:val="00633CCA"/>
    <w:rsid w:val="00633D2C"/>
    <w:rsid w:val="00633EB5"/>
    <w:rsid w:val="00633ECC"/>
    <w:rsid w:val="00633F32"/>
    <w:rsid w:val="0063408D"/>
    <w:rsid w:val="006340F5"/>
    <w:rsid w:val="00634125"/>
    <w:rsid w:val="00634198"/>
    <w:rsid w:val="0063427B"/>
    <w:rsid w:val="00634298"/>
    <w:rsid w:val="0063451A"/>
    <w:rsid w:val="00634788"/>
    <w:rsid w:val="00634843"/>
    <w:rsid w:val="00634873"/>
    <w:rsid w:val="00634AF8"/>
    <w:rsid w:val="00634B1D"/>
    <w:rsid w:val="00634B87"/>
    <w:rsid w:val="00634BAB"/>
    <w:rsid w:val="00634BE7"/>
    <w:rsid w:val="00634C5C"/>
    <w:rsid w:val="00634CC5"/>
    <w:rsid w:val="00634CFF"/>
    <w:rsid w:val="00634E8F"/>
    <w:rsid w:val="00634EF7"/>
    <w:rsid w:val="00634F92"/>
    <w:rsid w:val="00634F96"/>
    <w:rsid w:val="0063502B"/>
    <w:rsid w:val="00635088"/>
    <w:rsid w:val="0063517F"/>
    <w:rsid w:val="006352D9"/>
    <w:rsid w:val="0063534A"/>
    <w:rsid w:val="0063534D"/>
    <w:rsid w:val="00635459"/>
    <w:rsid w:val="0063552E"/>
    <w:rsid w:val="006355EF"/>
    <w:rsid w:val="006355F4"/>
    <w:rsid w:val="0063564B"/>
    <w:rsid w:val="0063568C"/>
    <w:rsid w:val="00635737"/>
    <w:rsid w:val="006357C1"/>
    <w:rsid w:val="006357DB"/>
    <w:rsid w:val="0063586D"/>
    <w:rsid w:val="00635870"/>
    <w:rsid w:val="0063588E"/>
    <w:rsid w:val="00635980"/>
    <w:rsid w:val="00635AD9"/>
    <w:rsid w:val="00635B53"/>
    <w:rsid w:val="00635C47"/>
    <w:rsid w:val="00635CFE"/>
    <w:rsid w:val="00635D00"/>
    <w:rsid w:val="00635D03"/>
    <w:rsid w:val="00635D41"/>
    <w:rsid w:val="00635DE9"/>
    <w:rsid w:val="00635E53"/>
    <w:rsid w:val="00635E7F"/>
    <w:rsid w:val="00636098"/>
    <w:rsid w:val="006360FF"/>
    <w:rsid w:val="0063610B"/>
    <w:rsid w:val="00636167"/>
    <w:rsid w:val="006361CF"/>
    <w:rsid w:val="00636237"/>
    <w:rsid w:val="006362C7"/>
    <w:rsid w:val="00636337"/>
    <w:rsid w:val="00636432"/>
    <w:rsid w:val="00636566"/>
    <w:rsid w:val="006365C1"/>
    <w:rsid w:val="00636623"/>
    <w:rsid w:val="00636771"/>
    <w:rsid w:val="00636786"/>
    <w:rsid w:val="006368B5"/>
    <w:rsid w:val="00636951"/>
    <w:rsid w:val="00636974"/>
    <w:rsid w:val="00636A90"/>
    <w:rsid w:val="00636ABB"/>
    <w:rsid w:val="00636AC0"/>
    <w:rsid w:val="00636AEB"/>
    <w:rsid w:val="00636C46"/>
    <w:rsid w:val="00636C82"/>
    <w:rsid w:val="00636DA6"/>
    <w:rsid w:val="00636E85"/>
    <w:rsid w:val="00636F1C"/>
    <w:rsid w:val="00636F53"/>
    <w:rsid w:val="00636F61"/>
    <w:rsid w:val="00636F9D"/>
    <w:rsid w:val="00636FEB"/>
    <w:rsid w:val="00637196"/>
    <w:rsid w:val="006372C1"/>
    <w:rsid w:val="006372F0"/>
    <w:rsid w:val="00637340"/>
    <w:rsid w:val="0063738F"/>
    <w:rsid w:val="0063744E"/>
    <w:rsid w:val="006374D6"/>
    <w:rsid w:val="00637531"/>
    <w:rsid w:val="006375DF"/>
    <w:rsid w:val="0063769D"/>
    <w:rsid w:val="006376FA"/>
    <w:rsid w:val="00637758"/>
    <w:rsid w:val="006377DD"/>
    <w:rsid w:val="00637927"/>
    <w:rsid w:val="00637A31"/>
    <w:rsid w:val="00637A46"/>
    <w:rsid w:val="00637A92"/>
    <w:rsid w:val="00637C35"/>
    <w:rsid w:val="00637E1E"/>
    <w:rsid w:val="00637E5C"/>
    <w:rsid w:val="00637F47"/>
    <w:rsid w:val="006401C4"/>
    <w:rsid w:val="006401E5"/>
    <w:rsid w:val="00640316"/>
    <w:rsid w:val="00640387"/>
    <w:rsid w:val="00640420"/>
    <w:rsid w:val="006404D4"/>
    <w:rsid w:val="00640501"/>
    <w:rsid w:val="0064063D"/>
    <w:rsid w:val="00640648"/>
    <w:rsid w:val="006406B7"/>
    <w:rsid w:val="006406EF"/>
    <w:rsid w:val="006407DC"/>
    <w:rsid w:val="00640890"/>
    <w:rsid w:val="006408BF"/>
    <w:rsid w:val="006409F6"/>
    <w:rsid w:val="00640AD6"/>
    <w:rsid w:val="00640B2D"/>
    <w:rsid w:val="00640B48"/>
    <w:rsid w:val="00640B5E"/>
    <w:rsid w:val="00640CAC"/>
    <w:rsid w:val="00640D15"/>
    <w:rsid w:val="00640D8F"/>
    <w:rsid w:val="00640DAA"/>
    <w:rsid w:val="00640E3B"/>
    <w:rsid w:val="00640EE2"/>
    <w:rsid w:val="00641025"/>
    <w:rsid w:val="0064104C"/>
    <w:rsid w:val="00641075"/>
    <w:rsid w:val="006411FE"/>
    <w:rsid w:val="00641244"/>
    <w:rsid w:val="0064134D"/>
    <w:rsid w:val="00641509"/>
    <w:rsid w:val="006415D5"/>
    <w:rsid w:val="00641639"/>
    <w:rsid w:val="00641693"/>
    <w:rsid w:val="00641743"/>
    <w:rsid w:val="006417BE"/>
    <w:rsid w:val="00641829"/>
    <w:rsid w:val="0064190B"/>
    <w:rsid w:val="00641A90"/>
    <w:rsid w:val="00641ABB"/>
    <w:rsid w:val="00641B10"/>
    <w:rsid w:val="00641B34"/>
    <w:rsid w:val="00641BBE"/>
    <w:rsid w:val="00641CF6"/>
    <w:rsid w:val="00641E06"/>
    <w:rsid w:val="00641E5F"/>
    <w:rsid w:val="00642019"/>
    <w:rsid w:val="006422B3"/>
    <w:rsid w:val="0064230A"/>
    <w:rsid w:val="00642328"/>
    <w:rsid w:val="006423F1"/>
    <w:rsid w:val="00642470"/>
    <w:rsid w:val="00642585"/>
    <w:rsid w:val="006425C9"/>
    <w:rsid w:val="00642671"/>
    <w:rsid w:val="00642726"/>
    <w:rsid w:val="00642743"/>
    <w:rsid w:val="006427E6"/>
    <w:rsid w:val="006428AE"/>
    <w:rsid w:val="0064295F"/>
    <w:rsid w:val="00642992"/>
    <w:rsid w:val="00642998"/>
    <w:rsid w:val="00642BD0"/>
    <w:rsid w:val="00642BE3"/>
    <w:rsid w:val="00642C9B"/>
    <w:rsid w:val="00642D99"/>
    <w:rsid w:val="00642E27"/>
    <w:rsid w:val="00642E5C"/>
    <w:rsid w:val="00642EE4"/>
    <w:rsid w:val="00642FF2"/>
    <w:rsid w:val="00643048"/>
    <w:rsid w:val="006430EF"/>
    <w:rsid w:val="0064314C"/>
    <w:rsid w:val="00643170"/>
    <w:rsid w:val="00643311"/>
    <w:rsid w:val="00643388"/>
    <w:rsid w:val="006433A0"/>
    <w:rsid w:val="006433BA"/>
    <w:rsid w:val="00643440"/>
    <w:rsid w:val="0064348E"/>
    <w:rsid w:val="0064349F"/>
    <w:rsid w:val="00643530"/>
    <w:rsid w:val="00643586"/>
    <w:rsid w:val="00643595"/>
    <w:rsid w:val="006435F2"/>
    <w:rsid w:val="00643773"/>
    <w:rsid w:val="00643801"/>
    <w:rsid w:val="00643830"/>
    <w:rsid w:val="006439DD"/>
    <w:rsid w:val="006439ED"/>
    <w:rsid w:val="00643ACE"/>
    <w:rsid w:val="00643B7E"/>
    <w:rsid w:val="00643BF1"/>
    <w:rsid w:val="00643CAB"/>
    <w:rsid w:val="006441B6"/>
    <w:rsid w:val="0064422D"/>
    <w:rsid w:val="0064434C"/>
    <w:rsid w:val="00644361"/>
    <w:rsid w:val="0064446D"/>
    <w:rsid w:val="006444F4"/>
    <w:rsid w:val="0064455A"/>
    <w:rsid w:val="00644582"/>
    <w:rsid w:val="00644614"/>
    <w:rsid w:val="00644789"/>
    <w:rsid w:val="0064484B"/>
    <w:rsid w:val="00644880"/>
    <w:rsid w:val="006448A9"/>
    <w:rsid w:val="006448C9"/>
    <w:rsid w:val="0064492A"/>
    <w:rsid w:val="00644966"/>
    <w:rsid w:val="00644979"/>
    <w:rsid w:val="00644ADF"/>
    <w:rsid w:val="00644B4C"/>
    <w:rsid w:val="00644B87"/>
    <w:rsid w:val="00644B9A"/>
    <w:rsid w:val="00644D74"/>
    <w:rsid w:val="00644E0E"/>
    <w:rsid w:val="00644F85"/>
    <w:rsid w:val="00644F98"/>
    <w:rsid w:val="006450E4"/>
    <w:rsid w:val="0064517D"/>
    <w:rsid w:val="00645222"/>
    <w:rsid w:val="0064524F"/>
    <w:rsid w:val="006452A8"/>
    <w:rsid w:val="006453A6"/>
    <w:rsid w:val="0064540B"/>
    <w:rsid w:val="0064547B"/>
    <w:rsid w:val="0064547D"/>
    <w:rsid w:val="006455BB"/>
    <w:rsid w:val="0064575E"/>
    <w:rsid w:val="00645762"/>
    <w:rsid w:val="00645845"/>
    <w:rsid w:val="00645BBE"/>
    <w:rsid w:val="00645C41"/>
    <w:rsid w:val="00645C82"/>
    <w:rsid w:val="00645CE6"/>
    <w:rsid w:val="00645E2A"/>
    <w:rsid w:val="00645E73"/>
    <w:rsid w:val="0064606C"/>
    <w:rsid w:val="00646096"/>
    <w:rsid w:val="006460BB"/>
    <w:rsid w:val="00646129"/>
    <w:rsid w:val="006461D1"/>
    <w:rsid w:val="006462E3"/>
    <w:rsid w:val="006463E2"/>
    <w:rsid w:val="0064642E"/>
    <w:rsid w:val="00646503"/>
    <w:rsid w:val="0064677F"/>
    <w:rsid w:val="0064682C"/>
    <w:rsid w:val="006468C2"/>
    <w:rsid w:val="00646A05"/>
    <w:rsid w:val="00646B84"/>
    <w:rsid w:val="00646BA1"/>
    <w:rsid w:val="00646CC4"/>
    <w:rsid w:val="00646DC8"/>
    <w:rsid w:val="00646E42"/>
    <w:rsid w:val="00646F40"/>
    <w:rsid w:val="00646F76"/>
    <w:rsid w:val="00647013"/>
    <w:rsid w:val="00647097"/>
    <w:rsid w:val="0064718C"/>
    <w:rsid w:val="006471E0"/>
    <w:rsid w:val="00647228"/>
    <w:rsid w:val="006472B9"/>
    <w:rsid w:val="00647464"/>
    <w:rsid w:val="00647554"/>
    <w:rsid w:val="00647608"/>
    <w:rsid w:val="0064765E"/>
    <w:rsid w:val="006477F3"/>
    <w:rsid w:val="0064798C"/>
    <w:rsid w:val="006479B5"/>
    <w:rsid w:val="006479EA"/>
    <w:rsid w:val="00647CFF"/>
    <w:rsid w:val="00647D1E"/>
    <w:rsid w:val="00647DD8"/>
    <w:rsid w:val="00647DD9"/>
    <w:rsid w:val="00647E94"/>
    <w:rsid w:val="00647EF2"/>
    <w:rsid w:val="00647EF4"/>
    <w:rsid w:val="00647F03"/>
    <w:rsid w:val="00647FEB"/>
    <w:rsid w:val="0065013B"/>
    <w:rsid w:val="0065016B"/>
    <w:rsid w:val="00650255"/>
    <w:rsid w:val="006502E4"/>
    <w:rsid w:val="00650315"/>
    <w:rsid w:val="00650428"/>
    <w:rsid w:val="006504F5"/>
    <w:rsid w:val="00650669"/>
    <w:rsid w:val="0065068E"/>
    <w:rsid w:val="0065069A"/>
    <w:rsid w:val="006506F4"/>
    <w:rsid w:val="00650869"/>
    <w:rsid w:val="006508E1"/>
    <w:rsid w:val="006508E5"/>
    <w:rsid w:val="006508FE"/>
    <w:rsid w:val="0065092D"/>
    <w:rsid w:val="006509A7"/>
    <w:rsid w:val="00650AF2"/>
    <w:rsid w:val="00650AFD"/>
    <w:rsid w:val="00650C64"/>
    <w:rsid w:val="00650C74"/>
    <w:rsid w:val="00650CA7"/>
    <w:rsid w:val="00650DE5"/>
    <w:rsid w:val="00650E25"/>
    <w:rsid w:val="00650E68"/>
    <w:rsid w:val="00650F13"/>
    <w:rsid w:val="00650F33"/>
    <w:rsid w:val="00650FBE"/>
    <w:rsid w:val="00650FE5"/>
    <w:rsid w:val="0065109D"/>
    <w:rsid w:val="00651122"/>
    <w:rsid w:val="0065116E"/>
    <w:rsid w:val="006511B5"/>
    <w:rsid w:val="006511D6"/>
    <w:rsid w:val="0065124A"/>
    <w:rsid w:val="006512BE"/>
    <w:rsid w:val="006514FD"/>
    <w:rsid w:val="00651696"/>
    <w:rsid w:val="00651703"/>
    <w:rsid w:val="00651754"/>
    <w:rsid w:val="00651758"/>
    <w:rsid w:val="0065176C"/>
    <w:rsid w:val="006518EF"/>
    <w:rsid w:val="006519F7"/>
    <w:rsid w:val="00651A4D"/>
    <w:rsid w:val="00651B65"/>
    <w:rsid w:val="00651C94"/>
    <w:rsid w:val="00651D1C"/>
    <w:rsid w:val="00651EEA"/>
    <w:rsid w:val="00651F70"/>
    <w:rsid w:val="00651FF7"/>
    <w:rsid w:val="006520AD"/>
    <w:rsid w:val="006522B3"/>
    <w:rsid w:val="006522BF"/>
    <w:rsid w:val="00652342"/>
    <w:rsid w:val="006528BC"/>
    <w:rsid w:val="0065290F"/>
    <w:rsid w:val="0065297A"/>
    <w:rsid w:val="00652B19"/>
    <w:rsid w:val="00652B65"/>
    <w:rsid w:val="00652C1C"/>
    <w:rsid w:val="00652CC0"/>
    <w:rsid w:val="00652CFC"/>
    <w:rsid w:val="00652DF0"/>
    <w:rsid w:val="00652E5D"/>
    <w:rsid w:val="00652E8C"/>
    <w:rsid w:val="00653037"/>
    <w:rsid w:val="0065320F"/>
    <w:rsid w:val="006532EE"/>
    <w:rsid w:val="0065334C"/>
    <w:rsid w:val="00653377"/>
    <w:rsid w:val="0065348A"/>
    <w:rsid w:val="0065354F"/>
    <w:rsid w:val="00653807"/>
    <w:rsid w:val="0065385A"/>
    <w:rsid w:val="00653870"/>
    <w:rsid w:val="00653A2F"/>
    <w:rsid w:val="00653AA6"/>
    <w:rsid w:val="00653B36"/>
    <w:rsid w:val="00653C23"/>
    <w:rsid w:val="00653CE2"/>
    <w:rsid w:val="00653E41"/>
    <w:rsid w:val="00653F03"/>
    <w:rsid w:val="00653F57"/>
    <w:rsid w:val="00654014"/>
    <w:rsid w:val="0065403C"/>
    <w:rsid w:val="00654054"/>
    <w:rsid w:val="006540E4"/>
    <w:rsid w:val="006541A3"/>
    <w:rsid w:val="00654272"/>
    <w:rsid w:val="006543B2"/>
    <w:rsid w:val="006543C4"/>
    <w:rsid w:val="006543C9"/>
    <w:rsid w:val="006543CC"/>
    <w:rsid w:val="0065445D"/>
    <w:rsid w:val="00654510"/>
    <w:rsid w:val="0065452F"/>
    <w:rsid w:val="006545B1"/>
    <w:rsid w:val="0065476B"/>
    <w:rsid w:val="006547F7"/>
    <w:rsid w:val="00654946"/>
    <w:rsid w:val="00654A59"/>
    <w:rsid w:val="00654B86"/>
    <w:rsid w:val="00654BF0"/>
    <w:rsid w:val="00654D7D"/>
    <w:rsid w:val="00654DE5"/>
    <w:rsid w:val="00654F8B"/>
    <w:rsid w:val="0065505A"/>
    <w:rsid w:val="006551A4"/>
    <w:rsid w:val="006551BA"/>
    <w:rsid w:val="0065520B"/>
    <w:rsid w:val="006553B6"/>
    <w:rsid w:val="00655453"/>
    <w:rsid w:val="006554B9"/>
    <w:rsid w:val="006555FA"/>
    <w:rsid w:val="006556AE"/>
    <w:rsid w:val="0065570E"/>
    <w:rsid w:val="00655815"/>
    <w:rsid w:val="0065584B"/>
    <w:rsid w:val="0065586C"/>
    <w:rsid w:val="006558C1"/>
    <w:rsid w:val="0065594F"/>
    <w:rsid w:val="00655BEB"/>
    <w:rsid w:val="00655C55"/>
    <w:rsid w:val="00655D7D"/>
    <w:rsid w:val="00655EC4"/>
    <w:rsid w:val="00655F00"/>
    <w:rsid w:val="00655F07"/>
    <w:rsid w:val="00655F47"/>
    <w:rsid w:val="00655FF8"/>
    <w:rsid w:val="00656067"/>
    <w:rsid w:val="0065608C"/>
    <w:rsid w:val="0065611F"/>
    <w:rsid w:val="00656133"/>
    <w:rsid w:val="00656138"/>
    <w:rsid w:val="0065617A"/>
    <w:rsid w:val="006561F0"/>
    <w:rsid w:val="0065654C"/>
    <w:rsid w:val="0065656E"/>
    <w:rsid w:val="006565AF"/>
    <w:rsid w:val="00656603"/>
    <w:rsid w:val="0065677E"/>
    <w:rsid w:val="006569A5"/>
    <w:rsid w:val="006569AA"/>
    <w:rsid w:val="00656B60"/>
    <w:rsid w:val="00656BA0"/>
    <w:rsid w:val="00656BB6"/>
    <w:rsid w:val="00656BCA"/>
    <w:rsid w:val="00656D18"/>
    <w:rsid w:val="00656FD6"/>
    <w:rsid w:val="00657174"/>
    <w:rsid w:val="0065737A"/>
    <w:rsid w:val="006573AE"/>
    <w:rsid w:val="00657481"/>
    <w:rsid w:val="006574AC"/>
    <w:rsid w:val="006574BB"/>
    <w:rsid w:val="00657572"/>
    <w:rsid w:val="00657650"/>
    <w:rsid w:val="006576C3"/>
    <w:rsid w:val="0065774B"/>
    <w:rsid w:val="006577BE"/>
    <w:rsid w:val="006577DA"/>
    <w:rsid w:val="00657833"/>
    <w:rsid w:val="00657A0E"/>
    <w:rsid w:val="00657B37"/>
    <w:rsid w:val="00657C94"/>
    <w:rsid w:val="00657CD8"/>
    <w:rsid w:val="00657D0C"/>
    <w:rsid w:val="00660004"/>
    <w:rsid w:val="00660024"/>
    <w:rsid w:val="00660057"/>
    <w:rsid w:val="00660107"/>
    <w:rsid w:val="00660206"/>
    <w:rsid w:val="00660395"/>
    <w:rsid w:val="006603DA"/>
    <w:rsid w:val="006603E8"/>
    <w:rsid w:val="00660551"/>
    <w:rsid w:val="0066058C"/>
    <w:rsid w:val="006605A8"/>
    <w:rsid w:val="00660822"/>
    <w:rsid w:val="0066082D"/>
    <w:rsid w:val="006609DD"/>
    <w:rsid w:val="006609FB"/>
    <w:rsid w:val="00660A42"/>
    <w:rsid w:val="00660B52"/>
    <w:rsid w:val="00660BBD"/>
    <w:rsid w:val="00660D9B"/>
    <w:rsid w:val="00660DD6"/>
    <w:rsid w:val="00660DD9"/>
    <w:rsid w:val="00660E33"/>
    <w:rsid w:val="00660FDB"/>
    <w:rsid w:val="00661163"/>
    <w:rsid w:val="006612A6"/>
    <w:rsid w:val="0066134A"/>
    <w:rsid w:val="00661415"/>
    <w:rsid w:val="00661416"/>
    <w:rsid w:val="006614ED"/>
    <w:rsid w:val="00661557"/>
    <w:rsid w:val="00661592"/>
    <w:rsid w:val="006615BF"/>
    <w:rsid w:val="0066160B"/>
    <w:rsid w:val="0066179C"/>
    <w:rsid w:val="006618F6"/>
    <w:rsid w:val="00661909"/>
    <w:rsid w:val="006619A8"/>
    <w:rsid w:val="00661A47"/>
    <w:rsid w:val="00661AD0"/>
    <w:rsid w:val="00661B54"/>
    <w:rsid w:val="00661B95"/>
    <w:rsid w:val="00661C0F"/>
    <w:rsid w:val="00661CC9"/>
    <w:rsid w:val="00661F64"/>
    <w:rsid w:val="00661F6C"/>
    <w:rsid w:val="00661FCC"/>
    <w:rsid w:val="006620D7"/>
    <w:rsid w:val="0066224C"/>
    <w:rsid w:val="00662275"/>
    <w:rsid w:val="00662298"/>
    <w:rsid w:val="006622B4"/>
    <w:rsid w:val="00662344"/>
    <w:rsid w:val="00662574"/>
    <w:rsid w:val="0066269D"/>
    <w:rsid w:val="006626EF"/>
    <w:rsid w:val="006627EB"/>
    <w:rsid w:val="006627FB"/>
    <w:rsid w:val="00662815"/>
    <w:rsid w:val="006628B2"/>
    <w:rsid w:val="00662908"/>
    <w:rsid w:val="00662927"/>
    <w:rsid w:val="0066298C"/>
    <w:rsid w:val="00662A05"/>
    <w:rsid w:val="00662C7F"/>
    <w:rsid w:val="00662D3E"/>
    <w:rsid w:val="00662FB6"/>
    <w:rsid w:val="00662FD6"/>
    <w:rsid w:val="006631D4"/>
    <w:rsid w:val="00663357"/>
    <w:rsid w:val="0066340B"/>
    <w:rsid w:val="00663447"/>
    <w:rsid w:val="00663576"/>
    <w:rsid w:val="00663598"/>
    <w:rsid w:val="00663648"/>
    <w:rsid w:val="00663748"/>
    <w:rsid w:val="00663765"/>
    <w:rsid w:val="0066378D"/>
    <w:rsid w:val="0066387A"/>
    <w:rsid w:val="006638A5"/>
    <w:rsid w:val="006638C2"/>
    <w:rsid w:val="006638D4"/>
    <w:rsid w:val="00663967"/>
    <w:rsid w:val="0066396D"/>
    <w:rsid w:val="006639AE"/>
    <w:rsid w:val="00663AB1"/>
    <w:rsid w:val="00663E45"/>
    <w:rsid w:val="00663ECD"/>
    <w:rsid w:val="00663F2C"/>
    <w:rsid w:val="00663F8C"/>
    <w:rsid w:val="006640C1"/>
    <w:rsid w:val="00664113"/>
    <w:rsid w:val="0066425C"/>
    <w:rsid w:val="0066431C"/>
    <w:rsid w:val="006643B8"/>
    <w:rsid w:val="006643ED"/>
    <w:rsid w:val="0066441D"/>
    <w:rsid w:val="006644A5"/>
    <w:rsid w:val="006644EB"/>
    <w:rsid w:val="0066455B"/>
    <w:rsid w:val="00664585"/>
    <w:rsid w:val="00664614"/>
    <w:rsid w:val="0066467E"/>
    <w:rsid w:val="00664718"/>
    <w:rsid w:val="006647C4"/>
    <w:rsid w:val="00664854"/>
    <w:rsid w:val="00664877"/>
    <w:rsid w:val="006648D1"/>
    <w:rsid w:val="00664958"/>
    <w:rsid w:val="006649BD"/>
    <w:rsid w:val="00664A8B"/>
    <w:rsid w:val="00664AA3"/>
    <w:rsid w:val="00664AE2"/>
    <w:rsid w:val="00664C05"/>
    <w:rsid w:val="00664E14"/>
    <w:rsid w:val="00664F58"/>
    <w:rsid w:val="00665012"/>
    <w:rsid w:val="0066503E"/>
    <w:rsid w:val="0066506B"/>
    <w:rsid w:val="0066519F"/>
    <w:rsid w:val="00665225"/>
    <w:rsid w:val="00665382"/>
    <w:rsid w:val="00665473"/>
    <w:rsid w:val="006655CB"/>
    <w:rsid w:val="00665631"/>
    <w:rsid w:val="006656AD"/>
    <w:rsid w:val="0066572F"/>
    <w:rsid w:val="006657F0"/>
    <w:rsid w:val="00665808"/>
    <w:rsid w:val="0066580E"/>
    <w:rsid w:val="0066588C"/>
    <w:rsid w:val="00665A15"/>
    <w:rsid w:val="00665ABC"/>
    <w:rsid w:val="00665B1A"/>
    <w:rsid w:val="00665C10"/>
    <w:rsid w:val="00665CC8"/>
    <w:rsid w:val="00665E14"/>
    <w:rsid w:val="00665EFE"/>
    <w:rsid w:val="00665F5E"/>
    <w:rsid w:val="0066609B"/>
    <w:rsid w:val="006660DC"/>
    <w:rsid w:val="006661DA"/>
    <w:rsid w:val="0066640D"/>
    <w:rsid w:val="0066644C"/>
    <w:rsid w:val="00666490"/>
    <w:rsid w:val="0066655A"/>
    <w:rsid w:val="006666F0"/>
    <w:rsid w:val="00666803"/>
    <w:rsid w:val="0066683F"/>
    <w:rsid w:val="006668C7"/>
    <w:rsid w:val="00666969"/>
    <w:rsid w:val="00666983"/>
    <w:rsid w:val="00666985"/>
    <w:rsid w:val="00666A16"/>
    <w:rsid w:val="00666A45"/>
    <w:rsid w:val="00666AF6"/>
    <w:rsid w:val="00666B9F"/>
    <w:rsid w:val="00666C91"/>
    <w:rsid w:val="00666CA0"/>
    <w:rsid w:val="00666E9E"/>
    <w:rsid w:val="00666FDE"/>
    <w:rsid w:val="006670A6"/>
    <w:rsid w:val="0066711D"/>
    <w:rsid w:val="006671E5"/>
    <w:rsid w:val="00667540"/>
    <w:rsid w:val="006675B4"/>
    <w:rsid w:val="00667679"/>
    <w:rsid w:val="006676B8"/>
    <w:rsid w:val="0066773C"/>
    <w:rsid w:val="00667812"/>
    <w:rsid w:val="00667879"/>
    <w:rsid w:val="00667940"/>
    <w:rsid w:val="00667958"/>
    <w:rsid w:val="00667963"/>
    <w:rsid w:val="00667982"/>
    <w:rsid w:val="00667B15"/>
    <w:rsid w:val="00667BF9"/>
    <w:rsid w:val="00667D9A"/>
    <w:rsid w:val="0067000A"/>
    <w:rsid w:val="0067008B"/>
    <w:rsid w:val="006701AC"/>
    <w:rsid w:val="0067027F"/>
    <w:rsid w:val="006702A5"/>
    <w:rsid w:val="006702BD"/>
    <w:rsid w:val="006705EF"/>
    <w:rsid w:val="00670627"/>
    <w:rsid w:val="00670750"/>
    <w:rsid w:val="006708B0"/>
    <w:rsid w:val="0067096C"/>
    <w:rsid w:val="00670997"/>
    <w:rsid w:val="00670C16"/>
    <w:rsid w:val="00670C1A"/>
    <w:rsid w:val="00670D1C"/>
    <w:rsid w:val="00670D59"/>
    <w:rsid w:val="00670D9A"/>
    <w:rsid w:val="00670E4E"/>
    <w:rsid w:val="00670E9B"/>
    <w:rsid w:val="00670F49"/>
    <w:rsid w:val="00670FF2"/>
    <w:rsid w:val="00671095"/>
    <w:rsid w:val="00671195"/>
    <w:rsid w:val="006711AC"/>
    <w:rsid w:val="006711FA"/>
    <w:rsid w:val="00671605"/>
    <w:rsid w:val="00671671"/>
    <w:rsid w:val="00671686"/>
    <w:rsid w:val="00671846"/>
    <w:rsid w:val="0067199F"/>
    <w:rsid w:val="006719D5"/>
    <w:rsid w:val="00671AB3"/>
    <w:rsid w:val="00671AB8"/>
    <w:rsid w:val="00671ABF"/>
    <w:rsid w:val="00671ADB"/>
    <w:rsid w:val="00671BC5"/>
    <w:rsid w:val="00671C58"/>
    <w:rsid w:val="00671E80"/>
    <w:rsid w:val="00671E94"/>
    <w:rsid w:val="00671F1A"/>
    <w:rsid w:val="00671F7F"/>
    <w:rsid w:val="00672009"/>
    <w:rsid w:val="006720E5"/>
    <w:rsid w:val="00672164"/>
    <w:rsid w:val="006721EF"/>
    <w:rsid w:val="00672203"/>
    <w:rsid w:val="0067224E"/>
    <w:rsid w:val="0067227E"/>
    <w:rsid w:val="0067234B"/>
    <w:rsid w:val="0067252B"/>
    <w:rsid w:val="00672760"/>
    <w:rsid w:val="006727F2"/>
    <w:rsid w:val="00672860"/>
    <w:rsid w:val="006728E9"/>
    <w:rsid w:val="0067296E"/>
    <w:rsid w:val="00672A3A"/>
    <w:rsid w:val="00672AC6"/>
    <w:rsid w:val="00672B0E"/>
    <w:rsid w:val="00672BEA"/>
    <w:rsid w:val="00672BF8"/>
    <w:rsid w:val="00672C68"/>
    <w:rsid w:val="00672C95"/>
    <w:rsid w:val="00672CAE"/>
    <w:rsid w:val="00672CB6"/>
    <w:rsid w:val="00672D57"/>
    <w:rsid w:val="00672D64"/>
    <w:rsid w:val="00672DB8"/>
    <w:rsid w:val="00672DDA"/>
    <w:rsid w:val="00672E01"/>
    <w:rsid w:val="00672E7F"/>
    <w:rsid w:val="00672EA6"/>
    <w:rsid w:val="00672F78"/>
    <w:rsid w:val="00673053"/>
    <w:rsid w:val="0067308F"/>
    <w:rsid w:val="006731B0"/>
    <w:rsid w:val="006731C1"/>
    <w:rsid w:val="00673202"/>
    <w:rsid w:val="0067332A"/>
    <w:rsid w:val="00673366"/>
    <w:rsid w:val="00673437"/>
    <w:rsid w:val="0067344F"/>
    <w:rsid w:val="00673468"/>
    <w:rsid w:val="0067356A"/>
    <w:rsid w:val="006735AD"/>
    <w:rsid w:val="0067367A"/>
    <w:rsid w:val="0067370C"/>
    <w:rsid w:val="006737CD"/>
    <w:rsid w:val="0067386D"/>
    <w:rsid w:val="00673A69"/>
    <w:rsid w:val="00673B1D"/>
    <w:rsid w:val="00673C34"/>
    <w:rsid w:val="00673C40"/>
    <w:rsid w:val="00673DC8"/>
    <w:rsid w:val="00673E80"/>
    <w:rsid w:val="00673EAB"/>
    <w:rsid w:val="00673EB8"/>
    <w:rsid w:val="00674067"/>
    <w:rsid w:val="006740C1"/>
    <w:rsid w:val="006740D7"/>
    <w:rsid w:val="006740DF"/>
    <w:rsid w:val="006740F6"/>
    <w:rsid w:val="0067415B"/>
    <w:rsid w:val="006741DC"/>
    <w:rsid w:val="00674234"/>
    <w:rsid w:val="006743A1"/>
    <w:rsid w:val="006743B1"/>
    <w:rsid w:val="006744B6"/>
    <w:rsid w:val="00674533"/>
    <w:rsid w:val="006745EE"/>
    <w:rsid w:val="0067462C"/>
    <w:rsid w:val="00674762"/>
    <w:rsid w:val="00674771"/>
    <w:rsid w:val="00674870"/>
    <w:rsid w:val="00674A31"/>
    <w:rsid w:val="00674A48"/>
    <w:rsid w:val="00674AE2"/>
    <w:rsid w:val="00674AE6"/>
    <w:rsid w:val="00674BAD"/>
    <w:rsid w:val="00674BB9"/>
    <w:rsid w:val="00674C33"/>
    <w:rsid w:val="00674D19"/>
    <w:rsid w:val="00674E06"/>
    <w:rsid w:val="00674E3A"/>
    <w:rsid w:val="00674F04"/>
    <w:rsid w:val="00674F56"/>
    <w:rsid w:val="0067502A"/>
    <w:rsid w:val="006751FE"/>
    <w:rsid w:val="0067528F"/>
    <w:rsid w:val="00675298"/>
    <w:rsid w:val="006755C3"/>
    <w:rsid w:val="006756E0"/>
    <w:rsid w:val="00675727"/>
    <w:rsid w:val="00675797"/>
    <w:rsid w:val="0067581E"/>
    <w:rsid w:val="006758D8"/>
    <w:rsid w:val="006759B1"/>
    <w:rsid w:val="00675A2F"/>
    <w:rsid w:val="00675A86"/>
    <w:rsid w:val="00675ACE"/>
    <w:rsid w:val="00675C92"/>
    <w:rsid w:val="00675D43"/>
    <w:rsid w:val="00675D51"/>
    <w:rsid w:val="00675E10"/>
    <w:rsid w:val="00675E6E"/>
    <w:rsid w:val="00675F55"/>
    <w:rsid w:val="006762EA"/>
    <w:rsid w:val="006764AB"/>
    <w:rsid w:val="006764D3"/>
    <w:rsid w:val="00676560"/>
    <w:rsid w:val="006765B9"/>
    <w:rsid w:val="0067669B"/>
    <w:rsid w:val="0067676C"/>
    <w:rsid w:val="00676914"/>
    <w:rsid w:val="0067691E"/>
    <w:rsid w:val="00676934"/>
    <w:rsid w:val="00676B26"/>
    <w:rsid w:val="00676B7F"/>
    <w:rsid w:val="00676C0B"/>
    <w:rsid w:val="00676C4D"/>
    <w:rsid w:val="00676CE4"/>
    <w:rsid w:val="00676D4B"/>
    <w:rsid w:val="00676D94"/>
    <w:rsid w:val="00676E50"/>
    <w:rsid w:val="00676E5C"/>
    <w:rsid w:val="00676E96"/>
    <w:rsid w:val="00676F43"/>
    <w:rsid w:val="00676F68"/>
    <w:rsid w:val="00677115"/>
    <w:rsid w:val="0067716F"/>
    <w:rsid w:val="006771D1"/>
    <w:rsid w:val="00677308"/>
    <w:rsid w:val="00677320"/>
    <w:rsid w:val="0067734C"/>
    <w:rsid w:val="0067748D"/>
    <w:rsid w:val="00677493"/>
    <w:rsid w:val="0067761A"/>
    <w:rsid w:val="00677668"/>
    <w:rsid w:val="006776D1"/>
    <w:rsid w:val="006776DF"/>
    <w:rsid w:val="0067782A"/>
    <w:rsid w:val="0067785D"/>
    <w:rsid w:val="006778F3"/>
    <w:rsid w:val="0067796E"/>
    <w:rsid w:val="00677A0C"/>
    <w:rsid w:val="00677A74"/>
    <w:rsid w:val="00677ABE"/>
    <w:rsid w:val="00677D27"/>
    <w:rsid w:val="00677D90"/>
    <w:rsid w:val="00677DB8"/>
    <w:rsid w:val="00677DF5"/>
    <w:rsid w:val="00677F6A"/>
    <w:rsid w:val="00677F79"/>
    <w:rsid w:val="00680010"/>
    <w:rsid w:val="00680045"/>
    <w:rsid w:val="00680050"/>
    <w:rsid w:val="006801F6"/>
    <w:rsid w:val="00680362"/>
    <w:rsid w:val="006803E9"/>
    <w:rsid w:val="00680457"/>
    <w:rsid w:val="006804F7"/>
    <w:rsid w:val="00680625"/>
    <w:rsid w:val="006806B6"/>
    <w:rsid w:val="006806C8"/>
    <w:rsid w:val="00680727"/>
    <w:rsid w:val="00680788"/>
    <w:rsid w:val="00680894"/>
    <w:rsid w:val="006808AB"/>
    <w:rsid w:val="006808D2"/>
    <w:rsid w:val="00680B54"/>
    <w:rsid w:val="00680B6C"/>
    <w:rsid w:val="00680C53"/>
    <w:rsid w:val="00680C5C"/>
    <w:rsid w:val="00680CA0"/>
    <w:rsid w:val="00680E95"/>
    <w:rsid w:val="00680ED5"/>
    <w:rsid w:val="00680F88"/>
    <w:rsid w:val="00681164"/>
    <w:rsid w:val="0068116C"/>
    <w:rsid w:val="00681202"/>
    <w:rsid w:val="00681292"/>
    <w:rsid w:val="00681340"/>
    <w:rsid w:val="006813F5"/>
    <w:rsid w:val="0068143F"/>
    <w:rsid w:val="0068157E"/>
    <w:rsid w:val="00681751"/>
    <w:rsid w:val="006818AE"/>
    <w:rsid w:val="006818C5"/>
    <w:rsid w:val="006819B2"/>
    <w:rsid w:val="00681AC9"/>
    <w:rsid w:val="00681B00"/>
    <w:rsid w:val="00681B16"/>
    <w:rsid w:val="00681C58"/>
    <w:rsid w:val="00681CBC"/>
    <w:rsid w:val="00681CBE"/>
    <w:rsid w:val="00681DAC"/>
    <w:rsid w:val="00681E62"/>
    <w:rsid w:val="00681EC8"/>
    <w:rsid w:val="00681ECE"/>
    <w:rsid w:val="00681F31"/>
    <w:rsid w:val="00681F8B"/>
    <w:rsid w:val="0068204F"/>
    <w:rsid w:val="006821F4"/>
    <w:rsid w:val="00682330"/>
    <w:rsid w:val="00682518"/>
    <w:rsid w:val="0068267C"/>
    <w:rsid w:val="006826E1"/>
    <w:rsid w:val="006827D1"/>
    <w:rsid w:val="006827FD"/>
    <w:rsid w:val="00682885"/>
    <w:rsid w:val="006828BF"/>
    <w:rsid w:val="006828F0"/>
    <w:rsid w:val="00682947"/>
    <w:rsid w:val="006829D5"/>
    <w:rsid w:val="00682B0A"/>
    <w:rsid w:val="00682C88"/>
    <w:rsid w:val="00682C8B"/>
    <w:rsid w:val="00682CBC"/>
    <w:rsid w:val="00682E6B"/>
    <w:rsid w:val="00682F27"/>
    <w:rsid w:val="00682F92"/>
    <w:rsid w:val="0068308D"/>
    <w:rsid w:val="00683206"/>
    <w:rsid w:val="00683331"/>
    <w:rsid w:val="00683341"/>
    <w:rsid w:val="006833B7"/>
    <w:rsid w:val="006833C1"/>
    <w:rsid w:val="006834A0"/>
    <w:rsid w:val="00683522"/>
    <w:rsid w:val="00683592"/>
    <w:rsid w:val="006835A0"/>
    <w:rsid w:val="006835C6"/>
    <w:rsid w:val="006835D5"/>
    <w:rsid w:val="0068366E"/>
    <w:rsid w:val="00683674"/>
    <w:rsid w:val="00683769"/>
    <w:rsid w:val="00683798"/>
    <w:rsid w:val="006838B1"/>
    <w:rsid w:val="00683938"/>
    <w:rsid w:val="0068394D"/>
    <w:rsid w:val="0068395B"/>
    <w:rsid w:val="00683AF8"/>
    <w:rsid w:val="00683BCC"/>
    <w:rsid w:val="00683C26"/>
    <w:rsid w:val="00683F8D"/>
    <w:rsid w:val="00683FD6"/>
    <w:rsid w:val="006840A7"/>
    <w:rsid w:val="00684113"/>
    <w:rsid w:val="00684184"/>
    <w:rsid w:val="006841C0"/>
    <w:rsid w:val="006841FC"/>
    <w:rsid w:val="00684225"/>
    <w:rsid w:val="0068441F"/>
    <w:rsid w:val="00684437"/>
    <w:rsid w:val="006844F2"/>
    <w:rsid w:val="00684786"/>
    <w:rsid w:val="0068484C"/>
    <w:rsid w:val="006848D4"/>
    <w:rsid w:val="00684A69"/>
    <w:rsid w:val="00684B0C"/>
    <w:rsid w:val="00684B72"/>
    <w:rsid w:val="00684BAE"/>
    <w:rsid w:val="00684BB9"/>
    <w:rsid w:val="00684C4E"/>
    <w:rsid w:val="00684D15"/>
    <w:rsid w:val="00684DF1"/>
    <w:rsid w:val="00684F67"/>
    <w:rsid w:val="00684FD4"/>
    <w:rsid w:val="00684FD8"/>
    <w:rsid w:val="00685017"/>
    <w:rsid w:val="006850C6"/>
    <w:rsid w:val="006851CA"/>
    <w:rsid w:val="00685312"/>
    <w:rsid w:val="00685381"/>
    <w:rsid w:val="00685384"/>
    <w:rsid w:val="00685385"/>
    <w:rsid w:val="006853E2"/>
    <w:rsid w:val="00685487"/>
    <w:rsid w:val="0068554D"/>
    <w:rsid w:val="0068587A"/>
    <w:rsid w:val="00685887"/>
    <w:rsid w:val="00685987"/>
    <w:rsid w:val="00685BD6"/>
    <w:rsid w:val="00685C13"/>
    <w:rsid w:val="00685D6B"/>
    <w:rsid w:val="00685DB9"/>
    <w:rsid w:val="00685ECD"/>
    <w:rsid w:val="00685EE0"/>
    <w:rsid w:val="00685F74"/>
    <w:rsid w:val="00686116"/>
    <w:rsid w:val="00686123"/>
    <w:rsid w:val="006861CC"/>
    <w:rsid w:val="00686234"/>
    <w:rsid w:val="00686502"/>
    <w:rsid w:val="00686679"/>
    <w:rsid w:val="006866AD"/>
    <w:rsid w:val="00686763"/>
    <w:rsid w:val="00686838"/>
    <w:rsid w:val="006868C3"/>
    <w:rsid w:val="006868EC"/>
    <w:rsid w:val="00686AA9"/>
    <w:rsid w:val="00686ADE"/>
    <w:rsid w:val="00686C01"/>
    <w:rsid w:val="00686C39"/>
    <w:rsid w:val="00686C5A"/>
    <w:rsid w:val="00686C82"/>
    <w:rsid w:val="00686ED6"/>
    <w:rsid w:val="00686EF2"/>
    <w:rsid w:val="00686F85"/>
    <w:rsid w:val="00686FF3"/>
    <w:rsid w:val="006870EE"/>
    <w:rsid w:val="006870FE"/>
    <w:rsid w:val="00687120"/>
    <w:rsid w:val="0068748D"/>
    <w:rsid w:val="006874E6"/>
    <w:rsid w:val="0068751A"/>
    <w:rsid w:val="006875A9"/>
    <w:rsid w:val="006875C2"/>
    <w:rsid w:val="00687655"/>
    <w:rsid w:val="00687689"/>
    <w:rsid w:val="00687695"/>
    <w:rsid w:val="0068788D"/>
    <w:rsid w:val="0068794E"/>
    <w:rsid w:val="00687A95"/>
    <w:rsid w:val="00687AC5"/>
    <w:rsid w:val="00687CA5"/>
    <w:rsid w:val="00687CD6"/>
    <w:rsid w:val="00687D3E"/>
    <w:rsid w:val="00687DA2"/>
    <w:rsid w:val="00687DBB"/>
    <w:rsid w:val="00687DEE"/>
    <w:rsid w:val="00687E1B"/>
    <w:rsid w:val="00687E5C"/>
    <w:rsid w:val="00687F1E"/>
    <w:rsid w:val="00687FD7"/>
    <w:rsid w:val="00690104"/>
    <w:rsid w:val="006902AB"/>
    <w:rsid w:val="006902DB"/>
    <w:rsid w:val="00690490"/>
    <w:rsid w:val="0069055F"/>
    <w:rsid w:val="00690623"/>
    <w:rsid w:val="006906B9"/>
    <w:rsid w:val="006906D3"/>
    <w:rsid w:val="006907D3"/>
    <w:rsid w:val="006909C0"/>
    <w:rsid w:val="00690AC7"/>
    <w:rsid w:val="00690ADF"/>
    <w:rsid w:val="00690B4B"/>
    <w:rsid w:val="00690BC8"/>
    <w:rsid w:val="00690C01"/>
    <w:rsid w:val="00690C90"/>
    <w:rsid w:val="00690CBE"/>
    <w:rsid w:val="00690D69"/>
    <w:rsid w:val="00690E61"/>
    <w:rsid w:val="00690E88"/>
    <w:rsid w:val="00690E93"/>
    <w:rsid w:val="00690FD7"/>
    <w:rsid w:val="0069100F"/>
    <w:rsid w:val="0069114F"/>
    <w:rsid w:val="0069129A"/>
    <w:rsid w:val="006912FE"/>
    <w:rsid w:val="00691426"/>
    <w:rsid w:val="00691487"/>
    <w:rsid w:val="006914E2"/>
    <w:rsid w:val="00691782"/>
    <w:rsid w:val="006917B8"/>
    <w:rsid w:val="006917BB"/>
    <w:rsid w:val="0069181D"/>
    <w:rsid w:val="0069184C"/>
    <w:rsid w:val="00691926"/>
    <w:rsid w:val="00691B14"/>
    <w:rsid w:val="00691CD5"/>
    <w:rsid w:val="00691DC8"/>
    <w:rsid w:val="0069201C"/>
    <w:rsid w:val="00692045"/>
    <w:rsid w:val="0069206C"/>
    <w:rsid w:val="006920A4"/>
    <w:rsid w:val="00692179"/>
    <w:rsid w:val="00692181"/>
    <w:rsid w:val="006921BA"/>
    <w:rsid w:val="0069237C"/>
    <w:rsid w:val="006924DA"/>
    <w:rsid w:val="0069253A"/>
    <w:rsid w:val="0069272A"/>
    <w:rsid w:val="0069273C"/>
    <w:rsid w:val="0069276C"/>
    <w:rsid w:val="00692777"/>
    <w:rsid w:val="006927C5"/>
    <w:rsid w:val="006928CB"/>
    <w:rsid w:val="0069298F"/>
    <w:rsid w:val="006929C1"/>
    <w:rsid w:val="00692A41"/>
    <w:rsid w:val="00692A8F"/>
    <w:rsid w:val="00692ACB"/>
    <w:rsid w:val="00692B7D"/>
    <w:rsid w:val="00692BF6"/>
    <w:rsid w:val="00692C81"/>
    <w:rsid w:val="00692D7A"/>
    <w:rsid w:val="00692D93"/>
    <w:rsid w:val="00692D9B"/>
    <w:rsid w:val="00692FDB"/>
    <w:rsid w:val="0069309F"/>
    <w:rsid w:val="00693179"/>
    <w:rsid w:val="0069326E"/>
    <w:rsid w:val="00693273"/>
    <w:rsid w:val="00693325"/>
    <w:rsid w:val="0069332B"/>
    <w:rsid w:val="00693514"/>
    <w:rsid w:val="0069358F"/>
    <w:rsid w:val="0069362E"/>
    <w:rsid w:val="0069366E"/>
    <w:rsid w:val="006936B3"/>
    <w:rsid w:val="0069373E"/>
    <w:rsid w:val="00693763"/>
    <w:rsid w:val="00693764"/>
    <w:rsid w:val="00693768"/>
    <w:rsid w:val="00693785"/>
    <w:rsid w:val="006938C9"/>
    <w:rsid w:val="006938F1"/>
    <w:rsid w:val="00693906"/>
    <w:rsid w:val="00693913"/>
    <w:rsid w:val="0069392C"/>
    <w:rsid w:val="00693A4A"/>
    <w:rsid w:val="00693B9B"/>
    <w:rsid w:val="00693BB7"/>
    <w:rsid w:val="00693E5C"/>
    <w:rsid w:val="00693E81"/>
    <w:rsid w:val="00693FAF"/>
    <w:rsid w:val="00693FCA"/>
    <w:rsid w:val="0069405A"/>
    <w:rsid w:val="00694095"/>
    <w:rsid w:val="006943D5"/>
    <w:rsid w:val="0069454A"/>
    <w:rsid w:val="0069463A"/>
    <w:rsid w:val="00694659"/>
    <w:rsid w:val="006946B0"/>
    <w:rsid w:val="006946EF"/>
    <w:rsid w:val="0069471F"/>
    <w:rsid w:val="00694722"/>
    <w:rsid w:val="00694768"/>
    <w:rsid w:val="00694817"/>
    <w:rsid w:val="006948D4"/>
    <w:rsid w:val="00694AD2"/>
    <w:rsid w:val="00694B10"/>
    <w:rsid w:val="00694B8D"/>
    <w:rsid w:val="00694B9E"/>
    <w:rsid w:val="00694BEA"/>
    <w:rsid w:val="00694E12"/>
    <w:rsid w:val="00694EDA"/>
    <w:rsid w:val="00694F52"/>
    <w:rsid w:val="0069501A"/>
    <w:rsid w:val="0069503C"/>
    <w:rsid w:val="00695044"/>
    <w:rsid w:val="006950F5"/>
    <w:rsid w:val="0069510E"/>
    <w:rsid w:val="006951DD"/>
    <w:rsid w:val="00695253"/>
    <w:rsid w:val="006953C3"/>
    <w:rsid w:val="00695483"/>
    <w:rsid w:val="006954A2"/>
    <w:rsid w:val="0069553A"/>
    <w:rsid w:val="006958DA"/>
    <w:rsid w:val="006958FD"/>
    <w:rsid w:val="006959FF"/>
    <w:rsid w:val="00695B4D"/>
    <w:rsid w:val="00695B90"/>
    <w:rsid w:val="00695BBB"/>
    <w:rsid w:val="00695BF8"/>
    <w:rsid w:val="00695CF2"/>
    <w:rsid w:val="00695E05"/>
    <w:rsid w:val="00695E9A"/>
    <w:rsid w:val="00695EC4"/>
    <w:rsid w:val="00696004"/>
    <w:rsid w:val="00696026"/>
    <w:rsid w:val="0069609D"/>
    <w:rsid w:val="006961ED"/>
    <w:rsid w:val="00696213"/>
    <w:rsid w:val="0069641F"/>
    <w:rsid w:val="00696495"/>
    <w:rsid w:val="00696532"/>
    <w:rsid w:val="006965E2"/>
    <w:rsid w:val="00696689"/>
    <w:rsid w:val="00696817"/>
    <w:rsid w:val="00696937"/>
    <w:rsid w:val="006969DC"/>
    <w:rsid w:val="00696BC8"/>
    <w:rsid w:val="00696BEF"/>
    <w:rsid w:val="00696D25"/>
    <w:rsid w:val="00696D32"/>
    <w:rsid w:val="00696D66"/>
    <w:rsid w:val="00696DFB"/>
    <w:rsid w:val="00696F04"/>
    <w:rsid w:val="00697124"/>
    <w:rsid w:val="0069752C"/>
    <w:rsid w:val="006975FD"/>
    <w:rsid w:val="00697753"/>
    <w:rsid w:val="006978A7"/>
    <w:rsid w:val="006979D0"/>
    <w:rsid w:val="00697B8E"/>
    <w:rsid w:val="00697C0D"/>
    <w:rsid w:val="00697C1E"/>
    <w:rsid w:val="00697C21"/>
    <w:rsid w:val="00697D3E"/>
    <w:rsid w:val="00697D64"/>
    <w:rsid w:val="006A02FA"/>
    <w:rsid w:val="006A0312"/>
    <w:rsid w:val="006A0373"/>
    <w:rsid w:val="006A039C"/>
    <w:rsid w:val="006A0472"/>
    <w:rsid w:val="006A0706"/>
    <w:rsid w:val="006A072D"/>
    <w:rsid w:val="006A073B"/>
    <w:rsid w:val="006A078A"/>
    <w:rsid w:val="006A080D"/>
    <w:rsid w:val="006A082C"/>
    <w:rsid w:val="006A0858"/>
    <w:rsid w:val="006A0859"/>
    <w:rsid w:val="006A096B"/>
    <w:rsid w:val="006A09FA"/>
    <w:rsid w:val="006A0BF0"/>
    <w:rsid w:val="006A0CFD"/>
    <w:rsid w:val="006A0D1A"/>
    <w:rsid w:val="006A0D20"/>
    <w:rsid w:val="006A0D8A"/>
    <w:rsid w:val="006A0EC0"/>
    <w:rsid w:val="006A0F34"/>
    <w:rsid w:val="006A0FD4"/>
    <w:rsid w:val="006A1001"/>
    <w:rsid w:val="006A1034"/>
    <w:rsid w:val="006A1037"/>
    <w:rsid w:val="006A1104"/>
    <w:rsid w:val="006A1138"/>
    <w:rsid w:val="006A1193"/>
    <w:rsid w:val="006A1206"/>
    <w:rsid w:val="006A121D"/>
    <w:rsid w:val="006A13C6"/>
    <w:rsid w:val="006A1423"/>
    <w:rsid w:val="006A1443"/>
    <w:rsid w:val="006A1481"/>
    <w:rsid w:val="006A14B7"/>
    <w:rsid w:val="006A1505"/>
    <w:rsid w:val="006A15D8"/>
    <w:rsid w:val="006A1683"/>
    <w:rsid w:val="006A16B8"/>
    <w:rsid w:val="006A1722"/>
    <w:rsid w:val="006A1758"/>
    <w:rsid w:val="006A1793"/>
    <w:rsid w:val="006A17BE"/>
    <w:rsid w:val="006A17D0"/>
    <w:rsid w:val="006A1960"/>
    <w:rsid w:val="006A1967"/>
    <w:rsid w:val="006A19E8"/>
    <w:rsid w:val="006A19F0"/>
    <w:rsid w:val="006A1CA2"/>
    <w:rsid w:val="006A1D17"/>
    <w:rsid w:val="006A1D45"/>
    <w:rsid w:val="006A1EC0"/>
    <w:rsid w:val="006A1F1F"/>
    <w:rsid w:val="006A1FA2"/>
    <w:rsid w:val="006A212A"/>
    <w:rsid w:val="006A225B"/>
    <w:rsid w:val="006A2312"/>
    <w:rsid w:val="006A2398"/>
    <w:rsid w:val="006A2414"/>
    <w:rsid w:val="006A2509"/>
    <w:rsid w:val="006A255D"/>
    <w:rsid w:val="006A25CB"/>
    <w:rsid w:val="006A26B1"/>
    <w:rsid w:val="006A26D4"/>
    <w:rsid w:val="006A26D5"/>
    <w:rsid w:val="006A2715"/>
    <w:rsid w:val="006A2901"/>
    <w:rsid w:val="006A2916"/>
    <w:rsid w:val="006A296F"/>
    <w:rsid w:val="006A2A19"/>
    <w:rsid w:val="006A2C51"/>
    <w:rsid w:val="006A2C82"/>
    <w:rsid w:val="006A2CC9"/>
    <w:rsid w:val="006A2D0E"/>
    <w:rsid w:val="006A2DAD"/>
    <w:rsid w:val="006A2DB8"/>
    <w:rsid w:val="006A2F5E"/>
    <w:rsid w:val="006A3145"/>
    <w:rsid w:val="006A316B"/>
    <w:rsid w:val="006A3194"/>
    <w:rsid w:val="006A3227"/>
    <w:rsid w:val="006A32AF"/>
    <w:rsid w:val="006A34E1"/>
    <w:rsid w:val="006A353D"/>
    <w:rsid w:val="006A3603"/>
    <w:rsid w:val="006A3736"/>
    <w:rsid w:val="006A37FC"/>
    <w:rsid w:val="006A38A4"/>
    <w:rsid w:val="006A3935"/>
    <w:rsid w:val="006A396B"/>
    <w:rsid w:val="006A39EB"/>
    <w:rsid w:val="006A3A42"/>
    <w:rsid w:val="006A3B0A"/>
    <w:rsid w:val="006A3BA6"/>
    <w:rsid w:val="006A3F2E"/>
    <w:rsid w:val="006A3F44"/>
    <w:rsid w:val="006A4049"/>
    <w:rsid w:val="006A40FE"/>
    <w:rsid w:val="006A412C"/>
    <w:rsid w:val="006A41EA"/>
    <w:rsid w:val="006A4247"/>
    <w:rsid w:val="006A42FC"/>
    <w:rsid w:val="006A4472"/>
    <w:rsid w:val="006A46BB"/>
    <w:rsid w:val="006A46DF"/>
    <w:rsid w:val="006A47FA"/>
    <w:rsid w:val="006A4A4B"/>
    <w:rsid w:val="006A4ABB"/>
    <w:rsid w:val="006A4BF9"/>
    <w:rsid w:val="006A4C63"/>
    <w:rsid w:val="006A4C8D"/>
    <w:rsid w:val="006A4CB4"/>
    <w:rsid w:val="006A4DCB"/>
    <w:rsid w:val="006A4E4B"/>
    <w:rsid w:val="006A4E61"/>
    <w:rsid w:val="006A4FD9"/>
    <w:rsid w:val="006A4FE0"/>
    <w:rsid w:val="006A5026"/>
    <w:rsid w:val="006A510D"/>
    <w:rsid w:val="006A512C"/>
    <w:rsid w:val="006A5156"/>
    <w:rsid w:val="006A5222"/>
    <w:rsid w:val="006A52E3"/>
    <w:rsid w:val="006A53B9"/>
    <w:rsid w:val="006A53E3"/>
    <w:rsid w:val="006A53F5"/>
    <w:rsid w:val="006A546D"/>
    <w:rsid w:val="006A54AA"/>
    <w:rsid w:val="006A5557"/>
    <w:rsid w:val="006A5810"/>
    <w:rsid w:val="006A5873"/>
    <w:rsid w:val="006A5901"/>
    <w:rsid w:val="006A5A8B"/>
    <w:rsid w:val="006A5AAC"/>
    <w:rsid w:val="006A5BC2"/>
    <w:rsid w:val="006A5C23"/>
    <w:rsid w:val="006A5CC7"/>
    <w:rsid w:val="006A5ECD"/>
    <w:rsid w:val="006A6018"/>
    <w:rsid w:val="006A6064"/>
    <w:rsid w:val="006A60A7"/>
    <w:rsid w:val="006A6160"/>
    <w:rsid w:val="006A62CE"/>
    <w:rsid w:val="006A6300"/>
    <w:rsid w:val="006A6526"/>
    <w:rsid w:val="006A652C"/>
    <w:rsid w:val="006A6676"/>
    <w:rsid w:val="006A6679"/>
    <w:rsid w:val="006A66AF"/>
    <w:rsid w:val="006A66D0"/>
    <w:rsid w:val="006A68E6"/>
    <w:rsid w:val="006A691F"/>
    <w:rsid w:val="006A6925"/>
    <w:rsid w:val="006A692A"/>
    <w:rsid w:val="006A695D"/>
    <w:rsid w:val="006A6960"/>
    <w:rsid w:val="006A6B44"/>
    <w:rsid w:val="006A6B85"/>
    <w:rsid w:val="006A6CB3"/>
    <w:rsid w:val="006A6D20"/>
    <w:rsid w:val="006A6DD9"/>
    <w:rsid w:val="006A6E0F"/>
    <w:rsid w:val="006A6F79"/>
    <w:rsid w:val="006A6F8B"/>
    <w:rsid w:val="006A7020"/>
    <w:rsid w:val="006A71F2"/>
    <w:rsid w:val="006A720D"/>
    <w:rsid w:val="006A7236"/>
    <w:rsid w:val="006A72A4"/>
    <w:rsid w:val="006A72DC"/>
    <w:rsid w:val="006A740D"/>
    <w:rsid w:val="006A743F"/>
    <w:rsid w:val="006A7557"/>
    <w:rsid w:val="006A763B"/>
    <w:rsid w:val="006A7710"/>
    <w:rsid w:val="006A773B"/>
    <w:rsid w:val="006A7741"/>
    <w:rsid w:val="006A77B6"/>
    <w:rsid w:val="006A7841"/>
    <w:rsid w:val="006A7925"/>
    <w:rsid w:val="006A7948"/>
    <w:rsid w:val="006A7962"/>
    <w:rsid w:val="006A7A0B"/>
    <w:rsid w:val="006A7B7F"/>
    <w:rsid w:val="006A7D1A"/>
    <w:rsid w:val="006A7D73"/>
    <w:rsid w:val="006A7E12"/>
    <w:rsid w:val="006A7EA4"/>
    <w:rsid w:val="006A7FD5"/>
    <w:rsid w:val="006B0033"/>
    <w:rsid w:val="006B0199"/>
    <w:rsid w:val="006B02DC"/>
    <w:rsid w:val="006B0346"/>
    <w:rsid w:val="006B0398"/>
    <w:rsid w:val="006B041E"/>
    <w:rsid w:val="006B0493"/>
    <w:rsid w:val="006B05BD"/>
    <w:rsid w:val="006B0669"/>
    <w:rsid w:val="006B06F2"/>
    <w:rsid w:val="006B077A"/>
    <w:rsid w:val="006B089C"/>
    <w:rsid w:val="006B098A"/>
    <w:rsid w:val="006B0A08"/>
    <w:rsid w:val="006B0B09"/>
    <w:rsid w:val="006B0B3F"/>
    <w:rsid w:val="006B0C42"/>
    <w:rsid w:val="006B0D3F"/>
    <w:rsid w:val="006B0D51"/>
    <w:rsid w:val="006B0F49"/>
    <w:rsid w:val="006B0F97"/>
    <w:rsid w:val="006B0FD3"/>
    <w:rsid w:val="006B102A"/>
    <w:rsid w:val="006B10A0"/>
    <w:rsid w:val="006B10E5"/>
    <w:rsid w:val="006B1138"/>
    <w:rsid w:val="006B133E"/>
    <w:rsid w:val="006B134E"/>
    <w:rsid w:val="006B138B"/>
    <w:rsid w:val="006B1396"/>
    <w:rsid w:val="006B13C4"/>
    <w:rsid w:val="006B13D5"/>
    <w:rsid w:val="006B13E8"/>
    <w:rsid w:val="006B13E9"/>
    <w:rsid w:val="006B157C"/>
    <w:rsid w:val="006B1603"/>
    <w:rsid w:val="006B16C6"/>
    <w:rsid w:val="006B185F"/>
    <w:rsid w:val="006B1864"/>
    <w:rsid w:val="006B18F8"/>
    <w:rsid w:val="006B1917"/>
    <w:rsid w:val="006B1ADA"/>
    <w:rsid w:val="006B1B03"/>
    <w:rsid w:val="006B1B05"/>
    <w:rsid w:val="006B1B65"/>
    <w:rsid w:val="006B1C34"/>
    <w:rsid w:val="006B1CEA"/>
    <w:rsid w:val="006B20EF"/>
    <w:rsid w:val="006B215B"/>
    <w:rsid w:val="006B2276"/>
    <w:rsid w:val="006B23B1"/>
    <w:rsid w:val="006B2449"/>
    <w:rsid w:val="006B24D8"/>
    <w:rsid w:val="006B2514"/>
    <w:rsid w:val="006B254E"/>
    <w:rsid w:val="006B2615"/>
    <w:rsid w:val="006B2631"/>
    <w:rsid w:val="006B266E"/>
    <w:rsid w:val="006B2706"/>
    <w:rsid w:val="006B2763"/>
    <w:rsid w:val="006B276D"/>
    <w:rsid w:val="006B28C6"/>
    <w:rsid w:val="006B293B"/>
    <w:rsid w:val="006B2991"/>
    <w:rsid w:val="006B29C9"/>
    <w:rsid w:val="006B2A26"/>
    <w:rsid w:val="006B2B46"/>
    <w:rsid w:val="006B2C85"/>
    <w:rsid w:val="006B2CDA"/>
    <w:rsid w:val="006B2D07"/>
    <w:rsid w:val="006B2D40"/>
    <w:rsid w:val="006B2DB7"/>
    <w:rsid w:val="006B2DF3"/>
    <w:rsid w:val="006B2E8D"/>
    <w:rsid w:val="006B2EA8"/>
    <w:rsid w:val="006B2EF8"/>
    <w:rsid w:val="006B2F91"/>
    <w:rsid w:val="006B3043"/>
    <w:rsid w:val="006B30E1"/>
    <w:rsid w:val="006B317E"/>
    <w:rsid w:val="006B319C"/>
    <w:rsid w:val="006B31AD"/>
    <w:rsid w:val="006B31C4"/>
    <w:rsid w:val="006B31EE"/>
    <w:rsid w:val="006B3371"/>
    <w:rsid w:val="006B33A2"/>
    <w:rsid w:val="006B3597"/>
    <w:rsid w:val="006B36E4"/>
    <w:rsid w:val="006B37BA"/>
    <w:rsid w:val="006B3815"/>
    <w:rsid w:val="006B39F3"/>
    <w:rsid w:val="006B3A4B"/>
    <w:rsid w:val="006B3A91"/>
    <w:rsid w:val="006B3B16"/>
    <w:rsid w:val="006B3C29"/>
    <w:rsid w:val="006B3C73"/>
    <w:rsid w:val="006B3D1D"/>
    <w:rsid w:val="006B3D27"/>
    <w:rsid w:val="006B3E41"/>
    <w:rsid w:val="006B4054"/>
    <w:rsid w:val="006B4138"/>
    <w:rsid w:val="006B4172"/>
    <w:rsid w:val="006B41C6"/>
    <w:rsid w:val="006B41D5"/>
    <w:rsid w:val="006B41F1"/>
    <w:rsid w:val="006B42E4"/>
    <w:rsid w:val="006B441B"/>
    <w:rsid w:val="006B4791"/>
    <w:rsid w:val="006B4904"/>
    <w:rsid w:val="006B4A41"/>
    <w:rsid w:val="006B4A4F"/>
    <w:rsid w:val="006B4A5E"/>
    <w:rsid w:val="006B4BC1"/>
    <w:rsid w:val="006B4C1B"/>
    <w:rsid w:val="006B4C79"/>
    <w:rsid w:val="006B4CB8"/>
    <w:rsid w:val="006B4D01"/>
    <w:rsid w:val="006B4D03"/>
    <w:rsid w:val="006B4E64"/>
    <w:rsid w:val="006B5004"/>
    <w:rsid w:val="006B5015"/>
    <w:rsid w:val="006B50D3"/>
    <w:rsid w:val="006B512D"/>
    <w:rsid w:val="006B5159"/>
    <w:rsid w:val="006B5222"/>
    <w:rsid w:val="006B523A"/>
    <w:rsid w:val="006B52FC"/>
    <w:rsid w:val="006B5408"/>
    <w:rsid w:val="006B54A8"/>
    <w:rsid w:val="006B54DB"/>
    <w:rsid w:val="006B558F"/>
    <w:rsid w:val="006B5650"/>
    <w:rsid w:val="006B56CD"/>
    <w:rsid w:val="006B57D8"/>
    <w:rsid w:val="006B5805"/>
    <w:rsid w:val="006B5908"/>
    <w:rsid w:val="006B5942"/>
    <w:rsid w:val="006B597F"/>
    <w:rsid w:val="006B5B65"/>
    <w:rsid w:val="006B5B6E"/>
    <w:rsid w:val="006B5B8C"/>
    <w:rsid w:val="006B5BAF"/>
    <w:rsid w:val="006B5BF1"/>
    <w:rsid w:val="006B5C4F"/>
    <w:rsid w:val="006B5C75"/>
    <w:rsid w:val="006B5CFB"/>
    <w:rsid w:val="006B5D08"/>
    <w:rsid w:val="006B5D77"/>
    <w:rsid w:val="006B5EB8"/>
    <w:rsid w:val="006B605C"/>
    <w:rsid w:val="006B607D"/>
    <w:rsid w:val="006B612C"/>
    <w:rsid w:val="006B6229"/>
    <w:rsid w:val="006B629A"/>
    <w:rsid w:val="006B629C"/>
    <w:rsid w:val="006B62AB"/>
    <w:rsid w:val="006B62E6"/>
    <w:rsid w:val="006B631A"/>
    <w:rsid w:val="006B637F"/>
    <w:rsid w:val="006B6406"/>
    <w:rsid w:val="006B64A9"/>
    <w:rsid w:val="006B651F"/>
    <w:rsid w:val="006B6703"/>
    <w:rsid w:val="006B6787"/>
    <w:rsid w:val="006B67A3"/>
    <w:rsid w:val="006B67ED"/>
    <w:rsid w:val="006B688D"/>
    <w:rsid w:val="006B68A3"/>
    <w:rsid w:val="006B68AB"/>
    <w:rsid w:val="006B6908"/>
    <w:rsid w:val="006B69EF"/>
    <w:rsid w:val="006B69FD"/>
    <w:rsid w:val="006B6A1E"/>
    <w:rsid w:val="006B6ABA"/>
    <w:rsid w:val="006B6B39"/>
    <w:rsid w:val="006B6DB1"/>
    <w:rsid w:val="006B6DDF"/>
    <w:rsid w:val="006B6E08"/>
    <w:rsid w:val="006B6EA7"/>
    <w:rsid w:val="006B6F52"/>
    <w:rsid w:val="006B7065"/>
    <w:rsid w:val="006B711D"/>
    <w:rsid w:val="006B7295"/>
    <w:rsid w:val="006B72A7"/>
    <w:rsid w:val="006B72E5"/>
    <w:rsid w:val="006B73A3"/>
    <w:rsid w:val="006B73B9"/>
    <w:rsid w:val="006B7489"/>
    <w:rsid w:val="006B758C"/>
    <w:rsid w:val="006B7871"/>
    <w:rsid w:val="006B78AC"/>
    <w:rsid w:val="006B7A3F"/>
    <w:rsid w:val="006B7B54"/>
    <w:rsid w:val="006B7B9F"/>
    <w:rsid w:val="006B7CA0"/>
    <w:rsid w:val="006B7CBF"/>
    <w:rsid w:val="006B7D02"/>
    <w:rsid w:val="006B7E61"/>
    <w:rsid w:val="006B7E91"/>
    <w:rsid w:val="006B7EEB"/>
    <w:rsid w:val="006B7F8F"/>
    <w:rsid w:val="006C0097"/>
    <w:rsid w:val="006C00F9"/>
    <w:rsid w:val="006C011E"/>
    <w:rsid w:val="006C0259"/>
    <w:rsid w:val="006C02BF"/>
    <w:rsid w:val="006C0407"/>
    <w:rsid w:val="006C059F"/>
    <w:rsid w:val="006C076E"/>
    <w:rsid w:val="006C083E"/>
    <w:rsid w:val="006C0A19"/>
    <w:rsid w:val="006C0AC2"/>
    <w:rsid w:val="006C0B64"/>
    <w:rsid w:val="006C0BFE"/>
    <w:rsid w:val="006C0E29"/>
    <w:rsid w:val="006C0E43"/>
    <w:rsid w:val="006C0ECD"/>
    <w:rsid w:val="006C0F0B"/>
    <w:rsid w:val="006C1066"/>
    <w:rsid w:val="006C11C1"/>
    <w:rsid w:val="006C11C7"/>
    <w:rsid w:val="006C13FA"/>
    <w:rsid w:val="006C1553"/>
    <w:rsid w:val="006C1765"/>
    <w:rsid w:val="006C176F"/>
    <w:rsid w:val="006C1A42"/>
    <w:rsid w:val="006C1AC3"/>
    <w:rsid w:val="006C1B27"/>
    <w:rsid w:val="006C1CBD"/>
    <w:rsid w:val="006C1D28"/>
    <w:rsid w:val="006C1D5E"/>
    <w:rsid w:val="006C1D84"/>
    <w:rsid w:val="006C1DF8"/>
    <w:rsid w:val="006C1E4F"/>
    <w:rsid w:val="006C1EA7"/>
    <w:rsid w:val="006C1F21"/>
    <w:rsid w:val="006C1F59"/>
    <w:rsid w:val="006C1F72"/>
    <w:rsid w:val="006C1F7B"/>
    <w:rsid w:val="006C1F96"/>
    <w:rsid w:val="006C1FE8"/>
    <w:rsid w:val="006C204B"/>
    <w:rsid w:val="006C2062"/>
    <w:rsid w:val="006C2149"/>
    <w:rsid w:val="006C21D9"/>
    <w:rsid w:val="006C22E5"/>
    <w:rsid w:val="006C2323"/>
    <w:rsid w:val="006C239D"/>
    <w:rsid w:val="006C23AF"/>
    <w:rsid w:val="006C2563"/>
    <w:rsid w:val="006C2784"/>
    <w:rsid w:val="006C2801"/>
    <w:rsid w:val="006C2821"/>
    <w:rsid w:val="006C2954"/>
    <w:rsid w:val="006C2C2A"/>
    <w:rsid w:val="006C2DCB"/>
    <w:rsid w:val="006C2DDC"/>
    <w:rsid w:val="006C309C"/>
    <w:rsid w:val="006C3146"/>
    <w:rsid w:val="006C3170"/>
    <w:rsid w:val="006C326D"/>
    <w:rsid w:val="006C3449"/>
    <w:rsid w:val="006C35F5"/>
    <w:rsid w:val="006C3706"/>
    <w:rsid w:val="006C3765"/>
    <w:rsid w:val="006C37A7"/>
    <w:rsid w:val="006C384B"/>
    <w:rsid w:val="006C3980"/>
    <w:rsid w:val="006C39E2"/>
    <w:rsid w:val="006C3BC4"/>
    <w:rsid w:val="006C3C5F"/>
    <w:rsid w:val="006C3D43"/>
    <w:rsid w:val="006C3E07"/>
    <w:rsid w:val="006C4126"/>
    <w:rsid w:val="006C414A"/>
    <w:rsid w:val="006C42F5"/>
    <w:rsid w:val="006C4389"/>
    <w:rsid w:val="006C4399"/>
    <w:rsid w:val="006C45E3"/>
    <w:rsid w:val="006C4606"/>
    <w:rsid w:val="006C46A6"/>
    <w:rsid w:val="006C4810"/>
    <w:rsid w:val="006C48CD"/>
    <w:rsid w:val="006C4908"/>
    <w:rsid w:val="006C495F"/>
    <w:rsid w:val="006C4995"/>
    <w:rsid w:val="006C49E5"/>
    <w:rsid w:val="006C49F5"/>
    <w:rsid w:val="006C4B37"/>
    <w:rsid w:val="006C4B57"/>
    <w:rsid w:val="006C4BD0"/>
    <w:rsid w:val="006C4CA7"/>
    <w:rsid w:val="006C4D69"/>
    <w:rsid w:val="006C4DC5"/>
    <w:rsid w:val="006C532C"/>
    <w:rsid w:val="006C54EC"/>
    <w:rsid w:val="006C56E6"/>
    <w:rsid w:val="006C5761"/>
    <w:rsid w:val="006C5787"/>
    <w:rsid w:val="006C57C1"/>
    <w:rsid w:val="006C59E7"/>
    <w:rsid w:val="006C5A01"/>
    <w:rsid w:val="006C5CE9"/>
    <w:rsid w:val="006C5E1E"/>
    <w:rsid w:val="006C5F0B"/>
    <w:rsid w:val="006C6081"/>
    <w:rsid w:val="006C60BF"/>
    <w:rsid w:val="006C63DA"/>
    <w:rsid w:val="006C6491"/>
    <w:rsid w:val="006C6559"/>
    <w:rsid w:val="006C66F0"/>
    <w:rsid w:val="006C6849"/>
    <w:rsid w:val="006C685A"/>
    <w:rsid w:val="006C69B9"/>
    <w:rsid w:val="006C6A98"/>
    <w:rsid w:val="006C6B34"/>
    <w:rsid w:val="006C6BC0"/>
    <w:rsid w:val="006C6C11"/>
    <w:rsid w:val="006C6C72"/>
    <w:rsid w:val="006C6DED"/>
    <w:rsid w:val="006C6E0F"/>
    <w:rsid w:val="006C6EA0"/>
    <w:rsid w:val="006C6ECE"/>
    <w:rsid w:val="006C6F1D"/>
    <w:rsid w:val="006C6F58"/>
    <w:rsid w:val="006C70D0"/>
    <w:rsid w:val="006C728E"/>
    <w:rsid w:val="006C743F"/>
    <w:rsid w:val="006C74D2"/>
    <w:rsid w:val="006C7628"/>
    <w:rsid w:val="006C770A"/>
    <w:rsid w:val="006C7750"/>
    <w:rsid w:val="006C78A7"/>
    <w:rsid w:val="006C78B5"/>
    <w:rsid w:val="006C791E"/>
    <w:rsid w:val="006C7C3A"/>
    <w:rsid w:val="006C7CB2"/>
    <w:rsid w:val="006C7F06"/>
    <w:rsid w:val="006D01B4"/>
    <w:rsid w:val="006D0207"/>
    <w:rsid w:val="006D0499"/>
    <w:rsid w:val="006D056E"/>
    <w:rsid w:val="006D06F7"/>
    <w:rsid w:val="006D088F"/>
    <w:rsid w:val="006D0893"/>
    <w:rsid w:val="006D0905"/>
    <w:rsid w:val="006D0A26"/>
    <w:rsid w:val="006D0A4A"/>
    <w:rsid w:val="006D0A86"/>
    <w:rsid w:val="006D0AB2"/>
    <w:rsid w:val="006D0B65"/>
    <w:rsid w:val="006D0BAA"/>
    <w:rsid w:val="006D0BDB"/>
    <w:rsid w:val="006D0C72"/>
    <w:rsid w:val="006D0CA9"/>
    <w:rsid w:val="006D0CAB"/>
    <w:rsid w:val="006D0D3D"/>
    <w:rsid w:val="006D0E33"/>
    <w:rsid w:val="006D0E74"/>
    <w:rsid w:val="006D0E88"/>
    <w:rsid w:val="006D0ED5"/>
    <w:rsid w:val="006D0F26"/>
    <w:rsid w:val="006D0F42"/>
    <w:rsid w:val="006D0F46"/>
    <w:rsid w:val="006D0F64"/>
    <w:rsid w:val="006D0FAB"/>
    <w:rsid w:val="006D0FDF"/>
    <w:rsid w:val="006D0FF7"/>
    <w:rsid w:val="006D1025"/>
    <w:rsid w:val="006D1047"/>
    <w:rsid w:val="006D105B"/>
    <w:rsid w:val="006D10DC"/>
    <w:rsid w:val="006D10F6"/>
    <w:rsid w:val="006D114F"/>
    <w:rsid w:val="006D1199"/>
    <w:rsid w:val="006D1291"/>
    <w:rsid w:val="006D13C1"/>
    <w:rsid w:val="006D14BE"/>
    <w:rsid w:val="006D1607"/>
    <w:rsid w:val="006D163D"/>
    <w:rsid w:val="006D1790"/>
    <w:rsid w:val="006D179A"/>
    <w:rsid w:val="006D1818"/>
    <w:rsid w:val="006D183A"/>
    <w:rsid w:val="006D18B8"/>
    <w:rsid w:val="006D18DB"/>
    <w:rsid w:val="006D193F"/>
    <w:rsid w:val="006D19C6"/>
    <w:rsid w:val="006D1A5F"/>
    <w:rsid w:val="006D1A60"/>
    <w:rsid w:val="006D1BC8"/>
    <w:rsid w:val="006D1BF2"/>
    <w:rsid w:val="006D1C59"/>
    <w:rsid w:val="006D1CCE"/>
    <w:rsid w:val="006D1D8A"/>
    <w:rsid w:val="006D1DF1"/>
    <w:rsid w:val="006D1EC9"/>
    <w:rsid w:val="006D1F0C"/>
    <w:rsid w:val="006D23C0"/>
    <w:rsid w:val="006D2480"/>
    <w:rsid w:val="006D2492"/>
    <w:rsid w:val="006D264D"/>
    <w:rsid w:val="006D2664"/>
    <w:rsid w:val="006D2755"/>
    <w:rsid w:val="006D279F"/>
    <w:rsid w:val="006D2800"/>
    <w:rsid w:val="006D2810"/>
    <w:rsid w:val="006D28B3"/>
    <w:rsid w:val="006D28E6"/>
    <w:rsid w:val="006D2932"/>
    <w:rsid w:val="006D2AD6"/>
    <w:rsid w:val="006D2AE2"/>
    <w:rsid w:val="006D2C02"/>
    <w:rsid w:val="006D2DD1"/>
    <w:rsid w:val="006D2F22"/>
    <w:rsid w:val="006D2F25"/>
    <w:rsid w:val="006D2FA5"/>
    <w:rsid w:val="006D2FD8"/>
    <w:rsid w:val="006D3010"/>
    <w:rsid w:val="006D3131"/>
    <w:rsid w:val="006D31FC"/>
    <w:rsid w:val="006D32F8"/>
    <w:rsid w:val="006D3327"/>
    <w:rsid w:val="006D33C1"/>
    <w:rsid w:val="006D3405"/>
    <w:rsid w:val="006D3410"/>
    <w:rsid w:val="006D3444"/>
    <w:rsid w:val="006D360D"/>
    <w:rsid w:val="006D3681"/>
    <w:rsid w:val="006D36AD"/>
    <w:rsid w:val="006D373C"/>
    <w:rsid w:val="006D3896"/>
    <w:rsid w:val="006D38EC"/>
    <w:rsid w:val="006D38F6"/>
    <w:rsid w:val="006D3976"/>
    <w:rsid w:val="006D3AD6"/>
    <w:rsid w:val="006D3AE0"/>
    <w:rsid w:val="006D3B23"/>
    <w:rsid w:val="006D3B49"/>
    <w:rsid w:val="006D3BF9"/>
    <w:rsid w:val="006D3C70"/>
    <w:rsid w:val="006D3CD7"/>
    <w:rsid w:val="006D3D9E"/>
    <w:rsid w:val="006D3F44"/>
    <w:rsid w:val="006D405F"/>
    <w:rsid w:val="006D426E"/>
    <w:rsid w:val="006D42E6"/>
    <w:rsid w:val="006D4379"/>
    <w:rsid w:val="006D439C"/>
    <w:rsid w:val="006D43A6"/>
    <w:rsid w:val="006D4402"/>
    <w:rsid w:val="006D4414"/>
    <w:rsid w:val="006D44BC"/>
    <w:rsid w:val="006D45F4"/>
    <w:rsid w:val="006D4631"/>
    <w:rsid w:val="006D4640"/>
    <w:rsid w:val="006D46EE"/>
    <w:rsid w:val="006D474C"/>
    <w:rsid w:val="006D4801"/>
    <w:rsid w:val="006D4B13"/>
    <w:rsid w:val="006D4B21"/>
    <w:rsid w:val="006D4B7E"/>
    <w:rsid w:val="006D4C57"/>
    <w:rsid w:val="006D4CFC"/>
    <w:rsid w:val="006D4D7D"/>
    <w:rsid w:val="006D4DF8"/>
    <w:rsid w:val="006D4EA4"/>
    <w:rsid w:val="006D4EFF"/>
    <w:rsid w:val="006D4F98"/>
    <w:rsid w:val="006D5014"/>
    <w:rsid w:val="006D5019"/>
    <w:rsid w:val="006D5071"/>
    <w:rsid w:val="006D51DC"/>
    <w:rsid w:val="006D5214"/>
    <w:rsid w:val="006D52E8"/>
    <w:rsid w:val="006D54BB"/>
    <w:rsid w:val="006D5572"/>
    <w:rsid w:val="006D5629"/>
    <w:rsid w:val="006D57E6"/>
    <w:rsid w:val="006D5834"/>
    <w:rsid w:val="006D5918"/>
    <w:rsid w:val="006D594D"/>
    <w:rsid w:val="006D5A74"/>
    <w:rsid w:val="006D5ABA"/>
    <w:rsid w:val="006D5AF4"/>
    <w:rsid w:val="006D5B24"/>
    <w:rsid w:val="006D5BC7"/>
    <w:rsid w:val="006D5BFF"/>
    <w:rsid w:val="006D5C1B"/>
    <w:rsid w:val="006D5C58"/>
    <w:rsid w:val="006D5CA0"/>
    <w:rsid w:val="006D5DD1"/>
    <w:rsid w:val="006D5E2E"/>
    <w:rsid w:val="006D5E43"/>
    <w:rsid w:val="006D5E50"/>
    <w:rsid w:val="006D5F1F"/>
    <w:rsid w:val="006D5F34"/>
    <w:rsid w:val="006D6013"/>
    <w:rsid w:val="006D606B"/>
    <w:rsid w:val="006D60DE"/>
    <w:rsid w:val="006D6110"/>
    <w:rsid w:val="006D62BC"/>
    <w:rsid w:val="006D63DC"/>
    <w:rsid w:val="006D6529"/>
    <w:rsid w:val="006D652D"/>
    <w:rsid w:val="006D6569"/>
    <w:rsid w:val="006D662F"/>
    <w:rsid w:val="006D6678"/>
    <w:rsid w:val="006D66C1"/>
    <w:rsid w:val="006D66C2"/>
    <w:rsid w:val="006D6750"/>
    <w:rsid w:val="006D6818"/>
    <w:rsid w:val="006D68EE"/>
    <w:rsid w:val="006D6A05"/>
    <w:rsid w:val="006D6C77"/>
    <w:rsid w:val="006D6E28"/>
    <w:rsid w:val="006D6E92"/>
    <w:rsid w:val="006D7075"/>
    <w:rsid w:val="006D71FD"/>
    <w:rsid w:val="006D728C"/>
    <w:rsid w:val="006D7362"/>
    <w:rsid w:val="006D73BC"/>
    <w:rsid w:val="006D740A"/>
    <w:rsid w:val="006D74ED"/>
    <w:rsid w:val="006D7527"/>
    <w:rsid w:val="006D758F"/>
    <w:rsid w:val="006D7610"/>
    <w:rsid w:val="006D76B4"/>
    <w:rsid w:val="006D76EF"/>
    <w:rsid w:val="006D7A4A"/>
    <w:rsid w:val="006D7C32"/>
    <w:rsid w:val="006D7C4B"/>
    <w:rsid w:val="006D7CB7"/>
    <w:rsid w:val="006D7FC4"/>
    <w:rsid w:val="006E004C"/>
    <w:rsid w:val="006E0055"/>
    <w:rsid w:val="006E006C"/>
    <w:rsid w:val="006E0096"/>
    <w:rsid w:val="006E0121"/>
    <w:rsid w:val="006E02D5"/>
    <w:rsid w:val="006E030C"/>
    <w:rsid w:val="006E03C5"/>
    <w:rsid w:val="006E0555"/>
    <w:rsid w:val="006E05B9"/>
    <w:rsid w:val="006E05BB"/>
    <w:rsid w:val="006E05D6"/>
    <w:rsid w:val="006E0684"/>
    <w:rsid w:val="006E0873"/>
    <w:rsid w:val="006E08AF"/>
    <w:rsid w:val="006E09D3"/>
    <w:rsid w:val="006E0B32"/>
    <w:rsid w:val="006E0B34"/>
    <w:rsid w:val="006E0BD6"/>
    <w:rsid w:val="006E0D6A"/>
    <w:rsid w:val="006E0D78"/>
    <w:rsid w:val="006E0DCC"/>
    <w:rsid w:val="006E0E52"/>
    <w:rsid w:val="006E0E68"/>
    <w:rsid w:val="006E0E88"/>
    <w:rsid w:val="006E0FD6"/>
    <w:rsid w:val="006E1008"/>
    <w:rsid w:val="006E10DA"/>
    <w:rsid w:val="006E11EB"/>
    <w:rsid w:val="006E12AC"/>
    <w:rsid w:val="006E13A7"/>
    <w:rsid w:val="006E1406"/>
    <w:rsid w:val="006E14B3"/>
    <w:rsid w:val="006E1506"/>
    <w:rsid w:val="006E15B4"/>
    <w:rsid w:val="006E1631"/>
    <w:rsid w:val="006E1667"/>
    <w:rsid w:val="006E1711"/>
    <w:rsid w:val="006E1722"/>
    <w:rsid w:val="006E1748"/>
    <w:rsid w:val="006E1768"/>
    <w:rsid w:val="006E18F3"/>
    <w:rsid w:val="006E198D"/>
    <w:rsid w:val="006E1A9A"/>
    <w:rsid w:val="006E1DEF"/>
    <w:rsid w:val="006E1EEB"/>
    <w:rsid w:val="006E1F6F"/>
    <w:rsid w:val="006E1FC7"/>
    <w:rsid w:val="006E2313"/>
    <w:rsid w:val="006E23F8"/>
    <w:rsid w:val="006E244A"/>
    <w:rsid w:val="006E259D"/>
    <w:rsid w:val="006E264F"/>
    <w:rsid w:val="006E2679"/>
    <w:rsid w:val="006E26BD"/>
    <w:rsid w:val="006E26F2"/>
    <w:rsid w:val="006E2796"/>
    <w:rsid w:val="006E27F9"/>
    <w:rsid w:val="006E2AE6"/>
    <w:rsid w:val="006E2BF3"/>
    <w:rsid w:val="006E2C03"/>
    <w:rsid w:val="006E2D33"/>
    <w:rsid w:val="006E2DF0"/>
    <w:rsid w:val="006E2F27"/>
    <w:rsid w:val="006E2F5A"/>
    <w:rsid w:val="006E30DC"/>
    <w:rsid w:val="006E3263"/>
    <w:rsid w:val="006E33B5"/>
    <w:rsid w:val="006E3481"/>
    <w:rsid w:val="006E354C"/>
    <w:rsid w:val="006E359D"/>
    <w:rsid w:val="006E36F5"/>
    <w:rsid w:val="006E3794"/>
    <w:rsid w:val="006E387C"/>
    <w:rsid w:val="006E390B"/>
    <w:rsid w:val="006E398F"/>
    <w:rsid w:val="006E39CF"/>
    <w:rsid w:val="006E39EB"/>
    <w:rsid w:val="006E3A00"/>
    <w:rsid w:val="006E3A4D"/>
    <w:rsid w:val="006E3AEF"/>
    <w:rsid w:val="006E3B3D"/>
    <w:rsid w:val="006E3CAB"/>
    <w:rsid w:val="006E3D68"/>
    <w:rsid w:val="006E3DBF"/>
    <w:rsid w:val="006E3DE2"/>
    <w:rsid w:val="006E3DF3"/>
    <w:rsid w:val="006E3E0C"/>
    <w:rsid w:val="006E3E3A"/>
    <w:rsid w:val="006E3EE0"/>
    <w:rsid w:val="006E3F70"/>
    <w:rsid w:val="006E3F9D"/>
    <w:rsid w:val="006E3FA9"/>
    <w:rsid w:val="006E4100"/>
    <w:rsid w:val="006E428F"/>
    <w:rsid w:val="006E4631"/>
    <w:rsid w:val="006E4657"/>
    <w:rsid w:val="006E469D"/>
    <w:rsid w:val="006E47C6"/>
    <w:rsid w:val="006E47F5"/>
    <w:rsid w:val="006E491D"/>
    <w:rsid w:val="006E4A48"/>
    <w:rsid w:val="006E4AB9"/>
    <w:rsid w:val="006E4BB3"/>
    <w:rsid w:val="006E4C1D"/>
    <w:rsid w:val="006E4D14"/>
    <w:rsid w:val="006E4D6D"/>
    <w:rsid w:val="006E4D73"/>
    <w:rsid w:val="006E4E4F"/>
    <w:rsid w:val="006E4EA2"/>
    <w:rsid w:val="006E4EE1"/>
    <w:rsid w:val="006E5062"/>
    <w:rsid w:val="006E50D7"/>
    <w:rsid w:val="006E52ED"/>
    <w:rsid w:val="006E5325"/>
    <w:rsid w:val="006E53B1"/>
    <w:rsid w:val="006E53B9"/>
    <w:rsid w:val="006E5517"/>
    <w:rsid w:val="006E5540"/>
    <w:rsid w:val="006E55D1"/>
    <w:rsid w:val="006E55F3"/>
    <w:rsid w:val="006E56EB"/>
    <w:rsid w:val="006E574C"/>
    <w:rsid w:val="006E5772"/>
    <w:rsid w:val="006E5800"/>
    <w:rsid w:val="006E591D"/>
    <w:rsid w:val="006E5A92"/>
    <w:rsid w:val="006E5B91"/>
    <w:rsid w:val="006E5D79"/>
    <w:rsid w:val="006E602B"/>
    <w:rsid w:val="006E60F1"/>
    <w:rsid w:val="006E6119"/>
    <w:rsid w:val="006E612A"/>
    <w:rsid w:val="006E61CB"/>
    <w:rsid w:val="006E61F2"/>
    <w:rsid w:val="006E6374"/>
    <w:rsid w:val="006E63D8"/>
    <w:rsid w:val="006E6413"/>
    <w:rsid w:val="006E64C3"/>
    <w:rsid w:val="006E65D1"/>
    <w:rsid w:val="006E65E0"/>
    <w:rsid w:val="006E6702"/>
    <w:rsid w:val="006E6931"/>
    <w:rsid w:val="006E6947"/>
    <w:rsid w:val="006E69A3"/>
    <w:rsid w:val="006E6A6C"/>
    <w:rsid w:val="006E6A8A"/>
    <w:rsid w:val="006E6B0B"/>
    <w:rsid w:val="006E6B97"/>
    <w:rsid w:val="006E6E22"/>
    <w:rsid w:val="006E6E3A"/>
    <w:rsid w:val="006E6F0B"/>
    <w:rsid w:val="006E6F67"/>
    <w:rsid w:val="006E70CF"/>
    <w:rsid w:val="006E729E"/>
    <w:rsid w:val="006E7320"/>
    <w:rsid w:val="006E7542"/>
    <w:rsid w:val="006E759D"/>
    <w:rsid w:val="006E75C3"/>
    <w:rsid w:val="006E7665"/>
    <w:rsid w:val="006E7768"/>
    <w:rsid w:val="006E794A"/>
    <w:rsid w:val="006E7A5A"/>
    <w:rsid w:val="006E7CAF"/>
    <w:rsid w:val="006E7D65"/>
    <w:rsid w:val="006E7DBA"/>
    <w:rsid w:val="006E7EA1"/>
    <w:rsid w:val="006E7ECF"/>
    <w:rsid w:val="006E7EF2"/>
    <w:rsid w:val="006E7F3B"/>
    <w:rsid w:val="006E7FD0"/>
    <w:rsid w:val="006F006D"/>
    <w:rsid w:val="006F0091"/>
    <w:rsid w:val="006F016A"/>
    <w:rsid w:val="006F02C0"/>
    <w:rsid w:val="006F02E8"/>
    <w:rsid w:val="006F0370"/>
    <w:rsid w:val="006F03B6"/>
    <w:rsid w:val="006F0517"/>
    <w:rsid w:val="006F056B"/>
    <w:rsid w:val="006F067A"/>
    <w:rsid w:val="006F0903"/>
    <w:rsid w:val="006F0987"/>
    <w:rsid w:val="006F09B5"/>
    <w:rsid w:val="006F0AB3"/>
    <w:rsid w:val="006F0ACC"/>
    <w:rsid w:val="006F0B31"/>
    <w:rsid w:val="006F0B4B"/>
    <w:rsid w:val="006F0B51"/>
    <w:rsid w:val="006F0B5B"/>
    <w:rsid w:val="006F0BFF"/>
    <w:rsid w:val="006F0C52"/>
    <w:rsid w:val="006F0D0C"/>
    <w:rsid w:val="006F0D33"/>
    <w:rsid w:val="006F0F4D"/>
    <w:rsid w:val="006F1004"/>
    <w:rsid w:val="006F1118"/>
    <w:rsid w:val="006F12AB"/>
    <w:rsid w:val="006F12E2"/>
    <w:rsid w:val="006F1320"/>
    <w:rsid w:val="006F1364"/>
    <w:rsid w:val="006F13F4"/>
    <w:rsid w:val="006F15B9"/>
    <w:rsid w:val="006F1626"/>
    <w:rsid w:val="006F1688"/>
    <w:rsid w:val="006F1990"/>
    <w:rsid w:val="006F19D1"/>
    <w:rsid w:val="006F1A05"/>
    <w:rsid w:val="006F1A2F"/>
    <w:rsid w:val="006F1B05"/>
    <w:rsid w:val="006F1BCE"/>
    <w:rsid w:val="006F1C31"/>
    <w:rsid w:val="006F1C65"/>
    <w:rsid w:val="006F1D34"/>
    <w:rsid w:val="006F1DB9"/>
    <w:rsid w:val="006F1DE1"/>
    <w:rsid w:val="006F1F3E"/>
    <w:rsid w:val="006F1F9D"/>
    <w:rsid w:val="006F2002"/>
    <w:rsid w:val="006F211A"/>
    <w:rsid w:val="006F21C8"/>
    <w:rsid w:val="006F2341"/>
    <w:rsid w:val="006F2353"/>
    <w:rsid w:val="006F2376"/>
    <w:rsid w:val="006F23F8"/>
    <w:rsid w:val="006F240E"/>
    <w:rsid w:val="006F2445"/>
    <w:rsid w:val="006F2448"/>
    <w:rsid w:val="006F2491"/>
    <w:rsid w:val="006F2567"/>
    <w:rsid w:val="006F25DF"/>
    <w:rsid w:val="006F2643"/>
    <w:rsid w:val="006F268B"/>
    <w:rsid w:val="006F270C"/>
    <w:rsid w:val="006F270F"/>
    <w:rsid w:val="006F2789"/>
    <w:rsid w:val="006F27D1"/>
    <w:rsid w:val="006F27E2"/>
    <w:rsid w:val="006F299D"/>
    <w:rsid w:val="006F2A47"/>
    <w:rsid w:val="006F2A67"/>
    <w:rsid w:val="006F2B18"/>
    <w:rsid w:val="006F2B24"/>
    <w:rsid w:val="006F2B3B"/>
    <w:rsid w:val="006F2B69"/>
    <w:rsid w:val="006F2B7B"/>
    <w:rsid w:val="006F2C7D"/>
    <w:rsid w:val="006F2D27"/>
    <w:rsid w:val="006F2D3F"/>
    <w:rsid w:val="006F2D7F"/>
    <w:rsid w:val="006F2D8B"/>
    <w:rsid w:val="006F2F48"/>
    <w:rsid w:val="006F2F6C"/>
    <w:rsid w:val="006F3034"/>
    <w:rsid w:val="006F303B"/>
    <w:rsid w:val="006F30BE"/>
    <w:rsid w:val="006F321A"/>
    <w:rsid w:val="006F336A"/>
    <w:rsid w:val="006F3382"/>
    <w:rsid w:val="006F33EE"/>
    <w:rsid w:val="006F340E"/>
    <w:rsid w:val="006F34BB"/>
    <w:rsid w:val="006F34EB"/>
    <w:rsid w:val="006F3765"/>
    <w:rsid w:val="006F3766"/>
    <w:rsid w:val="006F37A6"/>
    <w:rsid w:val="006F396A"/>
    <w:rsid w:val="006F39D0"/>
    <w:rsid w:val="006F3AD7"/>
    <w:rsid w:val="006F3BD8"/>
    <w:rsid w:val="006F3CA1"/>
    <w:rsid w:val="006F3CA9"/>
    <w:rsid w:val="006F3DD7"/>
    <w:rsid w:val="006F3E41"/>
    <w:rsid w:val="006F3E9D"/>
    <w:rsid w:val="006F3F71"/>
    <w:rsid w:val="006F402C"/>
    <w:rsid w:val="006F41F9"/>
    <w:rsid w:val="006F428E"/>
    <w:rsid w:val="006F4296"/>
    <w:rsid w:val="006F42A8"/>
    <w:rsid w:val="006F4434"/>
    <w:rsid w:val="006F448A"/>
    <w:rsid w:val="006F450D"/>
    <w:rsid w:val="006F452F"/>
    <w:rsid w:val="006F4582"/>
    <w:rsid w:val="006F45AB"/>
    <w:rsid w:val="006F45DB"/>
    <w:rsid w:val="006F460F"/>
    <w:rsid w:val="006F4709"/>
    <w:rsid w:val="006F47FD"/>
    <w:rsid w:val="006F484B"/>
    <w:rsid w:val="006F4895"/>
    <w:rsid w:val="006F4972"/>
    <w:rsid w:val="006F49A6"/>
    <w:rsid w:val="006F49B8"/>
    <w:rsid w:val="006F4A4E"/>
    <w:rsid w:val="006F4C3E"/>
    <w:rsid w:val="006F4C9C"/>
    <w:rsid w:val="006F4E92"/>
    <w:rsid w:val="006F4EB2"/>
    <w:rsid w:val="006F4EC6"/>
    <w:rsid w:val="006F4F34"/>
    <w:rsid w:val="006F5296"/>
    <w:rsid w:val="006F5334"/>
    <w:rsid w:val="006F536A"/>
    <w:rsid w:val="006F53B5"/>
    <w:rsid w:val="006F543B"/>
    <w:rsid w:val="006F546B"/>
    <w:rsid w:val="006F5590"/>
    <w:rsid w:val="006F55B5"/>
    <w:rsid w:val="006F5649"/>
    <w:rsid w:val="006F577D"/>
    <w:rsid w:val="006F5980"/>
    <w:rsid w:val="006F5A29"/>
    <w:rsid w:val="006F5B88"/>
    <w:rsid w:val="006F5D5F"/>
    <w:rsid w:val="006F5ED0"/>
    <w:rsid w:val="006F5F90"/>
    <w:rsid w:val="006F5F97"/>
    <w:rsid w:val="006F5FE3"/>
    <w:rsid w:val="006F6084"/>
    <w:rsid w:val="006F6192"/>
    <w:rsid w:val="006F6202"/>
    <w:rsid w:val="006F6260"/>
    <w:rsid w:val="006F62CD"/>
    <w:rsid w:val="006F63B0"/>
    <w:rsid w:val="006F640B"/>
    <w:rsid w:val="006F64B1"/>
    <w:rsid w:val="006F6526"/>
    <w:rsid w:val="006F66C9"/>
    <w:rsid w:val="006F6708"/>
    <w:rsid w:val="006F67F9"/>
    <w:rsid w:val="006F68F1"/>
    <w:rsid w:val="006F6930"/>
    <w:rsid w:val="006F698F"/>
    <w:rsid w:val="006F6A7E"/>
    <w:rsid w:val="006F6AED"/>
    <w:rsid w:val="006F6B0F"/>
    <w:rsid w:val="006F6BE8"/>
    <w:rsid w:val="006F6C3C"/>
    <w:rsid w:val="006F6E06"/>
    <w:rsid w:val="006F700E"/>
    <w:rsid w:val="006F7023"/>
    <w:rsid w:val="006F7062"/>
    <w:rsid w:val="006F70DA"/>
    <w:rsid w:val="006F732A"/>
    <w:rsid w:val="006F73E8"/>
    <w:rsid w:val="006F74E7"/>
    <w:rsid w:val="006F74F5"/>
    <w:rsid w:val="006F75EA"/>
    <w:rsid w:val="006F774E"/>
    <w:rsid w:val="006F778C"/>
    <w:rsid w:val="006F7890"/>
    <w:rsid w:val="006F78CE"/>
    <w:rsid w:val="006F7929"/>
    <w:rsid w:val="006F7991"/>
    <w:rsid w:val="006F7A22"/>
    <w:rsid w:val="006F7CA5"/>
    <w:rsid w:val="006F7EDC"/>
    <w:rsid w:val="00700018"/>
    <w:rsid w:val="0070010C"/>
    <w:rsid w:val="007001CB"/>
    <w:rsid w:val="00700671"/>
    <w:rsid w:val="00700732"/>
    <w:rsid w:val="00700749"/>
    <w:rsid w:val="00700780"/>
    <w:rsid w:val="0070079C"/>
    <w:rsid w:val="00700802"/>
    <w:rsid w:val="00700855"/>
    <w:rsid w:val="00700944"/>
    <w:rsid w:val="00700A50"/>
    <w:rsid w:val="00700A63"/>
    <w:rsid w:val="00700BA4"/>
    <w:rsid w:val="00700C76"/>
    <w:rsid w:val="00700C9E"/>
    <w:rsid w:val="00700DCE"/>
    <w:rsid w:val="00700E36"/>
    <w:rsid w:val="00700E64"/>
    <w:rsid w:val="00700EA2"/>
    <w:rsid w:val="00700F6B"/>
    <w:rsid w:val="007010BB"/>
    <w:rsid w:val="0070110F"/>
    <w:rsid w:val="007012A2"/>
    <w:rsid w:val="007013EF"/>
    <w:rsid w:val="00701409"/>
    <w:rsid w:val="0070149D"/>
    <w:rsid w:val="007014C1"/>
    <w:rsid w:val="00701517"/>
    <w:rsid w:val="00701554"/>
    <w:rsid w:val="00701574"/>
    <w:rsid w:val="007015A6"/>
    <w:rsid w:val="007018AD"/>
    <w:rsid w:val="007018C1"/>
    <w:rsid w:val="00701B8E"/>
    <w:rsid w:val="00701C08"/>
    <w:rsid w:val="00701C4C"/>
    <w:rsid w:val="00701C81"/>
    <w:rsid w:val="00701D68"/>
    <w:rsid w:val="00701DF4"/>
    <w:rsid w:val="00701E0B"/>
    <w:rsid w:val="00701F24"/>
    <w:rsid w:val="00701FCC"/>
    <w:rsid w:val="00702010"/>
    <w:rsid w:val="0070206C"/>
    <w:rsid w:val="0070208B"/>
    <w:rsid w:val="00702114"/>
    <w:rsid w:val="0070224C"/>
    <w:rsid w:val="00702276"/>
    <w:rsid w:val="0070238E"/>
    <w:rsid w:val="0070244D"/>
    <w:rsid w:val="007024CA"/>
    <w:rsid w:val="007024E5"/>
    <w:rsid w:val="0070254B"/>
    <w:rsid w:val="00702628"/>
    <w:rsid w:val="0070267B"/>
    <w:rsid w:val="00702707"/>
    <w:rsid w:val="00702757"/>
    <w:rsid w:val="00702761"/>
    <w:rsid w:val="00702796"/>
    <w:rsid w:val="00702805"/>
    <w:rsid w:val="00702875"/>
    <w:rsid w:val="0070296A"/>
    <w:rsid w:val="00702A09"/>
    <w:rsid w:val="00702B24"/>
    <w:rsid w:val="00702BCB"/>
    <w:rsid w:val="00702BF4"/>
    <w:rsid w:val="00702C4E"/>
    <w:rsid w:val="00702E41"/>
    <w:rsid w:val="00702F55"/>
    <w:rsid w:val="00702F58"/>
    <w:rsid w:val="00702F8C"/>
    <w:rsid w:val="00702FCD"/>
    <w:rsid w:val="00702FFF"/>
    <w:rsid w:val="00703044"/>
    <w:rsid w:val="007030C1"/>
    <w:rsid w:val="0070329C"/>
    <w:rsid w:val="007032D2"/>
    <w:rsid w:val="007032EA"/>
    <w:rsid w:val="00703492"/>
    <w:rsid w:val="007034CB"/>
    <w:rsid w:val="007035AE"/>
    <w:rsid w:val="00703683"/>
    <w:rsid w:val="00703731"/>
    <w:rsid w:val="007037B0"/>
    <w:rsid w:val="007037E7"/>
    <w:rsid w:val="00703838"/>
    <w:rsid w:val="0070385B"/>
    <w:rsid w:val="007039B2"/>
    <w:rsid w:val="00703AB2"/>
    <w:rsid w:val="00703AD6"/>
    <w:rsid w:val="00703BAC"/>
    <w:rsid w:val="00703DC9"/>
    <w:rsid w:val="00703E20"/>
    <w:rsid w:val="00703E5A"/>
    <w:rsid w:val="00703EE2"/>
    <w:rsid w:val="00703EFE"/>
    <w:rsid w:val="00704059"/>
    <w:rsid w:val="0070410D"/>
    <w:rsid w:val="00704143"/>
    <w:rsid w:val="0070416D"/>
    <w:rsid w:val="00704192"/>
    <w:rsid w:val="00704196"/>
    <w:rsid w:val="007041B3"/>
    <w:rsid w:val="007041E6"/>
    <w:rsid w:val="00704268"/>
    <w:rsid w:val="007042CB"/>
    <w:rsid w:val="00704612"/>
    <w:rsid w:val="00704672"/>
    <w:rsid w:val="0070472C"/>
    <w:rsid w:val="00704787"/>
    <w:rsid w:val="00704857"/>
    <w:rsid w:val="007048A2"/>
    <w:rsid w:val="00704A5C"/>
    <w:rsid w:val="00704A87"/>
    <w:rsid w:val="00704AD6"/>
    <w:rsid w:val="00704B55"/>
    <w:rsid w:val="00704B71"/>
    <w:rsid w:val="00704C1C"/>
    <w:rsid w:val="00704C6A"/>
    <w:rsid w:val="00704E69"/>
    <w:rsid w:val="00704EC9"/>
    <w:rsid w:val="00704F1E"/>
    <w:rsid w:val="00704FCA"/>
    <w:rsid w:val="007050B9"/>
    <w:rsid w:val="007050F8"/>
    <w:rsid w:val="00705127"/>
    <w:rsid w:val="00705153"/>
    <w:rsid w:val="007051EB"/>
    <w:rsid w:val="00705216"/>
    <w:rsid w:val="00705220"/>
    <w:rsid w:val="00705226"/>
    <w:rsid w:val="0070528E"/>
    <w:rsid w:val="007052EE"/>
    <w:rsid w:val="007053C8"/>
    <w:rsid w:val="007053E1"/>
    <w:rsid w:val="00705415"/>
    <w:rsid w:val="0070547A"/>
    <w:rsid w:val="0070553F"/>
    <w:rsid w:val="007055D5"/>
    <w:rsid w:val="00705603"/>
    <w:rsid w:val="0070569C"/>
    <w:rsid w:val="007056F9"/>
    <w:rsid w:val="00705729"/>
    <w:rsid w:val="007057A4"/>
    <w:rsid w:val="0070586D"/>
    <w:rsid w:val="0070593D"/>
    <w:rsid w:val="00705979"/>
    <w:rsid w:val="00705A61"/>
    <w:rsid w:val="00705B02"/>
    <w:rsid w:val="00705B5A"/>
    <w:rsid w:val="00705B8A"/>
    <w:rsid w:val="00705D67"/>
    <w:rsid w:val="00705D83"/>
    <w:rsid w:val="00705DD7"/>
    <w:rsid w:val="00705E27"/>
    <w:rsid w:val="00705EEF"/>
    <w:rsid w:val="00705EF6"/>
    <w:rsid w:val="00705F0B"/>
    <w:rsid w:val="00705FF3"/>
    <w:rsid w:val="007060D4"/>
    <w:rsid w:val="0070617C"/>
    <w:rsid w:val="007061FC"/>
    <w:rsid w:val="00706288"/>
    <w:rsid w:val="00706443"/>
    <w:rsid w:val="0070646A"/>
    <w:rsid w:val="00706495"/>
    <w:rsid w:val="0070658D"/>
    <w:rsid w:val="007065EA"/>
    <w:rsid w:val="00706716"/>
    <w:rsid w:val="007069E3"/>
    <w:rsid w:val="007069F4"/>
    <w:rsid w:val="00706A13"/>
    <w:rsid w:val="00706A53"/>
    <w:rsid w:val="00706BBF"/>
    <w:rsid w:val="00706BE2"/>
    <w:rsid w:val="00706C4B"/>
    <w:rsid w:val="00706C85"/>
    <w:rsid w:val="00706D6B"/>
    <w:rsid w:val="00706DD2"/>
    <w:rsid w:val="00706E6A"/>
    <w:rsid w:val="00706EF6"/>
    <w:rsid w:val="00706F6A"/>
    <w:rsid w:val="00707002"/>
    <w:rsid w:val="0070700D"/>
    <w:rsid w:val="007070D1"/>
    <w:rsid w:val="00707177"/>
    <w:rsid w:val="007071BF"/>
    <w:rsid w:val="007071D5"/>
    <w:rsid w:val="00707213"/>
    <w:rsid w:val="007072A4"/>
    <w:rsid w:val="007072AA"/>
    <w:rsid w:val="007072D8"/>
    <w:rsid w:val="0070739B"/>
    <w:rsid w:val="007073CF"/>
    <w:rsid w:val="007073D6"/>
    <w:rsid w:val="0070743F"/>
    <w:rsid w:val="007074BB"/>
    <w:rsid w:val="00707531"/>
    <w:rsid w:val="00707593"/>
    <w:rsid w:val="007076A6"/>
    <w:rsid w:val="00707728"/>
    <w:rsid w:val="0070786F"/>
    <w:rsid w:val="007078C5"/>
    <w:rsid w:val="0070794A"/>
    <w:rsid w:val="00707993"/>
    <w:rsid w:val="00707A1E"/>
    <w:rsid w:val="00707B4A"/>
    <w:rsid w:val="00707B6B"/>
    <w:rsid w:val="00707CD1"/>
    <w:rsid w:val="00707D3E"/>
    <w:rsid w:val="00707D7C"/>
    <w:rsid w:val="00707E1B"/>
    <w:rsid w:val="00707F28"/>
    <w:rsid w:val="0071009D"/>
    <w:rsid w:val="007100CD"/>
    <w:rsid w:val="007100D2"/>
    <w:rsid w:val="007101DC"/>
    <w:rsid w:val="007101F6"/>
    <w:rsid w:val="00710238"/>
    <w:rsid w:val="007102AD"/>
    <w:rsid w:val="00710303"/>
    <w:rsid w:val="0071033C"/>
    <w:rsid w:val="0071055C"/>
    <w:rsid w:val="007107D3"/>
    <w:rsid w:val="00710888"/>
    <w:rsid w:val="007108AD"/>
    <w:rsid w:val="00710927"/>
    <w:rsid w:val="00710A6C"/>
    <w:rsid w:val="00710A91"/>
    <w:rsid w:val="00710B9C"/>
    <w:rsid w:val="00710E01"/>
    <w:rsid w:val="00710E2C"/>
    <w:rsid w:val="00710EB5"/>
    <w:rsid w:val="00710EC6"/>
    <w:rsid w:val="00710F18"/>
    <w:rsid w:val="00711009"/>
    <w:rsid w:val="00711241"/>
    <w:rsid w:val="00711246"/>
    <w:rsid w:val="007112C2"/>
    <w:rsid w:val="007112CE"/>
    <w:rsid w:val="007112F6"/>
    <w:rsid w:val="007113C3"/>
    <w:rsid w:val="0071145A"/>
    <w:rsid w:val="007114E3"/>
    <w:rsid w:val="007117BB"/>
    <w:rsid w:val="007118C7"/>
    <w:rsid w:val="00711902"/>
    <w:rsid w:val="00711923"/>
    <w:rsid w:val="00711CC1"/>
    <w:rsid w:val="00711F1B"/>
    <w:rsid w:val="00711F8F"/>
    <w:rsid w:val="00712140"/>
    <w:rsid w:val="00712145"/>
    <w:rsid w:val="00712176"/>
    <w:rsid w:val="00712180"/>
    <w:rsid w:val="00712185"/>
    <w:rsid w:val="007121CF"/>
    <w:rsid w:val="00712253"/>
    <w:rsid w:val="00712330"/>
    <w:rsid w:val="00712456"/>
    <w:rsid w:val="007124E1"/>
    <w:rsid w:val="0071256C"/>
    <w:rsid w:val="007125C8"/>
    <w:rsid w:val="0071269E"/>
    <w:rsid w:val="007126D8"/>
    <w:rsid w:val="007126DB"/>
    <w:rsid w:val="007126FD"/>
    <w:rsid w:val="00712703"/>
    <w:rsid w:val="00712718"/>
    <w:rsid w:val="0071287B"/>
    <w:rsid w:val="0071289D"/>
    <w:rsid w:val="00712914"/>
    <w:rsid w:val="0071291C"/>
    <w:rsid w:val="0071291D"/>
    <w:rsid w:val="00712A51"/>
    <w:rsid w:val="00712AF2"/>
    <w:rsid w:val="00712B51"/>
    <w:rsid w:val="00712BD1"/>
    <w:rsid w:val="00712BFE"/>
    <w:rsid w:val="00712CC1"/>
    <w:rsid w:val="00712CF5"/>
    <w:rsid w:val="00712D01"/>
    <w:rsid w:val="007130DF"/>
    <w:rsid w:val="0071312E"/>
    <w:rsid w:val="0071335C"/>
    <w:rsid w:val="00713523"/>
    <w:rsid w:val="00713589"/>
    <w:rsid w:val="00713607"/>
    <w:rsid w:val="00713616"/>
    <w:rsid w:val="007136C0"/>
    <w:rsid w:val="0071377D"/>
    <w:rsid w:val="007137BD"/>
    <w:rsid w:val="0071380D"/>
    <w:rsid w:val="0071386C"/>
    <w:rsid w:val="00713910"/>
    <w:rsid w:val="0071392C"/>
    <w:rsid w:val="00713A30"/>
    <w:rsid w:val="00713A51"/>
    <w:rsid w:val="00713B28"/>
    <w:rsid w:val="00713BDE"/>
    <w:rsid w:val="00713CE6"/>
    <w:rsid w:val="00713CEF"/>
    <w:rsid w:val="00713D46"/>
    <w:rsid w:val="00713D70"/>
    <w:rsid w:val="00713E7B"/>
    <w:rsid w:val="00713F26"/>
    <w:rsid w:val="00713F80"/>
    <w:rsid w:val="00713FDB"/>
    <w:rsid w:val="00713FFB"/>
    <w:rsid w:val="0071404E"/>
    <w:rsid w:val="00714144"/>
    <w:rsid w:val="0071414E"/>
    <w:rsid w:val="0071416E"/>
    <w:rsid w:val="007141C6"/>
    <w:rsid w:val="007141D1"/>
    <w:rsid w:val="00714528"/>
    <w:rsid w:val="00714644"/>
    <w:rsid w:val="0071466E"/>
    <w:rsid w:val="0071479B"/>
    <w:rsid w:val="007148C3"/>
    <w:rsid w:val="0071490C"/>
    <w:rsid w:val="0071492C"/>
    <w:rsid w:val="00714A00"/>
    <w:rsid w:val="00714B4D"/>
    <w:rsid w:val="00714B58"/>
    <w:rsid w:val="00714C45"/>
    <w:rsid w:val="00714CA4"/>
    <w:rsid w:val="00714CDC"/>
    <w:rsid w:val="00714D46"/>
    <w:rsid w:val="00714DA0"/>
    <w:rsid w:val="00714E61"/>
    <w:rsid w:val="00714EAD"/>
    <w:rsid w:val="00714EDC"/>
    <w:rsid w:val="00714FF7"/>
    <w:rsid w:val="0071508B"/>
    <w:rsid w:val="007150EA"/>
    <w:rsid w:val="00715103"/>
    <w:rsid w:val="0071510C"/>
    <w:rsid w:val="007151D9"/>
    <w:rsid w:val="00715259"/>
    <w:rsid w:val="00715311"/>
    <w:rsid w:val="00715403"/>
    <w:rsid w:val="00715419"/>
    <w:rsid w:val="00715460"/>
    <w:rsid w:val="007154A6"/>
    <w:rsid w:val="007155E3"/>
    <w:rsid w:val="0071561F"/>
    <w:rsid w:val="007156D3"/>
    <w:rsid w:val="00715877"/>
    <w:rsid w:val="0071589A"/>
    <w:rsid w:val="007158FE"/>
    <w:rsid w:val="007159B5"/>
    <w:rsid w:val="00715BFB"/>
    <w:rsid w:val="00715CC7"/>
    <w:rsid w:val="00715D6E"/>
    <w:rsid w:val="0071600B"/>
    <w:rsid w:val="00716035"/>
    <w:rsid w:val="00716116"/>
    <w:rsid w:val="00716253"/>
    <w:rsid w:val="00716281"/>
    <w:rsid w:val="0071652A"/>
    <w:rsid w:val="00716547"/>
    <w:rsid w:val="007165F9"/>
    <w:rsid w:val="0071662A"/>
    <w:rsid w:val="00716AC7"/>
    <w:rsid w:val="00716AD8"/>
    <w:rsid w:val="00716AF2"/>
    <w:rsid w:val="00716BE5"/>
    <w:rsid w:val="00716CA8"/>
    <w:rsid w:val="00716CBB"/>
    <w:rsid w:val="00716CEA"/>
    <w:rsid w:val="00716D17"/>
    <w:rsid w:val="00716D7F"/>
    <w:rsid w:val="00716F98"/>
    <w:rsid w:val="00716FAB"/>
    <w:rsid w:val="00716FD4"/>
    <w:rsid w:val="00716FD9"/>
    <w:rsid w:val="00717067"/>
    <w:rsid w:val="00717068"/>
    <w:rsid w:val="00717328"/>
    <w:rsid w:val="007173F7"/>
    <w:rsid w:val="007175A7"/>
    <w:rsid w:val="007175F8"/>
    <w:rsid w:val="00717730"/>
    <w:rsid w:val="007178E3"/>
    <w:rsid w:val="00717905"/>
    <w:rsid w:val="00717A3B"/>
    <w:rsid w:val="00717A89"/>
    <w:rsid w:val="00717AAB"/>
    <w:rsid w:val="00717AD5"/>
    <w:rsid w:val="00717BD6"/>
    <w:rsid w:val="00717BDE"/>
    <w:rsid w:val="00717C15"/>
    <w:rsid w:val="00717C8A"/>
    <w:rsid w:val="00717C9D"/>
    <w:rsid w:val="00717CCE"/>
    <w:rsid w:val="00717D10"/>
    <w:rsid w:val="00717DDE"/>
    <w:rsid w:val="00717E8B"/>
    <w:rsid w:val="00717F1C"/>
    <w:rsid w:val="00717FC7"/>
    <w:rsid w:val="00717FD2"/>
    <w:rsid w:val="00717FD5"/>
    <w:rsid w:val="007200EC"/>
    <w:rsid w:val="0072015A"/>
    <w:rsid w:val="0072018F"/>
    <w:rsid w:val="00720516"/>
    <w:rsid w:val="0072057C"/>
    <w:rsid w:val="007205A4"/>
    <w:rsid w:val="007205E0"/>
    <w:rsid w:val="007206C1"/>
    <w:rsid w:val="0072071C"/>
    <w:rsid w:val="00720848"/>
    <w:rsid w:val="00720945"/>
    <w:rsid w:val="00720A07"/>
    <w:rsid w:val="00720A39"/>
    <w:rsid w:val="00720AE0"/>
    <w:rsid w:val="00720AE4"/>
    <w:rsid w:val="00720BF2"/>
    <w:rsid w:val="00720C1E"/>
    <w:rsid w:val="00720C79"/>
    <w:rsid w:val="00720DD2"/>
    <w:rsid w:val="00720DEE"/>
    <w:rsid w:val="00720E1A"/>
    <w:rsid w:val="00720E1F"/>
    <w:rsid w:val="00720FE8"/>
    <w:rsid w:val="00721031"/>
    <w:rsid w:val="00721209"/>
    <w:rsid w:val="00721236"/>
    <w:rsid w:val="00721334"/>
    <w:rsid w:val="00721558"/>
    <w:rsid w:val="00721629"/>
    <w:rsid w:val="00721722"/>
    <w:rsid w:val="007217B5"/>
    <w:rsid w:val="00721894"/>
    <w:rsid w:val="00721AD8"/>
    <w:rsid w:val="00721C8F"/>
    <w:rsid w:val="00721CC3"/>
    <w:rsid w:val="00721CCD"/>
    <w:rsid w:val="00721D62"/>
    <w:rsid w:val="00721D89"/>
    <w:rsid w:val="00721E19"/>
    <w:rsid w:val="00721E3C"/>
    <w:rsid w:val="00721EBE"/>
    <w:rsid w:val="00721F65"/>
    <w:rsid w:val="00721FDB"/>
    <w:rsid w:val="00722080"/>
    <w:rsid w:val="0072220E"/>
    <w:rsid w:val="007222B3"/>
    <w:rsid w:val="00722431"/>
    <w:rsid w:val="007224D6"/>
    <w:rsid w:val="0072259E"/>
    <w:rsid w:val="007226B6"/>
    <w:rsid w:val="007226C1"/>
    <w:rsid w:val="00722771"/>
    <w:rsid w:val="00722823"/>
    <w:rsid w:val="00722837"/>
    <w:rsid w:val="00722839"/>
    <w:rsid w:val="0072291C"/>
    <w:rsid w:val="00722986"/>
    <w:rsid w:val="00722A68"/>
    <w:rsid w:val="00722ACA"/>
    <w:rsid w:val="00722AD8"/>
    <w:rsid w:val="00722B51"/>
    <w:rsid w:val="00722C69"/>
    <w:rsid w:val="00722CDF"/>
    <w:rsid w:val="00722CE5"/>
    <w:rsid w:val="00722E2D"/>
    <w:rsid w:val="00722EF0"/>
    <w:rsid w:val="00722F6D"/>
    <w:rsid w:val="00723196"/>
    <w:rsid w:val="007231A6"/>
    <w:rsid w:val="007231E3"/>
    <w:rsid w:val="0072329C"/>
    <w:rsid w:val="0072334F"/>
    <w:rsid w:val="00723383"/>
    <w:rsid w:val="0072338A"/>
    <w:rsid w:val="0072340D"/>
    <w:rsid w:val="00723494"/>
    <w:rsid w:val="0072360C"/>
    <w:rsid w:val="00723657"/>
    <w:rsid w:val="0072370C"/>
    <w:rsid w:val="00723892"/>
    <w:rsid w:val="007238A7"/>
    <w:rsid w:val="007238D5"/>
    <w:rsid w:val="007239D5"/>
    <w:rsid w:val="007239FF"/>
    <w:rsid w:val="00723C64"/>
    <w:rsid w:val="00723C66"/>
    <w:rsid w:val="00723D0F"/>
    <w:rsid w:val="00723D6E"/>
    <w:rsid w:val="00723E3A"/>
    <w:rsid w:val="00723E7D"/>
    <w:rsid w:val="00723FD8"/>
    <w:rsid w:val="007240E4"/>
    <w:rsid w:val="00724136"/>
    <w:rsid w:val="00724171"/>
    <w:rsid w:val="00724253"/>
    <w:rsid w:val="007243F8"/>
    <w:rsid w:val="007244AF"/>
    <w:rsid w:val="0072458D"/>
    <w:rsid w:val="007246F2"/>
    <w:rsid w:val="007247B6"/>
    <w:rsid w:val="00724876"/>
    <w:rsid w:val="00724971"/>
    <w:rsid w:val="00724BE8"/>
    <w:rsid w:val="00724D43"/>
    <w:rsid w:val="00724E2F"/>
    <w:rsid w:val="00724E42"/>
    <w:rsid w:val="00724EAA"/>
    <w:rsid w:val="00724F1F"/>
    <w:rsid w:val="00725119"/>
    <w:rsid w:val="0072512E"/>
    <w:rsid w:val="00725194"/>
    <w:rsid w:val="00725205"/>
    <w:rsid w:val="0072520A"/>
    <w:rsid w:val="007254AA"/>
    <w:rsid w:val="0072554F"/>
    <w:rsid w:val="007255B5"/>
    <w:rsid w:val="00725753"/>
    <w:rsid w:val="007258E5"/>
    <w:rsid w:val="007258FA"/>
    <w:rsid w:val="00725935"/>
    <w:rsid w:val="00725BB6"/>
    <w:rsid w:val="00725BC6"/>
    <w:rsid w:val="00725C63"/>
    <w:rsid w:val="00725C9D"/>
    <w:rsid w:val="00725CB7"/>
    <w:rsid w:val="00725E63"/>
    <w:rsid w:val="00725E99"/>
    <w:rsid w:val="00725F6E"/>
    <w:rsid w:val="00725FE7"/>
    <w:rsid w:val="00726128"/>
    <w:rsid w:val="007261E4"/>
    <w:rsid w:val="0072632A"/>
    <w:rsid w:val="00726392"/>
    <w:rsid w:val="007263E4"/>
    <w:rsid w:val="00726406"/>
    <w:rsid w:val="00726456"/>
    <w:rsid w:val="007265F8"/>
    <w:rsid w:val="0072661F"/>
    <w:rsid w:val="0072669C"/>
    <w:rsid w:val="007266FB"/>
    <w:rsid w:val="00726794"/>
    <w:rsid w:val="0072697A"/>
    <w:rsid w:val="00726A08"/>
    <w:rsid w:val="00726A9B"/>
    <w:rsid w:val="00726B63"/>
    <w:rsid w:val="00726B87"/>
    <w:rsid w:val="00726B9D"/>
    <w:rsid w:val="00726BBF"/>
    <w:rsid w:val="00726BD8"/>
    <w:rsid w:val="00726CDF"/>
    <w:rsid w:val="00726D0F"/>
    <w:rsid w:val="00726D56"/>
    <w:rsid w:val="00726DF7"/>
    <w:rsid w:val="00726DF9"/>
    <w:rsid w:val="00726F94"/>
    <w:rsid w:val="0072702E"/>
    <w:rsid w:val="00727037"/>
    <w:rsid w:val="00727039"/>
    <w:rsid w:val="007271D2"/>
    <w:rsid w:val="00727208"/>
    <w:rsid w:val="00727212"/>
    <w:rsid w:val="00727267"/>
    <w:rsid w:val="007272AA"/>
    <w:rsid w:val="00727404"/>
    <w:rsid w:val="00727549"/>
    <w:rsid w:val="007276AD"/>
    <w:rsid w:val="0072770C"/>
    <w:rsid w:val="00727903"/>
    <w:rsid w:val="00727A14"/>
    <w:rsid w:val="00727AC4"/>
    <w:rsid w:val="00727B14"/>
    <w:rsid w:val="00727B62"/>
    <w:rsid w:val="00727B65"/>
    <w:rsid w:val="00727C71"/>
    <w:rsid w:val="00727CFA"/>
    <w:rsid w:val="00727E85"/>
    <w:rsid w:val="00727EAF"/>
    <w:rsid w:val="00727ED8"/>
    <w:rsid w:val="00730109"/>
    <w:rsid w:val="0073013F"/>
    <w:rsid w:val="00730239"/>
    <w:rsid w:val="0073027A"/>
    <w:rsid w:val="007302B8"/>
    <w:rsid w:val="007302BD"/>
    <w:rsid w:val="0073030A"/>
    <w:rsid w:val="00730354"/>
    <w:rsid w:val="00730596"/>
    <w:rsid w:val="007305AB"/>
    <w:rsid w:val="007305FE"/>
    <w:rsid w:val="00730604"/>
    <w:rsid w:val="0073075A"/>
    <w:rsid w:val="00730A05"/>
    <w:rsid w:val="00730A17"/>
    <w:rsid w:val="00730ABD"/>
    <w:rsid w:val="00730BF3"/>
    <w:rsid w:val="00730C63"/>
    <w:rsid w:val="00730C65"/>
    <w:rsid w:val="00730CBF"/>
    <w:rsid w:val="00730E1D"/>
    <w:rsid w:val="00731021"/>
    <w:rsid w:val="00731331"/>
    <w:rsid w:val="007313D9"/>
    <w:rsid w:val="00731460"/>
    <w:rsid w:val="00731647"/>
    <w:rsid w:val="007316BB"/>
    <w:rsid w:val="00731705"/>
    <w:rsid w:val="00731708"/>
    <w:rsid w:val="0073170E"/>
    <w:rsid w:val="0073181A"/>
    <w:rsid w:val="00731846"/>
    <w:rsid w:val="0073188B"/>
    <w:rsid w:val="00731955"/>
    <w:rsid w:val="007319F0"/>
    <w:rsid w:val="00731C02"/>
    <w:rsid w:val="00731C64"/>
    <w:rsid w:val="00731CE9"/>
    <w:rsid w:val="00731EAD"/>
    <w:rsid w:val="00732099"/>
    <w:rsid w:val="0073209D"/>
    <w:rsid w:val="007320C3"/>
    <w:rsid w:val="00732325"/>
    <w:rsid w:val="00732400"/>
    <w:rsid w:val="007325C6"/>
    <w:rsid w:val="0073260D"/>
    <w:rsid w:val="00732646"/>
    <w:rsid w:val="00732744"/>
    <w:rsid w:val="0073277C"/>
    <w:rsid w:val="007327FA"/>
    <w:rsid w:val="007327FE"/>
    <w:rsid w:val="00732887"/>
    <w:rsid w:val="00732983"/>
    <w:rsid w:val="00732BF5"/>
    <w:rsid w:val="00732C20"/>
    <w:rsid w:val="00732C72"/>
    <w:rsid w:val="00732D64"/>
    <w:rsid w:val="00732E2F"/>
    <w:rsid w:val="00732ED0"/>
    <w:rsid w:val="007330A5"/>
    <w:rsid w:val="00733161"/>
    <w:rsid w:val="007332FE"/>
    <w:rsid w:val="0073336D"/>
    <w:rsid w:val="007338A1"/>
    <w:rsid w:val="0073391E"/>
    <w:rsid w:val="00733A79"/>
    <w:rsid w:val="00733BF5"/>
    <w:rsid w:val="00733CF8"/>
    <w:rsid w:val="00733E87"/>
    <w:rsid w:val="00733F4A"/>
    <w:rsid w:val="00733F51"/>
    <w:rsid w:val="00733FD8"/>
    <w:rsid w:val="00733FF4"/>
    <w:rsid w:val="0073413A"/>
    <w:rsid w:val="00734167"/>
    <w:rsid w:val="00734189"/>
    <w:rsid w:val="00734228"/>
    <w:rsid w:val="007343E2"/>
    <w:rsid w:val="007343F2"/>
    <w:rsid w:val="0073442D"/>
    <w:rsid w:val="007344BA"/>
    <w:rsid w:val="00734509"/>
    <w:rsid w:val="0073451C"/>
    <w:rsid w:val="007345C6"/>
    <w:rsid w:val="00734626"/>
    <w:rsid w:val="00734678"/>
    <w:rsid w:val="007346DD"/>
    <w:rsid w:val="00734706"/>
    <w:rsid w:val="00734754"/>
    <w:rsid w:val="00734773"/>
    <w:rsid w:val="00734815"/>
    <w:rsid w:val="007349D6"/>
    <w:rsid w:val="00734A0F"/>
    <w:rsid w:val="00734A29"/>
    <w:rsid w:val="00734C1D"/>
    <w:rsid w:val="00734DF0"/>
    <w:rsid w:val="00734E2C"/>
    <w:rsid w:val="00734EAB"/>
    <w:rsid w:val="00734EC1"/>
    <w:rsid w:val="00734F75"/>
    <w:rsid w:val="00734F9A"/>
    <w:rsid w:val="00734FA1"/>
    <w:rsid w:val="00735065"/>
    <w:rsid w:val="0073522E"/>
    <w:rsid w:val="00735230"/>
    <w:rsid w:val="00735262"/>
    <w:rsid w:val="007352AB"/>
    <w:rsid w:val="007353C7"/>
    <w:rsid w:val="00735450"/>
    <w:rsid w:val="00735520"/>
    <w:rsid w:val="007355FD"/>
    <w:rsid w:val="0073566D"/>
    <w:rsid w:val="0073566F"/>
    <w:rsid w:val="00735854"/>
    <w:rsid w:val="007359E8"/>
    <w:rsid w:val="00735A11"/>
    <w:rsid w:val="00735AB4"/>
    <w:rsid w:val="00735AB7"/>
    <w:rsid w:val="00735BC4"/>
    <w:rsid w:val="00735BE9"/>
    <w:rsid w:val="00735C20"/>
    <w:rsid w:val="00735CBD"/>
    <w:rsid w:val="00735CE0"/>
    <w:rsid w:val="00735E4D"/>
    <w:rsid w:val="00735F0A"/>
    <w:rsid w:val="00735FCE"/>
    <w:rsid w:val="00735FE9"/>
    <w:rsid w:val="007360D5"/>
    <w:rsid w:val="0073615E"/>
    <w:rsid w:val="0073616A"/>
    <w:rsid w:val="007361EB"/>
    <w:rsid w:val="0073624B"/>
    <w:rsid w:val="007362AB"/>
    <w:rsid w:val="007362D4"/>
    <w:rsid w:val="007363BD"/>
    <w:rsid w:val="00736446"/>
    <w:rsid w:val="007364BC"/>
    <w:rsid w:val="00736512"/>
    <w:rsid w:val="007365FE"/>
    <w:rsid w:val="00736644"/>
    <w:rsid w:val="007366D9"/>
    <w:rsid w:val="00736753"/>
    <w:rsid w:val="0073694A"/>
    <w:rsid w:val="00736BBF"/>
    <w:rsid w:val="00736C4E"/>
    <w:rsid w:val="00736CDB"/>
    <w:rsid w:val="00736DCB"/>
    <w:rsid w:val="007370B1"/>
    <w:rsid w:val="0073725A"/>
    <w:rsid w:val="00737390"/>
    <w:rsid w:val="007373A0"/>
    <w:rsid w:val="0073746E"/>
    <w:rsid w:val="00737474"/>
    <w:rsid w:val="007376BE"/>
    <w:rsid w:val="00737715"/>
    <w:rsid w:val="0073778C"/>
    <w:rsid w:val="0073792A"/>
    <w:rsid w:val="007379EC"/>
    <w:rsid w:val="00737A24"/>
    <w:rsid w:val="00737B73"/>
    <w:rsid w:val="00737BE5"/>
    <w:rsid w:val="00737CA0"/>
    <w:rsid w:val="00737CB1"/>
    <w:rsid w:val="00737D13"/>
    <w:rsid w:val="00737D47"/>
    <w:rsid w:val="00737EA9"/>
    <w:rsid w:val="00737ED2"/>
    <w:rsid w:val="00737F0E"/>
    <w:rsid w:val="0074009B"/>
    <w:rsid w:val="007403E7"/>
    <w:rsid w:val="007404D5"/>
    <w:rsid w:val="00740507"/>
    <w:rsid w:val="00740509"/>
    <w:rsid w:val="0074062A"/>
    <w:rsid w:val="00740664"/>
    <w:rsid w:val="0074067A"/>
    <w:rsid w:val="007406E6"/>
    <w:rsid w:val="007406EF"/>
    <w:rsid w:val="007407AE"/>
    <w:rsid w:val="0074080E"/>
    <w:rsid w:val="00740A17"/>
    <w:rsid w:val="00740B37"/>
    <w:rsid w:val="00740B40"/>
    <w:rsid w:val="00740BDD"/>
    <w:rsid w:val="00740D1E"/>
    <w:rsid w:val="00740DA7"/>
    <w:rsid w:val="00740E66"/>
    <w:rsid w:val="00740EE7"/>
    <w:rsid w:val="00740F7C"/>
    <w:rsid w:val="00740F83"/>
    <w:rsid w:val="00740FE8"/>
    <w:rsid w:val="007410B2"/>
    <w:rsid w:val="0074112E"/>
    <w:rsid w:val="00741153"/>
    <w:rsid w:val="00741196"/>
    <w:rsid w:val="007412FC"/>
    <w:rsid w:val="00741333"/>
    <w:rsid w:val="00741447"/>
    <w:rsid w:val="00741464"/>
    <w:rsid w:val="00741498"/>
    <w:rsid w:val="007414D7"/>
    <w:rsid w:val="007414DD"/>
    <w:rsid w:val="0074153D"/>
    <w:rsid w:val="00741573"/>
    <w:rsid w:val="0074157B"/>
    <w:rsid w:val="007415E0"/>
    <w:rsid w:val="007416A4"/>
    <w:rsid w:val="007416D5"/>
    <w:rsid w:val="007416D7"/>
    <w:rsid w:val="00741893"/>
    <w:rsid w:val="00741924"/>
    <w:rsid w:val="0074198E"/>
    <w:rsid w:val="00741A72"/>
    <w:rsid w:val="00741A7D"/>
    <w:rsid w:val="00741C90"/>
    <w:rsid w:val="00741D1E"/>
    <w:rsid w:val="00741E2F"/>
    <w:rsid w:val="00741F0D"/>
    <w:rsid w:val="00741F22"/>
    <w:rsid w:val="007421C4"/>
    <w:rsid w:val="00742393"/>
    <w:rsid w:val="00742529"/>
    <w:rsid w:val="0074257E"/>
    <w:rsid w:val="007425E6"/>
    <w:rsid w:val="007426DC"/>
    <w:rsid w:val="00742765"/>
    <w:rsid w:val="007427B8"/>
    <w:rsid w:val="00742AA8"/>
    <w:rsid w:val="00742AAE"/>
    <w:rsid w:val="00742AE6"/>
    <w:rsid w:val="00742B56"/>
    <w:rsid w:val="00742B57"/>
    <w:rsid w:val="00742B9A"/>
    <w:rsid w:val="00742C16"/>
    <w:rsid w:val="00742D46"/>
    <w:rsid w:val="00742F4D"/>
    <w:rsid w:val="0074312E"/>
    <w:rsid w:val="00743160"/>
    <w:rsid w:val="00743282"/>
    <w:rsid w:val="007433BB"/>
    <w:rsid w:val="0074349A"/>
    <w:rsid w:val="0074357E"/>
    <w:rsid w:val="00743588"/>
    <w:rsid w:val="00743591"/>
    <w:rsid w:val="007435B7"/>
    <w:rsid w:val="00743618"/>
    <w:rsid w:val="00743628"/>
    <w:rsid w:val="007436B6"/>
    <w:rsid w:val="00743858"/>
    <w:rsid w:val="007438FE"/>
    <w:rsid w:val="00743B2F"/>
    <w:rsid w:val="00743C1F"/>
    <w:rsid w:val="00743C7A"/>
    <w:rsid w:val="00743CAB"/>
    <w:rsid w:val="00743CAE"/>
    <w:rsid w:val="00743EA6"/>
    <w:rsid w:val="00743EF8"/>
    <w:rsid w:val="00743F44"/>
    <w:rsid w:val="00743F9A"/>
    <w:rsid w:val="007440E8"/>
    <w:rsid w:val="00744114"/>
    <w:rsid w:val="007441A9"/>
    <w:rsid w:val="007441B2"/>
    <w:rsid w:val="007441FD"/>
    <w:rsid w:val="00744409"/>
    <w:rsid w:val="007445CD"/>
    <w:rsid w:val="00744634"/>
    <w:rsid w:val="007446BE"/>
    <w:rsid w:val="0074471B"/>
    <w:rsid w:val="0074478C"/>
    <w:rsid w:val="00744902"/>
    <w:rsid w:val="00744A6B"/>
    <w:rsid w:val="00744A7D"/>
    <w:rsid w:val="00744AFC"/>
    <w:rsid w:val="00744BBF"/>
    <w:rsid w:val="00744C06"/>
    <w:rsid w:val="00744C16"/>
    <w:rsid w:val="00744C1D"/>
    <w:rsid w:val="00744C29"/>
    <w:rsid w:val="00744D6C"/>
    <w:rsid w:val="00744E1A"/>
    <w:rsid w:val="00744ED2"/>
    <w:rsid w:val="00744F82"/>
    <w:rsid w:val="00744FBA"/>
    <w:rsid w:val="007452A4"/>
    <w:rsid w:val="00745341"/>
    <w:rsid w:val="0074564A"/>
    <w:rsid w:val="00745687"/>
    <w:rsid w:val="00745769"/>
    <w:rsid w:val="007458C0"/>
    <w:rsid w:val="00745A66"/>
    <w:rsid w:val="00745A7A"/>
    <w:rsid w:val="00745AD8"/>
    <w:rsid w:val="00745ADA"/>
    <w:rsid w:val="00745C04"/>
    <w:rsid w:val="00745C40"/>
    <w:rsid w:val="00745C43"/>
    <w:rsid w:val="00745DBE"/>
    <w:rsid w:val="007460DB"/>
    <w:rsid w:val="007460EA"/>
    <w:rsid w:val="00746302"/>
    <w:rsid w:val="00746405"/>
    <w:rsid w:val="00746406"/>
    <w:rsid w:val="00746410"/>
    <w:rsid w:val="00746510"/>
    <w:rsid w:val="00746549"/>
    <w:rsid w:val="0074662B"/>
    <w:rsid w:val="0074673B"/>
    <w:rsid w:val="0074673C"/>
    <w:rsid w:val="00746894"/>
    <w:rsid w:val="0074689D"/>
    <w:rsid w:val="00746903"/>
    <w:rsid w:val="00746B26"/>
    <w:rsid w:val="00746C31"/>
    <w:rsid w:val="00746CB4"/>
    <w:rsid w:val="00746D3E"/>
    <w:rsid w:val="00746E66"/>
    <w:rsid w:val="00746E75"/>
    <w:rsid w:val="00746ED1"/>
    <w:rsid w:val="0074721A"/>
    <w:rsid w:val="007473F6"/>
    <w:rsid w:val="0074746C"/>
    <w:rsid w:val="00747505"/>
    <w:rsid w:val="007475F1"/>
    <w:rsid w:val="0074761C"/>
    <w:rsid w:val="007477DC"/>
    <w:rsid w:val="0074787D"/>
    <w:rsid w:val="00747883"/>
    <w:rsid w:val="00747948"/>
    <w:rsid w:val="00747ABF"/>
    <w:rsid w:val="00747AC5"/>
    <w:rsid w:val="00747B1A"/>
    <w:rsid w:val="00747B75"/>
    <w:rsid w:val="00747BB9"/>
    <w:rsid w:val="00747BDE"/>
    <w:rsid w:val="00747E94"/>
    <w:rsid w:val="00747EBD"/>
    <w:rsid w:val="00747F65"/>
    <w:rsid w:val="0075002E"/>
    <w:rsid w:val="00750180"/>
    <w:rsid w:val="007501CD"/>
    <w:rsid w:val="007501DB"/>
    <w:rsid w:val="00750215"/>
    <w:rsid w:val="00750233"/>
    <w:rsid w:val="007502AA"/>
    <w:rsid w:val="0075041A"/>
    <w:rsid w:val="00750454"/>
    <w:rsid w:val="0075046C"/>
    <w:rsid w:val="00750498"/>
    <w:rsid w:val="007504C2"/>
    <w:rsid w:val="00750607"/>
    <w:rsid w:val="00750647"/>
    <w:rsid w:val="0075068A"/>
    <w:rsid w:val="00750754"/>
    <w:rsid w:val="007507A8"/>
    <w:rsid w:val="00750816"/>
    <w:rsid w:val="0075082D"/>
    <w:rsid w:val="007508C3"/>
    <w:rsid w:val="00750AFE"/>
    <w:rsid w:val="00750B3C"/>
    <w:rsid w:val="00750B7D"/>
    <w:rsid w:val="00750CC3"/>
    <w:rsid w:val="00750FE9"/>
    <w:rsid w:val="00751119"/>
    <w:rsid w:val="007514E3"/>
    <w:rsid w:val="007515C5"/>
    <w:rsid w:val="007515F6"/>
    <w:rsid w:val="007515FB"/>
    <w:rsid w:val="007516D9"/>
    <w:rsid w:val="007517BA"/>
    <w:rsid w:val="00751836"/>
    <w:rsid w:val="00751A44"/>
    <w:rsid w:val="00751A46"/>
    <w:rsid w:val="00751B2B"/>
    <w:rsid w:val="00751B85"/>
    <w:rsid w:val="00751CB0"/>
    <w:rsid w:val="00751CFD"/>
    <w:rsid w:val="00751DE6"/>
    <w:rsid w:val="00751E47"/>
    <w:rsid w:val="00751E96"/>
    <w:rsid w:val="00751EA5"/>
    <w:rsid w:val="00751EB1"/>
    <w:rsid w:val="00751EC5"/>
    <w:rsid w:val="00751F33"/>
    <w:rsid w:val="00751F35"/>
    <w:rsid w:val="00751FAA"/>
    <w:rsid w:val="0075203C"/>
    <w:rsid w:val="00752054"/>
    <w:rsid w:val="007521D2"/>
    <w:rsid w:val="00752270"/>
    <w:rsid w:val="007522BC"/>
    <w:rsid w:val="007522CA"/>
    <w:rsid w:val="007523D4"/>
    <w:rsid w:val="00752427"/>
    <w:rsid w:val="00752431"/>
    <w:rsid w:val="0075252B"/>
    <w:rsid w:val="0075262B"/>
    <w:rsid w:val="007526D4"/>
    <w:rsid w:val="0075271C"/>
    <w:rsid w:val="00752776"/>
    <w:rsid w:val="0075282E"/>
    <w:rsid w:val="00752941"/>
    <w:rsid w:val="00752987"/>
    <w:rsid w:val="00752AF0"/>
    <w:rsid w:val="00752C92"/>
    <w:rsid w:val="00752CDC"/>
    <w:rsid w:val="00752EAD"/>
    <w:rsid w:val="00752EFF"/>
    <w:rsid w:val="00753065"/>
    <w:rsid w:val="0075311F"/>
    <w:rsid w:val="007531B9"/>
    <w:rsid w:val="00753279"/>
    <w:rsid w:val="0075332D"/>
    <w:rsid w:val="00753344"/>
    <w:rsid w:val="00753642"/>
    <w:rsid w:val="007536FA"/>
    <w:rsid w:val="0075375A"/>
    <w:rsid w:val="0075376D"/>
    <w:rsid w:val="00753926"/>
    <w:rsid w:val="00753933"/>
    <w:rsid w:val="00753998"/>
    <w:rsid w:val="00753A82"/>
    <w:rsid w:val="00753AB7"/>
    <w:rsid w:val="00753AC3"/>
    <w:rsid w:val="00753AF9"/>
    <w:rsid w:val="00753B5C"/>
    <w:rsid w:val="00753BAA"/>
    <w:rsid w:val="00753C82"/>
    <w:rsid w:val="00753E15"/>
    <w:rsid w:val="00753E2F"/>
    <w:rsid w:val="00754014"/>
    <w:rsid w:val="00754033"/>
    <w:rsid w:val="00754103"/>
    <w:rsid w:val="00754137"/>
    <w:rsid w:val="00754541"/>
    <w:rsid w:val="00754559"/>
    <w:rsid w:val="00754579"/>
    <w:rsid w:val="007545A0"/>
    <w:rsid w:val="007545C5"/>
    <w:rsid w:val="007546C4"/>
    <w:rsid w:val="007548F1"/>
    <w:rsid w:val="00754A0B"/>
    <w:rsid w:val="00754A19"/>
    <w:rsid w:val="00754B69"/>
    <w:rsid w:val="00754C90"/>
    <w:rsid w:val="00754D70"/>
    <w:rsid w:val="00754F65"/>
    <w:rsid w:val="007550FB"/>
    <w:rsid w:val="00755227"/>
    <w:rsid w:val="007552BC"/>
    <w:rsid w:val="007553AB"/>
    <w:rsid w:val="007554B4"/>
    <w:rsid w:val="00755515"/>
    <w:rsid w:val="00755528"/>
    <w:rsid w:val="0075552E"/>
    <w:rsid w:val="007555F4"/>
    <w:rsid w:val="007557BA"/>
    <w:rsid w:val="007557E7"/>
    <w:rsid w:val="00755AFE"/>
    <w:rsid w:val="00755B3B"/>
    <w:rsid w:val="00755B8F"/>
    <w:rsid w:val="00755C30"/>
    <w:rsid w:val="00755C3E"/>
    <w:rsid w:val="00755D75"/>
    <w:rsid w:val="00755DE0"/>
    <w:rsid w:val="00756082"/>
    <w:rsid w:val="00756086"/>
    <w:rsid w:val="007560ED"/>
    <w:rsid w:val="0075615E"/>
    <w:rsid w:val="007561B1"/>
    <w:rsid w:val="007561BC"/>
    <w:rsid w:val="007562B2"/>
    <w:rsid w:val="007562CC"/>
    <w:rsid w:val="007562D8"/>
    <w:rsid w:val="0075630A"/>
    <w:rsid w:val="00756446"/>
    <w:rsid w:val="0075646D"/>
    <w:rsid w:val="0075648D"/>
    <w:rsid w:val="00756598"/>
    <w:rsid w:val="007566B5"/>
    <w:rsid w:val="007566BD"/>
    <w:rsid w:val="007566D8"/>
    <w:rsid w:val="007567E9"/>
    <w:rsid w:val="0075689B"/>
    <w:rsid w:val="0075693F"/>
    <w:rsid w:val="00756973"/>
    <w:rsid w:val="00756A18"/>
    <w:rsid w:val="00756A75"/>
    <w:rsid w:val="00756B9C"/>
    <w:rsid w:val="00756BB9"/>
    <w:rsid w:val="00756C13"/>
    <w:rsid w:val="00756DC4"/>
    <w:rsid w:val="00756E6E"/>
    <w:rsid w:val="00756E9B"/>
    <w:rsid w:val="00756FE1"/>
    <w:rsid w:val="007570D8"/>
    <w:rsid w:val="0075712B"/>
    <w:rsid w:val="0075716A"/>
    <w:rsid w:val="007571DF"/>
    <w:rsid w:val="00757388"/>
    <w:rsid w:val="007575A5"/>
    <w:rsid w:val="00757605"/>
    <w:rsid w:val="00757757"/>
    <w:rsid w:val="0075776C"/>
    <w:rsid w:val="0075784B"/>
    <w:rsid w:val="00757861"/>
    <w:rsid w:val="00757A00"/>
    <w:rsid w:val="00757AA4"/>
    <w:rsid w:val="00757AEF"/>
    <w:rsid w:val="00757C55"/>
    <w:rsid w:val="00757CF7"/>
    <w:rsid w:val="00757DC2"/>
    <w:rsid w:val="00757DE4"/>
    <w:rsid w:val="00757E69"/>
    <w:rsid w:val="00760058"/>
    <w:rsid w:val="007600FB"/>
    <w:rsid w:val="00760101"/>
    <w:rsid w:val="0076022D"/>
    <w:rsid w:val="007602C0"/>
    <w:rsid w:val="007602EA"/>
    <w:rsid w:val="00760514"/>
    <w:rsid w:val="00760568"/>
    <w:rsid w:val="00760571"/>
    <w:rsid w:val="007607C0"/>
    <w:rsid w:val="007607D5"/>
    <w:rsid w:val="007608CD"/>
    <w:rsid w:val="00760BCB"/>
    <w:rsid w:val="00760BE1"/>
    <w:rsid w:val="00760C12"/>
    <w:rsid w:val="00760DAD"/>
    <w:rsid w:val="00760ECE"/>
    <w:rsid w:val="00760EE9"/>
    <w:rsid w:val="00760EFB"/>
    <w:rsid w:val="0076112B"/>
    <w:rsid w:val="007612B8"/>
    <w:rsid w:val="007612E6"/>
    <w:rsid w:val="00761315"/>
    <w:rsid w:val="00761440"/>
    <w:rsid w:val="007614D4"/>
    <w:rsid w:val="00761623"/>
    <w:rsid w:val="007616DD"/>
    <w:rsid w:val="007619F4"/>
    <w:rsid w:val="007619FB"/>
    <w:rsid w:val="00761CE8"/>
    <w:rsid w:val="00761CF1"/>
    <w:rsid w:val="00761D1A"/>
    <w:rsid w:val="00761D54"/>
    <w:rsid w:val="00761D61"/>
    <w:rsid w:val="00761E02"/>
    <w:rsid w:val="00761EE1"/>
    <w:rsid w:val="00761F1D"/>
    <w:rsid w:val="00761F70"/>
    <w:rsid w:val="007620A9"/>
    <w:rsid w:val="007620F6"/>
    <w:rsid w:val="00762198"/>
    <w:rsid w:val="0076224C"/>
    <w:rsid w:val="007622A3"/>
    <w:rsid w:val="00762306"/>
    <w:rsid w:val="00762382"/>
    <w:rsid w:val="007623AA"/>
    <w:rsid w:val="00762423"/>
    <w:rsid w:val="00762430"/>
    <w:rsid w:val="0076266F"/>
    <w:rsid w:val="007626D4"/>
    <w:rsid w:val="007626DB"/>
    <w:rsid w:val="0076273B"/>
    <w:rsid w:val="007627E6"/>
    <w:rsid w:val="00762866"/>
    <w:rsid w:val="00762886"/>
    <w:rsid w:val="00762B22"/>
    <w:rsid w:val="00762BEF"/>
    <w:rsid w:val="00762CE7"/>
    <w:rsid w:val="00762CFA"/>
    <w:rsid w:val="00762E08"/>
    <w:rsid w:val="00762E69"/>
    <w:rsid w:val="00762EA5"/>
    <w:rsid w:val="00762F15"/>
    <w:rsid w:val="00762F9B"/>
    <w:rsid w:val="00762FF3"/>
    <w:rsid w:val="007630BE"/>
    <w:rsid w:val="0076315D"/>
    <w:rsid w:val="00763169"/>
    <w:rsid w:val="00763173"/>
    <w:rsid w:val="00763175"/>
    <w:rsid w:val="0076333B"/>
    <w:rsid w:val="00763345"/>
    <w:rsid w:val="0076337A"/>
    <w:rsid w:val="0076359E"/>
    <w:rsid w:val="007636BD"/>
    <w:rsid w:val="00763867"/>
    <w:rsid w:val="007639BD"/>
    <w:rsid w:val="00763AAC"/>
    <w:rsid w:val="00763B54"/>
    <w:rsid w:val="00763BA4"/>
    <w:rsid w:val="00763CA9"/>
    <w:rsid w:val="00763CC1"/>
    <w:rsid w:val="00763E48"/>
    <w:rsid w:val="00763F56"/>
    <w:rsid w:val="00763FB6"/>
    <w:rsid w:val="00763FFA"/>
    <w:rsid w:val="00764200"/>
    <w:rsid w:val="007642CF"/>
    <w:rsid w:val="007642DA"/>
    <w:rsid w:val="00764324"/>
    <w:rsid w:val="0076443A"/>
    <w:rsid w:val="0076450A"/>
    <w:rsid w:val="007645CC"/>
    <w:rsid w:val="0076462F"/>
    <w:rsid w:val="0076466D"/>
    <w:rsid w:val="007648EA"/>
    <w:rsid w:val="00764965"/>
    <w:rsid w:val="007649A7"/>
    <w:rsid w:val="00764A09"/>
    <w:rsid w:val="00764A15"/>
    <w:rsid w:val="00764A2E"/>
    <w:rsid w:val="00764AE4"/>
    <w:rsid w:val="00764BB0"/>
    <w:rsid w:val="00764CDD"/>
    <w:rsid w:val="00764D86"/>
    <w:rsid w:val="00764E3A"/>
    <w:rsid w:val="00764EA4"/>
    <w:rsid w:val="00764F2A"/>
    <w:rsid w:val="00764FB3"/>
    <w:rsid w:val="00764FBA"/>
    <w:rsid w:val="00765009"/>
    <w:rsid w:val="00765241"/>
    <w:rsid w:val="00765272"/>
    <w:rsid w:val="00765317"/>
    <w:rsid w:val="0076532C"/>
    <w:rsid w:val="007655FB"/>
    <w:rsid w:val="007656AB"/>
    <w:rsid w:val="007656FF"/>
    <w:rsid w:val="007657C0"/>
    <w:rsid w:val="0076588A"/>
    <w:rsid w:val="0076594E"/>
    <w:rsid w:val="007659AC"/>
    <w:rsid w:val="007659B8"/>
    <w:rsid w:val="007659C1"/>
    <w:rsid w:val="00765A7E"/>
    <w:rsid w:val="00765B8D"/>
    <w:rsid w:val="00765BB9"/>
    <w:rsid w:val="00765C14"/>
    <w:rsid w:val="00765C77"/>
    <w:rsid w:val="00765DEF"/>
    <w:rsid w:val="00765F83"/>
    <w:rsid w:val="007660A5"/>
    <w:rsid w:val="00766444"/>
    <w:rsid w:val="007664D6"/>
    <w:rsid w:val="00766571"/>
    <w:rsid w:val="00766677"/>
    <w:rsid w:val="00766766"/>
    <w:rsid w:val="00766801"/>
    <w:rsid w:val="00766880"/>
    <w:rsid w:val="00766911"/>
    <w:rsid w:val="00766959"/>
    <w:rsid w:val="00766A26"/>
    <w:rsid w:val="00766A86"/>
    <w:rsid w:val="00766ABB"/>
    <w:rsid w:val="00766B45"/>
    <w:rsid w:val="00766B6D"/>
    <w:rsid w:val="00766B93"/>
    <w:rsid w:val="00766BA4"/>
    <w:rsid w:val="00766BB1"/>
    <w:rsid w:val="00766BBD"/>
    <w:rsid w:val="00766BE3"/>
    <w:rsid w:val="00766BEA"/>
    <w:rsid w:val="00766CAE"/>
    <w:rsid w:val="00766DB7"/>
    <w:rsid w:val="00766E84"/>
    <w:rsid w:val="00766ECD"/>
    <w:rsid w:val="007670B2"/>
    <w:rsid w:val="00767198"/>
    <w:rsid w:val="007671EB"/>
    <w:rsid w:val="0076721A"/>
    <w:rsid w:val="00767539"/>
    <w:rsid w:val="007675AA"/>
    <w:rsid w:val="007675FE"/>
    <w:rsid w:val="00767633"/>
    <w:rsid w:val="00767695"/>
    <w:rsid w:val="007676FA"/>
    <w:rsid w:val="0076774D"/>
    <w:rsid w:val="00767785"/>
    <w:rsid w:val="00767808"/>
    <w:rsid w:val="00767887"/>
    <w:rsid w:val="007678DE"/>
    <w:rsid w:val="00767A17"/>
    <w:rsid w:val="00767A3E"/>
    <w:rsid w:val="00767ACF"/>
    <w:rsid w:val="00767B05"/>
    <w:rsid w:val="00767B69"/>
    <w:rsid w:val="00767BC7"/>
    <w:rsid w:val="00767C1F"/>
    <w:rsid w:val="00767E08"/>
    <w:rsid w:val="00767E6D"/>
    <w:rsid w:val="00767EB9"/>
    <w:rsid w:val="00767F68"/>
    <w:rsid w:val="00767FFB"/>
    <w:rsid w:val="00770008"/>
    <w:rsid w:val="007700FC"/>
    <w:rsid w:val="0077016A"/>
    <w:rsid w:val="0077026F"/>
    <w:rsid w:val="00770288"/>
    <w:rsid w:val="007702E8"/>
    <w:rsid w:val="0077036B"/>
    <w:rsid w:val="00770421"/>
    <w:rsid w:val="00770451"/>
    <w:rsid w:val="00770469"/>
    <w:rsid w:val="0077049C"/>
    <w:rsid w:val="00770579"/>
    <w:rsid w:val="00770604"/>
    <w:rsid w:val="0077069A"/>
    <w:rsid w:val="00770738"/>
    <w:rsid w:val="00770762"/>
    <w:rsid w:val="00770833"/>
    <w:rsid w:val="0077097C"/>
    <w:rsid w:val="007709F0"/>
    <w:rsid w:val="00770A60"/>
    <w:rsid w:val="00770D2E"/>
    <w:rsid w:val="00770D4B"/>
    <w:rsid w:val="00770DC2"/>
    <w:rsid w:val="00770ED6"/>
    <w:rsid w:val="00770FBF"/>
    <w:rsid w:val="007710A8"/>
    <w:rsid w:val="00771128"/>
    <w:rsid w:val="00771168"/>
    <w:rsid w:val="00771261"/>
    <w:rsid w:val="0077129D"/>
    <w:rsid w:val="0077135F"/>
    <w:rsid w:val="007713D0"/>
    <w:rsid w:val="00771451"/>
    <w:rsid w:val="0077145B"/>
    <w:rsid w:val="007714AA"/>
    <w:rsid w:val="007714BB"/>
    <w:rsid w:val="007714D0"/>
    <w:rsid w:val="00771528"/>
    <w:rsid w:val="0077155F"/>
    <w:rsid w:val="0077156F"/>
    <w:rsid w:val="0077168D"/>
    <w:rsid w:val="00771720"/>
    <w:rsid w:val="00771AE2"/>
    <w:rsid w:val="00771BB6"/>
    <w:rsid w:val="00771C80"/>
    <w:rsid w:val="00771C94"/>
    <w:rsid w:val="00771D0A"/>
    <w:rsid w:val="00771D27"/>
    <w:rsid w:val="00771D56"/>
    <w:rsid w:val="00771DAC"/>
    <w:rsid w:val="00771DC7"/>
    <w:rsid w:val="00771F26"/>
    <w:rsid w:val="00771FA2"/>
    <w:rsid w:val="00772020"/>
    <w:rsid w:val="007720F0"/>
    <w:rsid w:val="00772148"/>
    <w:rsid w:val="0077215F"/>
    <w:rsid w:val="0077222D"/>
    <w:rsid w:val="0077225F"/>
    <w:rsid w:val="00772390"/>
    <w:rsid w:val="00772447"/>
    <w:rsid w:val="007724EC"/>
    <w:rsid w:val="0077251F"/>
    <w:rsid w:val="0077261D"/>
    <w:rsid w:val="0077272D"/>
    <w:rsid w:val="00772A07"/>
    <w:rsid w:val="00772A09"/>
    <w:rsid w:val="00772A4A"/>
    <w:rsid w:val="00772A78"/>
    <w:rsid w:val="00772AD3"/>
    <w:rsid w:val="00772B9C"/>
    <w:rsid w:val="00772BD4"/>
    <w:rsid w:val="00772C75"/>
    <w:rsid w:val="00772DC0"/>
    <w:rsid w:val="00772DDC"/>
    <w:rsid w:val="00772F73"/>
    <w:rsid w:val="0077308B"/>
    <w:rsid w:val="0077320F"/>
    <w:rsid w:val="00773233"/>
    <w:rsid w:val="00773255"/>
    <w:rsid w:val="00773362"/>
    <w:rsid w:val="007733AE"/>
    <w:rsid w:val="007733DE"/>
    <w:rsid w:val="007734B7"/>
    <w:rsid w:val="007734C8"/>
    <w:rsid w:val="00773671"/>
    <w:rsid w:val="00773692"/>
    <w:rsid w:val="007736F5"/>
    <w:rsid w:val="0077392C"/>
    <w:rsid w:val="00773ACB"/>
    <w:rsid w:val="00773ADE"/>
    <w:rsid w:val="00773BE0"/>
    <w:rsid w:val="00773C22"/>
    <w:rsid w:val="00773C6F"/>
    <w:rsid w:val="00773D02"/>
    <w:rsid w:val="00773F2C"/>
    <w:rsid w:val="00773F8F"/>
    <w:rsid w:val="00774037"/>
    <w:rsid w:val="00774228"/>
    <w:rsid w:val="0077430D"/>
    <w:rsid w:val="00774317"/>
    <w:rsid w:val="007744BD"/>
    <w:rsid w:val="00774544"/>
    <w:rsid w:val="00774562"/>
    <w:rsid w:val="00774578"/>
    <w:rsid w:val="007745EC"/>
    <w:rsid w:val="00774614"/>
    <w:rsid w:val="00774642"/>
    <w:rsid w:val="007747A8"/>
    <w:rsid w:val="007747E3"/>
    <w:rsid w:val="00774863"/>
    <w:rsid w:val="0077488D"/>
    <w:rsid w:val="0077492F"/>
    <w:rsid w:val="00774A71"/>
    <w:rsid w:val="00774A73"/>
    <w:rsid w:val="00774B5D"/>
    <w:rsid w:val="00774CD2"/>
    <w:rsid w:val="00774DB9"/>
    <w:rsid w:val="00774DFD"/>
    <w:rsid w:val="00774ED9"/>
    <w:rsid w:val="00774EF6"/>
    <w:rsid w:val="00775014"/>
    <w:rsid w:val="00775047"/>
    <w:rsid w:val="00775139"/>
    <w:rsid w:val="007752E9"/>
    <w:rsid w:val="00775465"/>
    <w:rsid w:val="007754EF"/>
    <w:rsid w:val="007754FE"/>
    <w:rsid w:val="00775523"/>
    <w:rsid w:val="00775566"/>
    <w:rsid w:val="0077573C"/>
    <w:rsid w:val="00775760"/>
    <w:rsid w:val="0077576A"/>
    <w:rsid w:val="007758A8"/>
    <w:rsid w:val="00775967"/>
    <w:rsid w:val="00775C4C"/>
    <w:rsid w:val="00775CD7"/>
    <w:rsid w:val="00775D78"/>
    <w:rsid w:val="00775DB3"/>
    <w:rsid w:val="00775E52"/>
    <w:rsid w:val="00775E77"/>
    <w:rsid w:val="0077610C"/>
    <w:rsid w:val="00776153"/>
    <w:rsid w:val="007761D1"/>
    <w:rsid w:val="00776207"/>
    <w:rsid w:val="007762BF"/>
    <w:rsid w:val="00776372"/>
    <w:rsid w:val="007763C4"/>
    <w:rsid w:val="00776571"/>
    <w:rsid w:val="0077673E"/>
    <w:rsid w:val="007767B1"/>
    <w:rsid w:val="0077687B"/>
    <w:rsid w:val="007768C0"/>
    <w:rsid w:val="007769DC"/>
    <w:rsid w:val="007769E2"/>
    <w:rsid w:val="00776A07"/>
    <w:rsid w:val="00776AD3"/>
    <w:rsid w:val="00776B04"/>
    <w:rsid w:val="00776B9E"/>
    <w:rsid w:val="00776BDD"/>
    <w:rsid w:val="00776C29"/>
    <w:rsid w:val="00776D44"/>
    <w:rsid w:val="00776D6E"/>
    <w:rsid w:val="00776DA9"/>
    <w:rsid w:val="00776EE7"/>
    <w:rsid w:val="00776EF5"/>
    <w:rsid w:val="00776FD4"/>
    <w:rsid w:val="00777097"/>
    <w:rsid w:val="007770DD"/>
    <w:rsid w:val="007771BB"/>
    <w:rsid w:val="0077720E"/>
    <w:rsid w:val="00777262"/>
    <w:rsid w:val="0077748E"/>
    <w:rsid w:val="0077753B"/>
    <w:rsid w:val="00777573"/>
    <w:rsid w:val="00777629"/>
    <w:rsid w:val="007776CE"/>
    <w:rsid w:val="00777758"/>
    <w:rsid w:val="0077776F"/>
    <w:rsid w:val="00777792"/>
    <w:rsid w:val="007777B9"/>
    <w:rsid w:val="00777A8C"/>
    <w:rsid w:val="00777A90"/>
    <w:rsid w:val="00777A91"/>
    <w:rsid w:val="00777C3B"/>
    <w:rsid w:val="00777C4F"/>
    <w:rsid w:val="00777C6A"/>
    <w:rsid w:val="00777D19"/>
    <w:rsid w:val="00777D5B"/>
    <w:rsid w:val="00777E91"/>
    <w:rsid w:val="00777F01"/>
    <w:rsid w:val="00777F6D"/>
    <w:rsid w:val="00780054"/>
    <w:rsid w:val="0078011A"/>
    <w:rsid w:val="00780161"/>
    <w:rsid w:val="00780185"/>
    <w:rsid w:val="007801AB"/>
    <w:rsid w:val="00780276"/>
    <w:rsid w:val="0078028F"/>
    <w:rsid w:val="00780298"/>
    <w:rsid w:val="007802F1"/>
    <w:rsid w:val="00780346"/>
    <w:rsid w:val="00780584"/>
    <w:rsid w:val="007805F5"/>
    <w:rsid w:val="007806EE"/>
    <w:rsid w:val="00780720"/>
    <w:rsid w:val="00780786"/>
    <w:rsid w:val="00780874"/>
    <w:rsid w:val="007809E2"/>
    <w:rsid w:val="00780BB9"/>
    <w:rsid w:val="00780C58"/>
    <w:rsid w:val="00780D07"/>
    <w:rsid w:val="00780DF5"/>
    <w:rsid w:val="00780E32"/>
    <w:rsid w:val="00780E3A"/>
    <w:rsid w:val="00780E63"/>
    <w:rsid w:val="00780EF1"/>
    <w:rsid w:val="007810AD"/>
    <w:rsid w:val="007811E8"/>
    <w:rsid w:val="00781231"/>
    <w:rsid w:val="00781307"/>
    <w:rsid w:val="00781393"/>
    <w:rsid w:val="007813DE"/>
    <w:rsid w:val="00781442"/>
    <w:rsid w:val="0078146E"/>
    <w:rsid w:val="00781529"/>
    <w:rsid w:val="00781706"/>
    <w:rsid w:val="0078182B"/>
    <w:rsid w:val="0078188D"/>
    <w:rsid w:val="00781966"/>
    <w:rsid w:val="007819BB"/>
    <w:rsid w:val="00781A67"/>
    <w:rsid w:val="00781AC7"/>
    <w:rsid w:val="00781B3A"/>
    <w:rsid w:val="00781C26"/>
    <w:rsid w:val="00781C6E"/>
    <w:rsid w:val="00781C84"/>
    <w:rsid w:val="00781D8A"/>
    <w:rsid w:val="00781DA9"/>
    <w:rsid w:val="00781E0B"/>
    <w:rsid w:val="00781ED1"/>
    <w:rsid w:val="007820B5"/>
    <w:rsid w:val="00782169"/>
    <w:rsid w:val="00782233"/>
    <w:rsid w:val="00782268"/>
    <w:rsid w:val="007822CD"/>
    <w:rsid w:val="00782355"/>
    <w:rsid w:val="0078235C"/>
    <w:rsid w:val="00782458"/>
    <w:rsid w:val="0078250B"/>
    <w:rsid w:val="007826E3"/>
    <w:rsid w:val="0078275F"/>
    <w:rsid w:val="007827E2"/>
    <w:rsid w:val="007827EE"/>
    <w:rsid w:val="00782899"/>
    <w:rsid w:val="007828E1"/>
    <w:rsid w:val="00782926"/>
    <w:rsid w:val="007829F6"/>
    <w:rsid w:val="00782A13"/>
    <w:rsid w:val="00782AFF"/>
    <w:rsid w:val="00782B80"/>
    <w:rsid w:val="00782BB6"/>
    <w:rsid w:val="00782C85"/>
    <w:rsid w:val="00782CAE"/>
    <w:rsid w:val="00782D11"/>
    <w:rsid w:val="00782D29"/>
    <w:rsid w:val="00782DB2"/>
    <w:rsid w:val="00782DBD"/>
    <w:rsid w:val="00782E33"/>
    <w:rsid w:val="00782EE6"/>
    <w:rsid w:val="00782F31"/>
    <w:rsid w:val="00782FDF"/>
    <w:rsid w:val="0078303E"/>
    <w:rsid w:val="00783115"/>
    <w:rsid w:val="00783117"/>
    <w:rsid w:val="00783142"/>
    <w:rsid w:val="00783257"/>
    <w:rsid w:val="00783290"/>
    <w:rsid w:val="007832E7"/>
    <w:rsid w:val="00783373"/>
    <w:rsid w:val="0078339E"/>
    <w:rsid w:val="007833F6"/>
    <w:rsid w:val="0078363B"/>
    <w:rsid w:val="007836B5"/>
    <w:rsid w:val="007836C7"/>
    <w:rsid w:val="007836D0"/>
    <w:rsid w:val="00783720"/>
    <w:rsid w:val="007837B9"/>
    <w:rsid w:val="007838CA"/>
    <w:rsid w:val="00783CD1"/>
    <w:rsid w:val="00783F90"/>
    <w:rsid w:val="0078400F"/>
    <w:rsid w:val="0078407E"/>
    <w:rsid w:val="00784287"/>
    <w:rsid w:val="007842A2"/>
    <w:rsid w:val="00784328"/>
    <w:rsid w:val="007844F8"/>
    <w:rsid w:val="00784526"/>
    <w:rsid w:val="00784596"/>
    <w:rsid w:val="007847FA"/>
    <w:rsid w:val="007849BF"/>
    <w:rsid w:val="00784AD9"/>
    <w:rsid w:val="00784BD0"/>
    <w:rsid w:val="00784C62"/>
    <w:rsid w:val="00784DBE"/>
    <w:rsid w:val="007850BB"/>
    <w:rsid w:val="0078528B"/>
    <w:rsid w:val="007852C4"/>
    <w:rsid w:val="007852D4"/>
    <w:rsid w:val="00785462"/>
    <w:rsid w:val="007854DB"/>
    <w:rsid w:val="007854FB"/>
    <w:rsid w:val="0078565B"/>
    <w:rsid w:val="007856EA"/>
    <w:rsid w:val="00785817"/>
    <w:rsid w:val="00785865"/>
    <w:rsid w:val="00785866"/>
    <w:rsid w:val="0078589E"/>
    <w:rsid w:val="007858D5"/>
    <w:rsid w:val="00785922"/>
    <w:rsid w:val="007859B5"/>
    <w:rsid w:val="007859F0"/>
    <w:rsid w:val="00785B9D"/>
    <w:rsid w:val="00785BD7"/>
    <w:rsid w:val="00785C44"/>
    <w:rsid w:val="00785D0C"/>
    <w:rsid w:val="00785D96"/>
    <w:rsid w:val="00785DE6"/>
    <w:rsid w:val="00785DF1"/>
    <w:rsid w:val="00785EAA"/>
    <w:rsid w:val="00785F38"/>
    <w:rsid w:val="00786127"/>
    <w:rsid w:val="00786195"/>
    <w:rsid w:val="007862AB"/>
    <w:rsid w:val="0078633B"/>
    <w:rsid w:val="007863F4"/>
    <w:rsid w:val="007863FF"/>
    <w:rsid w:val="00786433"/>
    <w:rsid w:val="0078647F"/>
    <w:rsid w:val="00786667"/>
    <w:rsid w:val="00786686"/>
    <w:rsid w:val="00786692"/>
    <w:rsid w:val="00786724"/>
    <w:rsid w:val="007868B1"/>
    <w:rsid w:val="00786912"/>
    <w:rsid w:val="00786AB0"/>
    <w:rsid w:val="00786B47"/>
    <w:rsid w:val="00786C1C"/>
    <w:rsid w:val="00786C8C"/>
    <w:rsid w:val="00786D1D"/>
    <w:rsid w:val="00786DCF"/>
    <w:rsid w:val="00786F88"/>
    <w:rsid w:val="00786FA0"/>
    <w:rsid w:val="00787066"/>
    <w:rsid w:val="007872F4"/>
    <w:rsid w:val="0078736B"/>
    <w:rsid w:val="0078748C"/>
    <w:rsid w:val="007874C0"/>
    <w:rsid w:val="007875B0"/>
    <w:rsid w:val="007876C2"/>
    <w:rsid w:val="00787702"/>
    <w:rsid w:val="00787788"/>
    <w:rsid w:val="00787939"/>
    <w:rsid w:val="0078795E"/>
    <w:rsid w:val="00787A77"/>
    <w:rsid w:val="00787AC3"/>
    <w:rsid w:val="00787B10"/>
    <w:rsid w:val="00787BF1"/>
    <w:rsid w:val="00787CB2"/>
    <w:rsid w:val="00787CC6"/>
    <w:rsid w:val="00787D86"/>
    <w:rsid w:val="00787E37"/>
    <w:rsid w:val="00787E4C"/>
    <w:rsid w:val="00787E52"/>
    <w:rsid w:val="00787ED2"/>
    <w:rsid w:val="00787F27"/>
    <w:rsid w:val="00790017"/>
    <w:rsid w:val="00790047"/>
    <w:rsid w:val="007900F7"/>
    <w:rsid w:val="00790108"/>
    <w:rsid w:val="0079011F"/>
    <w:rsid w:val="00790139"/>
    <w:rsid w:val="0079023C"/>
    <w:rsid w:val="0079024B"/>
    <w:rsid w:val="0079027B"/>
    <w:rsid w:val="007904C9"/>
    <w:rsid w:val="007904E2"/>
    <w:rsid w:val="00790616"/>
    <w:rsid w:val="007906B6"/>
    <w:rsid w:val="00790797"/>
    <w:rsid w:val="007908C8"/>
    <w:rsid w:val="007908CB"/>
    <w:rsid w:val="007908EE"/>
    <w:rsid w:val="00790A34"/>
    <w:rsid w:val="00790B4A"/>
    <w:rsid w:val="00790C0E"/>
    <w:rsid w:val="00790C2C"/>
    <w:rsid w:val="00790C51"/>
    <w:rsid w:val="00790C5B"/>
    <w:rsid w:val="00790C69"/>
    <w:rsid w:val="00790C6D"/>
    <w:rsid w:val="00790CFE"/>
    <w:rsid w:val="00790DC2"/>
    <w:rsid w:val="00790DE9"/>
    <w:rsid w:val="00790E8D"/>
    <w:rsid w:val="00790F9D"/>
    <w:rsid w:val="00791020"/>
    <w:rsid w:val="00791025"/>
    <w:rsid w:val="007910EC"/>
    <w:rsid w:val="00791190"/>
    <w:rsid w:val="007912C7"/>
    <w:rsid w:val="00791309"/>
    <w:rsid w:val="00791345"/>
    <w:rsid w:val="0079134C"/>
    <w:rsid w:val="00791350"/>
    <w:rsid w:val="00791366"/>
    <w:rsid w:val="00791399"/>
    <w:rsid w:val="0079146E"/>
    <w:rsid w:val="007915A7"/>
    <w:rsid w:val="007915FF"/>
    <w:rsid w:val="00791830"/>
    <w:rsid w:val="0079192C"/>
    <w:rsid w:val="00791A27"/>
    <w:rsid w:val="00791B05"/>
    <w:rsid w:val="00791B1B"/>
    <w:rsid w:val="00791B23"/>
    <w:rsid w:val="00791C10"/>
    <w:rsid w:val="00791C71"/>
    <w:rsid w:val="00791C97"/>
    <w:rsid w:val="00791D15"/>
    <w:rsid w:val="00791D95"/>
    <w:rsid w:val="00791EBA"/>
    <w:rsid w:val="00791F32"/>
    <w:rsid w:val="00792152"/>
    <w:rsid w:val="00792269"/>
    <w:rsid w:val="00792434"/>
    <w:rsid w:val="00792441"/>
    <w:rsid w:val="0079250D"/>
    <w:rsid w:val="00792537"/>
    <w:rsid w:val="007925AD"/>
    <w:rsid w:val="00792657"/>
    <w:rsid w:val="00792795"/>
    <w:rsid w:val="007927A3"/>
    <w:rsid w:val="0079282D"/>
    <w:rsid w:val="00792958"/>
    <w:rsid w:val="007929A2"/>
    <w:rsid w:val="00792B7C"/>
    <w:rsid w:val="00792B9C"/>
    <w:rsid w:val="00792BA1"/>
    <w:rsid w:val="00792BE8"/>
    <w:rsid w:val="00792D9E"/>
    <w:rsid w:val="00792EF1"/>
    <w:rsid w:val="00792FC7"/>
    <w:rsid w:val="00792FF3"/>
    <w:rsid w:val="0079305E"/>
    <w:rsid w:val="007930E4"/>
    <w:rsid w:val="007930FD"/>
    <w:rsid w:val="00793188"/>
    <w:rsid w:val="00793198"/>
    <w:rsid w:val="007932D2"/>
    <w:rsid w:val="007933DA"/>
    <w:rsid w:val="007934FF"/>
    <w:rsid w:val="00793551"/>
    <w:rsid w:val="0079361E"/>
    <w:rsid w:val="007938A6"/>
    <w:rsid w:val="00793928"/>
    <w:rsid w:val="007939A4"/>
    <w:rsid w:val="00793BC4"/>
    <w:rsid w:val="00793D12"/>
    <w:rsid w:val="00793E89"/>
    <w:rsid w:val="007941E8"/>
    <w:rsid w:val="00794226"/>
    <w:rsid w:val="007943F8"/>
    <w:rsid w:val="00794403"/>
    <w:rsid w:val="00794413"/>
    <w:rsid w:val="00794458"/>
    <w:rsid w:val="00794485"/>
    <w:rsid w:val="007944AC"/>
    <w:rsid w:val="007945BF"/>
    <w:rsid w:val="00794626"/>
    <w:rsid w:val="007946CF"/>
    <w:rsid w:val="0079484F"/>
    <w:rsid w:val="007948D3"/>
    <w:rsid w:val="0079492C"/>
    <w:rsid w:val="00794A05"/>
    <w:rsid w:val="00794A6E"/>
    <w:rsid w:val="00794C78"/>
    <w:rsid w:val="00794C86"/>
    <w:rsid w:val="00794CC7"/>
    <w:rsid w:val="00794D1A"/>
    <w:rsid w:val="00794D53"/>
    <w:rsid w:val="00794DE9"/>
    <w:rsid w:val="00794EAC"/>
    <w:rsid w:val="00794EB4"/>
    <w:rsid w:val="00794EE7"/>
    <w:rsid w:val="00794F5B"/>
    <w:rsid w:val="00794FFB"/>
    <w:rsid w:val="0079501B"/>
    <w:rsid w:val="007950EA"/>
    <w:rsid w:val="007951F3"/>
    <w:rsid w:val="0079523B"/>
    <w:rsid w:val="007952BA"/>
    <w:rsid w:val="00795386"/>
    <w:rsid w:val="007953CC"/>
    <w:rsid w:val="00795440"/>
    <w:rsid w:val="007954A3"/>
    <w:rsid w:val="007954D3"/>
    <w:rsid w:val="00795829"/>
    <w:rsid w:val="0079587A"/>
    <w:rsid w:val="0079596D"/>
    <w:rsid w:val="00795A04"/>
    <w:rsid w:val="00795A0D"/>
    <w:rsid w:val="00795AA6"/>
    <w:rsid w:val="00795C57"/>
    <w:rsid w:val="00795C74"/>
    <w:rsid w:val="00795E45"/>
    <w:rsid w:val="00795EC1"/>
    <w:rsid w:val="00795FBF"/>
    <w:rsid w:val="00795FE6"/>
    <w:rsid w:val="00796092"/>
    <w:rsid w:val="007960EE"/>
    <w:rsid w:val="00796237"/>
    <w:rsid w:val="00796317"/>
    <w:rsid w:val="00796350"/>
    <w:rsid w:val="00796450"/>
    <w:rsid w:val="007964A0"/>
    <w:rsid w:val="007965B6"/>
    <w:rsid w:val="007967C1"/>
    <w:rsid w:val="00796808"/>
    <w:rsid w:val="0079689E"/>
    <w:rsid w:val="0079692F"/>
    <w:rsid w:val="0079698D"/>
    <w:rsid w:val="00796AF0"/>
    <w:rsid w:val="00796BD8"/>
    <w:rsid w:val="00796C21"/>
    <w:rsid w:val="00796CBB"/>
    <w:rsid w:val="00796D5F"/>
    <w:rsid w:val="00796DDB"/>
    <w:rsid w:val="00796F10"/>
    <w:rsid w:val="00796F23"/>
    <w:rsid w:val="00796F5E"/>
    <w:rsid w:val="00796F61"/>
    <w:rsid w:val="00796F77"/>
    <w:rsid w:val="00796F9B"/>
    <w:rsid w:val="00797016"/>
    <w:rsid w:val="0079714B"/>
    <w:rsid w:val="007971CB"/>
    <w:rsid w:val="00797234"/>
    <w:rsid w:val="00797318"/>
    <w:rsid w:val="00797421"/>
    <w:rsid w:val="00797453"/>
    <w:rsid w:val="007974DE"/>
    <w:rsid w:val="00797501"/>
    <w:rsid w:val="00797666"/>
    <w:rsid w:val="00797797"/>
    <w:rsid w:val="0079781D"/>
    <w:rsid w:val="00797869"/>
    <w:rsid w:val="0079790D"/>
    <w:rsid w:val="00797A84"/>
    <w:rsid w:val="00797AD7"/>
    <w:rsid w:val="00797BF8"/>
    <w:rsid w:val="00797C9B"/>
    <w:rsid w:val="00797CB8"/>
    <w:rsid w:val="00797D79"/>
    <w:rsid w:val="00797E2C"/>
    <w:rsid w:val="00797E44"/>
    <w:rsid w:val="00797E77"/>
    <w:rsid w:val="00797F62"/>
    <w:rsid w:val="007A000E"/>
    <w:rsid w:val="007A01A2"/>
    <w:rsid w:val="007A02C9"/>
    <w:rsid w:val="007A0353"/>
    <w:rsid w:val="007A03E6"/>
    <w:rsid w:val="007A0595"/>
    <w:rsid w:val="007A066F"/>
    <w:rsid w:val="007A0723"/>
    <w:rsid w:val="007A08E4"/>
    <w:rsid w:val="007A0954"/>
    <w:rsid w:val="007A0964"/>
    <w:rsid w:val="007A0999"/>
    <w:rsid w:val="007A0A0B"/>
    <w:rsid w:val="007A0AA8"/>
    <w:rsid w:val="007A0B19"/>
    <w:rsid w:val="007A0C03"/>
    <w:rsid w:val="007A0CA2"/>
    <w:rsid w:val="007A0CA9"/>
    <w:rsid w:val="007A0D39"/>
    <w:rsid w:val="007A0DF9"/>
    <w:rsid w:val="007A0E4B"/>
    <w:rsid w:val="007A0E68"/>
    <w:rsid w:val="007A0E9A"/>
    <w:rsid w:val="007A0F6C"/>
    <w:rsid w:val="007A0F6F"/>
    <w:rsid w:val="007A0FF2"/>
    <w:rsid w:val="007A1008"/>
    <w:rsid w:val="007A1039"/>
    <w:rsid w:val="007A1170"/>
    <w:rsid w:val="007A12BB"/>
    <w:rsid w:val="007A1407"/>
    <w:rsid w:val="007A1436"/>
    <w:rsid w:val="007A14EC"/>
    <w:rsid w:val="007A1614"/>
    <w:rsid w:val="007A162E"/>
    <w:rsid w:val="007A1914"/>
    <w:rsid w:val="007A1920"/>
    <w:rsid w:val="007A1966"/>
    <w:rsid w:val="007A1A47"/>
    <w:rsid w:val="007A1CEF"/>
    <w:rsid w:val="007A1D9F"/>
    <w:rsid w:val="007A1DC3"/>
    <w:rsid w:val="007A1E56"/>
    <w:rsid w:val="007A20B3"/>
    <w:rsid w:val="007A2164"/>
    <w:rsid w:val="007A2199"/>
    <w:rsid w:val="007A21A9"/>
    <w:rsid w:val="007A23EE"/>
    <w:rsid w:val="007A25F0"/>
    <w:rsid w:val="007A265B"/>
    <w:rsid w:val="007A268C"/>
    <w:rsid w:val="007A27C6"/>
    <w:rsid w:val="007A29B3"/>
    <w:rsid w:val="007A29C6"/>
    <w:rsid w:val="007A2A21"/>
    <w:rsid w:val="007A2C9C"/>
    <w:rsid w:val="007A2CC6"/>
    <w:rsid w:val="007A2CEC"/>
    <w:rsid w:val="007A2D6B"/>
    <w:rsid w:val="007A2D86"/>
    <w:rsid w:val="007A2D89"/>
    <w:rsid w:val="007A2E91"/>
    <w:rsid w:val="007A2E92"/>
    <w:rsid w:val="007A2F11"/>
    <w:rsid w:val="007A2F9E"/>
    <w:rsid w:val="007A30F6"/>
    <w:rsid w:val="007A31AA"/>
    <w:rsid w:val="007A3205"/>
    <w:rsid w:val="007A32C5"/>
    <w:rsid w:val="007A32EB"/>
    <w:rsid w:val="007A3313"/>
    <w:rsid w:val="007A3360"/>
    <w:rsid w:val="007A336F"/>
    <w:rsid w:val="007A3418"/>
    <w:rsid w:val="007A3473"/>
    <w:rsid w:val="007A34A1"/>
    <w:rsid w:val="007A34A3"/>
    <w:rsid w:val="007A34BF"/>
    <w:rsid w:val="007A34CF"/>
    <w:rsid w:val="007A3577"/>
    <w:rsid w:val="007A358C"/>
    <w:rsid w:val="007A358D"/>
    <w:rsid w:val="007A35F3"/>
    <w:rsid w:val="007A360A"/>
    <w:rsid w:val="007A36B5"/>
    <w:rsid w:val="007A3782"/>
    <w:rsid w:val="007A37BC"/>
    <w:rsid w:val="007A383E"/>
    <w:rsid w:val="007A3854"/>
    <w:rsid w:val="007A3883"/>
    <w:rsid w:val="007A3896"/>
    <w:rsid w:val="007A3940"/>
    <w:rsid w:val="007A3A8F"/>
    <w:rsid w:val="007A3B9A"/>
    <w:rsid w:val="007A3BE1"/>
    <w:rsid w:val="007A3CB2"/>
    <w:rsid w:val="007A3D20"/>
    <w:rsid w:val="007A3F8B"/>
    <w:rsid w:val="007A3FC2"/>
    <w:rsid w:val="007A4052"/>
    <w:rsid w:val="007A4094"/>
    <w:rsid w:val="007A40C1"/>
    <w:rsid w:val="007A43F0"/>
    <w:rsid w:val="007A4405"/>
    <w:rsid w:val="007A4440"/>
    <w:rsid w:val="007A45AD"/>
    <w:rsid w:val="007A461D"/>
    <w:rsid w:val="007A46CB"/>
    <w:rsid w:val="007A490A"/>
    <w:rsid w:val="007A49E4"/>
    <w:rsid w:val="007A4A60"/>
    <w:rsid w:val="007A4AB1"/>
    <w:rsid w:val="007A4B86"/>
    <w:rsid w:val="007A4BB7"/>
    <w:rsid w:val="007A4BDC"/>
    <w:rsid w:val="007A4CBE"/>
    <w:rsid w:val="007A4DD7"/>
    <w:rsid w:val="007A4FE8"/>
    <w:rsid w:val="007A5000"/>
    <w:rsid w:val="007A5134"/>
    <w:rsid w:val="007A5205"/>
    <w:rsid w:val="007A5266"/>
    <w:rsid w:val="007A539C"/>
    <w:rsid w:val="007A53B5"/>
    <w:rsid w:val="007A54FE"/>
    <w:rsid w:val="007A5571"/>
    <w:rsid w:val="007A5653"/>
    <w:rsid w:val="007A569F"/>
    <w:rsid w:val="007A5788"/>
    <w:rsid w:val="007A59E5"/>
    <w:rsid w:val="007A5B22"/>
    <w:rsid w:val="007A5C0B"/>
    <w:rsid w:val="007A5D0E"/>
    <w:rsid w:val="007A5DD2"/>
    <w:rsid w:val="007A5F43"/>
    <w:rsid w:val="007A5F84"/>
    <w:rsid w:val="007A5FD2"/>
    <w:rsid w:val="007A5FEE"/>
    <w:rsid w:val="007A5FF2"/>
    <w:rsid w:val="007A6134"/>
    <w:rsid w:val="007A6146"/>
    <w:rsid w:val="007A614B"/>
    <w:rsid w:val="007A6259"/>
    <w:rsid w:val="007A63A1"/>
    <w:rsid w:val="007A63F5"/>
    <w:rsid w:val="007A6582"/>
    <w:rsid w:val="007A66D1"/>
    <w:rsid w:val="007A67F4"/>
    <w:rsid w:val="007A68BE"/>
    <w:rsid w:val="007A68D2"/>
    <w:rsid w:val="007A6923"/>
    <w:rsid w:val="007A6972"/>
    <w:rsid w:val="007A6A09"/>
    <w:rsid w:val="007A6A90"/>
    <w:rsid w:val="007A6CCD"/>
    <w:rsid w:val="007A6D13"/>
    <w:rsid w:val="007A6DA9"/>
    <w:rsid w:val="007A6DD6"/>
    <w:rsid w:val="007A6DE1"/>
    <w:rsid w:val="007A6E0B"/>
    <w:rsid w:val="007A6EDB"/>
    <w:rsid w:val="007A6F09"/>
    <w:rsid w:val="007A6FAB"/>
    <w:rsid w:val="007A6FDC"/>
    <w:rsid w:val="007A7049"/>
    <w:rsid w:val="007A7148"/>
    <w:rsid w:val="007A7188"/>
    <w:rsid w:val="007A71E3"/>
    <w:rsid w:val="007A723B"/>
    <w:rsid w:val="007A7342"/>
    <w:rsid w:val="007A736F"/>
    <w:rsid w:val="007A739F"/>
    <w:rsid w:val="007A73DD"/>
    <w:rsid w:val="007A750B"/>
    <w:rsid w:val="007A778D"/>
    <w:rsid w:val="007A77BF"/>
    <w:rsid w:val="007A77DB"/>
    <w:rsid w:val="007A7825"/>
    <w:rsid w:val="007A7869"/>
    <w:rsid w:val="007A78D6"/>
    <w:rsid w:val="007A7A12"/>
    <w:rsid w:val="007A7A9E"/>
    <w:rsid w:val="007A7C6A"/>
    <w:rsid w:val="007A7E06"/>
    <w:rsid w:val="007A7E50"/>
    <w:rsid w:val="007A7EF3"/>
    <w:rsid w:val="007A7FE4"/>
    <w:rsid w:val="007B022A"/>
    <w:rsid w:val="007B0257"/>
    <w:rsid w:val="007B0284"/>
    <w:rsid w:val="007B0288"/>
    <w:rsid w:val="007B02EA"/>
    <w:rsid w:val="007B034D"/>
    <w:rsid w:val="007B03A2"/>
    <w:rsid w:val="007B03AF"/>
    <w:rsid w:val="007B047C"/>
    <w:rsid w:val="007B04C9"/>
    <w:rsid w:val="007B0676"/>
    <w:rsid w:val="007B07E7"/>
    <w:rsid w:val="007B082A"/>
    <w:rsid w:val="007B083A"/>
    <w:rsid w:val="007B084E"/>
    <w:rsid w:val="007B098E"/>
    <w:rsid w:val="007B0A2E"/>
    <w:rsid w:val="007B0A45"/>
    <w:rsid w:val="007B0A82"/>
    <w:rsid w:val="007B0AB9"/>
    <w:rsid w:val="007B0BB0"/>
    <w:rsid w:val="007B0DE6"/>
    <w:rsid w:val="007B0E9F"/>
    <w:rsid w:val="007B0EE5"/>
    <w:rsid w:val="007B0EF5"/>
    <w:rsid w:val="007B0EFD"/>
    <w:rsid w:val="007B0F1A"/>
    <w:rsid w:val="007B0FA4"/>
    <w:rsid w:val="007B1134"/>
    <w:rsid w:val="007B11CA"/>
    <w:rsid w:val="007B1291"/>
    <w:rsid w:val="007B13F3"/>
    <w:rsid w:val="007B14E8"/>
    <w:rsid w:val="007B14FE"/>
    <w:rsid w:val="007B150F"/>
    <w:rsid w:val="007B1650"/>
    <w:rsid w:val="007B1729"/>
    <w:rsid w:val="007B1750"/>
    <w:rsid w:val="007B17BA"/>
    <w:rsid w:val="007B180D"/>
    <w:rsid w:val="007B18B0"/>
    <w:rsid w:val="007B18E3"/>
    <w:rsid w:val="007B1B02"/>
    <w:rsid w:val="007B1B3E"/>
    <w:rsid w:val="007B1C81"/>
    <w:rsid w:val="007B1CD9"/>
    <w:rsid w:val="007B1D17"/>
    <w:rsid w:val="007B1D69"/>
    <w:rsid w:val="007B1DA3"/>
    <w:rsid w:val="007B1EBB"/>
    <w:rsid w:val="007B1F26"/>
    <w:rsid w:val="007B1FE8"/>
    <w:rsid w:val="007B2264"/>
    <w:rsid w:val="007B256B"/>
    <w:rsid w:val="007B257D"/>
    <w:rsid w:val="007B25E1"/>
    <w:rsid w:val="007B2751"/>
    <w:rsid w:val="007B27A1"/>
    <w:rsid w:val="007B27EE"/>
    <w:rsid w:val="007B27F9"/>
    <w:rsid w:val="007B2803"/>
    <w:rsid w:val="007B28DA"/>
    <w:rsid w:val="007B2951"/>
    <w:rsid w:val="007B2DEE"/>
    <w:rsid w:val="007B2E90"/>
    <w:rsid w:val="007B2FBC"/>
    <w:rsid w:val="007B315F"/>
    <w:rsid w:val="007B318F"/>
    <w:rsid w:val="007B31AF"/>
    <w:rsid w:val="007B3220"/>
    <w:rsid w:val="007B32FC"/>
    <w:rsid w:val="007B3373"/>
    <w:rsid w:val="007B3464"/>
    <w:rsid w:val="007B351F"/>
    <w:rsid w:val="007B3585"/>
    <w:rsid w:val="007B377D"/>
    <w:rsid w:val="007B37E2"/>
    <w:rsid w:val="007B37F3"/>
    <w:rsid w:val="007B3828"/>
    <w:rsid w:val="007B3919"/>
    <w:rsid w:val="007B395B"/>
    <w:rsid w:val="007B3B7D"/>
    <w:rsid w:val="007B3BA6"/>
    <w:rsid w:val="007B3BDE"/>
    <w:rsid w:val="007B3C19"/>
    <w:rsid w:val="007B3C3D"/>
    <w:rsid w:val="007B3C40"/>
    <w:rsid w:val="007B3CF1"/>
    <w:rsid w:val="007B3D1C"/>
    <w:rsid w:val="007B4001"/>
    <w:rsid w:val="007B406B"/>
    <w:rsid w:val="007B4299"/>
    <w:rsid w:val="007B4352"/>
    <w:rsid w:val="007B45AD"/>
    <w:rsid w:val="007B45C6"/>
    <w:rsid w:val="007B45EC"/>
    <w:rsid w:val="007B4613"/>
    <w:rsid w:val="007B4693"/>
    <w:rsid w:val="007B4720"/>
    <w:rsid w:val="007B4905"/>
    <w:rsid w:val="007B4B72"/>
    <w:rsid w:val="007B4B83"/>
    <w:rsid w:val="007B4D62"/>
    <w:rsid w:val="007B4EF0"/>
    <w:rsid w:val="007B4F2C"/>
    <w:rsid w:val="007B500F"/>
    <w:rsid w:val="007B50E6"/>
    <w:rsid w:val="007B5110"/>
    <w:rsid w:val="007B519B"/>
    <w:rsid w:val="007B52D9"/>
    <w:rsid w:val="007B54C1"/>
    <w:rsid w:val="007B556E"/>
    <w:rsid w:val="007B5577"/>
    <w:rsid w:val="007B5753"/>
    <w:rsid w:val="007B58DF"/>
    <w:rsid w:val="007B5931"/>
    <w:rsid w:val="007B596B"/>
    <w:rsid w:val="007B59B3"/>
    <w:rsid w:val="007B59B8"/>
    <w:rsid w:val="007B5AC0"/>
    <w:rsid w:val="007B5BA3"/>
    <w:rsid w:val="007B5C93"/>
    <w:rsid w:val="007B5CDE"/>
    <w:rsid w:val="007B5D37"/>
    <w:rsid w:val="007B5D65"/>
    <w:rsid w:val="007B5DE0"/>
    <w:rsid w:val="007B5EC9"/>
    <w:rsid w:val="007B5F10"/>
    <w:rsid w:val="007B60E1"/>
    <w:rsid w:val="007B6109"/>
    <w:rsid w:val="007B6163"/>
    <w:rsid w:val="007B616E"/>
    <w:rsid w:val="007B619A"/>
    <w:rsid w:val="007B6218"/>
    <w:rsid w:val="007B621B"/>
    <w:rsid w:val="007B6348"/>
    <w:rsid w:val="007B6380"/>
    <w:rsid w:val="007B64C2"/>
    <w:rsid w:val="007B64C9"/>
    <w:rsid w:val="007B6533"/>
    <w:rsid w:val="007B659F"/>
    <w:rsid w:val="007B6675"/>
    <w:rsid w:val="007B6694"/>
    <w:rsid w:val="007B677A"/>
    <w:rsid w:val="007B686D"/>
    <w:rsid w:val="007B6940"/>
    <w:rsid w:val="007B6947"/>
    <w:rsid w:val="007B6974"/>
    <w:rsid w:val="007B6989"/>
    <w:rsid w:val="007B6A2A"/>
    <w:rsid w:val="007B6AFB"/>
    <w:rsid w:val="007B6C8E"/>
    <w:rsid w:val="007B6CFD"/>
    <w:rsid w:val="007B6E16"/>
    <w:rsid w:val="007B6E1A"/>
    <w:rsid w:val="007B701B"/>
    <w:rsid w:val="007B714E"/>
    <w:rsid w:val="007B7185"/>
    <w:rsid w:val="007B71F6"/>
    <w:rsid w:val="007B7314"/>
    <w:rsid w:val="007B7409"/>
    <w:rsid w:val="007B743F"/>
    <w:rsid w:val="007B752B"/>
    <w:rsid w:val="007B754D"/>
    <w:rsid w:val="007B7642"/>
    <w:rsid w:val="007B769F"/>
    <w:rsid w:val="007B76F2"/>
    <w:rsid w:val="007B77C3"/>
    <w:rsid w:val="007B781B"/>
    <w:rsid w:val="007B7876"/>
    <w:rsid w:val="007B792D"/>
    <w:rsid w:val="007B7946"/>
    <w:rsid w:val="007B7957"/>
    <w:rsid w:val="007B7979"/>
    <w:rsid w:val="007B7982"/>
    <w:rsid w:val="007B79BD"/>
    <w:rsid w:val="007B7A52"/>
    <w:rsid w:val="007B7B51"/>
    <w:rsid w:val="007B7C0E"/>
    <w:rsid w:val="007B7C24"/>
    <w:rsid w:val="007B7DF0"/>
    <w:rsid w:val="007B7FB4"/>
    <w:rsid w:val="007C011F"/>
    <w:rsid w:val="007C01AE"/>
    <w:rsid w:val="007C020E"/>
    <w:rsid w:val="007C02F7"/>
    <w:rsid w:val="007C031B"/>
    <w:rsid w:val="007C0352"/>
    <w:rsid w:val="007C038E"/>
    <w:rsid w:val="007C03D6"/>
    <w:rsid w:val="007C03FD"/>
    <w:rsid w:val="007C040E"/>
    <w:rsid w:val="007C0420"/>
    <w:rsid w:val="007C07D6"/>
    <w:rsid w:val="007C0818"/>
    <w:rsid w:val="007C0868"/>
    <w:rsid w:val="007C08B2"/>
    <w:rsid w:val="007C0918"/>
    <w:rsid w:val="007C097F"/>
    <w:rsid w:val="007C09C2"/>
    <w:rsid w:val="007C0AFE"/>
    <w:rsid w:val="007C0B59"/>
    <w:rsid w:val="007C0B5B"/>
    <w:rsid w:val="007C0B8E"/>
    <w:rsid w:val="007C0BAD"/>
    <w:rsid w:val="007C0BBD"/>
    <w:rsid w:val="007C0D9A"/>
    <w:rsid w:val="007C0DD0"/>
    <w:rsid w:val="007C0E1D"/>
    <w:rsid w:val="007C0E4F"/>
    <w:rsid w:val="007C0EC8"/>
    <w:rsid w:val="007C0F5B"/>
    <w:rsid w:val="007C104D"/>
    <w:rsid w:val="007C1052"/>
    <w:rsid w:val="007C10E6"/>
    <w:rsid w:val="007C1130"/>
    <w:rsid w:val="007C1154"/>
    <w:rsid w:val="007C11E6"/>
    <w:rsid w:val="007C11FC"/>
    <w:rsid w:val="007C1221"/>
    <w:rsid w:val="007C1243"/>
    <w:rsid w:val="007C12A2"/>
    <w:rsid w:val="007C12CD"/>
    <w:rsid w:val="007C1450"/>
    <w:rsid w:val="007C1527"/>
    <w:rsid w:val="007C1580"/>
    <w:rsid w:val="007C1690"/>
    <w:rsid w:val="007C1732"/>
    <w:rsid w:val="007C1777"/>
    <w:rsid w:val="007C17F7"/>
    <w:rsid w:val="007C1819"/>
    <w:rsid w:val="007C1947"/>
    <w:rsid w:val="007C1A53"/>
    <w:rsid w:val="007C1D04"/>
    <w:rsid w:val="007C1D39"/>
    <w:rsid w:val="007C1D61"/>
    <w:rsid w:val="007C1DC9"/>
    <w:rsid w:val="007C1E48"/>
    <w:rsid w:val="007C1E4E"/>
    <w:rsid w:val="007C1E70"/>
    <w:rsid w:val="007C1EA2"/>
    <w:rsid w:val="007C2004"/>
    <w:rsid w:val="007C2059"/>
    <w:rsid w:val="007C2246"/>
    <w:rsid w:val="007C2345"/>
    <w:rsid w:val="007C24ED"/>
    <w:rsid w:val="007C267A"/>
    <w:rsid w:val="007C2718"/>
    <w:rsid w:val="007C27B0"/>
    <w:rsid w:val="007C2836"/>
    <w:rsid w:val="007C2886"/>
    <w:rsid w:val="007C2890"/>
    <w:rsid w:val="007C2942"/>
    <w:rsid w:val="007C2CEB"/>
    <w:rsid w:val="007C2F6C"/>
    <w:rsid w:val="007C3023"/>
    <w:rsid w:val="007C3230"/>
    <w:rsid w:val="007C33B5"/>
    <w:rsid w:val="007C346E"/>
    <w:rsid w:val="007C34A3"/>
    <w:rsid w:val="007C3599"/>
    <w:rsid w:val="007C35F6"/>
    <w:rsid w:val="007C3643"/>
    <w:rsid w:val="007C37EF"/>
    <w:rsid w:val="007C388B"/>
    <w:rsid w:val="007C389C"/>
    <w:rsid w:val="007C3914"/>
    <w:rsid w:val="007C395C"/>
    <w:rsid w:val="007C3A35"/>
    <w:rsid w:val="007C3A76"/>
    <w:rsid w:val="007C3A81"/>
    <w:rsid w:val="007C3AEF"/>
    <w:rsid w:val="007C3B9E"/>
    <w:rsid w:val="007C3BBA"/>
    <w:rsid w:val="007C3C44"/>
    <w:rsid w:val="007C3C52"/>
    <w:rsid w:val="007C3E41"/>
    <w:rsid w:val="007C3EAB"/>
    <w:rsid w:val="007C3ECE"/>
    <w:rsid w:val="007C3F0E"/>
    <w:rsid w:val="007C406D"/>
    <w:rsid w:val="007C40BC"/>
    <w:rsid w:val="007C41C4"/>
    <w:rsid w:val="007C425D"/>
    <w:rsid w:val="007C4273"/>
    <w:rsid w:val="007C4332"/>
    <w:rsid w:val="007C433F"/>
    <w:rsid w:val="007C43A2"/>
    <w:rsid w:val="007C43DE"/>
    <w:rsid w:val="007C445C"/>
    <w:rsid w:val="007C44B2"/>
    <w:rsid w:val="007C44E8"/>
    <w:rsid w:val="007C476A"/>
    <w:rsid w:val="007C4A20"/>
    <w:rsid w:val="007C4B10"/>
    <w:rsid w:val="007C4BA8"/>
    <w:rsid w:val="007C4C6D"/>
    <w:rsid w:val="007C4C75"/>
    <w:rsid w:val="007C4D92"/>
    <w:rsid w:val="007C4DED"/>
    <w:rsid w:val="007C4F32"/>
    <w:rsid w:val="007C5268"/>
    <w:rsid w:val="007C526C"/>
    <w:rsid w:val="007C52D7"/>
    <w:rsid w:val="007C530A"/>
    <w:rsid w:val="007C5382"/>
    <w:rsid w:val="007C53C4"/>
    <w:rsid w:val="007C54B7"/>
    <w:rsid w:val="007C54CB"/>
    <w:rsid w:val="007C55DA"/>
    <w:rsid w:val="007C5692"/>
    <w:rsid w:val="007C56AC"/>
    <w:rsid w:val="007C57A8"/>
    <w:rsid w:val="007C5833"/>
    <w:rsid w:val="007C58ED"/>
    <w:rsid w:val="007C5A1E"/>
    <w:rsid w:val="007C5ABC"/>
    <w:rsid w:val="007C5B3A"/>
    <w:rsid w:val="007C5B6E"/>
    <w:rsid w:val="007C5BAB"/>
    <w:rsid w:val="007C5C87"/>
    <w:rsid w:val="007C5CD1"/>
    <w:rsid w:val="007C5D52"/>
    <w:rsid w:val="007C5E5B"/>
    <w:rsid w:val="007C5F1B"/>
    <w:rsid w:val="007C5F3D"/>
    <w:rsid w:val="007C6086"/>
    <w:rsid w:val="007C6108"/>
    <w:rsid w:val="007C6181"/>
    <w:rsid w:val="007C61A9"/>
    <w:rsid w:val="007C6298"/>
    <w:rsid w:val="007C638E"/>
    <w:rsid w:val="007C648D"/>
    <w:rsid w:val="007C6623"/>
    <w:rsid w:val="007C66C9"/>
    <w:rsid w:val="007C6736"/>
    <w:rsid w:val="007C6825"/>
    <w:rsid w:val="007C68B4"/>
    <w:rsid w:val="007C6A5C"/>
    <w:rsid w:val="007C6D42"/>
    <w:rsid w:val="007C6D48"/>
    <w:rsid w:val="007C6DD7"/>
    <w:rsid w:val="007C6DF8"/>
    <w:rsid w:val="007C6E10"/>
    <w:rsid w:val="007C6E36"/>
    <w:rsid w:val="007C6F34"/>
    <w:rsid w:val="007C709C"/>
    <w:rsid w:val="007C70B3"/>
    <w:rsid w:val="007C71B4"/>
    <w:rsid w:val="007C7265"/>
    <w:rsid w:val="007C72B5"/>
    <w:rsid w:val="007C7351"/>
    <w:rsid w:val="007C73CC"/>
    <w:rsid w:val="007C7413"/>
    <w:rsid w:val="007C7454"/>
    <w:rsid w:val="007C74B7"/>
    <w:rsid w:val="007C757D"/>
    <w:rsid w:val="007C7592"/>
    <w:rsid w:val="007C75A2"/>
    <w:rsid w:val="007C75D5"/>
    <w:rsid w:val="007C7631"/>
    <w:rsid w:val="007C767C"/>
    <w:rsid w:val="007C77AD"/>
    <w:rsid w:val="007C78D6"/>
    <w:rsid w:val="007C7902"/>
    <w:rsid w:val="007C7A30"/>
    <w:rsid w:val="007C7A3B"/>
    <w:rsid w:val="007C7ABF"/>
    <w:rsid w:val="007C7BA4"/>
    <w:rsid w:val="007C7C14"/>
    <w:rsid w:val="007C7D55"/>
    <w:rsid w:val="007C7D8B"/>
    <w:rsid w:val="007C7F4E"/>
    <w:rsid w:val="007D014A"/>
    <w:rsid w:val="007D018B"/>
    <w:rsid w:val="007D01DB"/>
    <w:rsid w:val="007D01EB"/>
    <w:rsid w:val="007D0261"/>
    <w:rsid w:val="007D03C1"/>
    <w:rsid w:val="007D03D9"/>
    <w:rsid w:val="007D03F0"/>
    <w:rsid w:val="007D041A"/>
    <w:rsid w:val="007D0489"/>
    <w:rsid w:val="007D053F"/>
    <w:rsid w:val="007D0542"/>
    <w:rsid w:val="007D05EF"/>
    <w:rsid w:val="007D079C"/>
    <w:rsid w:val="007D0827"/>
    <w:rsid w:val="007D09D2"/>
    <w:rsid w:val="007D0A73"/>
    <w:rsid w:val="007D0AAA"/>
    <w:rsid w:val="007D0ABA"/>
    <w:rsid w:val="007D0B52"/>
    <w:rsid w:val="007D0B6B"/>
    <w:rsid w:val="007D0BAF"/>
    <w:rsid w:val="007D0C09"/>
    <w:rsid w:val="007D0CB8"/>
    <w:rsid w:val="007D0CD2"/>
    <w:rsid w:val="007D0DAE"/>
    <w:rsid w:val="007D0F33"/>
    <w:rsid w:val="007D0FF5"/>
    <w:rsid w:val="007D1027"/>
    <w:rsid w:val="007D11F6"/>
    <w:rsid w:val="007D1236"/>
    <w:rsid w:val="007D1365"/>
    <w:rsid w:val="007D13A2"/>
    <w:rsid w:val="007D13D0"/>
    <w:rsid w:val="007D1457"/>
    <w:rsid w:val="007D14BF"/>
    <w:rsid w:val="007D1509"/>
    <w:rsid w:val="007D16BB"/>
    <w:rsid w:val="007D16C7"/>
    <w:rsid w:val="007D16E5"/>
    <w:rsid w:val="007D17FC"/>
    <w:rsid w:val="007D1815"/>
    <w:rsid w:val="007D18AE"/>
    <w:rsid w:val="007D18D2"/>
    <w:rsid w:val="007D192B"/>
    <w:rsid w:val="007D19EC"/>
    <w:rsid w:val="007D1A24"/>
    <w:rsid w:val="007D1A7C"/>
    <w:rsid w:val="007D1AF1"/>
    <w:rsid w:val="007D1BF7"/>
    <w:rsid w:val="007D1C85"/>
    <w:rsid w:val="007D1D72"/>
    <w:rsid w:val="007D1D76"/>
    <w:rsid w:val="007D1E06"/>
    <w:rsid w:val="007D1EED"/>
    <w:rsid w:val="007D1EF2"/>
    <w:rsid w:val="007D206A"/>
    <w:rsid w:val="007D20DC"/>
    <w:rsid w:val="007D2248"/>
    <w:rsid w:val="007D2250"/>
    <w:rsid w:val="007D233B"/>
    <w:rsid w:val="007D235D"/>
    <w:rsid w:val="007D2451"/>
    <w:rsid w:val="007D24D0"/>
    <w:rsid w:val="007D2503"/>
    <w:rsid w:val="007D2548"/>
    <w:rsid w:val="007D2742"/>
    <w:rsid w:val="007D286E"/>
    <w:rsid w:val="007D2946"/>
    <w:rsid w:val="007D29B3"/>
    <w:rsid w:val="007D2AE5"/>
    <w:rsid w:val="007D2B69"/>
    <w:rsid w:val="007D2BC8"/>
    <w:rsid w:val="007D2C14"/>
    <w:rsid w:val="007D2CFC"/>
    <w:rsid w:val="007D2E73"/>
    <w:rsid w:val="007D2FCD"/>
    <w:rsid w:val="007D304C"/>
    <w:rsid w:val="007D31CB"/>
    <w:rsid w:val="007D32D6"/>
    <w:rsid w:val="007D3451"/>
    <w:rsid w:val="007D34B4"/>
    <w:rsid w:val="007D34E7"/>
    <w:rsid w:val="007D35BC"/>
    <w:rsid w:val="007D399E"/>
    <w:rsid w:val="007D3A8E"/>
    <w:rsid w:val="007D3B67"/>
    <w:rsid w:val="007D3E82"/>
    <w:rsid w:val="007D3EA6"/>
    <w:rsid w:val="007D4052"/>
    <w:rsid w:val="007D4195"/>
    <w:rsid w:val="007D41AD"/>
    <w:rsid w:val="007D432A"/>
    <w:rsid w:val="007D434F"/>
    <w:rsid w:val="007D438E"/>
    <w:rsid w:val="007D4391"/>
    <w:rsid w:val="007D43AD"/>
    <w:rsid w:val="007D43D9"/>
    <w:rsid w:val="007D4443"/>
    <w:rsid w:val="007D44B4"/>
    <w:rsid w:val="007D46A5"/>
    <w:rsid w:val="007D46FE"/>
    <w:rsid w:val="007D4730"/>
    <w:rsid w:val="007D47D7"/>
    <w:rsid w:val="007D48CE"/>
    <w:rsid w:val="007D49B4"/>
    <w:rsid w:val="007D4A5D"/>
    <w:rsid w:val="007D4AAC"/>
    <w:rsid w:val="007D4B9D"/>
    <w:rsid w:val="007D4BB3"/>
    <w:rsid w:val="007D4C30"/>
    <w:rsid w:val="007D4C65"/>
    <w:rsid w:val="007D4D1F"/>
    <w:rsid w:val="007D4E30"/>
    <w:rsid w:val="007D4F16"/>
    <w:rsid w:val="007D4FFA"/>
    <w:rsid w:val="007D524E"/>
    <w:rsid w:val="007D526D"/>
    <w:rsid w:val="007D536A"/>
    <w:rsid w:val="007D53C9"/>
    <w:rsid w:val="007D5432"/>
    <w:rsid w:val="007D55D4"/>
    <w:rsid w:val="007D56C6"/>
    <w:rsid w:val="007D575E"/>
    <w:rsid w:val="007D5824"/>
    <w:rsid w:val="007D5941"/>
    <w:rsid w:val="007D5994"/>
    <w:rsid w:val="007D5A09"/>
    <w:rsid w:val="007D5B0D"/>
    <w:rsid w:val="007D5B68"/>
    <w:rsid w:val="007D5C7B"/>
    <w:rsid w:val="007D5DCB"/>
    <w:rsid w:val="007D5DEA"/>
    <w:rsid w:val="007D5EB3"/>
    <w:rsid w:val="007D6123"/>
    <w:rsid w:val="007D61E3"/>
    <w:rsid w:val="007D62C5"/>
    <w:rsid w:val="007D6333"/>
    <w:rsid w:val="007D63AA"/>
    <w:rsid w:val="007D66AF"/>
    <w:rsid w:val="007D671F"/>
    <w:rsid w:val="007D693F"/>
    <w:rsid w:val="007D69E3"/>
    <w:rsid w:val="007D6A57"/>
    <w:rsid w:val="007D6AA8"/>
    <w:rsid w:val="007D6AC5"/>
    <w:rsid w:val="007D6B7E"/>
    <w:rsid w:val="007D6C64"/>
    <w:rsid w:val="007D6C87"/>
    <w:rsid w:val="007D6D64"/>
    <w:rsid w:val="007D6F63"/>
    <w:rsid w:val="007D6FA7"/>
    <w:rsid w:val="007D70A5"/>
    <w:rsid w:val="007D7240"/>
    <w:rsid w:val="007D72F5"/>
    <w:rsid w:val="007D73BD"/>
    <w:rsid w:val="007D7804"/>
    <w:rsid w:val="007D7822"/>
    <w:rsid w:val="007D7874"/>
    <w:rsid w:val="007D78BC"/>
    <w:rsid w:val="007D78BE"/>
    <w:rsid w:val="007D7932"/>
    <w:rsid w:val="007D7AB1"/>
    <w:rsid w:val="007D7AE4"/>
    <w:rsid w:val="007D7B2C"/>
    <w:rsid w:val="007D7C14"/>
    <w:rsid w:val="007D7CFE"/>
    <w:rsid w:val="007D7D26"/>
    <w:rsid w:val="007D7E34"/>
    <w:rsid w:val="007D7EC6"/>
    <w:rsid w:val="007D7F20"/>
    <w:rsid w:val="007D7FA9"/>
    <w:rsid w:val="007D7FED"/>
    <w:rsid w:val="007DA471"/>
    <w:rsid w:val="007E0019"/>
    <w:rsid w:val="007E02F6"/>
    <w:rsid w:val="007E035C"/>
    <w:rsid w:val="007E03A2"/>
    <w:rsid w:val="007E03D8"/>
    <w:rsid w:val="007E04E4"/>
    <w:rsid w:val="007E0586"/>
    <w:rsid w:val="007E063F"/>
    <w:rsid w:val="007E0683"/>
    <w:rsid w:val="007E086B"/>
    <w:rsid w:val="007E08C6"/>
    <w:rsid w:val="007E092D"/>
    <w:rsid w:val="007E09AF"/>
    <w:rsid w:val="007E09DD"/>
    <w:rsid w:val="007E0A5D"/>
    <w:rsid w:val="007E0A66"/>
    <w:rsid w:val="007E0A68"/>
    <w:rsid w:val="007E0B22"/>
    <w:rsid w:val="007E0BA3"/>
    <w:rsid w:val="007E0C10"/>
    <w:rsid w:val="007E0CE5"/>
    <w:rsid w:val="007E0CFA"/>
    <w:rsid w:val="007E0D11"/>
    <w:rsid w:val="007E0D7B"/>
    <w:rsid w:val="007E0DB0"/>
    <w:rsid w:val="007E0DD2"/>
    <w:rsid w:val="007E0DE1"/>
    <w:rsid w:val="007E0FBD"/>
    <w:rsid w:val="007E0FD9"/>
    <w:rsid w:val="007E1139"/>
    <w:rsid w:val="007E11E2"/>
    <w:rsid w:val="007E1249"/>
    <w:rsid w:val="007E1253"/>
    <w:rsid w:val="007E134D"/>
    <w:rsid w:val="007E141E"/>
    <w:rsid w:val="007E1479"/>
    <w:rsid w:val="007E14D6"/>
    <w:rsid w:val="007E152F"/>
    <w:rsid w:val="007E15AC"/>
    <w:rsid w:val="007E170A"/>
    <w:rsid w:val="007E1742"/>
    <w:rsid w:val="007E1744"/>
    <w:rsid w:val="007E1820"/>
    <w:rsid w:val="007E1823"/>
    <w:rsid w:val="007E196F"/>
    <w:rsid w:val="007E199E"/>
    <w:rsid w:val="007E1AF0"/>
    <w:rsid w:val="007E1B57"/>
    <w:rsid w:val="007E1B9A"/>
    <w:rsid w:val="007E1C55"/>
    <w:rsid w:val="007E1D04"/>
    <w:rsid w:val="007E1D35"/>
    <w:rsid w:val="007E1DA9"/>
    <w:rsid w:val="007E1E57"/>
    <w:rsid w:val="007E1E9A"/>
    <w:rsid w:val="007E1F3E"/>
    <w:rsid w:val="007E1F43"/>
    <w:rsid w:val="007E1F7D"/>
    <w:rsid w:val="007E1FA6"/>
    <w:rsid w:val="007E1FA8"/>
    <w:rsid w:val="007E2014"/>
    <w:rsid w:val="007E20C8"/>
    <w:rsid w:val="007E20D7"/>
    <w:rsid w:val="007E20EE"/>
    <w:rsid w:val="007E2191"/>
    <w:rsid w:val="007E219E"/>
    <w:rsid w:val="007E21CD"/>
    <w:rsid w:val="007E21FA"/>
    <w:rsid w:val="007E22C3"/>
    <w:rsid w:val="007E23B0"/>
    <w:rsid w:val="007E2447"/>
    <w:rsid w:val="007E24D7"/>
    <w:rsid w:val="007E258D"/>
    <w:rsid w:val="007E25AB"/>
    <w:rsid w:val="007E25BF"/>
    <w:rsid w:val="007E25C7"/>
    <w:rsid w:val="007E25DD"/>
    <w:rsid w:val="007E261F"/>
    <w:rsid w:val="007E264C"/>
    <w:rsid w:val="007E266B"/>
    <w:rsid w:val="007E270B"/>
    <w:rsid w:val="007E2734"/>
    <w:rsid w:val="007E28F2"/>
    <w:rsid w:val="007E2961"/>
    <w:rsid w:val="007E2A44"/>
    <w:rsid w:val="007E2A90"/>
    <w:rsid w:val="007E2C2D"/>
    <w:rsid w:val="007E2C3F"/>
    <w:rsid w:val="007E2D45"/>
    <w:rsid w:val="007E2DF3"/>
    <w:rsid w:val="007E2FA7"/>
    <w:rsid w:val="007E3042"/>
    <w:rsid w:val="007E321D"/>
    <w:rsid w:val="007E32DC"/>
    <w:rsid w:val="007E32E0"/>
    <w:rsid w:val="007E34E9"/>
    <w:rsid w:val="007E36A8"/>
    <w:rsid w:val="007E376A"/>
    <w:rsid w:val="007E3806"/>
    <w:rsid w:val="007E38CE"/>
    <w:rsid w:val="007E3927"/>
    <w:rsid w:val="007E3931"/>
    <w:rsid w:val="007E39DE"/>
    <w:rsid w:val="007E3A55"/>
    <w:rsid w:val="007E3AFC"/>
    <w:rsid w:val="007E3B42"/>
    <w:rsid w:val="007E3C5A"/>
    <w:rsid w:val="007E3C9F"/>
    <w:rsid w:val="007E3CDB"/>
    <w:rsid w:val="007E3CE3"/>
    <w:rsid w:val="007E3D80"/>
    <w:rsid w:val="007E3F5D"/>
    <w:rsid w:val="007E3F66"/>
    <w:rsid w:val="007E3FD2"/>
    <w:rsid w:val="007E4084"/>
    <w:rsid w:val="007E4107"/>
    <w:rsid w:val="007E4156"/>
    <w:rsid w:val="007E41C7"/>
    <w:rsid w:val="007E41F5"/>
    <w:rsid w:val="007E43BE"/>
    <w:rsid w:val="007E442E"/>
    <w:rsid w:val="007E4531"/>
    <w:rsid w:val="007E460A"/>
    <w:rsid w:val="007E4649"/>
    <w:rsid w:val="007E465D"/>
    <w:rsid w:val="007E46C0"/>
    <w:rsid w:val="007E47C3"/>
    <w:rsid w:val="007E497B"/>
    <w:rsid w:val="007E4A3D"/>
    <w:rsid w:val="007E4A76"/>
    <w:rsid w:val="007E4BFE"/>
    <w:rsid w:val="007E4C3A"/>
    <w:rsid w:val="007E4D1E"/>
    <w:rsid w:val="007E4D7E"/>
    <w:rsid w:val="007E4E66"/>
    <w:rsid w:val="007E4E90"/>
    <w:rsid w:val="007E4EA6"/>
    <w:rsid w:val="007E4F4C"/>
    <w:rsid w:val="007E4F5D"/>
    <w:rsid w:val="007E50AB"/>
    <w:rsid w:val="007E5171"/>
    <w:rsid w:val="007E51D2"/>
    <w:rsid w:val="007E5239"/>
    <w:rsid w:val="007E5281"/>
    <w:rsid w:val="007E5300"/>
    <w:rsid w:val="007E5374"/>
    <w:rsid w:val="007E5510"/>
    <w:rsid w:val="007E560D"/>
    <w:rsid w:val="007E5685"/>
    <w:rsid w:val="007E5717"/>
    <w:rsid w:val="007E57D2"/>
    <w:rsid w:val="007E5822"/>
    <w:rsid w:val="007E5A56"/>
    <w:rsid w:val="007E5B84"/>
    <w:rsid w:val="007E5B8E"/>
    <w:rsid w:val="007E5BE2"/>
    <w:rsid w:val="007E5C39"/>
    <w:rsid w:val="007E5C68"/>
    <w:rsid w:val="007E5CDD"/>
    <w:rsid w:val="007E5D4C"/>
    <w:rsid w:val="007E5EF9"/>
    <w:rsid w:val="007E5F97"/>
    <w:rsid w:val="007E61C2"/>
    <w:rsid w:val="007E61CD"/>
    <w:rsid w:val="007E61F6"/>
    <w:rsid w:val="007E62E2"/>
    <w:rsid w:val="007E6317"/>
    <w:rsid w:val="007E631F"/>
    <w:rsid w:val="007E63AE"/>
    <w:rsid w:val="007E6452"/>
    <w:rsid w:val="007E64AC"/>
    <w:rsid w:val="007E64B2"/>
    <w:rsid w:val="007E65D8"/>
    <w:rsid w:val="007E67E6"/>
    <w:rsid w:val="007E690F"/>
    <w:rsid w:val="007E6A17"/>
    <w:rsid w:val="007E6A99"/>
    <w:rsid w:val="007E6AE9"/>
    <w:rsid w:val="007E6B78"/>
    <w:rsid w:val="007E6BAE"/>
    <w:rsid w:val="007E6CBC"/>
    <w:rsid w:val="007E6D06"/>
    <w:rsid w:val="007E6D30"/>
    <w:rsid w:val="007E6FDE"/>
    <w:rsid w:val="007E6FE5"/>
    <w:rsid w:val="007E708B"/>
    <w:rsid w:val="007E70ED"/>
    <w:rsid w:val="007E7125"/>
    <w:rsid w:val="007E721F"/>
    <w:rsid w:val="007E7260"/>
    <w:rsid w:val="007E7274"/>
    <w:rsid w:val="007E74DE"/>
    <w:rsid w:val="007E74FD"/>
    <w:rsid w:val="007E76C5"/>
    <w:rsid w:val="007E77FC"/>
    <w:rsid w:val="007E7870"/>
    <w:rsid w:val="007E789D"/>
    <w:rsid w:val="007E78FB"/>
    <w:rsid w:val="007E790D"/>
    <w:rsid w:val="007E7915"/>
    <w:rsid w:val="007E7928"/>
    <w:rsid w:val="007E7B6D"/>
    <w:rsid w:val="007E7CFF"/>
    <w:rsid w:val="007E7D19"/>
    <w:rsid w:val="007E7E13"/>
    <w:rsid w:val="007E7E50"/>
    <w:rsid w:val="007E7EA9"/>
    <w:rsid w:val="007E7EB9"/>
    <w:rsid w:val="007F0068"/>
    <w:rsid w:val="007F00D8"/>
    <w:rsid w:val="007F0139"/>
    <w:rsid w:val="007F0144"/>
    <w:rsid w:val="007F015E"/>
    <w:rsid w:val="007F0222"/>
    <w:rsid w:val="007F02A8"/>
    <w:rsid w:val="007F02E5"/>
    <w:rsid w:val="007F02F7"/>
    <w:rsid w:val="007F0371"/>
    <w:rsid w:val="007F0425"/>
    <w:rsid w:val="007F0488"/>
    <w:rsid w:val="007F04A5"/>
    <w:rsid w:val="007F06D5"/>
    <w:rsid w:val="007F0720"/>
    <w:rsid w:val="007F076A"/>
    <w:rsid w:val="007F0790"/>
    <w:rsid w:val="007F080F"/>
    <w:rsid w:val="007F08A2"/>
    <w:rsid w:val="007F096C"/>
    <w:rsid w:val="007F09AC"/>
    <w:rsid w:val="007F09B5"/>
    <w:rsid w:val="007F0A1D"/>
    <w:rsid w:val="007F0B59"/>
    <w:rsid w:val="007F0C51"/>
    <w:rsid w:val="007F0C5C"/>
    <w:rsid w:val="007F0DD7"/>
    <w:rsid w:val="007F0DDD"/>
    <w:rsid w:val="007F0F6A"/>
    <w:rsid w:val="007F11D2"/>
    <w:rsid w:val="007F11EC"/>
    <w:rsid w:val="007F1220"/>
    <w:rsid w:val="007F1243"/>
    <w:rsid w:val="007F1383"/>
    <w:rsid w:val="007F13B7"/>
    <w:rsid w:val="007F1415"/>
    <w:rsid w:val="007F14A7"/>
    <w:rsid w:val="007F1511"/>
    <w:rsid w:val="007F1541"/>
    <w:rsid w:val="007F1572"/>
    <w:rsid w:val="007F15B8"/>
    <w:rsid w:val="007F173B"/>
    <w:rsid w:val="007F1893"/>
    <w:rsid w:val="007F1ACD"/>
    <w:rsid w:val="007F1C0D"/>
    <w:rsid w:val="007F1C96"/>
    <w:rsid w:val="007F1CFF"/>
    <w:rsid w:val="007F1E04"/>
    <w:rsid w:val="007F1EDB"/>
    <w:rsid w:val="007F2142"/>
    <w:rsid w:val="007F21A6"/>
    <w:rsid w:val="007F22FF"/>
    <w:rsid w:val="007F232D"/>
    <w:rsid w:val="007F234D"/>
    <w:rsid w:val="007F2399"/>
    <w:rsid w:val="007F23BE"/>
    <w:rsid w:val="007F2672"/>
    <w:rsid w:val="007F2752"/>
    <w:rsid w:val="007F288A"/>
    <w:rsid w:val="007F2937"/>
    <w:rsid w:val="007F2BD5"/>
    <w:rsid w:val="007F2CD4"/>
    <w:rsid w:val="007F306D"/>
    <w:rsid w:val="007F30A5"/>
    <w:rsid w:val="007F3140"/>
    <w:rsid w:val="007F321D"/>
    <w:rsid w:val="007F3325"/>
    <w:rsid w:val="007F33D0"/>
    <w:rsid w:val="007F3443"/>
    <w:rsid w:val="007F3475"/>
    <w:rsid w:val="007F353D"/>
    <w:rsid w:val="007F353F"/>
    <w:rsid w:val="007F35BE"/>
    <w:rsid w:val="007F36ED"/>
    <w:rsid w:val="007F374E"/>
    <w:rsid w:val="007F3767"/>
    <w:rsid w:val="007F38A5"/>
    <w:rsid w:val="007F38EF"/>
    <w:rsid w:val="007F394B"/>
    <w:rsid w:val="007F3BFF"/>
    <w:rsid w:val="007F3C10"/>
    <w:rsid w:val="007F4203"/>
    <w:rsid w:val="007F4378"/>
    <w:rsid w:val="007F4446"/>
    <w:rsid w:val="007F44AF"/>
    <w:rsid w:val="007F44EB"/>
    <w:rsid w:val="007F44FC"/>
    <w:rsid w:val="007F457C"/>
    <w:rsid w:val="007F4631"/>
    <w:rsid w:val="007F472E"/>
    <w:rsid w:val="007F47FA"/>
    <w:rsid w:val="007F490A"/>
    <w:rsid w:val="007F49B0"/>
    <w:rsid w:val="007F4A93"/>
    <w:rsid w:val="007F4AEC"/>
    <w:rsid w:val="007F4B1D"/>
    <w:rsid w:val="007F4B66"/>
    <w:rsid w:val="007F4BEC"/>
    <w:rsid w:val="007F4C8E"/>
    <w:rsid w:val="007F4C96"/>
    <w:rsid w:val="007F4CA1"/>
    <w:rsid w:val="007F4CBC"/>
    <w:rsid w:val="007F4D06"/>
    <w:rsid w:val="007F4D7B"/>
    <w:rsid w:val="007F4DDE"/>
    <w:rsid w:val="007F4DF6"/>
    <w:rsid w:val="007F50D4"/>
    <w:rsid w:val="007F5103"/>
    <w:rsid w:val="007F5113"/>
    <w:rsid w:val="007F5210"/>
    <w:rsid w:val="007F524F"/>
    <w:rsid w:val="007F53B4"/>
    <w:rsid w:val="007F53CF"/>
    <w:rsid w:val="007F5425"/>
    <w:rsid w:val="007F547B"/>
    <w:rsid w:val="007F5625"/>
    <w:rsid w:val="007F5649"/>
    <w:rsid w:val="007F564A"/>
    <w:rsid w:val="007F56ED"/>
    <w:rsid w:val="007F57BA"/>
    <w:rsid w:val="007F5880"/>
    <w:rsid w:val="007F58A3"/>
    <w:rsid w:val="007F5FD9"/>
    <w:rsid w:val="007F611F"/>
    <w:rsid w:val="007F6245"/>
    <w:rsid w:val="007F624B"/>
    <w:rsid w:val="007F64C0"/>
    <w:rsid w:val="007F6538"/>
    <w:rsid w:val="007F656E"/>
    <w:rsid w:val="007F65A2"/>
    <w:rsid w:val="007F663A"/>
    <w:rsid w:val="007F663D"/>
    <w:rsid w:val="007F66EE"/>
    <w:rsid w:val="007F671F"/>
    <w:rsid w:val="007F6792"/>
    <w:rsid w:val="007F67CF"/>
    <w:rsid w:val="007F67D0"/>
    <w:rsid w:val="007F68F5"/>
    <w:rsid w:val="007F6BD8"/>
    <w:rsid w:val="007F6D0D"/>
    <w:rsid w:val="007F6DB3"/>
    <w:rsid w:val="007F7053"/>
    <w:rsid w:val="007F70BA"/>
    <w:rsid w:val="007F7120"/>
    <w:rsid w:val="007F718D"/>
    <w:rsid w:val="007F725F"/>
    <w:rsid w:val="007F7324"/>
    <w:rsid w:val="007F73CC"/>
    <w:rsid w:val="007F73F5"/>
    <w:rsid w:val="007F76FF"/>
    <w:rsid w:val="007F7836"/>
    <w:rsid w:val="007F78CB"/>
    <w:rsid w:val="007F79BE"/>
    <w:rsid w:val="007F79D1"/>
    <w:rsid w:val="007F7A5A"/>
    <w:rsid w:val="007F7BC8"/>
    <w:rsid w:val="007F7C00"/>
    <w:rsid w:val="007F7DAE"/>
    <w:rsid w:val="007F7F41"/>
    <w:rsid w:val="007F7FC6"/>
    <w:rsid w:val="00800013"/>
    <w:rsid w:val="0080004F"/>
    <w:rsid w:val="008000F3"/>
    <w:rsid w:val="008001E9"/>
    <w:rsid w:val="00800404"/>
    <w:rsid w:val="008004F3"/>
    <w:rsid w:val="0080054E"/>
    <w:rsid w:val="008005BE"/>
    <w:rsid w:val="008006F2"/>
    <w:rsid w:val="00800704"/>
    <w:rsid w:val="00800893"/>
    <w:rsid w:val="008008EB"/>
    <w:rsid w:val="008009F0"/>
    <w:rsid w:val="00800AC9"/>
    <w:rsid w:val="00800AE9"/>
    <w:rsid w:val="00800B1E"/>
    <w:rsid w:val="00800B9C"/>
    <w:rsid w:val="00800C85"/>
    <w:rsid w:val="00800DEF"/>
    <w:rsid w:val="00800F84"/>
    <w:rsid w:val="00801137"/>
    <w:rsid w:val="00801349"/>
    <w:rsid w:val="0080141B"/>
    <w:rsid w:val="00801438"/>
    <w:rsid w:val="0080151C"/>
    <w:rsid w:val="00801561"/>
    <w:rsid w:val="0080158D"/>
    <w:rsid w:val="008015BB"/>
    <w:rsid w:val="0080180C"/>
    <w:rsid w:val="00801887"/>
    <w:rsid w:val="008018C6"/>
    <w:rsid w:val="008018FA"/>
    <w:rsid w:val="00801916"/>
    <w:rsid w:val="00801928"/>
    <w:rsid w:val="00801A4B"/>
    <w:rsid w:val="00801CC1"/>
    <w:rsid w:val="00801D89"/>
    <w:rsid w:val="00801D92"/>
    <w:rsid w:val="00801D9A"/>
    <w:rsid w:val="00801EE7"/>
    <w:rsid w:val="0080212D"/>
    <w:rsid w:val="00802375"/>
    <w:rsid w:val="008023A8"/>
    <w:rsid w:val="00802483"/>
    <w:rsid w:val="00802561"/>
    <w:rsid w:val="0080258D"/>
    <w:rsid w:val="0080271F"/>
    <w:rsid w:val="008027D7"/>
    <w:rsid w:val="008027DA"/>
    <w:rsid w:val="00802819"/>
    <w:rsid w:val="00802965"/>
    <w:rsid w:val="008029EB"/>
    <w:rsid w:val="00802A79"/>
    <w:rsid w:val="00802A9B"/>
    <w:rsid w:val="00802C4B"/>
    <w:rsid w:val="00802CB9"/>
    <w:rsid w:val="00802CE8"/>
    <w:rsid w:val="00802D16"/>
    <w:rsid w:val="00802DC9"/>
    <w:rsid w:val="00802E24"/>
    <w:rsid w:val="00802E51"/>
    <w:rsid w:val="00802E7F"/>
    <w:rsid w:val="00802F32"/>
    <w:rsid w:val="00802F47"/>
    <w:rsid w:val="008030E4"/>
    <w:rsid w:val="008031E3"/>
    <w:rsid w:val="008031EC"/>
    <w:rsid w:val="00803220"/>
    <w:rsid w:val="008032FA"/>
    <w:rsid w:val="008036E0"/>
    <w:rsid w:val="00803739"/>
    <w:rsid w:val="00803803"/>
    <w:rsid w:val="00803933"/>
    <w:rsid w:val="00803940"/>
    <w:rsid w:val="008039A0"/>
    <w:rsid w:val="008039CA"/>
    <w:rsid w:val="00803C1B"/>
    <w:rsid w:val="00803C38"/>
    <w:rsid w:val="00803C75"/>
    <w:rsid w:val="00803F90"/>
    <w:rsid w:val="00804138"/>
    <w:rsid w:val="00804269"/>
    <w:rsid w:val="00804353"/>
    <w:rsid w:val="0080435C"/>
    <w:rsid w:val="00804421"/>
    <w:rsid w:val="008044BE"/>
    <w:rsid w:val="00804522"/>
    <w:rsid w:val="008046B5"/>
    <w:rsid w:val="008046B6"/>
    <w:rsid w:val="00804709"/>
    <w:rsid w:val="00804869"/>
    <w:rsid w:val="00804885"/>
    <w:rsid w:val="0080488D"/>
    <w:rsid w:val="008049FA"/>
    <w:rsid w:val="00804AD1"/>
    <w:rsid w:val="00804AD6"/>
    <w:rsid w:val="00804AD8"/>
    <w:rsid w:val="00804BC7"/>
    <w:rsid w:val="00804BE1"/>
    <w:rsid w:val="00804BE9"/>
    <w:rsid w:val="00804CE2"/>
    <w:rsid w:val="00804E5B"/>
    <w:rsid w:val="00804EE6"/>
    <w:rsid w:val="00804F12"/>
    <w:rsid w:val="00804F2D"/>
    <w:rsid w:val="0080505B"/>
    <w:rsid w:val="008050BD"/>
    <w:rsid w:val="00805114"/>
    <w:rsid w:val="00805119"/>
    <w:rsid w:val="00805254"/>
    <w:rsid w:val="0080533D"/>
    <w:rsid w:val="00805439"/>
    <w:rsid w:val="00805618"/>
    <w:rsid w:val="008056B5"/>
    <w:rsid w:val="008056C9"/>
    <w:rsid w:val="008057E8"/>
    <w:rsid w:val="00805836"/>
    <w:rsid w:val="00805897"/>
    <w:rsid w:val="008059A2"/>
    <w:rsid w:val="00805A3C"/>
    <w:rsid w:val="00805A92"/>
    <w:rsid w:val="00805AC7"/>
    <w:rsid w:val="00805B8D"/>
    <w:rsid w:val="00805B9B"/>
    <w:rsid w:val="00805D28"/>
    <w:rsid w:val="00805EA7"/>
    <w:rsid w:val="00805EEE"/>
    <w:rsid w:val="00805FB0"/>
    <w:rsid w:val="00806008"/>
    <w:rsid w:val="008060B9"/>
    <w:rsid w:val="008060DA"/>
    <w:rsid w:val="00806161"/>
    <w:rsid w:val="00806164"/>
    <w:rsid w:val="00806207"/>
    <w:rsid w:val="0080620F"/>
    <w:rsid w:val="0080621C"/>
    <w:rsid w:val="00806306"/>
    <w:rsid w:val="00806348"/>
    <w:rsid w:val="0080639A"/>
    <w:rsid w:val="008063B0"/>
    <w:rsid w:val="008063D9"/>
    <w:rsid w:val="008064E5"/>
    <w:rsid w:val="00806558"/>
    <w:rsid w:val="00806643"/>
    <w:rsid w:val="0080665A"/>
    <w:rsid w:val="00806660"/>
    <w:rsid w:val="008067B2"/>
    <w:rsid w:val="008067E6"/>
    <w:rsid w:val="008067EA"/>
    <w:rsid w:val="00806888"/>
    <w:rsid w:val="0080688D"/>
    <w:rsid w:val="0080692A"/>
    <w:rsid w:val="008069C9"/>
    <w:rsid w:val="00806B49"/>
    <w:rsid w:val="00806C92"/>
    <w:rsid w:val="00806D45"/>
    <w:rsid w:val="00806D64"/>
    <w:rsid w:val="00806E8F"/>
    <w:rsid w:val="008070E9"/>
    <w:rsid w:val="0080715D"/>
    <w:rsid w:val="008071B6"/>
    <w:rsid w:val="008072D6"/>
    <w:rsid w:val="008072D8"/>
    <w:rsid w:val="00807368"/>
    <w:rsid w:val="008073BB"/>
    <w:rsid w:val="00807482"/>
    <w:rsid w:val="00807602"/>
    <w:rsid w:val="0080763D"/>
    <w:rsid w:val="00807693"/>
    <w:rsid w:val="008077C1"/>
    <w:rsid w:val="008078AE"/>
    <w:rsid w:val="0080790F"/>
    <w:rsid w:val="0080791C"/>
    <w:rsid w:val="0080794E"/>
    <w:rsid w:val="0080795C"/>
    <w:rsid w:val="008079CB"/>
    <w:rsid w:val="00807A23"/>
    <w:rsid w:val="00807B57"/>
    <w:rsid w:val="00807C93"/>
    <w:rsid w:val="00807CDC"/>
    <w:rsid w:val="00807E18"/>
    <w:rsid w:val="00807E25"/>
    <w:rsid w:val="00807E80"/>
    <w:rsid w:val="00807EF1"/>
    <w:rsid w:val="00807F96"/>
    <w:rsid w:val="0081001E"/>
    <w:rsid w:val="0081008F"/>
    <w:rsid w:val="00810167"/>
    <w:rsid w:val="008102F7"/>
    <w:rsid w:val="0081052D"/>
    <w:rsid w:val="00810672"/>
    <w:rsid w:val="008106BB"/>
    <w:rsid w:val="00810707"/>
    <w:rsid w:val="00810710"/>
    <w:rsid w:val="0081075F"/>
    <w:rsid w:val="00810872"/>
    <w:rsid w:val="008109CA"/>
    <w:rsid w:val="008109D4"/>
    <w:rsid w:val="00810A56"/>
    <w:rsid w:val="00810A67"/>
    <w:rsid w:val="00810AD1"/>
    <w:rsid w:val="00810B51"/>
    <w:rsid w:val="00810CF9"/>
    <w:rsid w:val="00810D0D"/>
    <w:rsid w:val="00810DEA"/>
    <w:rsid w:val="00810E2B"/>
    <w:rsid w:val="00810E6E"/>
    <w:rsid w:val="00810E9D"/>
    <w:rsid w:val="00810EAD"/>
    <w:rsid w:val="00810F30"/>
    <w:rsid w:val="00810F81"/>
    <w:rsid w:val="008110A4"/>
    <w:rsid w:val="008110C3"/>
    <w:rsid w:val="008110FE"/>
    <w:rsid w:val="00811171"/>
    <w:rsid w:val="00811246"/>
    <w:rsid w:val="008112F7"/>
    <w:rsid w:val="008113A1"/>
    <w:rsid w:val="008115D6"/>
    <w:rsid w:val="008116B3"/>
    <w:rsid w:val="00811893"/>
    <w:rsid w:val="008118B1"/>
    <w:rsid w:val="008118C1"/>
    <w:rsid w:val="00811A05"/>
    <w:rsid w:val="00811A64"/>
    <w:rsid w:val="00811A83"/>
    <w:rsid w:val="00811A93"/>
    <w:rsid w:val="00811AC2"/>
    <w:rsid w:val="00811ACC"/>
    <w:rsid w:val="00811B20"/>
    <w:rsid w:val="00811C1C"/>
    <w:rsid w:val="00811C1F"/>
    <w:rsid w:val="00811C5A"/>
    <w:rsid w:val="00811CAC"/>
    <w:rsid w:val="00811D0C"/>
    <w:rsid w:val="00811DF2"/>
    <w:rsid w:val="00811E47"/>
    <w:rsid w:val="00811ED5"/>
    <w:rsid w:val="00811F97"/>
    <w:rsid w:val="00811FBD"/>
    <w:rsid w:val="00812024"/>
    <w:rsid w:val="0081209E"/>
    <w:rsid w:val="008121AC"/>
    <w:rsid w:val="0081231B"/>
    <w:rsid w:val="008123D7"/>
    <w:rsid w:val="0081254C"/>
    <w:rsid w:val="0081258E"/>
    <w:rsid w:val="00812754"/>
    <w:rsid w:val="0081275F"/>
    <w:rsid w:val="00812799"/>
    <w:rsid w:val="00812995"/>
    <w:rsid w:val="00812C0A"/>
    <w:rsid w:val="00812D42"/>
    <w:rsid w:val="00812E84"/>
    <w:rsid w:val="008130DB"/>
    <w:rsid w:val="0081313A"/>
    <w:rsid w:val="008132C6"/>
    <w:rsid w:val="008132EC"/>
    <w:rsid w:val="0081339A"/>
    <w:rsid w:val="008134CB"/>
    <w:rsid w:val="008135A7"/>
    <w:rsid w:val="00813677"/>
    <w:rsid w:val="00813717"/>
    <w:rsid w:val="008137B0"/>
    <w:rsid w:val="008137E2"/>
    <w:rsid w:val="008137FC"/>
    <w:rsid w:val="008138BE"/>
    <w:rsid w:val="00813B34"/>
    <w:rsid w:val="00813B5E"/>
    <w:rsid w:val="00813B71"/>
    <w:rsid w:val="00813BCE"/>
    <w:rsid w:val="00813D6D"/>
    <w:rsid w:val="00813DC4"/>
    <w:rsid w:val="00813E33"/>
    <w:rsid w:val="00813E3A"/>
    <w:rsid w:val="00813EF2"/>
    <w:rsid w:val="00813F1D"/>
    <w:rsid w:val="00813F98"/>
    <w:rsid w:val="008140B4"/>
    <w:rsid w:val="008140F3"/>
    <w:rsid w:val="00814139"/>
    <w:rsid w:val="0081423D"/>
    <w:rsid w:val="00814265"/>
    <w:rsid w:val="00814391"/>
    <w:rsid w:val="00814472"/>
    <w:rsid w:val="008145FD"/>
    <w:rsid w:val="00814698"/>
    <w:rsid w:val="008147E4"/>
    <w:rsid w:val="008148A2"/>
    <w:rsid w:val="008148E6"/>
    <w:rsid w:val="00814A14"/>
    <w:rsid w:val="00814B79"/>
    <w:rsid w:val="00814BE7"/>
    <w:rsid w:val="00814C51"/>
    <w:rsid w:val="00814D07"/>
    <w:rsid w:val="00814D64"/>
    <w:rsid w:val="00814EA5"/>
    <w:rsid w:val="00814F1A"/>
    <w:rsid w:val="00814FAA"/>
    <w:rsid w:val="00815050"/>
    <w:rsid w:val="0081505D"/>
    <w:rsid w:val="008150A8"/>
    <w:rsid w:val="008150CA"/>
    <w:rsid w:val="0081522B"/>
    <w:rsid w:val="0081535E"/>
    <w:rsid w:val="0081536A"/>
    <w:rsid w:val="008153EE"/>
    <w:rsid w:val="0081546A"/>
    <w:rsid w:val="008154BD"/>
    <w:rsid w:val="0081552C"/>
    <w:rsid w:val="008155A3"/>
    <w:rsid w:val="00815645"/>
    <w:rsid w:val="00815669"/>
    <w:rsid w:val="00815BBA"/>
    <w:rsid w:val="00815C08"/>
    <w:rsid w:val="00815C14"/>
    <w:rsid w:val="00815C35"/>
    <w:rsid w:val="00815F69"/>
    <w:rsid w:val="00816036"/>
    <w:rsid w:val="0081611F"/>
    <w:rsid w:val="008161AD"/>
    <w:rsid w:val="008161E2"/>
    <w:rsid w:val="0081622F"/>
    <w:rsid w:val="00816235"/>
    <w:rsid w:val="00816265"/>
    <w:rsid w:val="008162A3"/>
    <w:rsid w:val="0081630B"/>
    <w:rsid w:val="00816312"/>
    <w:rsid w:val="008163FA"/>
    <w:rsid w:val="00816626"/>
    <w:rsid w:val="00816762"/>
    <w:rsid w:val="00816847"/>
    <w:rsid w:val="0081685E"/>
    <w:rsid w:val="008168B1"/>
    <w:rsid w:val="00816919"/>
    <w:rsid w:val="0081694E"/>
    <w:rsid w:val="0081694F"/>
    <w:rsid w:val="0081697C"/>
    <w:rsid w:val="008169E7"/>
    <w:rsid w:val="00816A45"/>
    <w:rsid w:val="00816A48"/>
    <w:rsid w:val="00816B43"/>
    <w:rsid w:val="00816C34"/>
    <w:rsid w:val="00816C7A"/>
    <w:rsid w:val="00816D06"/>
    <w:rsid w:val="00816DAD"/>
    <w:rsid w:val="00816E86"/>
    <w:rsid w:val="00816F31"/>
    <w:rsid w:val="00816FB0"/>
    <w:rsid w:val="008170D3"/>
    <w:rsid w:val="008172AB"/>
    <w:rsid w:val="008172AD"/>
    <w:rsid w:val="00817334"/>
    <w:rsid w:val="008173A9"/>
    <w:rsid w:val="0081748C"/>
    <w:rsid w:val="008174A9"/>
    <w:rsid w:val="00817606"/>
    <w:rsid w:val="008176D5"/>
    <w:rsid w:val="00817900"/>
    <w:rsid w:val="0081794B"/>
    <w:rsid w:val="00817A9F"/>
    <w:rsid w:val="00817AA5"/>
    <w:rsid w:val="00817BC6"/>
    <w:rsid w:val="00817C0D"/>
    <w:rsid w:val="00817CCD"/>
    <w:rsid w:val="00817CED"/>
    <w:rsid w:val="00817D95"/>
    <w:rsid w:val="00817E11"/>
    <w:rsid w:val="00817E42"/>
    <w:rsid w:val="00817F09"/>
    <w:rsid w:val="00817F19"/>
    <w:rsid w:val="00820089"/>
    <w:rsid w:val="0082009F"/>
    <w:rsid w:val="0082020D"/>
    <w:rsid w:val="00820363"/>
    <w:rsid w:val="008204A7"/>
    <w:rsid w:val="008204FA"/>
    <w:rsid w:val="0082056D"/>
    <w:rsid w:val="008205BB"/>
    <w:rsid w:val="008206A7"/>
    <w:rsid w:val="008207C1"/>
    <w:rsid w:val="008208AD"/>
    <w:rsid w:val="008209A4"/>
    <w:rsid w:val="00820A3A"/>
    <w:rsid w:val="00820AB7"/>
    <w:rsid w:val="00820AC2"/>
    <w:rsid w:val="00820B78"/>
    <w:rsid w:val="00820BA1"/>
    <w:rsid w:val="00820BFF"/>
    <w:rsid w:val="00820D7E"/>
    <w:rsid w:val="00820E53"/>
    <w:rsid w:val="00820E9C"/>
    <w:rsid w:val="00820EA3"/>
    <w:rsid w:val="00820F4A"/>
    <w:rsid w:val="00821108"/>
    <w:rsid w:val="00821172"/>
    <w:rsid w:val="00821182"/>
    <w:rsid w:val="0082119A"/>
    <w:rsid w:val="008211D5"/>
    <w:rsid w:val="00821232"/>
    <w:rsid w:val="008213A8"/>
    <w:rsid w:val="008214C5"/>
    <w:rsid w:val="008215AF"/>
    <w:rsid w:val="008216DD"/>
    <w:rsid w:val="00821735"/>
    <w:rsid w:val="00821771"/>
    <w:rsid w:val="008217CE"/>
    <w:rsid w:val="00821829"/>
    <w:rsid w:val="008218A4"/>
    <w:rsid w:val="00821B56"/>
    <w:rsid w:val="00821BFF"/>
    <w:rsid w:val="00821C1E"/>
    <w:rsid w:val="00821D61"/>
    <w:rsid w:val="00821E99"/>
    <w:rsid w:val="00821EA2"/>
    <w:rsid w:val="00821EFE"/>
    <w:rsid w:val="00821F37"/>
    <w:rsid w:val="00821FFC"/>
    <w:rsid w:val="00822020"/>
    <w:rsid w:val="0082203B"/>
    <w:rsid w:val="008221EB"/>
    <w:rsid w:val="00822313"/>
    <w:rsid w:val="00822415"/>
    <w:rsid w:val="00822480"/>
    <w:rsid w:val="008225DB"/>
    <w:rsid w:val="008225F1"/>
    <w:rsid w:val="0082269E"/>
    <w:rsid w:val="008227BB"/>
    <w:rsid w:val="0082288B"/>
    <w:rsid w:val="008228AC"/>
    <w:rsid w:val="008229D7"/>
    <w:rsid w:val="00822A1D"/>
    <w:rsid w:val="00822AFE"/>
    <w:rsid w:val="00822B9B"/>
    <w:rsid w:val="00822CD5"/>
    <w:rsid w:val="00822D6B"/>
    <w:rsid w:val="00822DC2"/>
    <w:rsid w:val="00822DCA"/>
    <w:rsid w:val="00822E66"/>
    <w:rsid w:val="00822E80"/>
    <w:rsid w:val="00822EF9"/>
    <w:rsid w:val="00822F41"/>
    <w:rsid w:val="00822F8D"/>
    <w:rsid w:val="00823016"/>
    <w:rsid w:val="00823036"/>
    <w:rsid w:val="00823069"/>
    <w:rsid w:val="00823151"/>
    <w:rsid w:val="0082315C"/>
    <w:rsid w:val="008231A5"/>
    <w:rsid w:val="00823385"/>
    <w:rsid w:val="008234DF"/>
    <w:rsid w:val="008235A3"/>
    <w:rsid w:val="00823988"/>
    <w:rsid w:val="0082399C"/>
    <w:rsid w:val="008239B5"/>
    <w:rsid w:val="008239CE"/>
    <w:rsid w:val="00823A58"/>
    <w:rsid w:val="00823BC1"/>
    <w:rsid w:val="00823CEE"/>
    <w:rsid w:val="0082402F"/>
    <w:rsid w:val="0082416C"/>
    <w:rsid w:val="00824184"/>
    <w:rsid w:val="0082436B"/>
    <w:rsid w:val="00824610"/>
    <w:rsid w:val="00824679"/>
    <w:rsid w:val="00824864"/>
    <w:rsid w:val="00824885"/>
    <w:rsid w:val="0082489D"/>
    <w:rsid w:val="00824981"/>
    <w:rsid w:val="008249BE"/>
    <w:rsid w:val="00824A42"/>
    <w:rsid w:val="00824A95"/>
    <w:rsid w:val="00824B52"/>
    <w:rsid w:val="00824B74"/>
    <w:rsid w:val="00824BBE"/>
    <w:rsid w:val="00824C0C"/>
    <w:rsid w:val="00824C99"/>
    <w:rsid w:val="00824CAA"/>
    <w:rsid w:val="00824CAB"/>
    <w:rsid w:val="00824F18"/>
    <w:rsid w:val="00825010"/>
    <w:rsid w:val="00825162"/>
    <w:rsid w:val="00825180"/>
    <w:rsid w:val="0082527B"/>
    <w:rsid w:val="008253F1"/>
    <w:rsid w:val="00825413"/>
    <w:rsid w:val="00825472"/>
    <w:rsid w:val="00825488"/>
    <w:rsid w:val="00825491"/>
    <w:rsid w:val="008254A7"/>
    <w:rsid w:val="008254B9"/>
    <w:rsid w:val="00825511"/>
    <w:rsid w:val="008256A7"/>
    <w:rsid w:val="0082578D"/>
    <w:rsid w:val="0082586A"/>
    <w:rsid w:val="00825929"/>
    <w:rsid w:val="00825A01"/>
    <w:rsid w:val="00825A50"/>
    <w:rsid w:val="00825A55"/>
    <w:rsid w:val="00825AAC"/>
    <w:rsid w:val="00825ACA"/>
    <w:rsid w:val="00825B9C"/>
    <w:rsid w:val="00825CE5"/>
    <w:rsid w:val="00825D1C"/>
    <w:rsid w:val="00825E0E"/>
    <w:rsid w:val="00825F3F"/>
    <w:rsid w:val="00825F74"/>
    <w:rsid w:val="00825FCA"/>
    <w:rsid w:val="00825FCC"/>
    <w:rsid w:val="0082603A"/>
    <w:rsid w:val="008262A8"/>
    <w:rsid w:val="008263C9"/>
    <w:rsid w:val="0082646B"/>
    <w:rsid w:val="00826495"/>
    <w:rsid w:val="008264AC"/>
    <w:rsid w:val="0082676E"/>
    <w:rsid w:val="00826831"/>
    <w:rsid w:val="00826A65"/>
    <w:rsid w:val="00826C61"/>
    <w:rsid w:val="00826C7C"/>
    <w:rsid w:val="00826D41"/>
    <w:rsid w:val="00826D7B"/>
    <w:rsid w:val="00826D7C"/>
    <w:rsid w:val="00826D9B"/>
    <w:rsid w:val="00826E4A"/>
    <w:rsid w:val="00826E54"/>
    <w:rsid w:val="00826F9E"/>
    <w:rsid w:val="00827042"/>
    <w:rsid w:val="0082708F"/>
    <w:rsid w:val="0082718A"/>
    <w:rsid w:val="008271C1"/>
    <w:rsid w:val="00827273"/>
    <w:rsid w:val="00827290"/>
    <w:rsid w:val="008272A4"/>
    <w:rsid w:val="008272D1"/>
    <w:rsid w:val="00827413"/>
    <w:rsid w:val="00827491"/>
    <w:rsid w:val="008274AE"/>
    <w:rsid w:val="0082752B"/>
    <w:rsid w:val="008275B8"/>
    <w:rsid w:val="0082761E"/>
    <w:rsid w:val="0082767B"/>
    <w:rsid w:val="0082769F"/>
    <w:rsid w:val="008276DE"/>
    <w:rsid w:val="008276FA"/>
    <w:rsid w:val="00827750"/>
    <w:rsid w:val="008278AC"/>
    <w:rsid w:val="00827904"/>
    <w:rsid w:val="008279B1"/>
    <w:rsid w:val="00827A31"/>
    <w:rsid w:val="00827A99"/>
    <w:rsid w:val="00827CF5"/>
    <w:rsid w:val="00827E09"/>
    <w:rsid w:val="00827E71"/>
    <w:rsid w:val="00827EFF"/>
    <w:rsid w:val="00830033"/>
    <w:rsid w:val="00830203"/>
    <w:rsid w:val="00830320"/>
    <w:rsid w:val="00830335"/>
    <w:rsid w:val="008303CB"/>
    <w:rsid w:val="008304DD"/>
    <w:rsid w:val="008305C1"/>
    <w:rsid w:val="008305FF"/>
    <w:rsid w:val="00830633"/>
    <w:rsid w:val="0083065E"/>
    <w:rsid w:val="008306CE"/>
    <w:rsid w:val="00830AA1"/>
    <w:rsid w:val="00830ACD"/>
    <w:rsid w:val="00830B99"/>
    <w:rsid w:val="00830CA9"/>
    <w:rsid w:val="00830D7A"/>
    <w:rsid w:val="00830EA6"/>
    <w:rsid w:val="00830FA3"/>
    <w:rsid w:val="00831008"/>
    <w:rsid w:val="0083106F"/>
    <w:rsid w:val="0083119E"/>
    <w:rsid w:val="008311AB"/>
    <w:rsid w:val="00831247"/>
    <w:rsid w:val="00831640"/>
    <w:rsid w:val="008316B1"/>
    <w:rsid w:val="008317F1"/>
    <w:rsid w:val="00831902"/>
    <w:rsid w:val="00831A10"/>
    <w:rsid w:val="00831A47"/>
    <w:rsid w:val="00831A80"/>
    <w:rsid w:val="00831C78"/>
    <w:rsid w:val="00831D8A"/>
    <w:rsid w:val="00831DAE"/>
    <w:rsid w:val="00831DC8"/>
    <w:rsid w:val="00831E5B"/>
    <w:rsid w:val="00831E5D"/>
    <w:rsid w:val="00831E69"/>
    <w:rsid w:val="00831FFB"/>
    <w:rsid w:val="00832036"/>
    <w:rsid w:val="0083203B"/>
    <w:rsid w:val="00832187"/>
    <w:rsid w:val="00832269"/>
    <w:rsid w:val="008324EC"/>
    <w:rsid w:val="008325FC"/>
    <w:rsid w:val="0083266B"/>
    <w:rsid w:val="008327CB"/>
    <w:rsid w:val="008327F2"/>
    <w:rsid w:val="00832A3B"/>
    <w:rsid w:val="00832BE7"/>
    <w:rsid w:val="00832BE9"/>
    <w:rsid w:val="00832C10"/>
    <w:rsid w:val="00832C1E"/>
    <w:rsid w:val="00832C3C"/>
    <w:rsid w:val="00832D64"/>
    <w:rsid w:val="00832D77"/>
    <w:rsid w:val="00832DFA"/>
    <w:rsid w:val="00832E99"/>
    <w:rsid w:val="00832EAA"/>
    <w:rsid w:val="00832F0B"/>
    <w:rsid w:val="008332E0"/>
    <w:rsid w:val="00833365"/>
    <w:rsid w:val="00833411"/>
    <w:rsid w:val="0083345F"/>
    <w:rsid w:val="00833554"/>
    <w:rsid w:val="00833557"/>
    <w:rsid w:val="008335E1"/>
    <w:rsid w:val="008336DD"/>
    <w:rsid w:val="00833829"/>
    <w:rsid w:val="00833876"/>
    <w:rsid w:val="00833908"/>
    <w:rsid w:val="00833994"/>
    <w:rsid w:val="00833AF2"/>
    <w:rsid w:val="00833AF9"/>
    <w:rsid w:val="00833B20"/>
    <w:rsid w:val="00833B44"/>
    <w:rsid w:val="00833B74"/>
    <w:rsid w:val="00833CBD"/>
    <w:rsid w:val="00833CE9"/>
    <w:rsid w:val="00833D4C"/>
    <w:rsid w:val="00833D4E"/>
    <w:rsid w:val="00833DA8"/>
    <w:rsid w:val="00833E5E"/>
    <w:rsid w:val="00833E80"/>
    <w:rsid w:val="00833EF2"/>
    <w:rsid w:val="00833F2B"/>
    <w:rsid w:val="00834003"/>
    <w:rsid w:val="00834113"/>
    <w:rsid w:val="008341F2"/>
    <w:rsid w:val="008342AC"/>
    <w:rsid w:val="008342E8"/>
    <w:rsid w:val="0083437D"/>
    <w:rsid w:val="008343B9"/>
    <w:rsid w:val="00834415"/>
    <w:rsid w:val="0083443B"/>
    <w:rsid w:val="00834464"/>
    <w:rsid w:val="008344E4"/>
    <w:rsid w:val="00834558"/>
    <w:rsid w:val="008346FD"/>
    <w:rsid w:val="0083481E"/>
    <w:rsid w:val="00834822"/>
    <w:rsid w:val="008348CD"/>
    <w:rsid w:val="00834966"/>
    <w:rsid w:val="00834A73"/>
    <w:rsid w:val="00834AC0"/>
    <w:rsid w:val="00834BAA"/>
    <w:rsid w:val="00834BCE"/>
    <w:rsid w:val="00834CBA"/>
    <w:rsid w:val="00834CC0"/>
    <w:rsid w:val="00834D42"/>
    <w:rsid w:val="00834D62"/>
    <w:rsid w:val="00834D8E"/>
    <w:rsid w:val="00834DE3"/>
    <w:rsid w:val="00834E26"/>
    <w:rsid w:val="00834F61"/>
    <w:rsid w:val="00835001"/>
    <w:rsid w:val="00835110"/>
    <w:rsid w:val="00835258"/>
    <w:rsid w:val="00835260"/>
    <w:rsid w:val="008353AE"/>
    <w:rsid w:val="0083540F"/>
    <w:rsid w:val="0083541B"/>
    <w:rsid w:val="0083550E"/>
    <w:rsid w:val="008355B4"/>
    <w:rsid w:val="00835653"/>
    <w:rsid w:val="00835857"/>
    <w:rsid w:val="00835866"/>
    <w:rsid w:val="008358CD"/>
    <w:rsid w:val="00835910"/>
    <w:rsid w:val="00835AD1"/>
    <w:rsid w:val="00835B18"/>
    <w:rsid w:val="00835BF8"/>
    <w:rsid w:val="00835CF4"/>
    <w:rsid w:val="00835CFF"/>
    <w:rsid w:val="00835D1E"/>
    <w:rsid w:val="00835DED"/>
    <w:rsid w:val="00835E24"/>
    <w:rsid w:val="00835E79"/>
    <w:rsid w:val="00836011"/>
    <w:rsid w:val="00836041"/>
    <w:rsid w:val="008361E3"/>
    <w:rsid w:val="008361F9"/>
    <w:rsid w:val="00836250"/>
    <w:rsid w:val="008363F9"/>
    <w:rsid w:val="00836410"/>
    <w:rsid w:val="00836464"/>
    <w:rsid w:val="0083646D"/>
    <w:rsid w:val="008364BE"/>
    <w:rsid w:val="008367B4"/>
    <w:rsid w:val="00836805"/>
    <w:rsid w:val="0083683B"/>
    <w:rsid w:val="0083684B"/>
    <w:rsid w:val="008368C2"/>
    <w:rsid w:val="008368CD"/>
    <w:rsid w:val="008369B9"/>
    <w:rsid w:val="00836A1F"/>
    <w:rsid w:val="00836A9B"/>
    <w:rsid w:val="00836B8B"/>
    <w:rsid w:val="00836B96"/>
    <w:rsid w:val="00836BC5"/>
    <w:rsid w:val="00836C45"/>
    <w:rsid w:val="00836D03"/>
    <w:rsid w:val="00836D38"/>
    <w:rsid w:val="00836D4C"/>
    <w:rsid w:val="00836E69"/>
    <w:rsid w:val="00836F3F"/>
    <w:rsid w:val="00836F60"/>
    <w:rsid w:val="00837003"/>
    <w:rsid w:val="0083704A"/>
    <w:rsid w:val="00837118"/>
    <w:rsid w:val="00837122"/>
    <w:rsid w:val="0083716A"/>
    <w:rsid w:val="00837225"/>
    <w:rsid w:val="00837253"/>
    <w:rsid w:val="00837464"/>
    <w:rsid w:val="008374DB"/>
    <w:rsid w:val="008374EA"/>
    <w:rsid w:val="0083758D"/>
    <w:rsid w:val="008375A9"/>
    <w:rsid w:val="00837605"/>
    <w:rsid w:val="00837619"/>
    <w:rsid w:val="00837748"/>
    <w:rsid w:val="008377F5"/>
    <w:rsid w:val="0083781F"/>
    <w:rsid w:val="0083783A"/>
    <w:rsid w:val="00837841"/>
    <w:rsid w:val="0083786A"/>
    <w:rsid w:val="008378A1"/>
    <w:rsid w:val="008378C8"/>
    <w:rsid w:val="00837999"/>
    <w:rsid w:val="008379AE"/>
    <w:rsid w:val="00837A76"/>
    <w:rsid w:val="00837AE1"/>
    <w:rsid w:val="0084000E"/>
    <w:rsid w:val="00840016"/>
    <w:rsid w:val="008400AA"/>
    <w:rsid w:val="008400C3"/>
    <w:rsid w:val="008401EC"/>
    <w:rsid w:val="00840205"/>
    <w:rsid w:val="008402CD"/>
    <w:rsid w:val="0084030A"/>
    <w:rsid w:val="008403D3"/>
    <w:rsid w:val="00840486"/>
    <w:rsid w:val="008404B1"/>
    <w:rsid w:val="00840656"/>
    <w:rsid w:val="008406AB"/>
    <w:rsid w:val="0084080B"/>
    <w:rsid w:val="00840826"/>
    <w:rsid w:val="0084082B"/>
    <w:rsid w:val="00840864"/>
    <w:rsid w:val="008408D4"/>
    <w:rsid w:val="00840987"/>
    <w:rsid w:val="00840995"/>
    <w:rsid w:val="008409B2"/>
    <w:rsid w:val="00840AA8"/>
    <w:rsid w:val="00840AF2"/>
    <w:rsid w:val="00840AF9"/>
    <w:rsid w:val="00840B99"/>
    <w:rsid w:val="00840C1C"/>
    <w:rsid w:val="00840CAE"/>
    <w:rsid w:val="00840D28"/>
    <w:rsid w:val="00840EE2"/>
    <w:rsid w:val="00840FE9"/>
    <w:rsid w:val="008411C1"/>
    <w:rsid w:val="00841349"/>
    <w:rsid w:val="0084134B"/>
    <w:rsid w:val="008413EA"/>
    <w:rsid w:val="008415F1"/>
    <w:rsid w:val="0084162A"/>
    <w:rsid w:val="008417BF"/>
    <w:rsid w:val="008418B4"/>
    <w:rsid w:val="00841903"/>
    <w:rsid w:val="0084197D"/>
    <w:rsid w:val="00841A03"/>
    <w:rsid w:val="00841A56"/>
    <w:rsid w:val="00841AA9"/>
    <w:rsid w:val="00841AEC"/>
    <w:rsid w:val="00841B62"/>
    <w:rsid w:val="00841BBC"/>
    <w:rsid w:val="00841C6A"/>
    <w:rsid w:val="00841C8C"/>
    <w:rsid w:val="00841C92"/>
    <w:rsid w:val="00841D00"/>
    <w:rsid w:val="00841D02"/>
    <w:rsid w:val="00841DE8"/>
    <w:rsid w:val="00841EA0"/>
    <w:rsid w:val="00841F0A"/>
    <w:rsid w:val="00841F40"/>
    <w:rsid w:val="00841F6B"/>
    <w:rsid w:val="00842081"/>
    <w:rsid w:val="00842086"/>
    <w:rsid w:val="008421D0"/>
    <w:rsid w:val="00842290"/>
    <w:rsid w:val="008422C8"/>
    <w:rsid w:val="0084231A"/>
    <w:rsid w:val="00842326"/>
    <w:rsid w:val="0084235D"/>
    <w:rsid w:val="008423CA"/>
    <w:rsid w:val="008423DA"/>
    <w:rsid w:val="008424B1"/>
    <w:rsid w:val="008425C7"/>
    <w:rsid w:val="00842606"/>
    <w:rsid w:val="008426C1"/>
    <w:rsid w:val="00842724"/>
    <w:rsid w:val="00842733"/>
    <w:rsid w:val="008428A2"/>
    <w:rsid w:val="008428C5"/>
    <w:rsid w:val="008428E8"/>
    <w:rsid w:val="008429A1"/>
    <w:rsid w:val="00842A37"/>
    <w:rsid w:val="00842A3E"/>
    <w:rsid w:val="00842AC6"/>
    <w:rsid w:val="00842AD4"/>
    <w:rsid w:val="00842B3E"/>
    <w:rsid w:val="00842BDE"/>
    <w:rsid w:val="0084306E"/>
    <w:rsid w:val="00843070"/>
    <w:rsid w:val="00843173"/>
    <w:rsid w:val="008433D9"/>
    <w:rsid w:val="008433DD"/>
    <w:rsid w:val="008433E7"/>
    <w:rsid w:val="00843441"/>
    <w:rsid w:val="00843453"/>
    <w:rsid w:val="0084358B"/>
    <w:rsid w:val="008435A5"/>
    <w:rsid w:val="008435EB"/>
    <w:rsid w:val="00843610"/>
    <w:rsid w:val="00843648"/>
    <w:rsid w:val="00843651"/>
    <w:rsid w:val="00843667"/>
    <w:rsid w:val="00843801"/>
    <w:rsid w:val="00843819"/>
    <w:rsid w:val="0084385D"/>
    <w:rsid w:val="0084392E"/>
    <w:rsid w:val="00843954"/>
    <w:rsid w:val="00843AD1"/>
    <w:rsid w:val="00843B36"/>
    <w:rsid w:val="00843B4D"/>
    <w:rsid w:val="00843C10"/>
    <w:rsid w:val="00843D1F"/>
    <w:rsid w:val="00843D23"/>
    <w:rsid w:val="00843DAF"/>
    <w:rsid w:val="00843DD2"/>
    <w:rsid w:val="00843E0C"/>
    <w:rsid w:val="00843E20"/>
    <w:rsid w:val="00843F56"/>
    <w:rsid w:val="0084404C"/>
    <w:rsid w:val="008441D2"/>
    <w:rsid w:val="008442D3"/>
    <w:rsid w:val="008442E5"/>
    <w:rsid w:val="00844391"/>
    <w:rsid w:val="008444B7"/>
    <w:rsid w:val="00844563"/>
    <w:rsid w:val="0084457D"/>
    <w:rsid w:val="0084486C"/>
    <w:rsid w:val="008448C0"/>
    <w:rsid w:val="0084497A"/>
    <w:rsid w:val="00844A0B"/>
    <w:rsid w:val="00844A1E"/>
    <w:rsid w:val="00844A71"/>
    <w:rsid w:val="00844C90"/>
    <w:rsid w:val="00844CA6"/>
    <w:rsid w:val="00844CBE"/>
    <w:rsid w:val="00844CE5"/>
    <w:rsid w:val="00844E06"/>
    <w:rsid w:val="00844F5D"/>
    <w:rsid w:val="00844FF7"/>
    <w:rsid w:val="00845097"/>
    <w:rsid w:val="0084518F"/>
    <w:rsid w:val="00845352"/>
    <w:rsid w:val="00845484"/>
    <w:rsid w:val="00845535"/>
    <w:rsid w:val="008456DC"/>
    <w:rsid w:val="00845730"/>
    <w:rsid w:val="008457AF"/>
    <w:rsid w:val="0084581D"/>
    <w:rsid w:val="00845826"/>
    <w:rsid w:val="00845872"/>
    <w:rsid w:val="0084596C"/>
    <w:rsid w:val="008459D5"/>
    <w:rsid w:val="00845ADC"/>
    <w:rsid w:val="00845AEE"/>
    <w:rsid w:val="00845C3B"/>
    <w:rsid w:val="00845CDD"/>
    <w:rsid w:val="00845D63"/>
    <w:rsid w:val="00845EB5"/>
    <w:rsid w:val="00845F1B"/>
    <w:rsid w:val="00846046"/>
    <w:rsid w:val="00846071"/>
    <w:rsid w:val="00846098"/>
    <w:rsid w:val="008460AD"/>
    <w:rsid w:val="00846206"/>
    <w:rsid w:val="0084632D"/>
    <w:rsid w:val="00846349"/>
    <w:rsid w:val="00846387"/>
    <w:rsid w:val="008464C1"/>
    <w:rsid w:val="008464E1"/>
    <w:rsid w:val="008465F1"/>
    <w:rsid w:val="00846659"/>
    <w:rsid w:val="008466E1"/>
    <w:rsid w:val="00846A4A"/>
    <w:rsid w:val="00846B23"/>
    <w:rsid w:val="00846C2F"/>
    <w:rsid w:val="00846CDE"/>
    <w:rsid w:val="00846CE6"/>
    <w:rsid w:val="00846E4F"/>
    <w:rsid w:val="00846E97"/>
    <w:rsid w:val="00846F3A"/>
    <w:rsid w:val="0084709E"/>
    <w:rsid w:val="008470BA"/>
    <w:rsid w:val="00847126"/>
    <w:rsid w:val="00847195"/>
    <w:rsid w:val="008471D4"/>
    <w:rsid w:val="00847286"/>
    <w:rsid w:val="008475AD"/>
    <w:rsid w:val="008475BF"/>
    <w:rsid w:val="008475F5"/>
    <w:rsid w:val="00847689"/>
    <w:rsid w:val="0084768A"/>
    <w:rsid w:val="008477AE"/>
    <w:rsid w:val="00847881"/>
    <w:rsid w:val="008478D4"/>
    <w:rsid w:val="008479A5"/>
    <w:rsid w:val="008479EA"/>
    <w:rsid w:val="00847AB0"/>
    <w:rsid w:val="00847ADC"/>
    <w:rsid w:val="00847B30"/>
    <w:rsid w:val="00847B4A"/>
    <w:rsid w:val="00847BCF"/>
    <w:rsid w:val="00847D2A"/>
    <w:rsid w:val="00847D47"/>
    <w:rsid w:val="00847D56"/>
    <w:rsid w:val="00847D93"/>
    <w:rsid w:val="00847DE5"/>
    <w:rsid w:val="00847DE9"/>
    <w:rsid w:val="00847DF6"/>
    <w:rsid w:val="00847F4B"/>
    <w:rsid w:val="00847F60"/>
    <w:rsid w:val="00850021"/>
    <w:rsid w:val="00850054"/>
    <w:rsid w:val="00850136"/>
    <w:rsid w:val="00850173"/>
    <w:rsid w:val="00850189"/>
    <w:rsid w:val="00850237"/>
    <w:rsid w:val="00850348"/>
    <w:rsid w:val="00850363"/>
    <w:rsid w:val="0085037A"/>
    <w:rsid w:val="00850602"/>
    <w:rsid w:val="008506A5"/>
    <w:rsid w:val="00850A64"/>
    <w:rsid w:val="00850B09"/>
    <w:rsid w:val="00850BB4"/>
    <w:rsid w:val="00850C1B"/>
    <w:rsid w:val="00850D41"/>
    <w:rsid w:val="00850D4F"/>
    <w:rsid w:val="00850D6C"/>
    <w:rsid w:val="00850DA2"/>
    <w:rsid w:val="00850DB9"/>
    <w:rsid w:val="00850F20"/>
    <w:rsid w:val="00850F79"/>
    <w:rsid w:val="00850FFB"/>
    <w:rsid w:val="00851278"/>
    <w:rsid w:val="008513A7"/>
    <w:rsid w:val="008513C1"/>
    <w:rsid w:val="00851473"/>
    <w:rsid w:val="008516B4"/>
    <w:rsid w:val="008516E3"/>
    <w:rsid w:val="00851714"/>
    <w:rsid w:val="00851742"/>
    <w:rsid w:val="0085175D"/>
    <w:rsid w:val="008519C0"/>
    <w:rsid w:val="00851A83"/>
    <w:rsid w:val="00851AB2"/>
    <w:rsid w:val="00851C9E"/>
    <w:rsid w:val="00851DF5"/>
    <w:rsid w:val="00851E1E"/>
    <w:rsid w:val="00852089"/>
    <w:rsid w:val="0085211D"/>
    <w:rsid w:val="0085212B"/>
    <w:rsid w:val="0085227F"/>
    <w:rsid w:val="00852311"/>
    <w:rsid w:val="00852348"/>
    <w:rsid w:val="008524BD"/>
    <w:rsid w:val="008524EA"/>
    <w:rsid w:val="008526B0"/>
    <w:rsid w:val="00852857"/>
    <w:rsid w:val="0085294C"/>
    <w:rsid w:val="00852A0A"/>
    <w:rsid w:val="00852A11"/>
    <w:rsid w:val="00852B5A"/>
    <w:rsid w:val="00852E57"/>
    <w:rsid w:val="00852EA6"/>
    <w:rsid w:val="00852FCF"/>
    <w:rsid w:val="00853000"/>
    <w:rsid w:val="0085307D"/>
    <w:rsid w:val="008530B9"/>
    <w:rsid w:val="008531CD"/>
    <w:rsid w:val="008531E1"/>
    <w:rsid w:val="00853209"/>
    <w:rsid w:val="0085320A"/>
    <w:rsid w:val="00853247"/>
    <w:rsid w:val="00853384"/>
    <w:rsid w:val="0085343F"/>
    <w:rsid w:val="00853466"/>
    <w:rsid w:val="00853500"/>
    <w:rsid w:val="00853678"/>
    <w:rsid w:val="00853695"/>
    <w:rsid w:val="008536B6"/>
    <w:rsid w:val="008536F0"/>
    <w:rsid w:val="008537BA"/>
    <w:rsid w:val="008538FA"/>
    <w:rsid w:val="00853913"/>
    <w:rsid w:val="00853989"/>
    <w:rsid w:val="00853B51"/>
    <w:rsid w:val="00853B55"/>
    <w:rsid w:val="00853B87"/>
    <w:rsid w:val="00853BFA"/>
    <w:rsid w:val="00853C49"/>
    <w:rsid w:val="00853CC2"/>
    <w:rsid w:val="00853D15"/>
    <w:rsid w:val="00853D9E"/>
    <w:rsid w:val="00853E06"/>
    <w:rsid w:val="00853F04"/>
    <w:rsid w:val="00854095"/>
    <w:rsid w:val="008541CB"/>
    <w:rsid w:val="008541E8"/>
    <w:rsid w:val="00854287"/>
    <w:rsid w:val="008542B6"/>
    <w:rsid w:val="008542F4"/>
    <w:rsid w:val="00854507"/>
    <w:rsid w:val="00854593"/>
    <w:rsid w:val="00854745"/>
    <w:rsid w:val="00854756"/>
    <w:rsid w:val="00854977"/>
    <w:rsid w:val="00854993"/>
    <w:rsid w:val="00854AA2"/>
    <w:rsid w:val="00854BD0"/>
    <w:rsid w:val="00854DF2"/>
    <w:rsid w:val="00854E53"/>
    <w:rsid w:val="00854E55"/>
    <w:rsid w:val="00854E77"/>
    <w:rsid w:val="00854F72"/>
    <w:rsid w:val="0085500E"/>
    <w:rsid w:val="008550FC"/>
    <w:rsid w:val="00855142"/>
    <w:rsid w:val="008551C7"/>
    <w:rsid w:val="00855255"/>
    <w:rsid w:val="00855287"/>
    <w:rsid w:val="008552AF"/>
    <w:rsid w:val="008552EE"/>
    <w:rsid w:val="0085536E"/>
    <w:rsid w:val="008553CB"/>
    <w:rsid w:val="00855523"/>
    <w:rsid w:val="00855683"/>
    <w:rsid w:val="008557F5"/>
    <w:rsid w:val="00855A26"/>
    <w:rsid w:val="00855B93"/>
    <w:rsid w:val="00855CAE"/>
    <w:rsid w:val="00855D71"/>
    <w:rsid w:val="00855E0C"/>
    <w:rsid w:val="00855E8C"/>
    <w:rsid w:val="00855FE4"/>
    <w:rsid w:val="0085602F"/>
    <w:rsid w:val="008562A2"/>
    <w:rsid w:val="00856367"/>
    <w:rsid w:val="00856408"/>
    <w:rsid w:val="00856480"/>
    <w:rsid w:val="0085673F"/>
    <w:rsid w:val="008567F8"/>
    <w:rsid w:val="00856A91"/>
    <w:rsid w:val="00856B5E"/>
    <w:rsid w:val="00856B8C"/>
    <w:rsid w:val="00856B95"/>
    <w:rsid w:val="00856E94"/>
    <w:rsid w:val="00856ED4"/>
    <w:rsid w:val="00856FD7"/>
    <w:rsid w:val="00857068"/>
    <w:rsid w:val="0085707E"/>
    <w:rsid w:val="00857231"/>
    <w:rsid w:val="00857266"/>
    <w:rsid w:val="00857280"/>
    <w:rsid w:val="008572D7"/>
    <w:rsid w:val="008572E2"/>
    <w:rsid w:val="008573D2"/>
    <w:rsid w:val="00857486"/>
    <w:rsid w:val="0085748A"/>
    <w:rsid w:val="00857653"/>
    <w:rsid w:val="00857729"/>
    <w:rsid w:val="0085775D"/>
    <w:rsid w:val="0085781A"/>
    <w:rsid w:val="0085791E"/>
    <w:rsid w:val="00857945"/>
    <w:rsid w:val="00857B7E"/>
    <w:rsid w:val="00857B81"/>
    <w:rsid w:val="00857B9D"/>
    <w:rsid w:val="00857D48"/>
    <w:rsid w:val="00857DAB"/>
    <w:rsid w:val="00857DB2"/>
    <w:rsid w:val="00857DC1"/>
    <w:rsid w:val="00857E40"/>
    <w:rsid w:val="00857E65"/>
    <w:rsid w:val="00857EBD"/>
    <w:rsid w:val="00857FD9"/>
    <w:rsid w:val="00860084"/>
    <w:rsid w:val="008600FC"/>
    <w:rsid w:val="00860207"/>
    <w:rsid w:val="00860208"/>
    <w:rsid w:val="00860234"/>
    <w:rsid w:val="00860274"/>
    <w:rsid w:val="008604FD"/>
    <w:rsid w:val="00860610"/>
    <w:rsid w:val="008609C3"/>
    <w:rsid w:val="00860A9B"/>
    <w:rsid w:val="00860ADE"/>
    <w:rsid w:val="00860AF2"/>
    <w:rsid w:val="00860B13"/>
    <w:rsid w:val="00860B29"/>
    <w:rsid w:val="00860C4A"/>
    <w:rsid w:val="00860E0C"/>
    <w:rsid w:val="00860EFF"/>
    <w:rsid w:val="0086115F"/>
    <w:rsid w:val="008611C8"/>
    <w:rsid w:val="008611F1"/>
    <w:rsid w:val="00861220"/>
    <w:rsid w:val="0086131F"/>
    <w:rsid w:val="008614FC"/>
    <w:rsid w:val="008616EF"/>
    <w:rsid w:val="0086179D"/>
    <w:rsid w:val="008617BD"/>
    <w:rsid w:val="00861894"/>
    <w:rsid w:val="008618C7"/>
    <w:rsid w:val="0086196D"/>
    <w:rsid w:val="008619F1"/>
    <w:rsid w:val="00861A32"/>
    <w:rsid w:val="00861C53"/>
    <w:rsid w:val="00861CD3"/>
    <w:rsid w:val="00861E69"/>
    <w:rsid w:val="00861EC7"/>
    <w:rsid w:val="00861F73"/>
    <w:rsid w:val="0086217A"/>
    <w:rsid w:val="008621B6"/>
    <w:rsid w:val="00862294"/>
    <w:rsid w:val="008622DF"/>
    <w:rsid w:val="008623DD"/>
    <w:rsid w:val="00862468"/>
    <w:rsid w:val="00862491"/>
    <w:rsid w:val="008624C6"/>
    <w:rsid w:val="0086250B"/>
    <w:rsid w:val="008625A1"/>
    <w:rsid w:val="008625BA"/>
    <w:rsid w:val="0086269D"/>
    <w:rsid w:val="008626B2"/>
    <w:rsid w:val="008626EA"/>
    <w:rsid w:val="0086276B"/>
    <w:rsid w:val="00862799"/>
    <w:rsid w:val="0086288C"/>
    <w:rsid w:val="0086292A"/>
    <w:rsid w:val="0086295B"/>
    <w:rsid w:val="00862985"/>
    <w:rsid w:val="00862A36"/>
    <w:rsid w:val="00862B90"/>
    <w:rsid w:val="00862BCF"/>
    <w:rsid w:val="00862C32"/>
    <w:rsid w:val="00862C60"/>
    <w:rsid w:val="00862CAC"/>
    <w:rsid w:val="00862CBF"/>
    <w:rsid w:val="00862D57"/>
    <w:rsid w:val="00862DA8"/>
    <w:rsid w:val="00862EB0"/>
    <w:rsid w:val="00862F0A"/>
    <w:rsid w:val="00862FAD"/>
    <w:rsid w:val="00862FD4"/>
    <w:rsid w:val="0086301C"/>
    <w:rsid w:val="00863032"/>
    <w:rsid w:val="008630EB"/>
    <w:rsid w:val="008631BB"/>
    <w:rsid w:val="0086326D"/>
    <w:rsid w:val="0086327E"/>
    <w:rsid w:val="00863463"/>
    <w:rsid w:val="008634D1"/>
    <w:rsid w:val="008634DE"/>
    <w:rsid w:val="008635FD"/>
    <w:rsid w:val="0086377B"/>
    <w:rsid w:val="00863818"/>
    <w:rsid w:val="00863857"/>
    <w:rsid w:val="00863877"/>
    <w:rsid w:val="008638AD"/>
    <w:rsid w:val="00863BCE"/>
    <w:rsid w:val="00863ED9"/>
    <w:rsid w:val="00863EFC"/>
    <w:rsid w:val="00864089"/>
    <w:rsid w:val="00864187"/>
    <w:rsid w:val="008641BB"/>
    <w:rsid w:val="00864238"/>
    <w:rsid w:val="008642B7"/>
    <w:rsid w:val="00864361"/>
    <w:rsid w:val="00864606"/>
    <w:rsid w:val="008646A6"/>
    <w:rsid w:val="008647D4"/>
    <w:rsid w:val="0086480E"/>
    <w:rsid w:val="0086489F"/>
    <w:rsid w:val="00864968"/>
    <w:rsid w:val="008649D7"/>
    <w:rsid w:val="008649E0"/>
    <w:rsid w:val="00864BC9"/>
    <w:rsid w:val="00864C64"/>
    <w:rsid w:val="00864DBB"/>
    <w:rsid w:val="00864F00"/>
    <w:rsid w:val="00865070"/>
    <w:rsid w:val="008650F7"/>
    <w:rsid w:val="00865108"/>
    <w:rsid w:val="0086541B"/>
    <w:rsid w:val="0086547A"/>
    <w:rsid w:val="0086549F"/>
    <w:rsid w:val="008654DD"/>
    <w:rsid w:val="008654FF"/>
    <w:rsid w:val="00865531"/>
    <w:rsid w:val="008655BF"/>
    <w:rsid w:val="008655E4"/>
    <w:rsid w:val="00865657"/>
    <w:rsid w:val="008656E1"/>
    <w:rsid w:val="00865716"/>
    <w:rsid w:val="00865771"/>
    <w:rsid w:val="008657BC"/>
    <w:rsid w:val="008658A1"/>
    <w:rsid w:val="008659D7"/>
    <w:rsid w:val="008659ED"/>
    <w:rsid w:val="00865D30"/>
    <w:rsid w:val="00865D5A"/>
    <w:rsid w:val="0086611F"/>
    <w:rsid w:val="00866120"/>
    <w:rsid w:val="00866225"/>
    <w:rsid w:val="0086622C"/>
    <w:rsid w:val="008663D8"/>
    <w:rsid w:val="00866416"/>
    <w:rsid w:val="00866691"/>
    <w:rsid w:val="0086669D"/>
    <w:rsid w:val="008667D5"/>
    <w:rsid w:val="008668E3"/>
    <w:rsid w:val="00866937"/>
    <w:rsid w:val="0086693E"/>
    <w:rsid w:val="00866977"/>
    <w:rsid w:val="00866BFC"/>
    <w:rsid w:val="00866C3A"/>
    <w:rsid w:val="00866C62"/>
    <w:rsid w:val="00866CB8"/>
    <w:rsid w:val="00866CCE"/>
    <w:rsid w:val="00866CD2"/>
    <w:rsid w:val="00866D5A"/>
    <w:rsid w:val="00866D75"/>
    <w:rsid w:val="00866E94"/>
    <w:rsid w:val="00867018"/>
    <w:rsid w:val="00867047"/>
    <w:rsid w:val="00867059"/>
    <w:rsid w:val="00867074"/>
    <w:rsid w:val="008670B1"/>
    <w:rsid w:val="0086712C"/>
    <w:rsid w:val="00867174"/>
    <w:rsid w:val="00867339"/>
    <w:rsid w:val="00867401"/>
    <w:rsid w:val="00867440"/>
    <w:rsid w:val="00867767"/>
    <w:rsid w:val="00867823"/>
    <w:rsid w:val="00867854"/>
    <w:rsid w:val="00867A04"/>
    <w:rsid w:val="00867A8B"/>
    <w:rsid w:val="00867A96"/>
    <w:rsid w:val="00867BE0"/>
    <w:rsid w:val="00867C38"/>
    <w:rsid w:val="00867CDE"/>
    <w:rsid w:val="00867D20"/>
    <w:rsid w:val="00867DA1"/>
    <w:rsid w:val="00867EB3"/>
    <w:rsid w:val="00867FDF"/>
    <w:rsid w:val="0087003F"/>
    <w:rsid w:val="00870092"/>
    <w:rsid w:val="00870129"/>
    <w:rsid w:val="008701B2"/>
    <w:rsid w:val="008701C3"/>
    <w:rsid w:val="00870346"/>
    <w:rsid w:val="0087048B"/>
    <w:rsid w:val="008704BF"/>
    <w:rsid w:val="00870544"/>
    <w:rsid w:val="00870554"/>
    <w:rsid w:val="008706F1"/>
    <w:rsid w:val="00870794"/>
    <w:rsid w:val="00870805"/>
    <w:rsid w:val="00870B35"/>
    <w:rsid w:val="00870B45"/>
    <w:rsid w:val="00870B55"/>
    <w:rsid w:val="00870C81"/>
    <w:rsid w:val="00870CD1"/>
    <w:rsid w:val="00870D11"/>
    <w:rsid w:val="00870E0A"/>
    <w:rsid w:val="00870E36"/>
    <w:rsid w:val="00870FAE"/>
    <w:rsid w:val="008710EF"/>
    <w:rsid w:val="00871148"/>
    <w:rsid w:val="0087114F"/>
    <w:rsid w:val="0087116D"/>
    <w:rsid w:val="008712CB"/>
    <w:rsid w:val="008713FE"/>
    <w:rsid w:val="0087145D"/>
    <w:rsid w:val="0087148D"/>
    <w:rsid w:val="00871522"/>
    <w:rsid w:val="008715A9"/>
    <w:rsid w:val="008715EB"/>
    <w:rsid w:val="008716FB"/>
    <w:rsid w:val="00871986"/>
    <w:rsid w:val="00871BE8"/>
    <w:rsid w:val="00871D4D"/>
    <w:rsid w:val="00871DB0"/>
    <w:rsid w:val="00871DCF"/>
    <w:rsid w:val="00871DD5"/>
    <w:rsid w:val="00871EF6"/>
    <w:rsid w:val="00871F2E"/>
    <w:rsid w:val="008720B1"/>
    <w:rsid w:val="008720CD"/>
    <w:rsid w:val="008720EE"/>
    <w:rsid w:val="008721C4"/>
    <w:rsid w:val="008721FC"/>
    <w:rsid w:val="00872220"/>
    <w:rsid w:val="00872228"/>
    <w:rsid w:val="008722C1"/>
    <w:rsid w:val="0087234E"/>
    <w:rsid w:val="008723D4"/>
    <w:rsid w:val="00872595"/>
    <w:rsid w:val="008725FE"/>
    <w:rsid w:val="00872639"/>
    <w:rsid w:val="008726E2"/>
    <w:rsid w:val="0087273B"/>
    <w:rsid w:val="00872874"/>
    <w:rsid w:val="008728A5"/>
    <w:rsid w:val="00872992"/>
    <w:rsid w:val="00872AE1"/>
    <w:rsid w:val="00872BC0"/>
    <w:rsid w:val="00872BEF"/>
    <w:rsid w:val="00872C67"/>
    <w:rsid w:val="00872C81"/>
    <w:rsid w:val="00872CEE"/>
    <w:rsid w:val="00872E73"/>
    <w:rsid w:val="00872E94"/>
    <w:rsid w:val="00872ECD"/>
    <w:rsid w:val="00872EDC"/>
    <w:rsid w:val="00872F98"/>
    <w:rsid w:val="00872FD0"/>
    <w:rsid w:val="00872FF2"/>
    <w:rsid w:val="008730F9"/>
    <w:rsid w:val="00873108"/>
    <w:rsid w:val="0087317D"/>
    <w:rsid w:val="00873281"/>
    <w:rsid w:val="00873282"/>
    <w:rsid w:val="0087337F"/>
    <w:rsid w:val="008733E2"/>
    <w:rsid w:val="00873473"/>
    <w:rsid w:val="00873502"/>
    <w:rsid w:val="008735E1"/>
    <w:rsid w:val="008737B5"/>
    <w:rsid w:val="0087383A"/>
    <w:rsid w:val="00873848"/>
    <w:rsid w:val="008738BB"/>
    <w:rsid w:val="00873902"/>
    <w:rsid w:val="0087392F"/>
    <w:rsid w:val="008739CA"/>
    <w:rsid w:val="00873AB0"/>
    <w:rsid w:val="00873B51"/>
    <w:rsid w:val="00873C09"/>
    <w:rsid w:val="00873C41"/>
    <w:rsid w:val="00873CDF"/>
    <w:rsid w:val="00873D24"/>
    <w:rsid w:val="00873D53"/>
    <w:rsid w:val="00873EA3"/>
    <w:rsid w:val="00873EE2"/>
    <w:rsid w:val="00874041"/>
    <w:rsid w:val="0087409C"/>
    <w:rsid w:val="00874125"/>
    <w:rsid w:val="00874132"/>
    <w:rsid w:val="00874147"/>
    <w:rsid w:val="00874148"/>
    <w:rsid w:val="00874206"/>
    <w:rsid w:val="008746A6"/>
    <w:rsid w:val="008747C4"/>
    <w:rsid w:val="008747D0"/>
    <w:rsid w:val="0087482C"/>
    <w:rsid w:val="00874879"/>
    <w:rsid w:val="008748BA"/>
    <w:rsid w:val="00874901"/>
    <w:rsid w:val="00874995"/>
    <w:rsid w:val="00874C2B"/>
    <w:rsid w:val="00874C57"/>
    <w:rsid w:val="00874DB9"/>
    <w:rsid w:val="00874DCC"/>
    <w:rsid w:val="00875025"/>
    <w:rsid w:val="0087504E"/>
    <w:rsid w:val="00875071"/>
    <w:rsid w:val="008750CF"/>
    <w:rsid w:val="008750F8"/>
    <w:rsid w:val="00875183"/>
    <w:rsid w:val="008751B9"/>
    <w:rsid w:val="008751C8"/>
    <w:rsid w:val="00875332"/>
    <w:rsid w:val="008753EE"/>
    <w:rsid w:val="008754E2"/>
    <w:rsid w:val="00875598"/>
    <w:rsid w:val="0087570B"/>
    <w:rsid w:val="0087573A"/>
    <w:rsid w:val="0087582D"/>
    <w:rsid w:val="0087587C"/>
    <w:rsid w:val="00875996"/>
    <w:rsid w:val="008759AB"/>
    <w:rsid w:val="00875AB9"/>
    <w:rsid w:val="00875C96"/>
    <w:rsid w:val="00875CBB"/>
    <w:rsid w:val="00875CE3"/>
    <w:rsid w:val="00875D12"/>
    <w:rsid w:val="00875E0D"/>
    <w:rsid w:val="00875EB6"/>
    <w:rsid w:val="00875ED2"/>
    <w:rsid w:val="00875F1B"/>
    <w:rsid w:val="00875F21"/>
    <w:rsid w:val="00875F38"/>
    <w:rsid w:val="00876088"/>
    <w:rsid w:val="008760B9"/>
    <w:rsid w:val="00876107"/>
    <w:rsid w:val="008761DE"/>
    <w:rsid w:val="0087640A"/>
    <w:rsid w:val="00876474"/>
    <w:rsid w:val="008764F2"/>
    <w:rsid w:val="0087651E"/>
    <w:rsid w:val="0087679D"/>
    <w:rsid w:val="0087688C"/>
    <w:rsid w:val="00876900"/>
    <w:rsid w:val="00876A49"/>
    <w:rsid w:val="00876AAB"/>
    <w:rsid w:val="00876CE5"/>
    <w:rsid w:val="00876D9A"/>
    <w:rsid w:val="00876FD0"/>
    <w:rsid w:val="00877070"/>
    <w:rsid w:val="00877161"/>
    <w:rsid w:val="008771D2"/>
    <w:rsid w:val="008771E1"/>
    <w:rsid w:val="008771FE"/>
    <w:rsid w:val="00877275"/>
    <w:rsid w:val="0087727A"/>
    <w:rsid w:val="008772E8"/>
    <w:rsid w:val="0087731A"/>
    <w:rsid w:val="0087731C"/>
    <w:rsid w:val="008773F7"/>
    <w:rsid w:val="008773FA"/>
    <w:rsid w:val="0087753A"/>
    <w:rsid w:val="008775B6"/>
    <w:rsid w:val="0087760A"/>
    <w:rsid w:val="008776DF"/>
    <w:rsid w:val="00877742"/>
    <w:rsid w:val="008778DC"/>
    <w:rsid w:val="008778FF"/>
    <w:rsid w:val="00877AA4"/>
    <w:rsid w:val="00877B6C"/>
    <w:rsid w:val="00877C0A"/>
    <w:rsid w:val="00877D24"/>
    <w:rsid w:val="00877D34"/>
    <w:rsid w:val="00877DA2"/>
    <w:rsid w:val="00877E23"/>
    <w:rsid w:val="00877E80"/>
    <w:rsid w:val="00877FBA"/>
    <w:rsid w:val="0088003D"/>
    <w:rsid w:val="0088024C"/>
    <w:rsid w:val="0088031E"/>
    <w:rsid w:val="0088036C"/>
    <w:rsid w:val="00880444"/>
    <w:rsid w:val="00880454"/>
    <w:rsid w:val="0088047F"/>
    <w:rsid w:val="008804D7"/>
    <w:rsid w:val="008805A3"/>
    <w:rsid w:val="00880611"/>
    <w:rsid w:val="008806AE"/>
    <w:rsid w:val="0088083C"/>
    <w:rsid w:val="00880905"/>
    <w:rsid w:val="00880943"/>
    <w:rsid w:val="00880A60"/>
    <w:rsid w:val="00880C00"/>
    <w:rsid w:val="00880C34"/>
    <w:rsid w:val="00880CC0"/>
    <w:rsid w:val="00880EDE"/>
    <w:rsid w:val="0088100E"/>
    <w:rsid w:val="00881091"/>
    <w:rsid w:val="008810AD"/>
    <w:rsid w:val="00881157"/>
    <w:rsid w:val="008811C7"/>
    <w:rsid w:val="00881206"/>
    <w:rsid w:val="00881216"/>
    <w:rsid w:val="00881218"/>
    <w:rsid w:val="008812FA"/>
    <w:rsid w:val="0088131A"/>
    <w:rsid w:val="008813EB"/>
    <w:rsid w:val="00881448"/>
    <w:rsid w:val="00881457"/>
    <w:rsid w:val="008814C5"/>
    <w:rsid w:val="008815DA"/>
    <w:rsid w:val="00881629"/>
    <w:rsid w:val="00881683"/>
    <w:rsid w:val="00881736"/>
    <w:rsid w:val="0088176A"/>
    <w:rsid w:val="008819FE"/>
    <w:rsid w:val="00881A61"/>
    <w:rsid w:val="00881A63"/>
    <w:rsid w:val="00881B01"/>
    <w:rsid w:val="00882140"/>
    <w:rsid w:val="00882170"/>
    <w:rsid w:val="00882175"/>
    <w:rsid w:val="008821DC"/>
    <w:rsid w:val="0088237A"/>
    <w:rsid w:val="00882380"/>
    <w:rsid w:val="00882395"/>
    <w:rsid w:val="0088244F"/>
    <w:rsid w:val="008824B0"/>
    <w:rsid w:val="0088251F"/>
    <w:rsid w:val="008827FC"/>
    <w:rsid w:val="00882830"/>
    <w:rsid w:val="00882938"/>
    <w:rsid w:val="0088299B"/>
    <w:rsid w:val="00882D3A"/>
    <w:rsid w:val="00882E78"/>
    <w:rsid w:val="00882F19"/>
    <w:rsid w:val="00882F5B"/>
    <w:rsid w:val="008831A6"/>
    <w:rsid w:val="0088325F"/>
    <w:rsid w:val="00883286"/>
    <w:rsid w:val="008834D6"/>
    <w:rsid w:val="008836D7"/>
    <w:rsid w:val="008836DD"/>
    <w:rsid w:val="00883745"/>
    <w:rsid w:val="00883790"/>
    <w:rsid w:val="00883818"/>
    <w:rsid w:val="00883939"/>
    <w:rsid w:val="00883A38"/>
    <w:rsid w:val="00883AA6"/>
    <w:rsid w:val="00883B17"/>
    <w:rsid w:val="00883E64"/>
    <w:rsid w:val="00883E7D"/>
    <w:rsid w:val="00883E8E"/>
    <w:rsid w:val="00883FC6"/>
    <w:rsid w:val="00884008"/>
    <w:rsid w:val="00884028"/>
    <w:rsid w:val="0088402D"/>
    <w:rsid w:val="0088412A"/>
    <w:rsid w:val="008841E2"/>
    <w:rsid w:val="00884232"/>
    <w:rsid w:val="0088443A"/>
    <w:rsid w:val="008844DA"/>
    <w:rsid w:val="008846C1"/>
    <w:rsid w:val="0088471A"/>
    <w:rsid w:val="0088483B"/>
    <w:rsid w:val="00884845"/>
    <w:rsid w:val="008848FB"/>
    <w:rsid w:val="00884B34"/>
    <w:rsid w:val="00884D80"/>
    <w:rsid w:val="00884D84"/>
    <w:rsid w:val="00884E79"/>
    <w:rsid w:val="00884FAA"/>
    <w:rsid w:val="0088519C"/>
    <w:rsid w:val="00885212"/>
    <w:rsid w:val="008854A3"/>
    <w:rsid w:val="008854B8"/>
    <w:rsid w:val="0088552F"/>
    <w:rsid w:val="0088555C"/>
    <w:rsid w:val="008855B8"/>
    <w:rsid w:val="00885620"/>
    <w:rsid w:val="008856BC"/>
    <w:rsid w:val="00885792"/>
    <w:rsid w:val="0088582D"/>
    <w:rsid w:val="008858C2"/>
    <w:rsid w:val="008858C8"/>
    <w:rsid w:val="008859F9"/>
    <w:rsid w:val="00885A61"/>
    <w:rsid w:val="00885A96"/>
    <w:rsid w:val="00885B8D"/>
    <w:rsid w:val="00885F33"/>
    <w:rsid w:val="00885F70"/>
    <w:rsid w:val="00886069"/>
    <w:rsid w:val="00886142"/>
    <w:rsid w:val="008861DC"/>
    <w:rsid w:val="00886291"/>
    <w:rsid w:val="0088633A"/>
    <w:rsid w:val="008863AB"/>
    <w:rsid w:val="008863F5"/>
    <w:rsid w:val="00886408"/>
    <w:rsid w:val="008864CD"/>
    <w:rsid w:val="008865DB"/>
    <w:rsid w:val="00886786"/>
    <w:rsid w:val="00886876"/>
    <w:rsid w:val="008868F5"/>
    <w:rsid w:val="0088691A"/>
    <w:rsid w:val="00886A69"/>
    <w:rsid w:val="00886A6B"/>
    <w:rsid w:val="00886A8F"/>
    <w:rsid w:val="00886AC1"/>
    <w:rsid w:val="00886C35"/>
    <w:rsid w:val="00886C39"/>
    <w:rsid w:val="00886DBE"/>
    <w:rsid w:val="00886E88"/>
    <w:rsid w:val="00886F6C"/>
    <w:rsid w:val="0088701D"/>
    <w:rsid w:val="00887068"/>
    <w:rsid w:val="0088719A"/>
    <w:rsid w:val="008871B7"/>
    <w:rsid w:val="008871C9"/>
    <w:rsid w:val="008871EF"/>
    <w:rsid w:val="00887373"/>
    <w:rsid w:val="008873D3"/>
    <w:rsid w:val="0088742A"/>
    <w:rsid w:val="00887553"/>
    <w:rsid w:val="0088758D"/>
    <w:rsid w:val="008875FA"/>
    <w:rsid w:val="00887618"/>
    <w:rsid w:val="00887680"/>
    <w:rsid w:val="008876A2"/>
    <w:rsid w:val="008877D2"/>
    <w:rsid w:val="00887885"/>
    <w:rsid w:val="008878B7"/>
    <w:rsid w:val="008878D4"/>
    <w:rsid w:val="0088796F"/>
    <w:rsid w:val="008879FF"/>
    <w:rsid w:val="00887A05"/>
    <w:rsid w:val="00887A55"/>
    <w:rsid w:val="00887A88"/>
    <w:rsid w:val="00887B4D"/>
    <w:rsid w:val="00887CA4"/>
    <w:rsid w:val="00887D3D"/>
    <w:rsid w:val="00887D58"/>
    <w:rsid w:val="00887EE1"/>
    <w:rsid w:val="00887F26"/>
    <w:rsid w:val="00887F52"/>
    <w:rsid w:val="00887FC3"/>
    <w:rsid w:val="00887FED"/>
    <w:rsid w:val="008901E2"/>
    <w:rsid w:val="00890239"/>
    <w:rsid w:val="00890289"/>
    <w:rsid w:val="00890295"/>
    <w:rsid w:val="00890361"/>
    <w:rsid w:val="0089037D"/>
    <w:rsid w:val="0089039E"/>
    <w:rsid w:val="008904F3"/>
    <w:rsid w:val="008905AF"/>
    <w:rsid w:val="0089067C"/>
    <w:rsid w:val="008906AF"/>
    <w:rsid w:val="008906CC"/>
    <w:rsid w:val="008907B1"/>
    <w:rsid w:val="0089094B"/>
    <w:rsid w:val="00890B93"/>
    <w:rsid w:val="00890BED"/>
    <w:rsid w:val="00890CBE"/>
    <w:rsid w:val="00890CC6"/>
    <w:rsid w:val="00890CCC"/>
    <w:rsid w:val="00890CD5"/>
    <w:rsid w:val="00890DF9"/>
    <w:rsid w:val="00890F92"/>
    <w:rsid w:val="00890FC8"/>
    <w:rsid w:val="00890FE2"/>
    <w:rsid w:val="00891046"/>
    <w:rsid w:val="00891086"/>
    <w:rsid w:val="008910FB"/>
    <w:rsid w:val="0089129A"/>
    <w:rsid w:val="008912EE"/>
    <w:rsid w:val="008912FF"/>
    <w:rsid w:val="008914F9"/>
    <w:rsid w:val="00891591"/>
    <w:rsid w:val="008915EB"/>
    <w:rsid w:val="00891687"/>
    <w:rsid w:val="008916EB"/>
    <w:rsid w:val="00891818"/>
    <w:rsid w:val="008918EF"/>
    <w:rsid w:val="0089190C"/>
    <w:rsid w:val="0089198F"/>
    <w:rsid w:val="008919F0"/>
    <w:rsid w:val="00891AC1"/>
    <w:rsid w:val="00891AFF"/>
    <w:rsid w:val="00891D87"/>
    <w:rsid w:val="00891DF5"/>
    <w:rsid w:val="00891E75"/>
    <w:rsid w:val="00891E98"/>
    <w:rsid w:val="00891EFF"/>
    <w:rsid w:val="00891F8A"/>
    <w:rsid w:val="00891FB9"/>
    <w:rsid w:val="0089204D"/>
    <w:rsid w:val="0089214E"/>
    <w:rsid w:val="008921B2"/>
    <w:rsid w:val="008921B5"/>
    <w:rsid w:val="008921FB"/>
    <w:rsid w:val="0089220D"/>
    <w:rsid w:val="00892227"/>
    <w:rsid w:val="0089243D"/>
    <w:rsid w:val="008925C3"/>
    <w:rsid w:val="0089262F"/>
    <w:rsid w:val="00892680"/>
    <w:rsid w:val="008927AA"/>
    <w:rsid w:val="008927FD"/>
    <w:rsid w:val="0089282F"/>
    <w:rsid w:val="008928DD"/>
    <w:rsid w:val="00892916"/>
    <w:rsid w:val="008929A0"/>
    <w:rsid w:val="00892A84"/>
    <w:rsid w:val="00892C23"/>
    <w:rsid w:val="00892D84"/>
    <w:rsid w:val="00892E5B"/>
    <w:rsid w:val="00892FB0"/>
    <w:rsid w:val="00893019"/>
    <w:rsid w:val="00893084"/>
    <w:rsid w:val="008930FB"/>
    <w:rsid w:val="0089327D"/>
    <w:rsid w:val="00893292"/>
    <w:rsid w:val="008932FB"/>
    <w:rsid w:val="00893308"/>
    <w:rsid w:val="008933AE"/>
    <w:rsid w:val="008933C8"/>
    <w:rsid w:val="0089346F"/>
    <w:rsid w:val="00893490"/>
    <w:rsid w:val="008934B6"/>
    <w:rsid w:val="00893567"/>
    <w:rsid w:val="00893578"/>
    <w:rsid w:val="008935EA"/>
    <w:rsid w:val="0089364E"/>
    <w:rsid w:val="008936DF"/>
    <w:rsid w:val="0089372B"/>
    <w:rsid w:val="00893822"/>
    <w:rsid w:val="00893856"/>
    <w:rsid w:val="008939A9"/>
    <w:rsid w:val="008939D8"/>
    <w:rsid w:val="008939E0"/>
    <w:rsid w:val="00893A1D"/>
    <w:rsid w:val="00893A66"/>
    <w:rsid w:val="00893AA4"/>
    <w:rsid w:val="00893CE1"/>
    <w:rsid w:val="00893D44"/>
    <w:rsid w:val="00893D77"/>
    <w:rsid w:val="00893ECF"/>
    <w:rsid w:val="00893F64"/>
    <w:rsid w:val="00893F73"/>
    <w:rsid w:val="008940E5"/>
    <w:rsid w:val="0089412F"/>
    <w:rsid w:val="008941A9"/>
    <w:rsid w:val="008941BF"/>
    <w:rsid w:val="008941E4"/>
    <w:rsid w:val="008942A1"/>
    <w:rsid w:val="00894444"/>
    <w:rsid w:val="00894486"/>
    <w:rsid w:val="0089457B"/>
    <w:rsid w:val="008945CC"/>
    <w:rsid w:val="008945FD"/>
    <w:rsid w:val="008947F1"/>
    <w:rsid w:val="008948C6"/>
    <w:rsid w:val="00894922"/>
    <w:rsid w:val="00894945"/>
    <w:rsid w:val="00894AB2"/>
    <w:rsid w:val="00894C42"/>
    <w:rsid w:val="00894D7D"/>
    <w:rsid w:val="00894DBB"/>
    <w:rsid w:val="00894E21"/>
    <w:rsid w:val="00894F2A"/>
    <w:rsid w:val="00895028"/>
    <w:rsid w:val="0089504E"/>
    <w:rsid w:val="00895383"/>
    <w:rsid w:val="00895392"/>
    <w:rsid w:val="008953C2"/>
    <w:rsid w:val="0089541B"/>
    <w:rsid w:val="008954EB"/>
    <w:rsid w:val="00895622"/>
    <w:rsid w:val="00895694"/>
    <w:rsid w:val="008957AF"/>
    <w:rsid w:val="00895947"/>
    <w:rsid w:val="00895983"/>
    <w:rsid w:val="008959DD"/>
    <w:rsid w:val="00895A25"/>
    <w:rsid w:val="00895A59"/>
    <w:rsid w:val="00895B1D"/>
    <w:rsid w:val="00895C02"/>
    <w:rsid w:val="00895C2E"/>
    <w:rsid w:val="00895C41"/>
    <w:rsid w:val="00895C5C"/>
    <w:rsid w:val="00895C67"/>
    <w:rsid w:val="00895D92"/>
    <w:rsid w:val="00895E1B"/>
    <w:rsid w:val="00895F8C"/>
    <w:rsid w:val="00895FA9"/>
    <w:rsid w:val="00895FC1"/>
    <w:rsid w:val="00896011"/>
    <w:rsid w:val="00896027"/>
    <w:rsid w:val="0089602F"/>
    <w:rsid w:val="00896079"/>
    <w:rsid w:val="0089616C"/>
    <w:rsid w:val="008962A7"/>
    <w:rsid w:val="008962C4"/>
    <w:rsid w:val="008962F7"/>
    <w:rsid w:val="00896375"/>
    <w:rsid w:val="0089639F"/>
    <w:rsid w:val="008963B9"/>
    <w:rsid w:val="008964BD"/>
    <w:rsid w:val="008965DF"/>
    <w:rsid w:val="00896630"/>
    <w:rsid w:val="0089679B"/>
    <w:rsid w:val="008967CB"/>
    <w:rsid w:val="008967E5"/>
    <w:rsid w:val="00896812"/>
    <w:rsid w:val="008968D7"/>
    <w:rsid w:val="008969AC"/>
    <w:rsid w:val="00896B98"/>
    <w:rsid w:val="00896BA5"/>
    <w:rsid w:val="00896CD4"/>
    <w:rsid w:val="00896F1B"/>
    <w:rsid w:val="00896F70"/>
    <w:rsid w:val="00897025"/>
    <w:rsid w:val="008970A1"/>
    <w:rsid w:val="00897231"/>
    <w:rsid w:val="008972B0"/>
    <w:rsid w:val="00897488"/>
    <w:rsid w:val="008974C5"/>
    <w:rsid w:val="008975F4"/>
    <w:rsid w:val="00897665"/>
    <w:rsid w:val="00897728"/>
    <w:rsid w:val="0089778E"/>
    <w:rsid w:val="0089786E"/>
    <w:rsid w:val="008978EC"/>
    <w:rsid w:val="008979AB"/>
    <w:rsid w:val="00897B3B"/>
    <w:rsid w:val="00897BD0"/>
    <w:rsid w:val="00897C98"/>
    <w:rsid w:val="00897DA8"/>
    <w:rsid w:val="00897DE1"/>
    <w:rsid w:val="00897DEB"/>
    <w:rsid w:val="00897EA7"/>
    <w:rsid w:val="00897EFC"/>
    <w:rsid w:val="00897F4B"/>
    <w:rsid w:val="00897F65"/>
    <w:rsid w:val="00897F7D"/>
    <w:rsid w:val="008A0109"/>
    <w:rsid w:val="008A0131"/>
    <w:rsid w:val="008A0169"/>
    <w:rsid w:val="008A01F5"/>
    <w:rsid w:val="008A0479"/>
    <w:rsid w:val="008A04B6"/>
    <w:rsid w:val="008A05C6"/>
    <w:rsid w:val="008A05F0"/>
    <w:rsid w:val="008A089E"/>
    <w:rsid w:val="008A091F"/>
    <w:rsid w:val="008A0AD6"/>
    <w:rsid w:val="008A0BA6"/>
    <w:rsid w:val="008A0BD1"/>
    <w:rsid w:val="008A0C24"/>
    <w:rsid w:val="008A0CB0"/>
    <w:rsid w:val="008A0EF2"/>
    <w:rsid w:val="008A123E"/>
    <w:rsid w:val="008A133E"/>
    <w:rsid w:val="008A1370"/>
    <w:rsid w:val="008A1489"/>
    <w:rsid w:val="008A14AC"/>
    <w:rsid w:val="008A150D"/>
    <w:rsid w:val="008A1527"/>
    <w:rsid w:val="008A1566"/>
    <w:rsid w:val="008A15E9"/>
    <w:rsid w:val="008A16C4"/>
    <w:rsid w:val="008A170C"/>
    <w:rsid w:val="008A1743"/>
    <w:rsid w:val="008A1754"/>
    <w:rsid w:val="008A1883"/>
    <w:rsid w:val="008A19AC"/>
    <w:rsid w:val="008A19BE"/>
    <w:rsid w:val="008A1A6D"/>
    <w:rsid w:val="008A1B61"/>
    <w:rsid w:val="008A1B6A"/>
    <w:rsid w:val="008A1C93"/>
    <w:rsid w:val="008A1CA7"/>
    <w:rsid w:val="008A1CED"/>
    <w:rsid w:val="008A1CF0"/>
    <w:rsid w:val="008A1D9C"/>
    <w:rsid w:val="008A1DC9"/>
    <w:rsid w:val="008A1ECE"/>
    <w:rsid w:val="008A1FAC"/>
    <w:rsid w:val="008A1FAF"/>
    <w:rsid w:val="008A1FB8"/>
    <w:rsid w:val="008A1FCA"/>
    <w:rsid w:val="008A1FDB"/>
    <w:rsid w:val="008A2001"/>
    <w:rsid w:val="008A2011"/>
    <w:rsid w:val="008A2033"/>
    <w:rsid w:val="008A2061"/>
    <w:rsid w:val="008A20FB"/>
    <w:rsid w:val="008A216D"/>
    <w:rsid w:val="008A21BF"/>
    <w:rsid w:val="008A21C2"/>
    <w:rsid w:val="008A21F6"/>
    <w:rsid w:val="008A2278"/>
    <w:rsid w:val="008A22C1"/>
    <w:rsid w:val="008A2303"/>
    <w:rsid w:val="008A2530"/>
    <w:rsid w:val="008A26BB"/>
    <w:rsid w:val="008A27B1"/>
    <w:rsid w:val="008A282F"/>
    <w:rsid w:val="008A28A3"/>
    <w:rsid w:val="008A28D6"/>
    <w:rsid w:val="008A2967"/>
    <w:rsid w:val="008A2A56"/>
    <w:rsid w:val="008A2AE3"/>
    <w:rsid w:val="008A2B2D"/>
    <w:rsid w:val="008A2B3C"/>
    <w:rsid w:val="008A2B79"/>
    <w:rsid w:val="008A2B85"/>
    <w:rsid w:val="008A2BB5"/>
    <w:rsid w:val="008A2BC5"/>
    <w:rsid w:val="008A2C25"/>
    <w:rsid w:val="008A2C2A"/>
    <w:rsid w:val="008A2CFC"/>
    <w:rsid w:val="008A30B1"/>
    <w:rsid w:val="008A32AD"/>
    <w:rsid w:val="008A3315"/>
    <w:rsid w:val="008A338B"/>
    <w:rsid w:val="008A33C0"/>
    <w:rsid w:val="008A33E0"/>
    <w:rsid w:val="008A342F"/>
    <w:rsid w:val="008A34B8"/>
    <w:rsid w:val="008A34DD"/>
    <w:rsid w:val="008A3520"/>
    <w:rsid w:val="008A3558"/>
    <w:rsid w:val="008A35F7"/>
    <w:rsid w:val="008A3667"/>
    <w:rsid w:val="008A368C"/>
    <w:rsid w:val="008A383E"/>
    <w:rsid w:val="008A3970"/>
    <w:rsid w:val="008A3B55"/>
    <w:rsid w:val="008A3BDB"/>
    <w:rsid w:val="008A3BE4"/>
    <w:rsid w:val="008A3C1A"/>
    <w:rsid w:val="008A3DD5"/>
    <w:rsid w:val="008A3E0E"/>
    <w:rsid w:val="008A3E62"/>
    <w:rsid w:val="008A3E8C"/>
    <w:rsid w:val="008A42C7"/>
    <w:rsid w:val="008A4326"/>
    <w:rsid w:val="008A4397"/>
    <w:rsid w:val="008A43D3"/>
    <w:rsid w:val="008A43FB"/>
    <w:rsid w:val="008A44C1"/>
    <w:rsid w:val="008A4759"/>
    <w:rsid w:val="008A486C"/>
    <w:rsid w:val="008A4A9D"/>
    <w:rsid w:val="008A4BE2"/>
    <w:rsid w:val="008A4E07"/>
    <w:rsid w:val="008A4F4B"/>
    <w:rsid w:val="008A4F60"/>
    <w:rsid w:val="008A4F67"/>
    <w:rsid w:val="008A4FFB"/>
    <w:rsid w:val="008A50EB"/>
    <w:rsid w:val="008A52EE"/>
    <w:rsid w:val="008A53C7"/>
    <w:rsid w:val="008A5477"/>
    <w:rsid w:val="008A54DB"/>
    <w:rsid w:val="008A552C"/>
    <w:rsid w:val="008A56C4"/>
    <w:rsid w:val="008A56F7"/>
    <w:rsid w:val="008A572B"/>
    <w:rsid w:val="008A5781"/>
    <w:rsid w:val="008A57F9"/>
    <w:rsid w:val="008A5837"/>
    <w:rsid w:val="008A5876"/>
    <w:rsid w:val="008A5B7B"/>
    <w:rsid w:val="008A5BFC"/>
    <w:rsid w:val="008A5C00"/>
    <w:rsid w:val="008A5C88"/>
    <w:rsid w:val="008A5DE6"/>
    <w:rsid w:val="008A5EF3"/>
    <w:rsid w:val="008A5F6A"/>
    <w:rsid w:val="008A5F95"/>
    <w:rsid w:val="008A5FA8"/>
    <w:rsid w:val="008A5FD9"/>
    <w:rsid w:val="008A6055"/>
    <w:rsid w:val="008A6110"/>
    <w:rsid w:val="008A61D7"/>
    <w:rsid w:val="008A627D"/>
    <w:rsid w:val="008A63E8"/>
    <w:rsid w:val="008A6401"/>
    <w:rsid w:val="008A65E1"/>
    <w:rsid w:val="008A6721"/>
    <w:rsid w:val="008A6786"/>
    <w:rsid w:val="008A6869"/>
    <w:rsid w:val="008A68BB"/>
    <w:rsid w:val="008A68E4"/>
    <w:rsid w:val="008A69EB"/>
    <w:rsid w:val="008A6AF2"/>
    <w:rsid w:val="008A6B38"/>
    <w:rsid w:val="008A6D85"/>
    <w:rsid w:val="008A6DCC"/>
    <w:rsid w:val="008A719E"/>
    <w:rsid w:val="008A71DE"/>
    <w:rsid w:val="008A72DF"/>
    <w:rsid w:val="008A73FC"/>
    <w:rsid w:val="008A7406"/>
    <w:rsid w:val="008A743F"/>
    <w:rsid w:val="008A74CE"/>
    <w:rsid w:val="008A75C3"/>
    <w:rsid w:val="008A76EB"/>
    <w:rsid w:val="008A771F"/>
    <w:rsid w:val="008A7750"/>
    <w:rsid w:val="008A77E4"/>
    <w:rsid w:val="008A7893"/>
    <w:rsid w:val="008A792D"/>
    <w:rsid w:val="008A7983"/>
    <w:rsid w:val="008A7A82"/>
    <w:rsid w:val="008A7B99"/>
    <w:rsid w:val="008A7C61"/>
    <w:rsid w:val="008A7D72"/>
    <w:rsid w:val="008A7D86"/>
    <w:rsid w:val="008A7F35"/>
    <w:rsid w:val="008B0010"/>
    <w:rsid w:val="008B0024"/>
    <w:rsid w:val="008B009D"/>
    <w:rsid w:val="008B00BF"/>
    <w:rsid w:val="008B0127"/>
    <w:rsid w:val="008B01CF"/>
    <w:rsid w:val="008B046C"/>
    <w:rsid w:val="008B04A3"/>
    <w:rsid w:val="008B0500"/>
    <w:rsid w:val="008B05F4"/>
    <w:rsid w:val="008B069C"/>
    <w:rsid w:val="008B06CF"/>
    <w:rsid w:val="008B08BA"/>
    <w:rsid w:val="008B0919"/>
    <w:rsid w:val="008B09F3"/>
    <w:rsid w:val="008B0A28"/>
    <w:rsid w:val="008B0A5C"/>
    <w:rsid w:val="008B0A69"/>
    <w:rsid w:val="008B0AA2"/>
    <w:rsid w:val="008B0AD3"/>
    <w:rsid w:val="008B0AE5"/>
    <w:rsid w:val="008B0B1E"/>
    <w:rsid w:val="008B0C18"/>
    <w:rsid w:val="008B0C1E"/>
    <w:rsid w:val="008B0C65"/>
    <w:rsid w:val="008B0F31"/>
    <w:rsid w:val="008B1086"/>
    <w:rsid w:val="008B1098"/>
    <w:rsid w:val="008B1336"/>
    <w:rsid w:val="008B1389"/>
    <w:rsid w:val="008B142D"/>
    <w:rsid w:val="008B1484"/>
    <w:rsid w:val="008B14E2"/>
    <w:rsid w:val="008B1558"/>
    <w:rsid w:val="008B1586"/>
    <w:rsid w:val="008B1681"/>
    <w:rsid w:val="008B17C1"/>
    <w:rsid w:val="008B18FB"/>
    <w:rsid w:val="008B192C"/>
    <w:rsid w:val="008B1932"/>
    <w:rsid w:val="008B195C"/>
    <w:rsid w:val="008B19B2"/>
    <w:rsid w:val="008B19B6"/>
    <w:rsid w:val="008B1C1B"/>
    <w:rsid w:val="008B1CF2"/>
    <w:rsid w:val="008B1D78"/>
    <w:rsid w:val="008B1D7B"/>
    <w:rsid w:val="008B1E54"/>
    <w:rsid w:val="008B1FF2"/>
    <w:rsid w:val="008B2194"/>
    <w:rsid w:val="008B224A"/>
    <w:rsid w:val="008B22FB"/>
    <w:rsid w:val="008B23C9"/>
    <w:rsid w:val="008B23EB"/>
    <w:rsid w:val="008B243E"/>
    <w:rsid w:val="008B2578"/>
    <w:rsid w:val="008B25E9"/>
    <w:rsid w:val="008B27A0"/>
    <w:rsid w:val="008B2C3A"/>
    <w:rsid w:val="008B2C4F"/>
    <w:rsid w:val="008B2D9A"/>
    <w:rsid w:val="008B2DAB"/>
    <w:rsid w:val="008B2F47"/>
    <w:rsid w:val="008B2F95"/>
    <w:rsid w:val="008B30C5"/>
    <w:rsid w:val="008B3140"/>
    <w:rsid w:val="008B317D"/>
    <w:rsid w:val="008B31C5"/>
    <w:rsid w:val="008B3329"/>
    <w:rsid w:val="008B3428"/>
    <w:rsid w:val="008B3586"/>
    <w:rsid w:val="008B3829"/>
    <w:rsid w:val="008B39CA"/>
    <w:rsid w:val="008B39DC"/>
    <w:rsid w:val="008B39F5"/>
    <w:rsid w:val="008B3A86"/>
    <w:rsid w:val="008B3B3F"/>
    <w:rsid w:val="008B3B61"/>
    <w:rsid w:val="008B3BC3"/>
    <w:rsid w:val="008B3D82"/>
    <w:rsid w:val="008B3E40"/>
    <w:rsid w:val="008B3E5A"/>
    <w:rsid w:val="008B3F49"/>
    <w:rsid w:val="008B3F53"/>
    <w:rsid w:val="008B401E"/>
    <w:rsid w:val="008B4037"/>
    <w:rsid w:val="008B4113"/>
    <w:rsid w:val="008B41DA"/>
    <w:rsid w:val="008B4251"/>
    <w:rsid w:val="008B4414"/>
    <w:rsid w:val="008B4433"/>
    <w:rsid w:val="008B4472"/>
    <w:rsid w:val="008B4682"/>
    <w:rsid w:val="008B47CC"/>
    <w:rsid w:val="008B4803"/>
    <w:rsid w:val="008B4816"/>
    <w:rsid w:val="008B4837"/>
    <w:rsid w:val="008B491A"/>
    <w:rsid w:val="008B49E4"/>
    <w:rsid w:val="008B4A00"/>
    <w:rsid w:val="008B4A25"/>
    <w:rsid w:val="008B4A5D"/>
    <w:rsid w:val="008B4AB1"/>
    <w:rsid w:val="008B4B19"/>
    <w:rsid w:val="008B4B65"/>
    <w:rsid w:val="008B4B8A"/>
    <w:rsid w:val="008B4E6C"/>
    <w:rsid w:val="008B4F3D"/>
    <w:rsid w:val="008B4FCF"/>
    <w:rsid w:val="008B5144"/>
    <w:rsid w:val="008B5286"/>
    <w:rsid w:val="008B528B"/>
    <w:rsid w:val="008B52B1"/>
    <w:rsid w:val="008B52E8"/>
    <w:rsid w:val="008B533C"/>
    <w:rsid w:val="008B53EB"/>
    <w:rsid w:val="008B542C"/>
    <w:rsid w:val="008B5480"/>
    <w:rsid w:val="008B54DB"/>
    <w:rsid w:val="008B5543"/>
    <w:rsid w:val="008B55A3"/>
    <w:rsid w:val="008B5688"/>
    <w:rsid w:val="008B57AA"/>
    <w:rsid w:val="008B57B3"/>
    <w:rsid w:val="008B57E6"/>
    <w:rsid w:val="008B58EF"/>
    <w:rsid w:val="008B59CA"/>
    <w:rsid w:val="008B5A01"/>
    <w:rsid w:val="008B5AA1"/>
    <w:rsid w:val="008B5AFA"/>
    <w:rsid w:val="008B5B15"/>
    <w:rsid w:val="008B5B8B"/>
    <w:rsid w:val="008B5E0B"/>
    <w:rsid w:val="008B6045"/>
    <w:rsid w:val="008B6163"/>
    <w:rsid w:val="008B61D0"/>
    <w:rsid w:val="008B62CB"/>
    <w:rsid w:val="008B6491"/>
    <w:rsid w:val="008B65B5"/>
    <w:rsid w:val="008B6682"/>
    <w:rsid w:val="008B669F"/>
    <w:rsid w:val="008B6746"/>
    <w:rsid w:val="008B682C"/>
    <w:rsid w:val="008B6929"/>
    <w:rsid w:val="008B69EB"/>
    <w:rsid w:val="008B6A8B"/>
    <w:rsid w:val="008B6B93"/>
    <w:rsid w:val="008B6C62"/>
    <w:rsid w:val="008B6EF9"/>
    <w:rsid w:val="008B6F9E"/>
    <w:rsid w:val="008B6FB7"/>
    <w:rsid w:val="008B6FF5"/>
    <w:rsid w:val="008B718A"/>
    <w:rsid w:val="008B72CC"/>
    <w:rsid w:val="008B7338"/>
    <w:rsid w:val="008B7385"/>
    <w:rsid w:val="008B7399"/>
    <w:rsid w:val="008B73E6"/>
    <w:rsid w:val="008B73EA"/>
    <w:rsid w:val="008B750C"/>
    <w:rsid w:val="008B7526"/>
    <w:rsid w:val="008B7552"/>
    <w:rsid w:val="008B7593"/>
    <w:rsid w:val="008B7696"/>
    <w:rsid w:val="008B76FC"/>
    <w:rsid w:val="008B7757"/>
    <w:rsid w:val="008B778E"/>
    <w:rsid w:val="008B77F6"/>
    <w:rsid w:val="008B7815"/>
    <w:rsid w:val="008B781B"/>
    <w:rsid w:val="008B7828"/>
    <w:rsid w:val="008B7886"/>
    <w:rsid w:val="008B7A13"/>
    <w:rsid w:val="008B7A95"/>
    <w:rsid w:val="008B7C46"/>
    <w:rsid w:val="008B7D0A"/>
    <w:rsid w:val="008B7D62"/>
    <w:rsid w:val="008B7D72"/>
    <w:rsid w:val="008B7DC5"/>
    <w:rsid w:val="008B7EBF"/>
    <w:rsid w:val="008B7FA2"/>
    <w:rsid w:val="008C015B"/>
    <w:rsid w:val="008C015E"/>
    <w:rsid w:val="008C032C"/>
    <w:rsid w:val="008C03DA"/>
    <w:rsid w:val="008C03DC"/>
    <w:rsid w:val="008C0527"/>
    <w:rsid w:val="008C05F7"/>
    <w:rsid w:val="008C0611"/>
    <w:rsid w:val="008C061C"/>
    <w:rsid w:val="008C0647"/>
    <w:rsid w:val="008C086A"/>
    <w:rsid w:val="008C08B3"/>
    <w:rsid w:val="008C091A"/>
    <w:rsid w:val="008C0A02"/>
    <w:rsid w:val="008C0A31"/>
    <w:rsid w:val="008C0B12"/>
    <w:rsid w:val="008C0B1B"/>
    <w:rsid w:val="008C0BC2"/>
    <w:rsid w:val="008C0BC6"/>
    <w:rsid w:val="008C0CAA"/>
    <w:rsid w:val="008C0CAD"/>
    <w:rsid w:val="008C0E14"/>
    <w:rsid w:val="008C0E2F"/>
    <w:rsid w:val="008C0FD2"/>
    <w:rsid w:val="008C1051"/>
    <w:rsid w:val="008C10DE"/>
    <w:rsid w:val="008C1208"/>
    <w:rsid w:val="008C132C"/>
    <w:rsid w:val="008C1397"/>
    <w:rsid w:val="008C13EA"/>
    <w:rsid w:val="008C14CE"/>
    <w:rsid w:val="008C14D0"/>
    <w:rsid w:val="008C1578"/>
    <w:rsid w:val="008C17A8"/>
    <w:rsid w:val="008C17CF"/>
    <w:rsid w:val="008C17EA"/>
    <w:rsid w:val="008C1887"/>
    <w:rsid w:val="008C189B"/>
    <w:rsid w:val="008C18E4"/>
    <w:rsid w:val="008C18EC"/>
    <w:rsid w:val="008C1A10"/>
    <w:rsid w:val="008C1BBB"/>
    <w:rsid w:val="008C1C0B"/>
    <w:rsid w:val="008C1CB3"/>
    <w:rsid w:val="008C1D25"/>
    <w:rsid w:val="008C1F7E"/>
    <w:rsid w:val="008C2017"/>
    <w:rsid w:val="008C20AA"/>
    <w:rsid w:val="008C2304"/>
    <w:rsid w:val="008C25A2"/>
    <w:rsid w:val="008C2601"/>
    <w:rsid w:val="008C26FD"/>
    <w:rsid w:val="008C273A"/>
    <w:rsid w:val="008C27BC"/>
    <w:rsid w:val="008C28F3"/>
    <w:rsid w:val="008C2A0F"/>
    <w:rsid w:val="008C2B22"/>
    <w:rsid w:val="008C2B66"/>
    <w:rsid w:val="008C2C23"/>
    <w:rsid w:val="008C2EAE"/>
    <w:rsid w:val="008C2EB5"/>
    <w:rsid w:val="008C2ED5"/>
    <w:rsid w:val="008C2EEC"/>
    <w:rsid w:val="008C2F2E"/>
    <w:rsid w:val="008C2FD0"/>
    <w:rsid w:val="008C3021"/>
    <w:rsid w:val="008C308E"/>
    <w:rsid w:val="008C30FD"/>
    <w:rsid w:val="008C3195"/>
    <w:rsid w:val="008C31C6"/>
    <w:rsid w:val="008C3212"/>
    <w:rsid w:val="008C324A"/>
    <w:rsid w:val="008C332A"/>
    <w:rsid w:val="008C3342"/>
    <w:rsid w:val="008C334E"/>
    <w:rsid w:val="008C343B"/>
    <w:rsid w:val="008C3595"/>
    <w:rsid w:val="008C3680"/>
    <w:rsid w:val="008C3826"/>
    <w:rsid w:val="008C3896"/>
    <w:rsid w:val="008C38B8"/>
    <w:rsid w:val="008C3AF3"/>
    <w:rsid w:val="008C3AFB"/>
    <w:rsid w:val="008C3B27"/>
    <w:rsid w:val="008C3C63"/>
    <w:rsid w:val="008C3CBB"/>
    <w:rsid w:val="008C3CD4"/>
    <w:rsid w:val="008C3DB1"/>
    <w:rsid w:val="008C3E66"/>
    <w:rsid w:val="008C40B6"/>
    <w:rsid w:val="008C412F"/>
    <w:rsid w:val="008C423F"/>
    <w:rsid w:val="008C4271"/>
    <w:rsid w:val="008C42A4"/>
    <w:rsid w:val="008C42D5"/>
    <w:rsid w:val="008C43D3"/>
    <w:rsid w:val="008C4584"/>
    <w:rsid w:val="008C45B1"/>
    <w:rsid w:val="008C45DF"/>
    <w:rsid w:val="008C4624"/>
    <w:rsid w:val="008C4675"/>
    <w:rsid w:val="008C4696"/>
    <w:rsid w:val="008C46B6"/>
    <w:rsid w:val="008C4844"/>
    <w:rsid w:val="008C4AE9"/>
    <w:rsid w:val="008C4B23"/>
    <w:rsid w:val="008C4B41"/>
    <w:rsid w:val="008C4C0B"/>
    <w:rsid w:val="008C4D31"/>
    <w:rsid w:val="008C4FFE"/>
    <w:rsid w:val="008C520E"/>
    <w:rsid w:val="008C5250"/>
    <w:rsid w:val="008C5338"/>
    <w:rsid w:val="008C544D"/>
    <w:rsid w:val="008C5559"/>
    <w:rsid w:val="008C556C"/>
    <w:rsid w:val="008C5734"/>
    <w:rsid w:val="008C583B"/>
    <w:rsid w:val="008C593B"/>
    <w:rsid w:val="008C5A56"/>
    <w:rsid w:val="008C5AF1"/>
    <w:rsid w:val="008C5B16"/>
    <w:rsid w:val="008C5C1D"/>
    <w:rsid w:val="008C5C2A"/>
    <w:rsid w:val="008C5D11"/>
    <w:rsid w:val="008C5D7E"/>
    <w:rsid w:val="008C5DA0"/>
    <w:rsid w:val="008C5DAE"/>
    <w:rsid w:val="008C5DE4"/>
    <w:rsid w:val="008C619A"/>
    <w:rsid w:val="008C62E3"/>
    <w:rsid w:val="008C63AA"/>
    <w:rsid w:val="008C64AB"/>
    <w:rsid w:val="008C67AE"/>
    <w:rsid w:val="008C68BE"/>
    <w:rsid w:val="008C68CE"/>
    <w:rsid w:val="008C693A"/>
    <w:rsid w:val="008C6966"/>
    <w:rsid w:val="008C6A6C"/>
    <w:rsid w:val="008C6AA9"/>
    <w:rsid w:val="008C6AFA"/>
    <w:rsid w:val="008C6B2F"/>
    <w:rsid w:val="008C6C81"/>
    <w:rsid w:val="008C6CCF"/>
    <w:rsid w:val="008C6DD2"/>
    <w:rsid w:val="008C6E21"/>
    <w:rsid w:val="008C6E5F"/>
    <w:rsid w:val="008C6EB5"/>
    <w:rsid w:val="008C6ED5"/>
    <w:rsid w:val="008C6F98"/>
    <w:rsid w:val="008C705E"/>
    <w:rsid w:val="008C718A"/>
    <w:rsid w:val="008C7256"/>
    <w:rsid w:val="008C7280"/>
    <w:rsid w:val="008C72F7"/>
    <w:rsid w:val="008C73B4"/>
    <w:rsid w:val="008C7458"/>
    <w:rsid w:val="008C74D6"/>
    <w:rsid w:val="008C74E3"/>
    <w:rsid w:val="008C7544"/>
    <w:rsid w:val="008C759F"/>
    <w:rsid w:val="008C779E"/>
    <w:rsid w:val="008C781E"/>
    <w:rsid w:val="008C7982"/>
    <w:rsid w:val="008C7A0B"/>
    <w:rsid w:val="008C7A55"/>
    <w:rsid w:val="008C7A66"/>
    <w:rsid w:val="008C7C8F"/>
    <w:rsid w:val="008C7D54"/>
    <w:rsid w:val="008C7D92"/>
    <w:rsid w:val="008C7E25"/>
    <w:rsid w:val="008C7EB9"/>
    <w:rsid w:val="008C7F35"/>
    <w:rsid w:val="008D0147"/>
    <w:rsid w:val="008D01C9"/>
    <w:rsid w:val="008D023D"/>
    <w:rsid w:val="008D031B"/>
    <w:rsid w:val="008D03F6"/>
    <w:rsid w:val="008D0494"/>
    <w:rsid w:val="008D04E8"/>
    <w:rsid w:val="008D0575"/>
    <w:rsid w:val="008D0593"/>
    <w:rsid w:val="008D0790"/>
    <w:rsid w:val="008D089F"/>
    <w:rsid w:val="008D0929"/>
    <w:rsid w:val="008D0A90"/>
    <w:rsid w:val="008D0B1F"/>
    <w:rsid w:val="008D0C1F"/>
    <w:rsid w:val="008D0C68"/>
    <w:rsid w:val="008D0E2A"/>
    <w:rsid w:val="008D0E54"/>
    <w:rsid w:val="008D0EAA"/>
    <w:rsid w:val="008D0F1D"/>
    <w:rsid w:val="008D0FF2"/>
    <w:rsid w:val="008D1053"/>
    <w:rsid w:val="008D123D"/>
    <w:rsid w:val="008D1272"/>
    <w:rsid w:val="008D127D"/>
    <w:rsid w:val="008D129E"/>
    <w:rsid w:val="008D146E"/>
    <w:rsid w:val="008D15C7"/>
    <w:rsid w:val="008D1731"/>
    <w:rsid w:val="008D1749"/>
    <w:rsid w:val="008D17DC"/>
    <w:rsid w:val="008D1866"/>
    <w:rsid w:val="008D196B"/>
    <w:rsid w:val="008D1A4D"/>
    <w:rsid w:val="008D1A5B"/>
    <w:rsid w:val="008D1EF7"/>
    <w:rsid w:val="008D1FC7"/>
    <w:rsid w:val="008D206F"/>
    <w:rsid w:val="008D20BC"/>
    <w:rsid w:val="008D2174"/>
    <w:rsid w:val="008D22E3"/>
    <w:rsid w:val="008D22F5"/>
    <w:rsid w:val="008D238C"/>
    <w:rsid w:val="008D23CC"/>
    <w:rsid w:val="008D2574"/>
    <w:rsid w:val="008D259E"/>
    <w:rsid w:val="008D25F3"/>
    <w:rsid w:val="008D262D"/>
    <w:rsid w:val="008D2637"/>
    <w:rsid w:val="008D268D"/>
    <w:rsid w:val="008D2777"/>
    <w:rsid w:val="008D283D"/>
    <w:rsid w:val="008D2887"/>
    <w:rsid w:val="008D2927"/>
    <w:rsid w:val="008D294A"/>
    <w:rsid w:val="008D2958"/>
    <w:rsid w:val="008D29DD"/>
    <w:rsid w:val="008D2B05"/>
    <w:rsid w:val="008D2D32"/>
    <w:rsid w:val="008D2D5D"/>
    <w:rsid w:val="008D2DFB"/>
    <w:rsid w:val="008D2E24"/>
    <w:rsid w:val="008D2E2E"/>
    <w:rsid w:val="008D2E76"/>
    <w:rsid w:val="008D3015"/>
    <w:rsid w:val="008D301F"/>
    <w:rsid w:val="008D318B"/>
    <w:rsid w:val="008D31B3"/>
    <w:rsid w:val="008D31F0"/>
    <w:rsid w:val="008D327B"/>
    <w:rsid w:val="008D3397"/>
    <w:rsid w:val="008D33BE"/>
    <w:rsid w:val="008D3425"/>
    <w:rsid w:val="008D3431"/>
    <w:rsid w:val="008D34EA"/>
    <w:rsid w:val="008D35FB"/>
    <w:rsid w:val="008D35FE"/>
    <w:rsid w:val="008D360F"/>
    <w:rsid w:val="008D36CA"/>
    <w:rsid w:val="008D3884"/>
    <w:rsid w:val="008D38B1"/>
    <w:rsid w:val="008D394F"/>
    <w:rsid w:val="008D39A8"/>
    <w:rsid w:val="008D3A5D"/>
    <w:rsid w:val="008D3C4F"/>
    <w:rsid w:val="008D3CE3"/>
    <w:rsid w:val="008D3DAE"/>
    <w:rsid w:val="008D3EBF"/>
    <w:rsid w:val="008D3EE3"/>
    <w:rsid w:val="008D3F71"/>
    <w:rsid w:val="008D3F8D"/>
    <w:rsid w:val="008D4129"/>
    <w:rsid w:val="008D41F3"/>
    <w:rsid w:val="008D420A"/>
    <w:rsid w:val="008D42CE"/>
    <w:rsid w:val="008D43D7"/>
    <w:rsid w:val="008D448D"/>
    <w:rsid w:val="008D4731"/>
    <w:rsid w:val="008D47E6"/>
    <w:rsid w:val="008D4848"/>
    <w:rsid w:val="008D48FF"/>
    <w:rsid w:val="008D4962"/>
    <w:rsid w:val="008D49E9"/>
    <w:rsid w:val="008D4ADE"/>
    <w:rsid w:val="008D4AF8"/>
    <w:rsid w:val="008D4BE7"/>
    <w:rsid w:val="008D4E22"/>
    <w:rsid w:val="008D4E58"/>
    <w:rsid w:val="008D4E66"/>
    <w:rsid w:val="008D4F44"/>
    <w:rsid w:val="008D4F7A"/>
    <w:rsid w:val="008D506B"/>
    <w:rsid w:val="008D50F7"/>
    <w:rsid w:val="008D513C"/>
    <w:rsid w:val="008D517E"/>
    <w:rsid w:val="008D51C5"/>
    <w:rsid w:val="008D51C7"/>
    <w:rsid w:val="008D5220"/>
    <w:rsid w:val="008D52F8"/>
    <w:rsid w:val="008D535D"/>
    <w:rsid w:val="008D53C5"/>
    <w:rsid w:val="008D5490"/>
    <w:rsid w:val="008D5586"/>
    <w:rsid w:val="008D55E8"/>
    <w:rsid w:val="008D56D7"/>
    <w:rsid w:val="008D56FE"/>
    <w:rsid w:val="008D56FF"/>
    <w:rsid w:val="008D5710"/>
    <w:rsid w:val="008D571A"/>
    <w:rsid w:val="008D57B3"/>
    <w:rsid w:val="008D58A4"/>
    <w:rsid w:val="008D5929"/>
    <w:rsid w:val="008D596D"/>
    <w:rsid w:val="008D598C"/>
    <w:rsid w:val="008D59B2"/>
    <w:rsid w:val="008D59C1"/>
    <w:rsid w:val="008D5A0E"/>
    <w:rsid w:val="008D5B08"/>
    <w:rsid w:val="008D5BAF"/>
    <w:rsid w:val="008D5BE3"/>
    <w:rsid w:val="008D5C4D"/>
    <w:rsid w:val="008D5CE9"/>
    <w:rsid w:val="008D5D44"/>
    <w:rsid w:val="008D5DBA"/>
    <w:rsid w:val="008D5E07"/>
    <w:rsid w:val="008D5E96"/>
    <w:rsid w:val="008D5EF1"/>
    <w:rsid w:val="008D61B9"/>
    <w:rsid w:val="008D61D0"/>
    <w:rsid w:val="008D6204"/>
    <w:rsid w:val="008D621D"/>
    <w:rsid w:val="008D6367"/>
    <w:rsid w:val="008D641C"/>
    <w:rsid w:val="008D644E"/>
    <w:rsid w:val="008D6458"/>
    <w:rsid w:val="008D65F3"/>
    <w:rsid w:val="008D668C"/>
    <w:rsid w:val="008D67C1"/>
    <w:rsid w:val="008D6951"/>
    <w:rsid w:val="008D6960"/>
    <w:rsid w:val="008D6A21"/>
    <w:rsid w:val="008D6A31"/>
    <w:rsid w:val="008D6A76"/>
    <w:rsid w:val="008D6A9E"/>
    <w:rsid w:val="008D6AA7"/>
    <w:rsid w:val="008D6B66"/>
    <w:rsid w:val="008D6B79"/>
    <w:rsid w:val="008D6F97"/>
    <w:rsid w:val="008D7120"/>
    <w:rsid w:val="008D725F"/>
    <w:rsid w:val="008D7287"/>
    <w:rsid w:val="008D7350"/>
    <w:rsid w:val="008D73DC"/>
    <w:rsid w:val="008D74B0"/>
    <w:rsid w:val="008D7574"/>
    <w:rsid w:val="008D75F4"/>
    <w:rsid w:val="008D762C"/>
    <w:rsid w:val="008D76C4"/>
    <w:rsid w:val="008D7717"/>
    <w:rsid w:val="008D77A4"/>
    <w:rsid w:val="008D7B3C"/>
    <w:rsid w:val="008D7B72"/>
    <w:rsid w:val="008D7C23"/>
    <w:rsid w:val="008D7D6D"/>
    <w:rsid w:val="008D7D76"/>
    <w:rsid w:val="008D7F08"/>
    <w:rsid w:val="008D7FB0"/>
    <w:rsid w:val="008E0009"/>
    <w:rsid w:val="008E01A3"/>
    <w:rsid w:val="008E0219"/>
    <w:rsid w:val="008E0253"/>
    <w:rsid w:val="008E0258"/>
    <w:rsid w:val="008E032B"/>
    <w:rsid w:val="008E034A"/>
    <w:rsid w:val="008E036C"/>
    <w:rsid w:val="008E0432"/>
    <w:rsid w:val="008E04C4"/>
    <w:rsid w:val="008E04CD"/>
    <w:rsid w:val="008E0523"/>
    <w:rsid w:val="008E0557"/>
    <w:rsid w:val="008E0640"/>
    <w:rsid w:val="008E07B1"/>
    <w:rsid w:val="008E08C9"/>
    <w:rsid w:val="008E08EF"/>
    <w:rsid w:val="008E0B98"/>
    <w:rsid w:val="008E0BBB"/>
    <w:rsid w:val="008E0C3F"/>
    <w:rsid w:val="008E0C41"/>
    <w:rsid w:val="008E0CDF"/>
    <w:rsid w:val="008E0F4E"/>
    <w:rsid w:val="008E0F50"/>
    <w:rsid w:val="008E0F8B"/>
    <w:rsid w:val="008E1019"/>
    <w:rsid w:val="008E1035"/>
    <w:rsid w:val="008E1179"/>
    <w:rsid w:val="008E118B"/>
    <w:rsid w:val="008E1190"/>
    <w:rsid w:val="008E11C0"/>
    <w:rsid w:val="008E1353"/>
    <w:rsid w:val="008E13F1"/>
    <w:rsid w:val="008E14F3"/>
    <w:rsid w:val="008E14F6"/>
    <w:rsid w:val="008E161F"/>
    <w:rsid w:val="008E1666"/>
    <w:rsid w:val="008E1693"/>
    <w:rsid w:val="008E16C4"/>
    <w:rsid w:val="008E17B8"/>
    <w:rsid w:val="008E1865"/>
    <w:rsid w:val="008E1AD4"/>
    <w:rsid w:val="008E1B15"/>
    <w:rsid w:val="008E1B3F"/>
    <w:rsid w:val="008E1C37"/>
    <w:rsid w:val="008E1C3B"/>
    <w:rsid w:val="008E1C75"/>
    <w:rsid w:val="008E1C86"/>
    <w:rsid w:val="008E1D24"/>
    <w:rsid w:val="008E1D2A"/>
    <w:rsid w:val="008E1D41"/>
    <w:rsid w:val="008E1D70"/>
    <w:rsid w:val="008E1DCC"/>
    <w:rsid w:val="008E1EA1"/>
    <w:rsid w:val="008E1F4E"/>
    <w:rsid w:val="008E1F8D"/>
    <w:rsid w:val="008E20E4"/>
    <w:rsid w:val="008E223D"/>
    <w:rsid w:val="008E2347"/>
    <w:rsid w:val="008E2496"/>
    <w:rsid w:val="008E2509"/>
    <w:rsid w:val="008E25D7"/>
    <w:rsid w:val="008E25F3"/>
    <w:rsid w:val="008E2744"/>
    <w:rsid w:val="008E2A26"/>
    <w:rsid w:val="008E2AC6"/>
    <w:rsid w:val="008E2B30"/>
    <w:rsid w:val="008E2B6F"/>
    <w:rsid w:val="008E2C2C"/>
    <w:rsid w:val="008E2D3D"/>
    <w:rsid w:val="008E311F"/>
    <w:rsid w:val="008E3202"/>
    <w:rsid w:val="008E32D5"/>
    <w:rsid w:val="008E32EA"/>
    <w:rsid w:val="008E3441"/>
    <w:rsid w:val="008E34F1"/>
    <w:rsid w:val="008E3539"/>
    <w:rsid w:val="008E375F"/>
    <w:rsid w:val="008E386E"/>
    <w:rsid w:val="008E3875"/>
    <w:rsid w:val="008E3931"/>
    <w:rsid w:val="008E397D"/>
    <w:rsid w:val="008E39E6"/>
    <w:rsid w:val="008E3ABB"/>
    <w:rsid w:val="008E3B40"/>
    <w:rsid w:val="008E3B77"/>
    <w:rsid w:val="008E3BDD"/>
    <w:rsid w:val="008E3C15"/>
    <w:rsid w:val="008E3C1D"/>
    <w:rsid w:val="008E3C2E"/>
    <w:rsid w:val="008E3C78"/>
    <w:rsid w:val="008E3C8D"/>
    <w:rsid w:val="008E3DB3"/>
    <w:rsid w:val="008E3DFF"/>
    <w:rsid w:val="008E3F3D"/>
    <w:rsid w:val="008E3FC0"/>
    <w:rsid w:val="008E3FE1"/>
    <w:rsid w:val="008E4073"/>
    <w:rsid w:val="008E40BE"/>
    <w:rsid w:val="008E40D1"/>
    <w:rsid w:val="008E4255"/>
    <w:rsid w:val="008E4436"/>
    <w:rsid w:val="008E4452"/>
    <w:rsid w:val="008E449C"/>
    <w:rsid w:val="008E45BD"/>
    <w:rsid w:val="008E45EF"/>
    <w:rsid w:val="008E4A34"/>
    <w:rsid w:val="008E4B11"/>
    <w:rsid w:val="008E4B24"/>
    <w:rsid w:val="008E4BD2"/>
    <w:rsid w:val="008E4D21"/>
    <w:rsid w:val="008E4DCC"/>
    <w:rsid w:val="008E4E11"/>
    <w:rsid w:val="008E4E42"/>
    <w:rsid w:val="008E5000"/>
    <w:rsid w:val="008E5199"/>
    <w:rsid w:val="008E521A"/>
    <w:rsid w:val="008E5245"/>
    <w:rsid w:val="008E5295"/>
    <w:rsid w:val="008E5322"/>
    <w:rsid w:val="008E549C"/>
    <w:rsid w:val="008E55B4"/>
    <w:rsid w:val="008E56A2"/>
    <w:rsid w:val="008E5735"/>
    <w:rsid w:val="008E5759"/>
    <w:rsid w:val="008E579E"/>
    <w:rsid w:val="008E57F3"/>
    <w:rsid w:val="008E586A"/>
    <w:rsid w:val="008E5AD0"/>
    <w:rsid w:val="008E5AD2"/>
    <w:rsid w:val="008E5B9C"/>
    <w:rsid w:val="008E5BCC"/>
    <w:rsid w:val="008E5C11"/>
    <w:rsid w:val="008E5E69"/>
    <w:rsid w:val="008E5E9C"/>
    <w:rsid w:val="008E5FA6"/>
    <w:rsid w:val="008E5FA9"/>
    <w:rsid w:val="008E61CA"/>
    <w:rsid w:val="008E61FC"/>
    <w:rsid w:val="008E638E"/>
    <w:rsid w:val="008E641A"/>
    <w:rsid w:val="008E6435"/>
    <w:rsid w:val="008E6440"/>
    <w:rsid w:val="008E64EF"/>
    <w:rsid w:val="008E6578"/>
    <w:rsid w:val="008E657B"/>
    <w:rsid w:val="008E6616"/>
    <w:rsid w:val="008E6617"/>
    <w:rsid w:val="008E6619"/>
    <w:rsid w:val="008E6731"/>
    <w:rsid w:val="008E6765"/>
    <w:rsid w:val="008E699F"/>
    <w:rsid w:val="008E6A03"/>
    <w:rsid w:val="008E6A1F"/>
    <w:rsid w:val="008E6AB2"/>
    <w:rsid w:val="008E6D60"/>
    <w:rsid w:val="008E6D65"/>
    <w:rsid w:val="008E6DF2"/>
    <w:rsid w:val="008E6E05"/>
    <w:rsid w:val="008E6E53"/>
    <w:rsid w:val="008E6EC4"/>
    <w:rsid w:val="008E6FEE"/>
    <w:rsid w:val="008E71B6"/>
    <w:rsid w:val="008E7296"/>
    <w:rsid w:val="008E7368"/>
    <w:rsid w:val="008E743F"/>
    <w:rsid w:val="008E74C8"/>
    <w:rsid w:val="008E7572"/>
    <w:rsid w:val="008E7584"/>
    <w:rsid w:val="008E759B"/>
    <w:rsid w:val="008E75F3"/>
    <w:rsid w:val="008E765B"/>
    <w:rsid w:val="008E76B0"/>
    <w:rsid w:val="008E76F1"/>
    <w:rsid w:val="008E77D2"/>
    <w:rsid w:val="008E7919"/>
    <w:rsid w:val="008E7927"/>
    <w:rsid w:val="008E795A"/>
    <w:rsid w:val="008E7A1E"/>
    <w:rsid w:val="008E7B19"/>
    <w:rsid w:val="008E7BC5"/>
    <w:rsid w:val="008E7C8C"/>
    <w:rsid w:val="008E7CC1"/>
    <w:rsid w:val="008E7D43"/>
    <w:rsid w:val="008E7DB2"/>
    <w:rsid w:val="008E7DE0"/>
    <w:rsid w:val="008E7E2D"/>
    <w:rsid w:val="008E7ED7"/>
    <w:rsid w:val="008E7EF7"/>
    <w:rsid w:val="008E7FB4"/>
    <w:rsid w:val="008E7FE1"/>
    <w:rsid w:val="008F0099"/>
    <w:rsid w:val="008F00A5"/>
    <w:rsid w:val="008F0137"/>
    <w:rsid w:val="008F0200"/>
    <w:rsid w:val="008F0232"/>
    <w:rsid w:val="008F026F"/>
    <w:rsid w:val="008F02CE"/>
    <w:rsid w:val="008F034E"/>
    <w:rsid w:val="008F051A"/>
    <w:rsid w:val="008F07BC"/>
    <w:rsid w:val="008F088E"/>
    <w:rsid w:val="008F09AB"/>
    <w:rsid w:val="008F09AE"/>
    <w:rsid w:val="008F0AEF"/>
    <w:rsid w:val="008F0B54"/>
    <w:rsid w:val="008F0C82"/>
    <w:rsid w:val="008F0D79"/>
    <w:rsid w:val="008F0D8E"/>
    <w:rsid w:val="008F0E0D"/>
    <w:rsid w:val="008F0F70"/>
    <w:rsid w:val="008F0F8F"/>
    <w:rsid w:val="008F10B6"/>
    <w:rsid w:val="008F1162"/>
    <w:rsid w:val="008F15C1"/>
    <w:rsid w:val="008F1611"/>
    <w:rsid w:val="008F1660"/>
    <w:rsid w:val="008F1688"/>
    <w:rsid w:val="008F16C4"/>
    <w:rsid w:val="008F1782"/>
    <w:rsid w:val="008F17CA"/>
    <w:rsid w:val="008F1844"/>
    <w:rsid w:val="008F1B35"/>
    <w:rsid w:val="008F1BF7"/>
    <w:rsid w:val="008F1D42"/>
    <w:rsid w:val="008F1DA5"/>
    <w:rsid w:val="008F1E94"/>
    <w:rsid w:val="008F1F5B"/>
    <w:rsid w:val="008F1F77"/>
    <w:rsid w:val="008F202E"/>
    <w:rsid w:val="008F219B"/>
    <w:rsid w:val="008F21D6"/>
    <w:rsid w:val="008F238C"/>
    <w:rsid w:val="008F2448"/>
    <w:rsid w:val="008F24EC"/>
    <w:rsid w:val="008F25B9"/>
    <w:rsid w:val="008F2618"/>
    <w:rsid w:val="008F2666"/>
    <w:rsid w:val="008F2766"/>
    <w:rsid w:val="008F293C"/>
    <w:rsid w:val="008F2B64"/>
    <w:rsid w:val="008F2C1C"/>
    <w:rsid w:val="008F2C81"/>
    <w:rsid w:val="008F2D46"/>
    <w:rsid w:val="008F2DEC"/>
    <w:rsid w:val="008F305C"/>
    <w:rsid w:val="008F3077"/>
    <w:rsid w:val="008F30EE"/>
    <w:rsid w:val="008F30FE"/>
    <w:rsid w:val="008F327B"/>
    <w:rsid w:val="008F3284"/>
    <w:rsid w:val="008F329A"/>
    <w:rsid w:val="008F3376"/>
    <w:rsid w:val="008F340E"/>
    <w:rsid w:val="008F34DA"/>
    <w:rsid w:val="008F3535"/>
    <w:rsid w:val="008F35F4"/>
    <w:rsid w:val="008F3625"/>
    <w:rsid w:val="008F3652"/>
    <w:rsid w:val="008F369D"/>
    <w:rsid w:val="008F36E1"/>
    <w:rsid w:val="008F378D"/>
    <w:rsid w:val="008F38C5"/>
    <w:rsid w:val="008F3ACE"/>
    <w:rsid w:val="008F3B15"/>
    <w:rsid w:val="008F3B92"/>
    <w:rsid w:val="008F3BD9"/>
    <w:rsid w:val="008F3BF8"/>
    <w:rsid w:val="008F3C27"/>
    <w:rsid w:val="008F3D61"/>
    <w:rsid w:val="008F3DE0"/>
    <w:rsid w:val="008F3F59"/>
    <w:rsid w:val="008F3FED"/>
    <w:rsid w:val="008F4030"/>
    <w:rsid w:val="008F40B8"/>
    <w:rsid w:val="008F4194"/>
    <w:rsid w:val="008F436E"/>
    <w:rsid w:val="008F445A"/>
    <w:rsid w:val="008F45A1"/>
    <w:rsid w:val="008F4686"/>
    <w:rsid w:val="008F47D8"/>
    <w:rsid w:val="008F4958"/>
    <w:rsid w:val="008F49EC"/>
    <w:rsid w:val="008F4AA6"/>
    <w:rsid w:val="008F4C54"/>
    <w:rsid w:val="008F4D15"/>
    <w:rsid w:val="008F4D81"/>
    <w:rsid w:val="008F4FC1"/>
    <w:rsid w:val="008F5079"/>
    <w:rsid w:val="008F50D5"/>
    <w:rsid w:val="008F51B2"/>
    <w:rsid w:val="008F51B4"/>
    <w:rsid w:val="008F527B"/>
    <w:rsid w:val="008F530E"/>
    <w:rsid w:val="008F5310"/>
    <w:rsid w:val="008F53EE"/>
    <w:rsid w:val="008F5490"/>
    <w:rsid w:val="008F54C4"/>
    <w:rsid w:val="008F554D"/>
    <w:rsid w:val="008F5586"/>
    <w:rsid w:val="008F5695"/>
    <w:rsid w:val="008F56C6"/>
    <w:rsid w:val="008F57F6"/>
    <w:rsid w:val="008F5A76"/>
    <w:rsid w:val="008F5A7C"/>
    <w:rsid w:val="008F5B14"/>
    <w:rsid w:val="008F5B4D"/>
    <w:rsid w:val="008F5B5E"/>
    <w:rsid w:val="008F5C6F"/>
    <w:rsid w:val="008F5C77"/>
    <w:rsid w:val="008F5CDF"/>
    <w:rsid w:val="008F5D73"/>
    <w:rsid w:val="008F5EE0"/>
    <w:rsid w:val="008F6050"/>
    <w:rsid w:val="008F607F"/>
    <w:rsid w:val="008F6087"/>
    <w:rsid w:val="008F60EA"/>
    <w:rsid w:val="008F60F9"/>
    <w:rsid w:val="008F6109"/>
    <w:rsid w:val="008F637B"/>
    <w:rsid w:val="008F63C9"/>
    <w:rsid w:val="008F63CC"/>
    <w:rsid w:val="008F65BC"/>
    <w:rsid w:val="008F6609"/>
    <w:rsid w:val="008F6655"/>
    <w:rsid w:val="008F6707"/>
    <w:rsid w:val="008F6777"/>
    <w:rsid w:val="008F67D6"/>
    <w:rsid w:val="008F685D"/>
    <w:rsid w:val="008F68BF"/>
    <w:rsid w:val="008F693D"/>
    <w:rsid w:val="008F6951"/>
    <w:rsid w:val="008F6AC0"/>
    <w:rsid w:val="008F6B52"/>
    <w:rsid w:val="008F6C53"/>
    <w:rsid w:val="008F6C9D"/>
    <w:rsid w:val="008F6CA0"/>
    <w:rsid w:val="008F6D63"/>
    <w:rsid w:val="008F6D9D"/>
    <w:rsid w:val="008F6DC6"/>
    <w:rsid w:val="008F6ED7"/>
    <w:rsid w:val="008F6FA8"/>
    <w:rsid w:val="008F7047"/>
    <w:rsid w:val="008F7063"/>
    <w:rsid w:val="008F7245"/>
    <w:rsid w:val="008F727E"/>
    <w:rsid w:val="008F728A"/>
    <w:rsid w:val="008F7319"/>
    <w:rsid w:val="008F7374"/>
    <w:rsid w:val="008F7600"/>
    <w:rsid w:val="008F7773"/>
    <w:rsid w:val="008F77FF"/>
    <w:rsid w:val="008F7A5A"/>
    <w:rsid w:val="008F7ADA"/>
    <w:rsid w:val="008F7B6B"/>
    <w:rsid w:val="008F7BD4"/>
    <w:rsid w:val="008F7C0F"/>
    <w:rsid w:val="008F7D31"/>
    <w:rsid w:val="008F7EB6"/>
    <w:rsid w:val="008F7ED9"/>
    <w:rsid w:val="00900095"/>
    <w:rsid w:val="00900131"/>
    <w:rsid w:val="0090035F"/>
    <w:rsid w:val="0090036C"/>
    <w:rsid w:val="009003BC"/>
    <w:rsid w:val="0090044A"/>
    <w:rsid w:val="009006AF"/>
    <w:rsid w:val="0090071C"/>
    <w:rsid w:val="00900721"/>
    <w:rsid w:val="00900778"/>
    <w:rsid w:val="0090078C"/>
    <w:rsid w:val="009007CE"/>
    <w:rsid w:val="00900960"/>
    <w:rsid w:val="00900A34"/>
    <w:rsid w:val="00900B04"/>
    <w:rsid w:val="00900B2E"/>
    <w:rsid w:val="00900B75"/>
    <w:rsid w:val="00900C40"/>
    <w:rsid w:val="00900C55"/>
    <w:rsid w:val="00900CC9"/>
    <w:rsid w:val="00900DE4"/>
    <w:rsid w:val="00900E58"/>
    <w:rsid w:val="00900EDD"/>
    <w:rsid w:val="00900F21"/>
    <w:rsid w:val="00900F3E"/>
    <w:rsid w:val="00900FBD"/>
    <w:rsid w:val="009010B1"/>
    <w:rsid w:val="00901166"/>
    <w:rsid w:val="009011C6"/>
    <w:rsid w:val="00901200"/>
    <w:rsid w:val="0090125E"/>
    <w:rsid w:val="00901342"/>
    <w:rsid w:val="0090137D"/>
    <w:rsid w:val="009013AE"/>
    <w:rsid w:val="009014DE"/>
    <w:rsid w:val="009016A6"/>
    <w:rsid w:val="00901790"/>
    <w:rsid w:val="00901947"/>
    <w:rsid w:val="009019A8"/>
    <w:rsid w:val="009019CD"/>
    <w:rsid w:val="00901A70"/>
    <w:rsid w:val="00901B57"/>
    <w:rsid w:val="00901C40"/>
    <w:rsid w:val="00901D61"/>
    <w:rsid w:val="00901E0A"/>
    <w:rsid w:val="00901E3A"/>
    <w:rsid w:val="00901E81"/>
    <w:rsid w:val="00901E89"/>
    <w:rsid w:val="00901EEC"/>
    <w:rsid w:val="00901F10"/>
    <w:rsid w:val="00901F70"/>
    <w:rsid w:val="00902003"/>
    <w:rsid w:val="00902126"/>
    <w:rsid w:val="0090222B"/>
    <w:rsid w:val="0090228D"/>
    <w:rsid w:val="0090229C"/>
    <w:rsid w:val="009025A2"/>
    <w:rsid w:val="00902719"/>
    <w:rsid w:val="00902A55"/>
    <w:rsid w:val="00902B18"/>
    <w:rsid w:val="00902C35"/>
    <w:rsid w:val="00902D13"/>
    <w:rsid w:val="00902D50"/>
    <w:rsid w:val="00902F8D"/>
    <w:rsid w:val="0090301C"/>
    <w:rsid w:val="0090309D"/>
    <w:rsid w:val="009030E7"/>
    <w:rsid w:val="00903226"/>
    <w:rsid w:val="00903258"/>
    <w:rsid w:val="009032B1"/>
    <w:rsid w:val="00903310"/>
    <w:rsid w:val="0090338E"/>
    <w:rsid w:val="00903426"/>
    <w:rsid w:val="009035D2"/>
    <w:rsid w:val="009035E1"/>
    <w:rsid w:val="00903805"/>
    <w:rsid w:val="00903955"/>
    <w:rsid w:val="00903996"/>
    <w:rsid w:val="009039B1"/>
    <w:rsid w:val="009039FC"/>
    <w:rsid w:val="00903C1D"/>
    <w:rsid w:val="00903CC7"/>
    <w:rsid w:val="009041AE"/>
    <w:rsid w:val="00904241"/>
    <w:rsid w:val="00904242"/>
    <w:rsid w:val="00904348"/>
    <w:rsid w:val="0090447D"/>
    <w:rsid w:val="009044DE"/>
    <w:rsid w:val="009044EE"/>
    <w:rsid w:val="009046A3"/>
    <w:rsid w:val="00904757"/>
    <w:rsid w:val="0090480D"/>
    <w:rsid w:val="00904868"/>
    <w:rsid w:val="009048B4"/>
    <w:rsid w:val="009048CA"/>
    <w:rsid w:val="0090493C"/>
    <w:rsid w:val="0090496A"/>
    <w:rsid w:val="00904A27"/>
    <w:rsid w:val="00904A7C"/>
    <w:rsid w:val="00904B8F"/>
    <w:rsid w:val="00904B97"/>
    <w:rsid w:val="00904D8C"/>
    <w:rsid w:val="00904DD0"/>
    <w:rsid w:val="00904DED"/>
    <w:rsid w:val="00904E16"/>
    <w:rsid w:val="00904F55"/>
    <w:rsid w:val="00904F59"/>
    <w:rsid w:val="00905077"/>
    <w:rsid w:val="009050DF"/>
    <w:rsid w:val="00905247"/>
    <w:rsid w:val="0090538F"/>
    <w:rsid w:val="009053BB"/>
    <w:rsid w:val="00905475"/>
    <w:rsid w:val="00905483"/>
    <w:rsid w:val="009054F3"/>
    <w:rsid w:val="0090565C"/>
    <w:rsid w:val="00905663"/>
    <w:rsid w:val="009056E1"/>
    <w:rsid w:val="0090578E"/>
    <w:rsid w:val="009057DD"/>
    <w:rsid w:val="00905935"/>
    <w:rsid w:val="00905A6A"/>
    <w:rsid w:val="00905A93"/>
    <w:rsid w:val="00905BA4"/>
    <w:rsid w:val="00905BF6"/>
    <w:rsid w:val="00905DAD"/>
    <w:rsid w:val="00905E3F"/>
    <w:rsid w:val="00905FE7"/>
    <w:rsid w:val="009061FF"/>
    <w:rsid w:val="00906226"/>
    <w:rsid w:val="00906258"/>
    <w:rsid w:val="0090628E"/>
    <w:rsid w:val="009063D1"/>
    <w:rsid w:val="00906422"/>
    <w:rsid w:val="00906491"/>
    <w:rsid w:val="009064CC"/>
    <w:rsid w:val="009067DB"/>
    <w:rsid w:val="009068EB"/>
    <w:rsid w:val="009068F7"/>
    <w:rsid w:val="00906D22"/>
    <w:rsid w:val="00906D92"/>
    <w:rsid w:val="00906EEF"/>
    <w:rsid w:val="00906FA8"/>
    <w:rsid w:val="00906FD9"/>
    <w:rsid w:val="00907062"/>
    <w:rsid w:val="00907133"/>
    <w:rsid w:val="00907154"/>
    <w:rsid w:val="00907196"/>
    <w:rsid w:val="009071A0"/>
    <w:rsid w:val="009071CB"/>
    <w:rsid w:val="009073EA"/>
    <w:rsid w:val="009073F7"/>
    <w:rsid w:val="009073F9"/>
    <w:rsid w:val="009075CC"/>
    <w:rsid w:val="00907651"/>
    <w:rsid w:val="0090768B"/>
    <w:rsid w:val="00907772"/>
    <w:rsid w:val="00907837"/>
    <w:rsid w:val="0090788F"/>
    <w:rsid w:val="00907B03"/>
    <w:rsid w:val="00907B94"/>
    <w:rsid w:val="00907BE9"/>
    <w:rsid w:val="00907CB2"/>
    <w:rsid w:val="00907CDE"/>
    <w:rsid w:val="00907E83"/>
    <w:rsid w:val="00907FB7"/>
    <w:rsid w:val="00910052"/>
    <w:rsid w:val="009101DA"/>
    <w:rsid w:val="0091024C"/>
    <w:rsid w:val="00910294"/>
    <w:rsid w:val="00910318"/>
    <w:rsid w:val="009104D0"/>
    <w:rsid w:val="009104D8"/>
    <w:rsid w:val="00910602"/>
    <w:rsid w:val="0091060F"/>
    <w:rsid w:val="0091068F"/>
    <w:rsid w:val="0091091C"/>
    <w:rsid w:val="0091098F"/>
    <w:rsid w:val="009109C9"/>
    <w:rsid w:val="00910A1E"/>
    <w:rsid w:val="00910AAC"/>
    <w:rsid w:val="00910ABE"/>
    <w:rsid w:val="00910B22"/>
    <w:rsid w:val="00910B46"/>
    <w:rsid w:val="00910BA8"/>
    <w:rsid w:val="00910BB1"/>
    <w:rsid w:val="00910BD8"/>
    <w:rsid w:val="00910CEB"/>
    <w:rsid w:val="00910D20"/>
    <w:rsid w:val="00910D5D"/>
    <w:rsid w:val="00910DEE"/>
    <w:rsid w:val="00910F6D"/>
    <w:rsid w:val="00910F83"/>
    <w:rsid w:val="00910FCF"/>
    <w:rsid w:val="00911006"/>
    <w:rsid w:val="009111BA"/>
    <w:rsid w:val="00911258"/>
    <w:rsid w:val="0091146E"/>
    <w:rsid w:val="009114E2"/>
    <w:rsid w:val="009114E5"/>
    <w:rsid w:val="00911535"/>
    <w:rsid w:val="00911624"/>
    <w:rsid w:val="00911771"/>
    <w:rsid w:val="00911813"/>
    <w:rsid w:val="00911884"/>
    <w:rsid w:val="009118B7"/>
    <w:rsid w:val="0091190C"/>
    <w:rsid w:val="00911A63"/>
    <w:rsid w:val="00911AA0"/>
    <w:rsid w:val="00911AB3"/>
    <w:rsid w:val="00911BD0"/>
    <w:rsid w:val="00911C06"/>
    <w:rsid w:val="00911C46"/>
    <w:rsid w:val="00911D09"/>
    <w:rsid w:val="00911F51"/>
    <w:rsid w:val="00911F8A"/>
    <w:rsid w:val="00911FAF"/>
    <w:rsid w:val="009120B8"/>
    <w:rsid w:val="00912361"/>
    <w:rsid w:val="009123B0"/>
    <w:rsid w:val="009123B1"/>
    <w:rsid w:val="00912663"/>
    <w:rsid w:val="009126A2"/>
    <w:rsid w:val="00912858"/>
    <w:rsid w:val="009129D9"/>
    <w:rsid w:val="009129FA"/>
    <w:rsid w:val="00912A79"/>
    <w:rsid w:val="00912B30"/>
    <w:rsid w:val="00912B7D"/>
    <w:rsid w:val="00912C0B"/>
    <w:rsid w:val="00912C2C"/>
    <w:rsid w:val="00912D8E"/>
    <w:rsid w:val="00912D95"/>
    <w:rsid w:val="00912D9A"/>
    <w:rsid w:val="00912DAD"/>
    <w:rsid w:val="00912DF7"/>
    <w:rsid w:val="00912ECE"/>
    <w:rsid w:val="00913100"/>
    <w:rsid w:val="009131B0"/>
    <w:rsid w:val="0091327C"/>
    <w:rsid w:val="0091337C"/>
    <w:rsid w:val="00913417"/>
    <w:rsid w:val="00913435"/>
    <w:rsid w:val="00913466"/>
    <w:rsid w:val="009136ED"/>
    <w:rsid w:val="0091379E"/>
    <w:rsid w:val="00913992"/>
    <w:rsid w:val="009139AF"/>
    <w:rsid w:val="009139E6"/>
    <w:rsid w:val="00913A03"/>
    <w:rsid w:val="00913B0B"/>
    <w:rsid w:val="00913DC9"/>
    <w:rsid w:val="00913DE9"/>
    <w:rsid w:val="00913EDF"/>
    <w:rsid w:val="00913EE4"/>
    <w:rsid w:val="00913EF3"/>
    <w:rsid w:val="00913F42"/>
    <w:rsid w:val="00914068"/>
    <w:rsid w:val="009142A7"/>
    <w:rsid w:val="009142EF"/>
    <w:rsid w:val="00914413"/>
    <w:rsid w:val="009144AA"/>
    <w:rsid w:val="009145B5"/>
    <w:rsid w:val="009145C3"/>
    <w:rsid w:val="009145CE"/>
    <w:rsid w:val="00914746"/>
    <w:rsid w:val="009147C6"/>
    <w:rsid w:val="00914821"/>
    <w:rsid w:val="0091486D"/>
    <w:rsid w:val="0091488B"/>
    <w:rsid w:val="009148DE"/>
    <w:rsid w:val="009149CF"/>
    <w:rsid w:val="00914A7D"/>
    <w:rsid w:val="00914A9D"/>
    <w:rsid w:val="00914ABE"/>
    <w:rsid w:val="00914AE5"/>
    <w:rsid w:val="00914B60"/>
    <w:rsid w:val="00914B89"/>
    <w:rsid w:val="00914D6E"/>
    <w:rsid w:val="00914DF4"/>
    <w:rsid w:val="00914EEF"/>
    <w:rsid w:val="00914F20"/>
    <w:rsid w:val="00914FBF"/>
    <w:rsid w:val="0091512A"/>
    <w:rsid w:val="009151B6"/>
    <w:rsid w:val="00915248"/>
    <w:rsid w:val="0091528D"/>
    <w:rsid w:val="009152D8"/>
    <w:rsid w:val="009153E7"/>
    <w:rsid w:val="00915435"/>
    <w:rsid w:val="009154DF"/>
    <w:rsid w:val="009156B7"/>
    <w:rsid w:val="009156F8"/>
    <w:rsid w:val="00915743"/>
    <w:rsid w:val="00915841"/>
    <w:rsid w:val="009158B9"/>
    <w:rsid w:val="009159D1"/>
    <w:rsid w:val="00915A10"/>
    <w:rsid w:val="00915A69"/>
    <w:rsid w:val="00915ACF"/>
    <w:rsid w:val="00915AFD"/>
    <w:rsid w:val="00915B3D"/>
    <w:rsid w:val="00915BA0"/>
    <w:rsid w:val="00915BC4"/>
    <w:rsid w:val="00915C57"/>
    <w:rsid w:val="00915C87"/>
    <w:rsid w:val="00915D35"/>
    <w:rsid w:val="00915EAD"/>
    <w:rsid w:val="00915ED4"/>
    <w:rsid w:val="00915F88"/>
    <w:rsid w:val="00915FB1"/>
    <w:rsid w:val="009160BD"/>
    <w:rsid w:val="009161AF"/>
    <w:rsid w:val="009163A7"/>
    <w:rsid w:val="009165C9"/>
    <w:rsid w:val="00916648"/>
    <w:rsid w:val="009167D3"/>
    <w:rsid w:val="0091692A"/>
    <w:rsid w:val="00916AAB"/>
    <w:rsid w:val="00916C58"/>
    <w:rsid w:val="00916CA2"/>
    <w:rsid w:val="00916CD8"/>
    <w:rsid w:val="00916D1F"/>
    <w:rsid w:val="00916E76"/>
    <w:rsid w:val="00916EBC"/>
    <w:rsid w:val="00916F23"/>
    <w:rsid w:val="00916F2B"/>
    <w:rsid w:val="00916FC6"/>
    <w:rsid w:val="00917015"/>
    <w:rsid w:val="00917075"/>
    <w:rsid w:val="00917096"/>
    <w:rsid w:val="009170FD"/>
    <w:rsid w:val="00917212"/>
    <w:rsid w:val="00917215"/>
    <w:rsid w:val="00917269"/>
    <w:rsid w:val="009172A0"/>
    <w:rsid w:val="009172C3"/>
    <w:rsid w:val="009172EB"/>
    <w:rsid w:val="00917304"/>
    <w:rsid w:val="0091733E"/>
    <w:rsid w:val="0091748C"/>
    <w:rsid w:val="009174AD"/>
    <w:rsid w:val="00917532"/>
    <w:rsid w:val="0091757D"/>
    <w:rsid w:val="00917592"/>
    <w:rsid w:val="009176A9"/>
    <w:rsid w:val="009176B2"/>
    <w:rsid w:val="009176C7"/>
    <w:rsid w:val="00917708"/>
    <w:rsid w:val="00917788"/>
    <w:rsid w:val="00917839"/>
    <w:rsid w:val="00917847"/>
    <w:rsid w:val="00917973"/>
    <w:rsid w:val="00917ACF"/>
    <w:rsid w:val="00917ADF"/>
    <w:rsid w:val="00917C85"/>
    <w:rsid w:val="00917D3F"/>
    <w:rsid w:val="00917FA2"/>
    <w:rsid w:val="009200FC"/>
    <w:rsid w:val="00920436"/>
    <w:rsid w:val="00920503"/>
    <w:rsid w:val="00920590"/>
    <w:rsid w:val="00920624"/>
    <w:rsid w:val="0092064D"/>
    <w:rsid w:val="0092069B"/>
    <w:rsid w:val="009206B4"/>
    <w:rsid w:val="009207A2"/>
    <w:rsid w:val="00920858"/>
    <w:rsid w:val="009208A9"/>
    <w:rsid w:val="009208FE"/>
    <w:rsid w:val="00920AB5"/>
    <w:rsid w:val="00920B06"/>
    <w:rsid w:val="00920CC8"/>
    <w:rsid w:val="00920CCF"/>
    <w:rsid w:val="00920D89"/>
    <w:rsid w:val="00920E43"/>
    <w:rsid w:val="0092111A"/>
    <w:rsid w:val="009213F5"/>
    <w:rsid w:val="0092148E"/>
    <w:rsid w:val="0092152D"/>
    <w:rsid w:val="009215C7"/>
    <w:rsid w:val="00921661"/>
    <w:rsid w:val="009216F1"/>
    <w:rsid w:val="00921782"/>
    <w:rsid w:val="009217AF"/>
    <w:rsid w:val="0092187C"/>
    <w:rsid w:val="009218FD"/>
    <w:rsid w:val="009219C2"/>
    <w:rsid w:val="009219D8"/>
    <w:rsid w:val="00921A70"/>
    <w:rsid w:val="00921A97"/>
    <w:rsid w:val="00921B34"/>
    <w:rsid w:val="00921BB1"/>
    <w:rsid w:val="00921BF5"/>
    <w:rsid w:val="00921CAF"/>
    <w:rsid w:val="00921CF7"/>
    <w:rsid w:val="00921D7D"/>
    <w:rsid w:val="00921D87"/>
    <w:rsid w:val="00921DE4"/>
    <w:rsid w:val="00921DE6"/>
    <w:rsid w:val="00921E1F"/>
    <w:rsid w:val="00921EE4"/>
    <w:rsid w:val="009220CC"/>
    <w:rsid w:val="0092218C"/>
    <w:rsid w:val="009222C0"/>
    <w:rsid w:val="00922352"/>
    <w:rsid w:val="00922394"/>
    <w:rsid w:val="0092240B"/>
    <w:rsid w:val="0092248C"/>
    <w:rsid w:val="0092265B"/>
    <w:rsid w:val="009226B0"/>
    <w:rsid w:val="00922761"/>
    <w:rsid w:val="009227D4"/>
    <w:rsid w:val="009229C9"/>
    <w:rsid w:val="00922A89"/>
    <w:rsid w:val="00922ADC"/>
    <w:rsid w:val="00922B7A"/>
    <w:rsid w:val="00922BBE"/>
    <w:rsid w:val="00922E0A"/>
    <w:rsid w:val="00922E1A"/>
    <w:rsid w:val="00922E9B"/>
    <w:rsid w:val="00922F76"/>
    <w:rsid w:val="00922FF6"/>
    <w:rsid w:val="00923012"/>
    <w:rsid w:val="00923072"/>
    <w:rsid w:val="00923136"/>
    <w:rsid w:val="00923137"/>
    <w:rsid w:val="009231CE"/>
    <w:rsid w:val="009232BC"/>
    <w:rsid w:val="00923372"/>
    <w:rsid w:val="009234B9"/>
    <w:rsid w:val="009235E0"/>
    <w:rsid w:val="009235FF"/>
    <w:rsid w:val="00923709"/>
    <w:rsid w:val="00923733"/>
    <w:rsid w:val="009237F1"/>
    <w:rsid w:val="0092386C"/>
    <w:rsid w:val="00923E35"/>
    <w:rsid w:val="00923F79"/>
    <w:rsid w:val="00924063"/>
    <w:rsid w:val="00924200"/>
    <w:rsid w:val="00924271"/>
    <w:rsid w:val="009242A6"/>
    <w:rsid w:val="0092446C"/>
    <w:rsid w:val="009245B9"/>
    <w:rsid w:val="0092476F"/>
    <w:rsid w:val="009247AF"/>
    <w:rsid w:val="00924891"/>
    <w:rsid w:val="00924957"/>
    <w:rsid w:val="009249DD"/>
    <w:rsid w:val="00924B13"/>
    <w:rsid w:val="00924C06"/>
    <w:rsid w:val="00924CF7"/>
    <w:rsid w:val="00924D4E"/>
    <w:rsid w:val="00924D4F"/>
    <w:rsid w:val="00924EC1"/>
    <w:rsid w:val="00924EE5"/>
    <w:rsid w:val="00924F97"/>
    <w:rsid w:val="00925135"/>
    <w:rsid w:val="00925196"/>
    <w:rsid w:val="009251C6"/>
    <w:rsid w:val="009251E9"/>
    <w:rsid w:val="0092521A"/>
    <w:rsid w:val="0092525B"/>
    <w:rsid w:val="00925289"/>
    <w:rsid w:val="009252D1"/>
    <w:rsid w:val="009253E0"/>
    <w:rsid w:val="00925402"/>
    <w:rsid w:val="0092540E"/>
    <w:rsid w:val="00925456"/>
    <w:rsid w:val="00925474"/>
    <w:rsid w:val="0092565A"/>
    <w:rsid w:val="009258E1"/>
    <w:rsid w:val="00925900"/>
    <w:rsid w:val="00925937"/>
    <w:rsid w:val="00925996"/>
    <w:rsid w:val="00925A2B"/>
    <w:rsid w:val="00925A2C"/>
    <w:rsid w:val="00925A58"/>
    <w:rsid w:val="00925AA9"/>
    <w:rsid w:val="00925CCC"/>
    <w:rsid w:val="00925CD6"/>
    <w:rsid w:val="00925D8B"/>
    <w:rsid w:val="00925E92"/>
    <w:rsid w:val="00925ED4"/>
    <w:rsid w:val="00925F12"/>
    <w:rsid w:val="00925FA7"/>
    <w:rsid w:val="00925FAE"/>
    <w:rsid w:val="00926011"/>
    <w:rsid w:val="009260D7"/>
    <w:rsid w:val="00926235"/>
    <w:rsid w:val="00926246"/>
    <w:rsid w:val="009262F8"/>
    <w:rsid w:val="0092637B"/>
    <w:rsid w:val="009263AA"/>
    <w:rsid w:val="009264D4"/>
    <w:rsid w:val="009265BF"/>
    <w:rsid w:val="009265CD"/>
    <w:rsid w:val="0092662C"/>
    <w:rsid w:val="009266D9"/>
    <w:rsid w:val="00926858"/>
    <w:rsid w:val="00926A18"/>
    <w:rsid w:val="00926A74"/>
    <w:rsid w:val="00926B61"/>
    <w:rsid w:val="00926BDE"/>
    <w:rsid w:val="00926C33"/>
    <w:rsid w:val="00926C4B"/>
    <w:rsid w:val="00926D1A"/>
    <w:rsid w:val="00926DB2"/>
    <w:rsid w:val="00926E0B"/>
    <w:rsid w:val="00926EAE"/>
    <w:rsid w:val="00926EFD"/>
    <w:rsid w:val="00926FFC"/>
    <w:rsid w:val="00927061"/>
    <w:rsid w:val="009270A1"/>
    <w:rsid w:val="009270AE"/>
    <w:rsid w:val="00927180"/>
    <w:rsid w:val="009271B8"/>
    <w:rsid w:val="009273D9"/>
    <w:rsid w:val="00927433"/>
    <w:rsid w:val="00927448"/>
    <w:rsid w:val="00927460"/>
    <w:rsid w:val="009275CB"/>
    <w:rsid w:val="00927631"/>
    <w:rsid w:val="0092766F"/>
    <w:rsid w:val="0092770F"/>
    <w:rsid w:val="009278D5"/>
    <w:rsid w:val="009279AD"/>
    <w:rsid w:val="009279C6"/>
    <w:rsid w:val="009279FE"/>
    <w:rsid w:val="00927A52"/>
    <w:rsid w:val="00927AD4"/>
    <w:rsid w:val="00927B87"/>
    <w:rsid w:val="00927BEB"/>
    <w:rsid w:val="00927CBB"/>
    <w:rsid w:val="00927E21"/>
    <w:rsid w:val="00927E33"/>
    <w:rsid w:val="00930068"/>
    <w:rsid w:val="009301CD"/>
    <w:rsid w:val="009301FD"/>
    <w:rsid w:val="009301FE"/>
    <w:rsid w:val="00930361"/>
    <w:rsid w:val="009305A9"/>
    <w:rsid w:val="00930683"/>
    <w:rsid w:val="009306B9"/>
    <w:rsid w:val="00930759"/>
    <w:rsid w:val="009307EC"/>
    <w:rsid w:val="009308F0"/>
    <w:rsid w:val="009309B3"/>
    <w:rsid w:val="00930A0A"/>
    <w:rsid w:val="00930A2D"/>
    <w:rsid w:val="00930AB9"/>
    <w:rsid w:val="00930B2C"/>
    <w:rsid w:val="00930BB8"/>
    <w:rsid w:val="00930BC9"/>
    <w:rsid w:val="00930C4A"/>
    <w:rsid w:val="00930C80"/>
    <w:rsid w:val="00930E1A"/>
    <w:rsid w:val="00930E97"/>
    <w:rsid w:val="00930E9A"/>
    <w:rsid w:val="00930F43"/>
    <w:rsid w:val="00930F4C"/>
    <w:rsid w:val="00930FBD"/>
    <w:rsid w:val="00931052"/>
    <w:rsid w:val="00931065"/>
    <w:rsid w:val="00931079"/>
    <w:rsid w:val="009310DA"/>
    <w:rsid w:val="00931119"/>
    <w:rsid w:val="009311F1"/>
    <w:rsid w:val="009313E7"/>
    <w:rsid w:val="0093140E"/>
    <w:rsid w:val="00931427"/>
    <w:rsid w:val="0093145E"/>
    <w:rsid w:val="009314DF"/>
    <w:rsid w:val="009315C4"/>
    <w:rsid w:val="009315C5"/>
    <w:rsid w:val="0093160A"/>
    <w:rsid w:val="00931624"/>
    <w:rsid w:val="0093163B"/>
    <w:rsid w:val="00931875"/>
    <w:rsid w:val="00931991"/>
    <w:rsid w:val="00931A31"/>
    <w:rsid w:val="00931C56"/>
    <w:rsid w:val="00931CD4"/>
    <w:rsid w:val="00931DB5"/>
    <w:rsid w:val="00931DE8"/>
    <w:rsid w:val="00931F33"/>
    <w:rsid w:val="00931F4D"/>
    <w:rsid w:val="00931FBE"/>
    <w:rsid w:val="00931FED"/>
    <w:rsid w:val="009322EC"/>
    <w:rsid w:val="009322F7"/>
    <w:rsid w:val="0093246C"/>
    <w:rsid w:val="009326B4"/>
    <w:rsid w:val="009326F0"/>
    <w:rsid w:val="009327FE"/>
    <w:rsid w:val="00932926"/>
    <w:rsid w:val="00932B08"/>
    <w:rsid w:val="00932B85"/>
    <w:rsid w:val="00932DBD"/>
    <w:rsid w:val="00932E08"/>
    <w:rsid w:val="00932ED2"/>
    <w:rsid w:val="00932EEF"/>
    <w:rsid w:val="00932F1C"/>
    <w:rsid w:val="00932F53"/>
    <w:rsid w:val="009330E5"/>
    <w:rsid w:val="00933105"/>
    <w:rsid w:val="00933155"/>
    <w:rsid w:val="009331A2"/>
    <w:rsid w:val="00933276"/>
    <w:rsid w:val="009332A6"/>
    <w:rsid w:val="00933337"/>
    <w:rsid w:val="00933381"/>
    <w:rsid w:val="009333D0"/>
    <w:rsid w:val="00933428"/>
    <w:rsid w:val="00933589"/>
    <w:rsid w:val="009335EA"/>
    <w:rsid w:val="0093366A"/>
    <w:rsid w:val="009336A0"/>
    <w:rsid w:val="009336EC"/>
    <w:rsid w:val="00933756"/>
    <w:rsid w:val="0093380C"/>
    <w:rsid w:val="0093381C"/>
    <w:rsid w:val="009338E7"/>
    <w:rsid w:val="00933A35"/>
    <w:rsid w:val="00933B5D"/>
    <w:rsid w:val="00933B9B"/>
    <w:rsid w:val="00933C08"/>
    <w:rsid w:val="00933C27"/>
    <w:rsid w:val="00933C8B"/>
    <w:rsid w:val="00933DCF"/>
    <w:rsid w:val="00933DE8"/>
    <w:rsid w:val="00933E30"/>
    <w:rsid w:val="00933F23"/>
    <w:rsid w:val="00934001"/>
    <w:rsid w:val="009340AC"/>
    <w:rsid w:val="009340E4"/>
    <w:rsid w:val="00934187"/>
    <w:rsid w:val="00934218"/>
    <w:rsid w:val="00934234"/>
    <w:rsid w:val="0093436F"/>
    <w:rsid w:val="00934468"/>
    <w:rsid w:val="00934561"/>
    <w:rsid w:val="0093456A"/>
    <w:rsid w:val="00934699"/>
    <w:rsid w:val="00934888"/>
    <w:rsid w:val="009348BA"/>
    <w:rsid w:val="00934971"/>
    <w:rsid w:val="009349B3"/>
    <w:rsid w:val="00934A22"/>
    <w:rsid w:val="00934AA7"/>
    <w:rsid w:val="00934AF9"/>
    <w:rsid w:val="00934B59"/>
    <w:rsid w:val="00934CFA"/>
    <w:rsid w:val="00934D53"/>
    <w:rsid w:val="00934FF6"/>
    <w:rsid w:val="00935086"/>
    <w:rsid w:val="00935198"/>
    <w:rsid w:val="009352D8"/>
    <w:rsid w:val="00935370"/>
    <w:rsid w:val="00935371"/>
    <w:rsid w:val="009354F5"/>
    <w:rsid w:val="009355FB"/>
    <w:rsid w:val="00935606"/>
    <w:rsid w:val="00935758"/>
    <w:rsid w:val="009357E5"/>
    <w:rsid w:val="00935828"/>
    <w:rsid w:val="009358DF"/>
    <w:rsid w:val="0093599D"/>
    <w:rsid w:val="009359B8"/>
    <w:rsid w:val="009359F6"/>
    <w:rsid w:val="00935A06"/>
    <w:rsid w:val="00935AB6"/>
    <w:rsid w:val="00935B05"/>
    <w:rsid w:val="00935B59"/>
    <w:rsid w:val="00935BC7"/>
    <w:rsid w:val="00935BFF"/>
    <w:rsid w:val="00935C78"/>
    <w:rsid w:val="00935CAB"/>
    <w:rsid w:val="00935CAC"/>
    <w:rsid w:val="00935D0E"/>
    <w:rsid w:val="00935E64"/>
    <w:rsid w:val="00935EDD"/>
    <w:rsid w:val="00935F69"/>
    <w:rsid w:val="00935FE5"/>
    <w:rsid w:val="00935FF4"/>
    <w:rsid w:val="009360E3"/>
    <w:rsid w:val="00936147"/>
    <w:rsid w:val="009361A7"/>
    <w:rsid w:val="009361C8"/>
    <w:rsid w:val="0093627D"/>
    <w:rsid w:val="009363BF"/>
    <w:rsid w:val="00936499"/>
    <w:rsid w:val="009365F9"/>
    <w:rsid w:val="009366F5"/>
    <w:rsid w:val="009367E5"/>
    <w:rsid w:val="0093687D"/>
    <w:rsid w:val="009368E4"/>
    <w:rsid w:val="0093694F"/>
    <w:rsid w:val="00936AD2"/>
    <w:rsid w:val="00936AFE"/>
    <w:rsid w:val="00936B1A"/>
    <w:rsid w:val="00936B21"/>
    <w:rsid w:val="00936D67"/>
    <w:rsid w:val="00936D8F"/>
    <w:rsid w:val="00936ED8"/>
    <w:rsid w:val="00936F78"/>
    <w:rsid w:val="00936FA0"/>
    <w:rsid w:val="00936FB1"/>
    <w:rsid w:val="00937363"/>
    <w:rsid w:val="0093741C"/>
    <w:rsid w:val="009374CC"/>
    <w:rsid w:val="009375B8"/>
    <w:rsid w:val="009375C2"/>
    <w:rsid w:val="0093766D"/>
    <w:rsid w:val="0093771B"/>
    <w:rsid w:val="0093775D"/>
    <w:rsid w:val="009377FD"/>
    <w:rsid w:val="00937A19"/>
    <w:rsid w:val="00937ADA"/>
    <w:rsid w:val="00937BA0"/>
    <w:rsid w:val="00937C91"/>
    <w:rsid w:val="00937CC5"/>
    <w:rsid w:val="00937CD3"/>
    <w:rsid w:val="00937D3B"/>
    <w:rsid w:val="00937D4C"/>
    <w:rsid w:val="00937F5A"/>
    <w:rsid w:val="00937F6C"/>
    <w:rsid w:val="00940056"/>
    <w:rsid w:val="0094020E"/>
    <w:rsid w:val="009403C6"/>
    <w:rsid w:val="00940424"/>
    <w:rsid w:val="009404EC"/>
    <w:rsid w:val="0094056D"/>
    <w:rsid w:val="0094062B"/>
    <w:rsid w:val="00940658"/>
    <w:rsid w:val="0094075C"/>
    <w:rsid w:val="009407DF"/>
    <w:rsid w:val="009408A1"/>
    <w:rsid w:val="00940989"/>
    <w:rsid w:val="00940994"/>
    <w:rsid w:val="009409AD"/>
    <w:rsid w:val="00940A29"/>
    <w:rsid w:val="00940A44"/>
    <w:rsid w:val="00940A49"/>
    <w:rsid w:val="00940A73"/>
    <w:rsid w:val="00940B8F"/>
    <w:rsid w:val="00940C23"/>
    <w:rsid w:val="00940C47"/>
    <w:rsid w:val="00940C6A"/>
    <w:rsid w:val="00940DD8"/>
    <w:rsid w:val="00940E3F"/>
    <w:rsid w:val="00940EC8"/>
    <w:rsid w:val="00940F4F"/>
    <w:rsid w:val="00940F9A"/>
    <w:rsid w:val="00940FA8"/>
    <w:rsid w:val="0094131E"/>
    <w:rsid w:val="009413A3"/>
    <w:rsid w:val="00941407"/>
    <w:rsid w:val="00941440"/>
    <w:rsid w:val="0094151D"/>
    <w:rsid w:val="0094160E"/>
    <w:rsid w:val="0094174C"/>
    <w:rsid w:val="0094183E"/>
    <w:rsid w:val="00941883"/>
    <w:rsid w:val="0094197F"/>
    <w:rsid w:val="00941A6B"/>
    <w:rsid w:val="00941A84"/>
    <w:rsid w:val="00941AB0"/>
    <w:rsid w:val="00941AE2"/>
    <w:rsid w:val="00941B75"/>
    <w:rsid w:val="00941D01"/>
    <w:rsid w:val="00941E83"/>
    <w:rsid w:val="00941FB1"/>
    <w:rsid w:val="00941FE8"/>
    <w:rsid w:val="0094203E"/>
    <w:rsid w:val="009420B9"/>
    <w:rsid w:val="009421DD"/>
    <w:rsid w:val="00942395"/>
    <w:rsid w:val="009423C9"/>
    <w:rsid w:val="00942604"/>
    <w:rsid w:val="00942614"/>
    <w:rsid w:val="0094262A"/>
    <w:rsid w:val="00942686"/>
    <w:rsid w:val="00942691"/>
    <w:rsid w:val="0094285A"/>
    <w:rsid w:val="009428AA"/>
    <w:rsid w:val="00942A14"/>
    <w:rsid w:val="00942DE0"/>
    <w:rsid w:val="00942E17"/>
    <w:rsid w:val="00942FC5"/>
    <w:rsid w:val="00942FD1"/>
    <w:rsid w:val="009430BF"/>
    <w:rsid w:val="00943116"/>
    <w:rsid w:val="009432D0"/>
    <w:rsid w:val="00943323"/>
    <w:rsid w:val="009433A6"/>
    <w:rsid w:val="0094344C"/>
    <w:rsid w:val="00943482"/>
    <w:rsid w:val="009434A7"/>
    <w:rsid w:val="009434AD"/>
    <w:rsid w:val="009434CD"/>
    <w:rsid w:val="009435A0"/>
    <w:rsid w:val="009435AF"/>
    <w:rsid w:val="009437D9"/>
    <w:rsid w:val="009437E3"/>
    <w:rsid w:val="0094383F"/>
    <w:rsid w:val="0094389F"/>
    <w:rsid w:val="009439C0"/>
    <w:rsid w:val="00943B00"/>
    <w:rsid w:val="00943B79"/>
    <w:rsid w:val="00943C57"/>
    <w:rsid w:val="00943CA4"/>
    <w:rsid w:val="00943CC8"/>
    <w:rsid w:val="00943E1C"/>
    <w:rsid w:val="00943EFD"/>
    <w:rsid w:val="00943F02"/>
    <w:rsid w:val="00943FF1"/>
    <w:rsid w:val="009440CD"/>
    <w:rsid w:val="00944259"/>
    <w:rsid w:val="00944357"/>
    <w:rsid w:val="009443E0"/>
    <w:rsid w:val="00944409"/>
    <w:rsid w:val="00944496"/>
    <w:rsid w:val="009444CB"/>
    <w:rsid w:val="00944589"/>
    <w:rsid w:val="00944657"/>
    <w:rsid w:val="0094467F"/>
    <w:rsid w:val="009446A3"/>
    <w:rsid w:val="009446EE"/>
    <w:rsid w:val="0094484B"/>
    <w:rsid w:val="009448D1"/>
    <w:rsid w:val="0094499D"/>
    <w:rsid w:val="009449B2"/>
    <w:rsid w:val="009449F4"/>
    <w:rsid w:val="00944A0F"/>
    <w:rsid w:val="00944A3C"/>
    <w:rsid w:val="00944A8E"/>
    <w:rsid w:val="00944AB5"/>
    <w:rsid w:val="00944B0B"/>
    <w:rsid w:val="00944BF7"/>
    <w:rsid w:val="00944C28"/>
    <w:rsid w:val="00944C66"/>
    <w:rsid w:val="00944C98"/>
    <w:rsid w:val="00944D88"/>
    <w:rsid w:val="00944D8D"/>
    <w:rsid w:val="00944DE8"/>
    <w:rsid w:val="00944E2C"/>
    <w:rsid w:val="00944E9A"/>
    <w:rsid w:val="009450A3"/>
    <w:rsid w:val="009450A9"/>
    <w:rsid w:val="0094527C"/>
    <w:rsid w:val="009452D0"/>
    <w:rsid w:val="0094535B"/>
    <w:rsid w:val="0094539F"/>
    <w:rsid w:val="00945510"/>
    <w:rsid w:val="0094568B"/>
    <w:rsid w:val="00945694"/>
    <w:rsid w:val="009457EC"/>
    <w:rsid w:val="0094585D"/>
    <w:rsid w:val="009459AC"/>
    <w:rsid w:val="00945A83"/>
    <w:rsid w:val="00945B26"/>
    <w:rsid w:val="00945B5C"/>
    <w:rsid w:val="00945B8C"/>
    <w:rsid w:val="00945BA1"/>
    <w:rsid w:val="00945BD1"/>
    <w:rsid w:val="00945E21"/>
    <w:rsid w:val="00945EF2"/>
    <w:rsid w:val="00945F18"/>
    <w:rsid w:val="00945F4B"/>
    <w:rsid w:val="0094601D"/>
    <w:rsid w:val="009460D9"/>
    <w:rsid w:val="009461EA"/>
    <w:rsid w:val="00946202"/>
    <w:rsid w:val="0094628F"/>
    <w:rsid w:val="0094645C"/>
    <w:rsid w:val="0094658A"/>
    <w:rsid w:val="00946621"/>
    <w:rsid w:val="0094674A"/>
    <w:rsid w:val="0094678A"/>
    <w:rsid w:val="009467ED"/>
    <w:rsid w:val="00946844"/>
    <w:rsid w:val="00946AB3"/>
    <w:rsid w:val="00946AED"/>
    <w:rsid w:val="00946BA3"/>
    <w:rsid w:val="00946C7C"/>
    <w:rsid w:val="00946CEA"/>
    <w:rsid w:val="00946D4B"/>
    <w:rsid w:val="00946D5B"/>
    <w:rsid w:val="00946D5D"/>
    <w:rsid w:val="00946D60"/>
    <w:rsid w:val="00946D8A"/>
    <w:rsid w:val="00946DE5"/>
    <w:rsid w:val="00946E0C"/>
    <w:rsid w:val="00946E29"/>
    <w:rsid w:val="00946E5A"/>
    <w:rsid w:val="00946ED7"/>
    <w:rsid w:val="00946F21"/>
    <w:rsid w:val="00946FDF"/>
    <w:rsid w:val="00947197"/>
    <w:rsid w:val="0094719E"/>
    <w:rsid w:val="0094740D"/>
    <w:rsid w:val="00947461"/>
    <w:rsid w:val="0094746B"/>
    <w:rsid w:val="0094749B"/>
    <w:rsid w:val="009474AB"/>
    <w:rsid w:val="009475CA"/>
    <w:rsid w:val="0094760D"/>
    <w:rsid w:val="009476AF"/>
    <w:rsid w:val="00947717"/>
    <w:rsid w:val="009478A6"/>
    <w:rsid w:val="009478A8"/>
    <w:rsid w:val="0094792C"/>
    <w:rsid w:val="00947B2C"/>
    <w:rsid w:val="00947C90"/>
    <w:rsid w:val="00947CB9"/>
    <w:rsid w:val="00947E2B"/>
    <w:rsid w:val="00947FB6"/>
    <w:rsid w:val="00950013"/>
    <w:rsid w:val="00950092"/>
    <w:rsid w:val="009500A7"/>
    <w:rsid w:val="009501D8"/>
    <w:rsid w:val="00950263"/>
    <w:rsid w:val="00950332"/>
    <w:rsid w:val="00950459"/>
    <w:rsid w:val="00950485"/>
    <w:rsid w:val="0095051A"/>
    <w:rsid w:val="0095052E"/>
    <w:rsid w:val="0095055C"/>
    <w:rsid w:val="00950622"/>
    <w:rsid w:val="0095063A"/>
    <w:rsid w:val="009507CD"/>
    <w:rsid w:val="0095081B"/>
    <w:rsid w:val="00950836"/>
    <w:rsid w:val="00950878"/>
    <w:rsid w:val="0095089E"/>
    <w:rsid w:val="00950930"/>
    <w:rsid w:val="00950968"/>
    <w:rsid w:val="009509BB"/>
    <w:rsid w:val="00950A08"/>
    <w:rsid w:val="00950A14"/>
    <w:rsid w:val="00950A67"/>
    <w:rsid w:val="00950A6F"/>
    <w:rsid w:val="00950A7E"/>
    <w:rsid w:val="00950AD2"/>
    <w:rsid w:val="00950C13"/>
    <w:rsid w:val="00950C21"/>
    <w:rsid w:val="00950CE3"/>
    <w:rsid w:val="00950D5A"/>
    <w:rsid w:val="00950E28"/>
    <w:rsid w:val="00950E8C"/>
    <w:rsid w:val="00950F8C"/>
    <w:rsid w:val="00950FB5"/>
    <w:rsid w:val="00950FF9"/>
    <w:rsid w:val="00951010"/>
    <w:rsid w:val="0095117E"/>
    <w:rsid w:val="009511B6"/>
    <w:rsid w:val="009511CD"/>
    <w:rsid w:val="00951214"/>
    <w:rsid w:val="00951299"/>
    <w:rsid w:val="009512BA"/>
    <w:rsid w:val="009513D0"/>
    <w:rsid w:val="00951480"/>
    <w:rsid w:val="00951566"/>
    <w:rsid w:val="0095172A"/>
    <w:rsid w:val="0095183B"/>
    <w:rsid w:val="00951840"/>
    <w:rsid w:val="00951877"/>
    <w:rsid w:val="009519DF"/>
    <w:rsid w:val="00951A4C"/>
    <w:rsid w:val="00951D72"/>
    <w:rsid w:val="00951E05"/>
    <w:rsid w:val="00951E3B"/>
    <w:rsid w:val="00951E52"/>
    <w:rsid w:val="00951FE9"/>
    <w:rsid w:val="00951FED"/>
    <w:rsid w:val="0095201E"/>
    <w:rsid w:val="0095212A"/>
    <w:rsid w:val="009521A5"/>
    <w:rsid w:val="00952247"/>
    <w:rsid w:val="009523BE"/>
    <w:rsid w:val="009526A4"/>
    <w:rsid w:val="0095270B"/>
    <w:rsid w:val="00952785"/>
    <w:rsid w:val="0095293F"/>
    <w:rsid w:val="00952972"/>
    <w:rsid w:val="00952A09"/>
    <w:rsid w:val="00952A11"/>
    <w:rsid w:val="00952A30"/>
    <w:rsid w:val="00952B68"/>
    <w:rsid w:val="00952BC6"/>
    <w:rsid w:val="00952BDB"/>
    <w:rsid w:val="00952C58"/>
    <w:rsid w:val="00952C94"/>
    <w:rsid w:val="00952CB9"/>
    <w:rsid w:val="00952DA9"/>
    <w:rsid w:val="00952E84"/>
    <w:rsid w:val="00952EAF"/>
    <w:rsid w:val="00952EB6"/>
    <w:rsid w:val="00952F12"/>
    <w:rsid w:val="00952F60"/>
    <w:rsid w:val="00953000"/>
    <w:rsid w:val="0095311F"/>
    <w:rsid w:val="009532F1"/>
    <w:rsid w:val="009532F9"/>
    <w:rsid w:val="00953314"/>
    <w:rsid w:val="009533A2"/>
    <w:rsid w:val="0095342E"/>
    <w:rsid w:val="00953480"/>
    <w:rsid w:val="0095350C"/>
    <w:rsid w:val="00953529"/>
    <w:rsid w:val="00953720"/>
    <w:rsid w:val="0095376B"/>
    <w:rsid w:val="00953788"/>
    <w:rsid w:val="009537BE"/>
    <w:rsid w:val="009538C0"/>
    <w:rsid w:val="00953907"/>
    <w:rsid w:val="00953A11"/>
    <w:rsid w:val="00953A55"/>
    <w:rsid w:val="00953A5D"/>
    <w:rsid w:val="00953AD6"/>
    <w:rsid w:val="00953B05"/>
    <w:rsid w:val="00953B44"/>
    <w:rsid w:val="00953C31"/>
    <w:rsid w:val="00953C66"/>
    <w:rsid w:val="00953CA4"/>
    <w:rsid w:val="00953D0C"/>
    <w:rsid w:val="00953F26"/>
    <w:rsid w:val="0095405F"/>
    <w:rsid w:val="009541B8"/>
    <w:rsid w:val="009541CE"/>
    <w:rsid w:val="009542CF"/>
    <w:rsid w:val="009543BA"/>
    <w:rsid w:val="009543C3"/>
    <w:rsid w:val="009543F1"/>
    <w:rsid w:val="009544C8"/>
    <w:rsid w:val="00954537"/>
    <w:rsid w:val="0095467F"/>
    <w:rsid w:val="00954683"/>
    <w:rsid w:val="00954684"/>
    <w:rsid w:val="00954805"/>
    <w:rsid w:val="0095483A"/>
    <w:rsid w:val="009548F7"/>
    <w:rsid w:val="00954A53"/>
    <w:rsid w:val="00954C7D"/>
    <w:rsid w:val="00954ED1"/>
    <w:rsid w:val="00954FDD"/>
    <w:rsid w:val="00954FE4"/>
    <w:rsid w:val="00955081"/>
    <w:rsid w:val="00955091"/>
    <w:rsid w:val="00955188"/>
    <w:rsid w:val="009551A3"/>
    <w:rsid w:val="009551B6"/>
    <w:rsid w:val="009551C9"/>
    <w:rsid w:val="009551DF"/>
    <w:rsid w:val="00955254"/>
    <w:rsid w:val="009552D1"/>
    <w:rsid w:val="009553B3"/>
    <w:rsid w:val="009553E7"/>
    <w:rsid w:val="00955438"/>
    <w:rsid w:val="00955498"/>
    <w:rsid w:val="009554FE"/>
    <w:rsid w:val="0095551A"/>
    <w:rsid w:val="009555E4"/>
    <w:rsid w:val="00955609"/>
    <w:rsid w:val="009556AC"/>
    <w:rsid w:val="009556AF"/>
    <w:rsid w:val="0095570F"/>
    <w:rsid w:val="00955713"/>
    <w:rsid w:val="00955747"/>
    <w:rsid w:val="00955771"/>
    <w:rsid w:val="00955778"/>
    <w:rsid w:val="009557BC"/>
    <w:rsid w:val="00955862"/>
    <w:rsid w:val="009559D1"/>
    <w:rsid w:val="009559E4"/>
    <w:rsid w:val="009559F1"/>
    <w:rsid w:val="00955A81"/>
    <w:rsid w:val="00955A8A"/>
    <w:rsid w:val="00955ADA"/>
    <w:rsid w:val="00955B3B"/>
    <w:rsid w:val="00955B4B"/>
    <w:rsid w:val="00955B6E"/>
    <w:rsid w:val="00955B98"/>
    <w:rsid w:val="00955BC5"/>
    <w:rsid w:val="00955BC8"/>
    <w:rsid w:val="00955C6B"/>
    <w:rsid w:val="00955CF8"/>
    <w:rsid w:val="00955E9B"/>
    <w:rsid w:val="00955F22"/>
    <w:rsid w:val="00955F36"/>
    <w:rsid w:val="00955FAC"/>
    <w:rsid w:val="0095602B"/>
    <w:rsid w:val="009560BA"/>
    <w:rsid w:val="009560BF"/>
    <w:rsid w:val="0095623A"/>
    <w:rsid w:val="00956319"/>
    <w:rsid w:val="00956407"/>
    <w:rsid w:val="00956427"/>
    <w:rsid w:val="00956484"/>
    <w:rsid w:val="00956704"/>
    <w:rsid w:val="0095670B"/>
    <w:rsid w:val="00956771"/>
    <w:rsid w:val="009567DE"/>
    <w:rsid w:val="00956836"/>
    <w:rsid w:val="00956A4A"/>
    <w:rsid w:val="00956B47"/>
    <w:rsid w:val="00956B4D"/>
    <w:rsid w:val="00956CB8"/>
    <w:rsid w:val="00956E9A"/>
    <w:rsid w:val="00956FA1"/>
    <w:rsid w:val="00957168"/>
    <w:rsid w:val="0095719D"/>
    <w:rsid w:val="00957227"/>
    <w:rsid w:val="0095728E"/>
    <w:rsid w:val="009572E3"/>
    <w:rsid w:val="00957357"/>
    <w:rsid w:val="0095739C"/>
    <w:rsid w:val="009574A9"/>
    <w:rsid w:val="009574DC"/>
    <w:rsid w:val="009575C4"/>
    <w:rsid w:val="009575C7"/>
    <w:rsid w:val="00957657"/>
    <w:rsid w:val="0095770A"/>
    <w:rsid w:val="0095774C"/>
    <w:rsid w:val="00957765"/>
    <w:rsid w:val="0095776C"/>
    <w:rsid w:val="009578CB"/>
    <w:rsid w:val="00957A56"/>
    <w:rsid w:val="00957ACB"/>
    <w:rsid w:val="00957C32"/>
    <w:rsid w:val="00957C35"/>
    <w:rsid w:val="00957C5A"/>
    <w:rsid w:val="00957C72"/>
    <w:rsid w:val="00957D81"/>
    <w:rsid w:val="00957DA1"/>
    <w:rsid w:val="00957E55"/>
    <w:rsid w:val="00957E9B"/>
    <w:rsid w:val="00957F79"/>
    <w:rsid w:val="00957FDB"/>
    <w:rsid w:val="00957FF4"/>
    <w:rsid w:val="00960131"/>
    <w:rsid w:val="0096025A"/>
    <w:rsid w:val="00960281"/>
    <w:rsid w:val="009602D0"/>
    <w:rsid w:val="0096033A"/>
    <w:rsid w:val="009603D7"/>
    <w:rsid w:val="00960494"/>
    <w:rsid w:val="00960608"/>
    <w:rsid w:val="009606DD"/>
    <w:rsid w:val="00960793"/>
    <w:rsid w:val="00960842"/>
    <w:rsid w:val="00960A1A"/>
    <w:rsid w:val="00960AF9"/>
    <w:rsid w:val="00960BB3"/>
    <w:rsid w:val="00960D2B"/>
    <w:rsid w:val="00960F84"/>
    <w:rsid w:val="009610B9"/>
    <w:rsid w:val="009611EC"/>
    <w:rsid w:val="00961226"/>
    <w:rsid w:val="009613DB"/>
    <w:rsid w:val="00961430"/>
    <w:rsid w:val="009614DA"/>
    <w:rsid w:val="00961579"/>
    <w:rsid w:val="009615B1"/>
    <w:rsid w:val="009615E7"/>
    <w:rsid w:val="00961662"/>
    <w:rsid w:val="009616ED"/>
    <w:rsid w:val="009618E1"/>
    <w:rsid w:val="009619AF"/>
    <w:rsid w:val="00961A22"/>
    <w:rsid w:val="00961A4B"/>
    <w:rsid w:val="00961B52"/>
    <w:rsid w:val="00961B97"/>
    <w:rsid w:val="00961C0E"/>
    <w:rsid w:val="00961C41"/>
    <w:rsid w:val="00961C65"/>
    <w:rsid w:val="00961E25"/>
    <w:rsid w:val="00961E82"/>
    <w:rsid w:val="00961F6D"/>
    <w:rsid w:val="00961FA0"/>
    <w:rsid w:val="00962028"/>
    <w:rsid w:val="009620DB"/>
    <w:rsid w:val="009621BF"/>
    <w:rsid w:val="009623B0"/>
    <w:rsid w:val="009623C9"/>
    <w:rsid w:val="0096250D"/>
    <w:rsid w:val="009625CF"/>
    <w:rsid w:val="009625DA"/>
    <w:rsid w:val="009626F3"/>
    <w:rsid w:val="00962742"/>
    <w:rsid w:val="00962749"/>
    <w:rsid w:val="00962781"/>
    <w:rsid w:val="009627E3"/>
    <w:rsid w:val="0096289A"/>
    <w:rsid w:val="00962A9D"/>
    <w:rsid w:val="00962AC2"/>
    <w:rsid w:val="00962B82"/>
    <w:rsid w:val="00962C91"/>
    <w:rsid w:val="00962D08"/>
    <w:rsid w:val="00962ED6"/>
    <w:rsid w:val="00962F47"/>
    <w:rsid w:val="00962F91"/>
    <w:rsid w:val="00962FC6"/>
    <w:rsid w:val="0096300C"/>
    <w:rsid w:val="009630D7"/>
    <w:rsid w:val="00963183"/>
    <w:rsid w:val="009631B6"/>
    <w:rsid w:val="00963234"/>
    <w:rsid w:val="00963268"/>
    <w:rsid w:val="00963282"/>
    <w:rsid w:val="009632BA"/>
    <w:rsid w:val="009632DE"/>
    <w:rsid w:val="00963420"/>
    <w:rsid w:val="009634A1"/>
    <w:rsid w:val="009635E0"/>
    <w:rsid w:val="009636F1"/>
    <w:rsid w:val="00963755"/>
    <w:rsid w:val="00963991"/>
    <w:rsid w:val="00963ACF"/>
    <w:rsid w:val="00963B43"/>
    <w:rsid w:val="00963BA0"/>
    <w:rsid w:val="00963CC9"/>
    <w:rsid w:val="00963CD1"/>
    <w:rsid w:val="00963D1B"/>
    <w:rsid w:val="00963EBA"/>
    <w:rsid w:val="00963EFA"/>
    <w:rsid w:val="00963F91"/>
    <w:rsid w:val="009640EF"/>
    <w:rsid w:val="00964161"/>
    <w:rsid w:val="00964201"/>
    <w:rsid w:val="00964209"/>
    <w:rsid w:val="00964315"/>
    <w:rsid w:val="0096439A"/>
    <w:rsid w:val="00964462"/>
    <w:rsid w:val="009648B3"/>
    <w:rsid w:val="00964927"/>
    <w:rsid w:val="00964970"/>
    <w:rsid w:val="00964991"/>
    <w:rsid w:val="009649F1"/>
    <w:rsid w:val="00964A43"/>
    <w:rsid w:val="00964A72"/>
    <w:rsid w:val="00964AD9"/>
    <w:rsid w:val="00964B01"/>
    <w:rsid w:val="00964BA3"/>
    <w:rsid w:val="00964C43"/>
    <w:rsid w:val="00964C61"/>
    <w:rsid w:val="00964CA9"/>
    <w:rsid w:val="00964E94"/>
    <w:rsid w:val="00965014"/>
    <w:rsid w:val="009651C1"/>
    <w:rsid w:val="009651C5"/>
    <w:rsid w:val="009651D4"/>
    <w:rsid w:val="0096520A"/>
    <w:rsid w:val="0096526F"/>
    <w:rsid w:val="0096530E"/>
    <w:rsid w:val="0096536F"/>
    <w:rsid w:val="009654E0"/>
    <w:rsid w:val="00965505"/>
    <w:rsid w:val="00965944"/>
    <w:rsid w:val="00965957"/>
    <w:rsid w:val="009659F9"/>
    <w:rsid w:val="00965A50"/>
    <w:rsid w:val="00965A7E"/>
    <w:rsid w:val="00965BF6"/>
    <w:rsid w:val="00965C3D"/>
    <w:rsid w:val="00965DE2"/>
    <w:rsid w:val="00965F11"/>
    <w:rsid w:val="00965F31"/>
    <w:rsid w:val="00965FB8"/>
    <w:rsid w:val="00965FFC"/>
    <w:rsid w:val="00966173"/>
    <w:rsid w:val="0096618D"/>
    <w:rsid w:val="00966231"/>
    <w:rsid w:val="009664ED"/>
    <w:rsid w:val="009665B8"/>
    <w:rsid w:val="0096664A"/>
    <w:rsid w:val="0096679E"/>
    <w:rsid w:val="009668ED"/>
    <w:rsid w:val="009669CB"/>
    <w:rsid w:val="009669E8"/>
    <w:rsid w:val="00966A18"/>
    <w:rsid w:val="00966A4A"/>
    <w:rsid w:val="00966B0B"/>
    <w:rsid w:val="00966B3E"/>
    <w:rsid w:val="00966B8D"/>
    <w:rsid w:val="00966CAC"/>
    <w:rsid w:val="00966CDB"/>
    <w:rsid w:val="00966E6E"/>
    <w:rsid w:val="00966F82"/>
    <w:rsid w:val="00966FE8"/>
    <w:rsid w:val="00967044"/>
    <w:rsid w:val="00967066"/>
    <w:rsid w:val="00967089"/>
    <w:rsid w:val="0096708F"/>
    <w:rsid w:val="009671B1"/>
    <w:rsid w:val="0096733F"/>
    <w:rsid w:val="009673C0"/>
    <w:rsid w:val="009673EE"/>
    <w:rsid w:val="00967474"/>
    <w:rsid w:val="0096755F"/>
    <w:rsid w:val="00967620"/>
    <w:rsid w:val="00967651"/>
    <w:rsid w:val="00967768"/>
    <w:rsid w:val="009677B7"/>
    <w:rsid w:val="0096794C"/>
    <w:rsid w:val="009679E3"/>
    <w:rsid w:val="00967BA1"/>
    <w:rsid w:val="00967C09"/>
    <w:rsid w:val="00967C59"/>
    <w:rsid w:val="00967D5C"/>
    <w:rsid w:val="00967E64"/>
    <w:rsid w:val="00967F42"/>
    <w:rsid w:val="00967F87"/>
    <w:rsid w:val="00967FEE"/>
    <w:rsid w:val="0097008C"/>
    <w:rsid w:val="009702D9"/>
    <w:rsid w:val="009703DE"/>
    <w:rsid w:val="00970423"/>
    <w:rsid w:val="0097043B"/>
    <w:rsid w:val="0097062F"/>
    <w:rsid w:val="009707A7"/>
    <w:rsid w:val="009707AE"/>
    <w:rsid w:val="0097087A"/>
    <w:rsid w:val="00970961"/>
    <w:rsid w:val="00970B55"/>
    <w:rsid w:val="00970BFB"/>
    <w:rsid w:val="00970CED"/>
    <w:rsid w:val="00970D87"/>
    <w:rsid w:val="00970F4C"/>
    <w:rsid w:val="00970F65"/>
    <w:rsid w:val="00970FC5"/>
    <w:rsid w:val="009710E8"/>
    <w:rsid w:val="00971109"/>
    <w:rsid w:val="00971110"/>
    <w:rsid w:val="0097112D"/>
    <w:rsid w:val="0097114F"/>
    <w:rsid w:val="009712A8"/>
    <w:rsid w:val="009715F7"/>
    <w:rsid w:val="00971653"/>
    <w:rsid w:val="0097178D"/>
    <w:rsid w:val="009718E7"/>
    <w:rsid w:val="00971A29"/>
    <w:rsid w:val="00971AB9"/>
    <w:rsid w:val="00971B60"/>
    <w:rsid w:val="00971C56"/>
    <w:rsid w:val="00971C90"/>
    <w:rsid w:val="00971CE0"/>
    <w:rsid w:val="00971D4F"/>
    <w:rsid w:val="00971E74"/>
    <w:rsid w:val="00972073"/>
    <w:rsid w:val="0097210A"/>
    <w:rsid w:val="009722B0"/>
    <w:rsid w:val="00972313"/>
    <w:rsid w:val="00972684"/>
    <w:rsid w:val="0097279A"/>
    <w:rsid w:val="00972837"/>
    <w:rsid w:val="00972886"/>
    <w:rsid w:val="009729B3"/>
    <w:rsid w:val="00972BB0"/>
    <w:rsid w:val="00972C95"/>
    <w:rsid w:val="00972D0F"/>
    <w:rsid w:val="00972D9D"/>
    <w:rsid w:val="00972E23"/>
    <w:rsid w:val="00972F28"/>
    <w:rsid w:val="00972F89"/>
    <w:rsid w:val="00972FEE"/>
    <w:rsid w:val="00972FFB"/>
    <w:rsid w:val="0097310A"/>
    <w:rsid w:val="00973143"/>
    <w:rsid w:val="00973175"/>
    <w:rsid w:val="0097321F"/>
    <w:rsid w:val="009732F4"/>
    <w:rsid w:val="00973301"/>
    <w:rsid w:val="0097339D"/>
    <w:rsid w:val="009733DB"/>
    <w:rsid w:val="0097342F"/>
    <w:rsid w:val="00973433"/>
    <w:rsid w:val="00973504"/>
    <w:rsid w:val="00973640"/>
    <w:rsid w:val="009736D6"/>
    <w:rsid w:val="00973780"/>
    <w:rsid w:val="009737A2"/>
    <w:rsid w:val="00973851"/>
    <w:rsid w:val="00973854"/>
    <w:rsid w:val="00973859"/>
    <w:rsid w:val="009739CB"/>
    <w:rsid w:val="009739F9"/>
    <w:rsid w:val="00973A0C"/>
    <w:rsid w:val="00973B2C"/>
    <w:rsid w:val="00973D22"/>
    <w:rsid w:val="00973E0B"/>
    <w:rsid w:val="00973E1A"/>
    <w:rsid w:val="00974027"/>
    <w:rsid w:val="00974055"/>
    <w:rsid w:val="009740AC"/>
    <w:rsid w:val="009740F5"/>
    <w:rsid w:val="0097429E"/>
    <w:rsid w:val="0097435A"/>
    <w:rsid w:val="00974395"/>
    <w:rsid w:val="00974462"/>
    <w:rsid w:val="00974474"/>
    <w:rsid w:val="009744A6"/>
    <w:rsid w:val="009744B5"/>
    <w:rsid w:val="0097453B"/>
    <w:rsid w:val="009746C8"/>
    <w:rsid w:val="00974775"/>
    <w:rsid w:val="00974823"/>
    <w:rsid w:val="00974844"/>
    <w:rsid w:val="00974A47"/>
    <w:rsid w:val="00974A6A"/>
    <w:rsid w:val="00974AA6"/>
    <w:rsid w:val="00974B22"/>
    <w:rsid w:val="00974B5F"/>
    <w:rsid w:val="00974B77"/>
    <w:rsid w:val="00974C41"/>
    <w:rsid w:val="00974C8B"/>
    <w:rsid w:val="00974C8D"/>
    <w:rsid w:val="00974CF9"/>
    <w:rsid w:val="00974D09"/>
    <w:rsid w:val="00974D21"/>
    <w:rsid w:val="00974D58"/>
    <w:rsid w:val="00974E52"/>
    <w:rsid w:val="00974EB9"/>
    <w:rsid w:val="00974F5B"/>
    <w:rsid w:val="00974F92"/>
    <w:rsid w:val="00974FA2"/>
    <w:rsid w:val="00975048"/>
    <w:rsid w:val="0097505D"/>
    <w:rsid w:val="00975073"/>
    <w:rsid w:val="009750A2"/>
    <w:rsid w:val="009750AC"/>
    <w:rsid w:val="009751C7"/>
    <w:rsid w:val="0097535C"/>
    <w:rsid w:val="009753BA"/>
    <w:rsid w:val="009753D7"/>
    <w:rsid w:val="00975457"/>
    <w:rsid w:val="009754E5"/>
    <w:rsid w:val="00975577"/>
    <w:rsid w:val="00975681"/>
    <w:rsid w:val="00975834"/>
    <w:rsid w:val="00975901"/>
    <w:rsid w:val="00975933"/>
    <w:rsid w:val="00975AB9"/>
    <w:rsid w:val="00975B1E"/>
    <w:rsid w:val="00975B29"/>
    <w:rsid w:val="00975F65"/>
    <w:rsid w:val="00975F9D"/>
    <w:rsid w:val="00975FCD"/>
    <w:rsid w:val="00976204"/>
    <w:rsid w:val="00976280"/>
    <w:rsid w:val="00976354"/>
    <w:rsid w:val="00976468"/>
    <w:rsid w:val="009764A6"/>
    <w:rsid w:val="009765A9"/>
    <w:rsid w:val="00976710"/>
    <w:rsid w:val="00976802"/>
    <w:rsid w:val="0097689C"/>
    <w:rsid w:val="009768A6"/>
    <w:rsid w:val="009768CA"/>
    <w:rsid w:val="00976963"/>
    <w:rsid w:val="009769E7"/>
    <w:rsid w:val="00976B24"/>
    <w:rsid w:val="00976CAA"/>
    <w:rsid w:val="00976DAF"/>
    <w:rsid w:val="00976DCD"/>
    <w:rsid w:val="00976E4B"/>
    <w:rsid w:val="00976FF4"/>
    <w:rsid w:val="00977055"/>
    <w:rsid w:val="009770AB"/>
    <w:rsid w:val="009770E2"/>
    <w:rsid w:val="0097723F"/>
    <w:rsid w:val="009773B3"/>
    <w:rsid w:val="00977438"/>
    <w:rsid w:val="00977449"/>
    <w:rsid w:val="009774A4"/>
    <w:rsid w:val="009774C5"/>
    <w:rsid w:val="009774EB"/>
    <w:rsid w:val="00977502"/>
    <w:rsid w:val="009775EB"/>
    <w:rsid w:val="00977615"/>
    <w:rsid w:val="00977732"/>
    <w:rsid w:val="00977780"/>
    <w:rsid w:val="009777B8"/>
    <w:rsid w:val="009777D3"/>
    <w:rsid w:val="009777EA"/>
    <w:rsid w:val="00977841"/>
    <w:rsid w:val="009778D1"/>
    <w:rsid w:val="009778E3"/>
    <w:rsid w:val="00977987"/>
    <w:rsid w:val="00977A52"/>
    <w:rsid w:val="00977BBD"/>
    <w:rsid w:val="00977C08"/>
    <w:rsid w:val="00977C2B"/>
    <w:rsid w:val="00977CE6"/>
    <w:rsid w:val="00977D29"/>
    <w:rsid w:val="0098005C"/>
    <w:rsid w:val="009800DE"/>
    <w:rsid w:val="009800E3"/>
    <w:rsid w:val="00980318"/>
    <w:rsid w:val="0098034B"/>
    <w:rsid w:val="009803A9"/>
    <w:rsid w:val="009803AA"/>
    <w:rsid w:val="009804CC"/>
    <w:rsid w:val="009805E9"/>
    <w:rsid w:val="009805ED"/>
    <w:rsid w:val="00980618"/>
    <w:rsid w:val="0098087A"/>
    <w:rsid w:val="00980994"/>
    <w:rsid w:val="00980A7F"/>
    <w:rsid w:val="00980BAC"/>
    <w:rsid w:val="00980CB9"/>
    <w:rsid w:val="00980D7B"/>
    <w:rsid w:val="00980D92"/>
    <w:rsid w:val="00980DA7"/>
    <w:rsid w:val="00980DD6"/>
    <w:rsid w:val="00980DE0"/>
    <w:rsid w:val="00980ECD"/>
    <w:rsid w:val="009812A3"/>
    <w:rsid w:val="00981356"/>
    <w:rsid w:val="0098136C"/>
    <w:rsid w:val="00981392"/>
    <w:rsid w:val="00981409"/>
    <w:rsid w:val="00981707"/>
    <w:rsid w:val="00981804"/>
    <w:rsid w:val="009819BE"/>
    <w:rsid w:val="00981AD2"/>
    <w:rsid w:val="00981B09"/>
    <w:rsid w:val="00981B45"/>
    <w:rsid w:val="00981CAC"/>
    <w:rsid w:val="00981D38"/>
    <w:rsid w:val="00981D4C"/>
    <w:rsid w:val="00981D7C"/>
    <w:rsid w:val="00981DC1"/>
    <w:rsid w:val="00981E2C"/>
    <w:rsid w:val="00981E5D"/>
    <w:rsid w:val="00981F25"/>
    <w:rsid w:val="00981F51"/>
    <w:rsid w:val="00981F94"/>
    <w:rsid w:val="0098209B"/>
    <w:rsid w:val="0098218F"/>
    <w:rsid w:val="009822AF"/>
    <w:rsid w:val="00982344"/>
    <w:rsid w:val="00982439"/>
    <w:rsid w:val="0098246A"/>
    <w:rsid w:val="00982499"/>
    <w:rsid w:val="009824B5"/>
    <w:rsid w:val="009825B7"/>
    <w:rsid w:val="00982611"/>
    <w:rsid w:val="00982657"/>
    <w:rsid w:val="00982678"/>
    <w:rsid w:val="009826F6"/>
    <w:rsid w:val="009827B2"/>
    <w:rsid w:val="009827EA"/>
    <w:rsid w:val="00982877"/>
    <w:rsid w:val="0098296C"/>
    <w:rsid w:val="009829A1"/>
    <w:rsid w:val="009829B3"/>
    <w:rsid w:val="00982A69"/>
    <w:rsid w:val="00982AE4"/>
    <w:rsid w:val="00982B0A"/>
    <w:rsid w:val="00982B33"/>
    <w:rsid w:val="00982C56"/>
    <w:rsid w:val="00982D11"/>
    <w:rsid w:val="00982DC9"/>
    <w:rsid w:val="00982DEF"/>
    <w:rsid w:val="00982EA7"/>
    <w:rsid w:val="00982EAD"/>
    <w:rsid w:val="00983121"/>
    <w:rsid w:val="00983173"/>
    <w:rsid w:val="009831BA"/>
    <w:rsid w:val="00983289"/>
    <w:rsid w:val="009832CC"/>
    <w:rsid w:val="009832F1"/>
    <w:rsid w:val="00983362"/>
    <w:rsid w:val="00983373"/>
    <w:rsid w:val="009833DE"/>
    <w:rsid w:val="0098344D"/>
    <w:rsid w:val="009834CA"/>
    <w:rsid w:val="009834D6"/>
    <w:rsid w:val="00983735"/>
    <w:rsid w:val="0098379D"/>
    <w:rsid w:val="00983933"/>
    <w:rsid w:val="009839B9"/>
    <w:rsid w:val="00983A3C"/>
    <w:rsid w:val="00983BB1"/>
    <w:rsid w:val="00983BD6"/>
    <w:rsid w:val="00983D1E"/>
    <w:rsid w:val="00983D58"/>
    <w:rsid w:val="00983D61"/>
    <w:rsid w:val="00983F2C"/>
    <w:rsid w:val="00983FB5"/>
    <w:rsid w:val="00984009"/>
    <w:rsid w:val="0098409F"/>
    <w:rsid w:val="0098412E"/>
    <w:rsid w:val="009841CB"/>
    <w:rsid w:val="00984215"/>
    <w:rsid w:val="00984386"/>
    <w:rsid w:val="009843C3"/>
    <w:rsid w:val="009844A3"/>
    <w:rsid w:val="00984524"/>
    <w:rsid w:val="009845CF"/>
    <w:rsid w:val="00984605"/>
    <w:rsid w:val="0098479B"/>
    <w:rsid w:val="00984898"/>
    <w:rsid w:val="0098496C"/>
    <w:rsid w:val="00984B2C"/>
    <w:rsid w:val="00984CF9"/>
    <w:rsid w:val="00984D03"/>
    <w:rsid w:val="00984DA5"/>
    <w:rsid w:val="00984DC0"/>
    <w:rsid w:val="00984EF5"/>
    <w:rsid w:val="00984FC3"/>
    <w:rsid w:val="0098508F"/>
    <w:rsid w:val="00985092"/>
    <w:rsid w:val="0098513C"/>
    <w:rsid w:val="0098517F"/>
    <w:rsid w:val="00985353"/>
    <w:rsid w:val="009854AB"/>
    <w:rsid w:val="00985509"/>
    <w:rsid w:val="00985578"/>
    <w:rsid w:val="00985586"/>
    <w:rsid w:val="009855A0"/>
    <w:rsid w:val="00985696"/>
    <w:rsid w:val="0098570F"/>
    <w:rsid w:val="0098571A"/>
    <w:rsid w:val="009858AC"/>
    <w:rsid w:val="00985964"/>
    <w:rsid w:val="009859C1"/>
    <w:rsid w:val="00985A30"/>
    <w:rsid w:val="00985A62"/>
    <w:rsid w:val="00985B62"/>
    <w:rsid w:val="00985C49"/>
    <w:rsid w:val="00985C8A"/>
    <w:rsid w:val="00985CD6"/>
    <w:rsid w:val="00985D27"/>
    <w:rsid w:val="00985DE7"/>
    <w:rsid w:val="00985E6B"/>
    <w:rsid w:val="00986091"/>
    <w:rsid w:val="0098619A"/>
    <w:rsid w:val="00986237"/>
    <w:rsid w:val="009862E1"/>
    <w:rsid w:val="0098636C"/>
    <w:rsid w:val="0098641A"/>
    <w:rsid w:val="009864D6"/>
    <w:rsid w:val="00986676"/>
    <w:rsid w:val="009866F7"/>
    <w:rsid w:val="009867EC"/>
    <w:rsid w:val="00986975"/>
    <w:rsid w:val="009869B0"/>
    <w:rsid w:val="00986A3F"/>
    <w:rsid w:val="00986BA7"/>
    <w:rsid w:val="00986C68"/>
    <w:rsid w:val="00986C81"/>
    <w:rsid w:val="00986CEE"/>
    <w:rsid w:val="00986E21"/>
    <w:rsid w:val="00986EEE"/>
    <w:rsid w:val="00986F5A"/>
    <w:rsid w:val="00986F65"/>
    <w:rsid w:val="00987010"/>
    <w:rsid w:val="0098707D"/>
    <w:rsid w:val="009870C0"/>
    <w:rsid w:val="0098711B"/>
    <w:rsid w:val="009871BD"/>
    <w:rsid w:val="00987258"/>
    <w:rsid w:val="00987263"/>
    <w:rsid w:val="0098744F"/>
    <w:rsid w:val="009874A0"/>
    <w:rsid w:val="009874F1"/>
    <w:rsid w:val="00987559"/>
    <w:rsid w:val="00987595"/>
    <w:rsid w:val="009875FC"/>
    <w:rsid w:val="0098768A"/>
    <w:rsid w:val="0098768E"/>
    <w:rsid w:val="009876D0"/>
    <w:rsid w:val="00987708"/>
    <w:rsid w:val="00987868"/>
    <w:rsid w:val="00987A79"/>
    <w:rsid w:val="00987A91"/>
    <w:rsid w:val="00987AC2"/>
    <w:rsid w:val="00987AC7"/>
    <w:rsid w:val="00987B6B"/>
    <w:rsid w:val="00987C95"/>
    <w:rsid w:val="00987CFD"/>
    <w:rsid w:val="00987D1F"/>
    <w:rsid w:val="00987D37"/>
    <w:rsid w:val="00987D47"/>
    <w:rsid w:val="00987D77"/>
    <w:rsid w:val="00987DC7"/>
    <w:rsid w:val="00987F65"/>
    <w:rsid w:val="00990110"/>
    <w:rsid w:val="0099012A"/>
    <w:rsid w:val="0099018B"/>
    <w:rsid w:val="009901A6"/>
    <w:rsid w:val="009901F0"/>
    <w:rsid w:val="009902DE"/>
    <w:rsid w:val="00990357"/>
    <w:rsid w:val="0099035F"/>
    <w:rsid w:val="00990392"/>
    <w:rsid w:val="009903C3"/>
    <w:rsid w:val="0099040F"/>
    <w:rsid w:val="009904CE"/>
    <w:rsid w:val="00990606"/>
    <w:rsid w:val="00990672"/>
    <w:rsid w:val="00990675"/>
    <w:rsid w:val="009907CB"/>
    <w:rsid w:val="0099081E"/>
    <w:rsid w:val="00990820"/>
    <w:rsid w:val="00990859"/>
    <w:rsid w:val="009909AA"/>
    <w:rsid w:val="00990B1F"/>
    <w:rsid w:val="00990B80"/>
    <w:rsid w:val="00990CCE"/>
    <w:rsid w:val="00990DE8"/>
    <w:rsid w:val="00990E4C"/>
    <w:rsid w:val="00990E58"/>
    <w:rsid w:val="00990ED5"/>
    <w:rsid w:val="00990F14"/>
    <w:rsid w:val="00990F24"/>
    <w:rsid w:val="00990F2F"/>
    <w:rsid w:val="00991159"/>
    <w:rsid w:val="009911E4"/>
    <w:rsid w:val="00991277"/>
    <w:rsid w:val="00991446"/>
    <w:rsid w:val="009914E2"/>
    <w:rsid w:val="009916DA"/>
    <w:rsid w:val="009916DC"/>
    <w:rsid w:val="009916EF"/>
    <w:rsid w:val="0099174D"/>
    <w:rsid w:val="009919C1"/>
    <w:rsid w:val="00991A87"/>
    <w:rsid w:val="00991B57"/>
    <w:rsid w:val="00991B9A"/>
    <w:rsid w:val="00991BC4"/>
    <w:rsid w:val="00991BC7"/>
    <w:rsid w:val="00991C16"/>
    <w:rsid w:val="00991C99"/>
    <w:rsid w:val="00991D2A"/>
    <w:rsid w:val="00991E6C"/>
    <w:rsid w:val="00991F19"/>
    <w:rsid w:val="0099200F"/>
    <w:rsid w:val="00992110"/>
    <w:rsid w:val="0099212C"/>
    <w:rsid w:val="0099214E"/>
    <w:rsid w:val="00992276"/>
    <w:rsid w:val="0099227A"/>
    <w:rsid w:val="00992280"/>
    <w:rsid w:val="009922D6"/>
    <w:rsid w:val="009922E0"/>
    <w:rsid w:val="0099230D"/>
    <w:rsid w:val="009923F1"/>
    <w:rsid w:val="009925EF"/>
    <w:rsid w:val="009926F0"/>
    <w:rsid w:val="0099273E"/>
    <w:rsid w:val="0099285F"/>
    <w:rsid w:val="00992958"/>
    <w:rsid w:val="009929C8"/>
    <w:rsid w:val="00992A7A"/>
    <w:rsid w:val="00992B82"/>
    <w:rsid w:val="00992C93"/>
    <w:rsid w:val="00992EDC"/>
    <w:rsid w:val="00992FAC"/>
    <w:rsid w:val="00992FE6"/>
    <w:rsid w:val="0099328A"/>
    <w:rsid w:val="0099330A"/>
    <w:rsid w:val="00993482"/>
    <w:rsid w:val="00993499"/>
    <w:rsid w:val="009934B6"/>
    <w:rsid w:val="00993572"/>
    <w:rsid w:val="009935CE"/>
    <w:rsid w:val="009938E6"/>
    <w:rsid w:val="009939BD"/>
    <w:rsid w:val="00993A50"/>
    <w:rsid w:val="00993B4F"/>
    <w:rsid w:val="00993D62"/>
    <w:rsid w:val="00993EAC"/>
    <w:rsid w:val="00993ED9"/>
    <w:rsid w:val="00994267"/>
    <w:rsid w:val="009942B6"/>
    <w:rsid w:val="009942DE"/>
    <w:rsid w:val="009944BC"/>
    <w:rsid w:val="0099451B"/>
    <w:rsid w:val="009945F6"/>
    <w:rsid w:val="009946CD"/>
    <w:rsid w:val="0099470B"/>
    <w:rsid w:val="009947BE"/>
    <w:rsid w:val="009948B6"/>
    <w:rsid w:val="00994993"/>
    <w:rsid w:val="00994994"/>
    <w:rsid w:val="00994A5B"/>
    <w:rsid w:val="00994A64"/>
    <w:rsid w:val="00994C14"/>
    <w:rsid w:val="00994C86"/>
    <w:rsid w:val="00994D84"/>
    <w:rsid w:val="00994DFA"/>
    <w:rsid w:val="00994E08"/>
    <w:rsid w:val="00994EF4"/>
    <w:rsid w:val="0099510E"/>
    <w:rsid w:val="0099521D"/>
    <w:rsid w:val="00995322"/>
    <w:rsid w:val="0099534C"/>
    <w:rsid w:val="009953B9"/>
    <w:rsid w:val="0099540A"/>
    <w:rsid w:val="0099540D"/>
    <w:rsid w:val="00995416"/>
    <w:rsid w:val="0099542F"/>
    <w:rsid w:val="00995572"/>
    <w:rsid w:val="009955A6"/>
    <w:rsid w:val="00995624"/>
    <w:rsid w:val="0099562C"/>
    <w:rsid w:val="009956C3"/>
    <w:rsid w:val="0099571B"/>
    <w:rsid w:val="009957A1"/>
    <w:rsid w:val="00995950"/>
    <w:rsid w:val="00995A6A"/>
    <w:rsid w:val="00995A86"/>
    <w:rsid w:val="00995AEB"/>
    <w:rsid w:val="00995E2D"/>
    <w:rsid w:val="00995EDF"/>
    <w:rsid w:val="00995FD2"/>
    <w:rsid w:val="00995FF1"/>
    <w:rsid w:val="0099604F"/>
    <w:rsid w:val="0099616A"/>
    <w:rsid w:val="0099619B"/>
    <w:rsid w:val="009961FE"/>
    <w:rsid w:val="0099644F"/>
    <w:rsid w:val="009964C2"/>
    <w:rsid w:val="009964C3"/>
    <w:rsid w:val="009964C4"/>
    <w:rsid w:val="00996632"/>
    <w:rsid w:val="0099664D"/>
    <w:rsid w:val="00996808"/>
    <w:rsid w:val="0099689B"/>
    <w:rsid w:val="00996967"/>
    <w:rsid w:val="00996A37"/>
    <w:rsid w:val="00996A96"/>
    <w:rsid w:val="00996AEA"/>
    <w:rsid w:val="00996B08"/>
    <w:rsid w:val="00996B5F"/>
    <w:rsid w:val="00996B6F"/>
    <w:rsid w:val="00996DE7"/>
    <w:rsid w:val="00996E74"/>
    <w:rsid w:val="00997004"/>
    <w:rsid w:val="00997073"/>
    <w:rsid w:val="009971AD"/>
    <w:rsid w:val="009971DD"/>
    <w:rsid w:val="00997288"/>
    <w:rsid w:val="00997289"/>
    <w:rsid w:val="00997290"/>
    <w:rsid w:val="0099746B"/>
    <w:rsid w:val="009974E1"/>
    <w:rsid w:val="009975EC"/>
    <w:rsid w:val="00997701"/>
    <w:rsid w:val="009977F3"/>
    <w:rsid w:val="00997829"/>
    <w:rsid w:val="00997872"/>
    <w:rsid w:val="00997885"/>
    <w:rsid w:val="009978E8"/>
    <w:rsid w:val="009979BD"/>
    <w:rsid w:val="00997B33"/>
    <w:rsid w:val="00997B8F"/>
    <w:rsid w:val="00997CCF"/>
    <w:rsid w:val="00997CEF"/>
    <w:rsid w:val="00997D1E"/>
    <w:rsid w:val="00997DDE"/>
    <w:rsid w:val="00997EC1"/>
    <w:rsid w:val="00997F32"/>
    <w:rsid w:val="00997F54"/>
    <w:rsid w:val="009A0060"/>
    <w:rsid w:val="009A00B6"/>
    <w:rsid w:val="009A0129"/>
    <w:rsid w:val="009A020D"/>
    <w:rsid w:val="009A0278"/>
    <w:rsid w:val="009A02DC"/>
    <w:rsid w:val="009A02F0"/>
    <w:rsid w:val="009A0387"/>
    <w:rsid w:val="009A03CF"/>
    <w:rsid w:val="009A03F7"/>
    <w:rsid w:val="009A03F8"/>
    <w:rsid w:val="009A040A"/>
    <w:rsid w:val="009A042C"/>
    <w:rsid w:val="009A05A3"/>
    <w:rsid w:val="009A05D1"/>
    <w:rsid w:val="009A0799"/>
    <w:rsid w:val="009A0920"/>
    <w:rsid w:val="009A0ACA"/>
    <w:rsid w:val="009A0B2B"/>
    <w:rsid w:val="009A0B4F"/>
    <w:rsid w:val="009A0BA8"/>
    <w:rsid w:val="009A0CE4"/>
    <w:rsid w:val="009A0CFA"/>
    <w:rsid w:val="009A0D8E"/>
    <w:rsid w:val="009A0DA8"/>
    <w:rsid w:val="009A0E68"/>
    <w:rsid w:val="009A0E95"/>
    <w:rsid w:val="009A0F0D"/>
    <w:rsid w:val="009A0F13"/>
    <w:rsid w:val="009A0F16"/>
    <w:rsid w:val="009A1009"/>
    <w:rsid w:val="009A11AF"/>
    <w:rsid w:val="009A11E4"/>
    <w:rsid w:val="009A11F4"/>
    <w:rsid w:val="009A12D2"/>
    <w:rsid w:val="009A1327"/>
    <w:rsid w:val="009A136C"/>
    <w:rsid w:val="009A1401"/>
    <w:rsid w:val="009A140C"/>
    <w:rsid w:val="009A18BB"/>
    <w:rsid w:val="009A18ED"/>
    <w:rsid w:val="009A1926"/>
    <w:rsid w:val="009A1993"/>
    <w:rsid w:val="009A1A02"/>
    <w:rsid w:val="009A1A45"/>
    <w:rsid w:val="009A1B12"/>
    <w:rsid w:val="009A1C61"/>
    <w:rsid w:val="009A1DBC"/>
    <w:rsid w:val="009A1DE5"/>
    <w:rsid w:val="009A1E3D"/>
    <w:rsid w:val="009A1F58"/>
    <w:rsid w:val="009A1FDF"/>
    <w:rsid w:val="009A1FF9"/>
    <w:rsid w:val="009A20A6"/>
    <w:rsid w:val="009A21C9"/>
    <w:rsid w:val="009A21CE"/>
    <w:rsid w:val="009A2220"/>
    <w:rsid w:val="009A226C"/>
    <w:rsid w:val="009A258D"/>
    <w:rsid w:val="009A2591"/>
    <w:rsid w:val="009A25C5"/>
    <w:rsid w:val="009A25D4"/>
    <w:rsid w:val="009A266B"/>
    <w:rsid w:val="009A26C6"/>
    <w:rsid w:val="009A26D6"/>
    <w:rsid w:val="009A2766"/>
    <w:rsid w:val="009A27E7"/>
    <w:rsid w:val="009A282C"/>
    <w:rsid w:val="009A282D"/>
    <w:rsid w:val="009A2837"/>
    <w:rsid w:val="009A28B5"/>
    <w:rsid w:val="009A28B7"/>
    <w:rsid w:val="009A291C"/>
    <w:rsid w:val="009A294D"/>
    <w:rsid w:val="009A297B"/>
    <w:rsid w:val="009A29A1"/>
    <w:rsid w:val="009A2B60"/>
    <w:rsid w:val="009A2C10"/>
    <w:rsid w:val="009A2CC6"/>
    <w:rsid w:val="009A2D6E"/>
    <w:rsid w:val="009A2E77"/>
    <w:rsid w:val="009A2F0F"/>
    <w:rsid w:val="009A2F56"/>
    <w:rsid w:val="009A2FC1"/>
    <w:rsid w:val="009A308C"/>
    <w:rsid w:val="009A30D3"/>
    <w:rsid w:val="009A321E"/>
    <w:rsid w:val="009A326C"/>
    <w:rsid w:val="009A32A6"/>
    <w:rsid w:val="009A32C3"/>
    <w:rsid w:val="009A3349"/>
    <w:rsid w:val="009A338C"/>
    <w:rsid w:val="009A33D8"/>
    <w:rsid w:val="009A34D2"/>
    <w:rsid w:val="009A3504"/>
    <w:rsid w:val="009A3515"/>
    <w:rsid w:val="009A3535"/>
    <w:rsid w:val="009A35C4"/>
    <w:rsid w:val="009A3609"/>
    <w:rsid w:val="009A363D"/>
    <w:rsid w:val="009A377D"/>
    <w:rsid w:val="009A381B"/>
    <w:rsid w:val="009A3824"/>
    <w:rsid w:val="009A3B38"/>
    <w:rsid w:val="009A3BCA"/>
    <w:rsid w:val="009A3C52"/>
    <w:rsid w:val="009A3CD5"/>
    <w:rsid w:val="009A3CE4"/>
    <w:rsid w:val="009A3DB8"/>
    <w:rsid w:val="009A4057"/>
    <w:rsid w:val="009A411D"/>
    <w:rsid w:val="009A4209"/>
    <w:rsid w:val="009A4255"/>
    <w:rsid w:val="009A42A8"/>
    <w:rsid w:val="009A439A"/>
    <w:rsid w:val="009A440E"/>
    <w:rsid w:val="009A44FA"/>
    <w:rsid w:val="009A4674"/>
    <w:rsid w:val="009A46A3"/>
    <w:rsid w:val="009A46E4"/>
    <w:rsid w:val="009A48D1"/>
    <w:rsid w:val="009A4A7D"/>
    <w:rsid w:val="009A4B0E"/>
    <w:rsid w:val="009A4B60"/>
    <w:rsid w:val="009A4E32"/>
    <w:rsid w:val="009A4E96"/>
    <w:rsid w:val="009A4F8F"/>
    <w:rsid w:val="009A4FC4"/>
    <w:rsid w:val="009A4FE5"/>
    <w:rsid w:val="009A50B0"/>
    <w:rsid w:val="009A5146"/>
    <w:rsid w:val="009A518D"/>
    <w:rsid w:val="009A5253"/>
    <w:rsid w:val="009A526C"/>
    <w:rsid w:val="009A5274"/>
    <w:rsid w:val="009A52DE"/>
    <w:rsid w:val="009A5303"/>
    <w:rsid w:val="009A532F"/>
    <w:rsid w:val="009A53C0"/>
    <w:rsid w:val="009A5404"/>
    <w:rsid w:val="009A5439"/>
    <w:rsid w:val="009A54AE"/>
    <w:rsid w:val="009A5620"/>
    <w:rsid w:val="009A583D"/>
    <w:rsid w:val="009A5884"/>
    <w:rsid w:val="009A59BC"/>
    <w:rsid w:val="009A5ADB"/>
    <w:rsid w:val="009A5AEA"/>
    <w:rsid w:val="009A5C13"/>
    <w:rsid w:val="009A5D7A"/>
    <w:rsid w:val="009A5E61"/>
    <w:rsid w:val="009A5EEB"/>
    <w:rsid w:val="009A5FB4"/>
    <w:rsid w:val="009A5FE1"/>
    <w:rsid w:val="009A5FE7"/>
    <w:rsid w:val="009A603C"/>
    <w:rsid w:val="009A6056"/>
    <w:rsid w:val="009A60DE"/>
    <w:rsid w:val="009A610E"/>
    <w:rsid w:val="009A616B"/>
    <w:rsid w:val="009A62DB"/>
    <w:rsid w:val="009A6378"/>
    <w:rsid w:val="009A6538"/>
    <w:rsid w:val="009A6609"/>
    <w:rsid w:val="009A672D"/>
    <w:rsid w:val="009A67C9"/>
    <w:rsid w:val="009A67CB"/>
    <w:rsid w:val="009A68A2"/>
    <w:rsid w:val="009A68C8"/>
    <w:rsid w:val="009A68CF"/>
    <w:rsid w:val="009A6920"/>
    <w:rsid w:val="009A6928"/>
    <w:rsid w:val="009A6971"/>
    <w:rsid w:val="009A69AF"/>
    <w:rsid w:val="009A69C2"/>
    <w:rsid w:val="009A6A7A"/>
    <w:rsid w:val="009A6B53"/>
    <w:rsid w:val="009A6B5C"/>
    <w:rsid w:val="009A6CD2"/>
    <w:rsid w:val="009A6D76"/>
    <w:rsid w:val="009A6D8C"/>
    <w:rsid w:val="009A6E25"/>
    <w:rsid w:val="009A6EF3"/>
    <w:rsid w:val="009A6F1A"/>
    <w:rsid w:val="009A6FC1"/>
    <w:rsid w:val="009A7053"/>
    <w:rsid w:val="009A706D"/>
    <w:rsid w:val="009A70A0"/>
    <w:rsid w:val="009A70CE"/>
    <w:rsid w:val="009A7175"/>
    <w:rsid w:val="009A721F"/>
    <w:rsid w:val="009A727A"/>
    <w:rsid w:val="009A72DA"/>
    <w:rsid w:val="009A73A7"/>
    <w:rsid w:val="009A73D4"/>
    <w:rsid w:val="009A7544"/>
    <w:rsid w:val="009A7567"/>
    <w:rsid w:val="009A75C8"/>
    <w:rsid w:val="009A777D"/>
    <w:rsid w:val="009A777F"/>
    <w:rsid w:val="009A78B7"/>
    <w:rsid w:val="009A78E1"/>
    <w:rsid w:val="009A797D"/>
    <w:rsid w:val="009A798B"/>
    <w:rsid w:val="009A79D8"/>
    <w:rsid w:val="009A7A49"/>
    <w:rsid w:val="009A7AB3"/>
    <w:rsid w:val="009A7B67"/>
    <w:rsid w:val="009A7BE0"/>
    <w:rsid w:val="009A7C1C"/>
    <w:rsid w:val="009A7C7B"/>
    <w:rsid w:val="009A7C8D"/>
    <w:rsid w:val="009A7F22"/>
    <w:rsid w:val="009A7FDD"/>
    <w:rsid w:val="009B004D"/>
    <w:rsid w:val="009B01AC"/>
    <w:rsid w:val="009B01CB"/>
    <w:rsid w:val="009B01DB"/>
    <w:rsid w:val="009B0267"/>
    <w:rsid w:val="009B02CF"/>
    <w:rsid w:val="009B0399"/>
    <w:rsid w:val="009B0447"/>
    <w:rsid w:val="009B04EE"/>
    <w:rsid w:val="009B04FC"/>
    <w:rsid w:val="009B056A"/>
    <w:rsid w:val="009B057B"/>
    <w:rsid w:val="009B05B9"/>
    <w:rsid w:val="009B06AF"/>
    <w:rsid w:val="009B07E5"/>
    <w:rsid w:val="009B0833"/>
    <w:rsid w:val="009B08E7"/>
    <w:rsid w:val="009B096D"/>
    <w:rsid w:val="009B0A3C"/>
    <w:rsid w:val="009B0B4F"/>
    <w:rsid w:val="009B0B8B"/>
    <w:rsid w:val="009B0BFE"/>
    <w:rsid w:val="009B0C07"/>
    <w:rsid w:val="009B0C32"/>
    <w:rsid w:val="009B0C41"/>
    <w:rsid w:val="009B0C6D"/>
    <w:rsid w:val="009B0D4F"/>
    <w:rsid w:val="009B0D5F"/>
    <w:rsid w:val="009B0DBD"/>
    <w:rsid w:val="009B0DDE"/>
    <w:rsid w:val="009B0E1C"/>
    <w:rsid w:val="009B0EFD"/>
    <w:rsid w:val="009B0F2F"/>
    <w:rsid w:val="009B102C"/>
    <w:rsid w:val="009B1033"/>
    <w:rsid w:val="009B1067"/>
    <w:rsid w:val="009B1102"/>
    <w:rsid w:val="009B1153"/>
    <w:rsid w:val="009B11FB"/>
    <w:rsid w:val="009B124E"/>
    <w:rsid w:val="009B126D"/>
    <w:rsid w:val="009B129F"/>
    <w:rsid w:val="009B1498"/>
    <w:rsid w:val="009B1562"/>
    <w:rsid w:val="009B1590"/>
    <w:rsid w:val="009B15CD"/>
    <w:rsid w:val="009B1640"/>
    <w:rsid w:val="009B17AB"/>
    <w:rsid w:val="009B1843"/>
    <w:rsid w:val="009B1884"/>
    <w:rsid w:val="009B19F9"/>
    <w:rsid w:val="009B1A13"/>
    <w:rsid w:val="009B1AC1"/>
    <w:rsid w:val="009B1B04"/>
    <w:rsid w:val="009B1B72"/>
    <w:rsid w:val="009B1B7E"/>
    <w:rsid w:val="009B1C1C"/>
    <w:rsid w:val="009B1C79"/>
    <w:rsid w:val="009B1CDD"/>
    <w:rsid w:val="009B1E6B"/>
    <w:rsid w:val="009B2036"/>
    <w:rsid w:val="009B2111"/>
    <w:rsid w:val="009B2206"/>
    <w:rsid w:val="009B2268"/>
    <w:rsid w:val="009B23B8"/>
    <w:rsid w:val="009B2412"/>
    <w:rsid w:val="009B249C"/>
    <w:rsid w:val="009B2603"/>
    <w:rsid w:val="009B26D2"/>
    <w:rsid w:val="009B27C3"/>
    <w:rsid w:val="009B27EC"/>
    <w:rsid w:val="009B27F8"/>
    <w:rsid w:val="009B28BB"/>
    <w:rsid w:val="009B28F5"/>
    <w:rsid w:val="009B2A26"/>
    <w:rsid w:val="009B2C3A"/>
    <w:rsid w:val="009B2C4F"/>
    <w:rsid w:val="009B2C7A"/>
    <w:rsid w:val="009B2D50"/>
    <w:rsid w:val="009B2E58"/>
    <w:rsid w:val="009B2F73"/>
    <w:rsid w:val="009B3169"/>
    <w:rsid w:val="009B3358"/>
    <w:rsid w:val="009B337F"/>
    <w:rsid w:val="009B33F7"/>
    <w:rsid w:val="009B3935"/>
    <w:rsid w:val="009B393A"/>
    <w:rsid w:val="009B3ACD"/>
    <w:rsid w:val="009B3C13"/>
    <w:rsid w:val="009B3D19"/>
    <w:rsid w:val="009B3E3A"/>
    <w:rsid w:val="009B3E4B"/>
    <w:rsid w:val="009B3ECA"/>
    <w:rsid w:val="009B3EE6"/>
    <w:rsid w:val="009B3F3B"/>
    <w:rsid w:val="009B4018"/>
    <w:rsid w:val="009B4098"/>
    <w:rsid w:val="009B40DA"/>
    <w:rsid w:val="009B44BB"/>
    <w:rsid w:val="009B45DA"/>
    <w:rsid w:val="009B45EF"/>
    <w:rsid w:val="009B46F9"/>
    <w:rsid w:val="009B479A"/>
    <w:rsid w:val="009B47B0"/>
    <w:rsid w:val="009B4827"/>
    <w:rsid w:val="009B488B"/>
    <w:rsid w:val="009B496A"/>
    <w:rsid w:val="009B4A6F"/>
    <w:rsid w:val="009B4C08"/>
    <w:rsid w:val="009B4C78"/>
    <w:rsid w:val="009B4DD0"/>
    <w:rsid w:val="009B4E18"/>
    <w:rsid w:val="009B4E56"/>
    <w:rsid w:val="009B4ECC"/>
    <w:rsid w:val="009B4F74"/>
    <w:rsid w:val="009B4FA3"/>
    <w:rsid w:val="009B4FA4"/>
    <w:rsid w:val="009B506E"/>
    <w:rsid w:val="009B52A5"/>
    <w:rsid w:val="009B533F"/>
    <w:rsid w:val="009B5415"/>
    <w:rsid w:val="009B54E4"/>
    <w:rsid w:val="009B54F5"/>
    <w:rsid w:val="009B5562"/>
    <w:rsid w:val="009B55A4"/>
    <w:rsid w:val="009B564A"/>
    <w:rsid w:val="009B5703"/>
    <w:rsid w:val="009B574E"/>
    <w:rsid w:val="009B5770"/>
    <w:rsid w:val="009B5799"/>
    <w:rsid w:val="009B581B"/>
    <w:rsid w:val="009B5857"/>
    <w:rsid w:val="009B58E1"/>
    <w:rsid w:val="009B5AEE"/>
    <w:rsid w:val="009B5B5A"/>
    <w:rsid w:val="009B5B8D"/>
    <w:rsid w:val="009B5BB0"/>
    <w:rsid w:val="009B5BE9"/>
    <w:rsid w:val="009B5C17"/>
    <w:rsid w:val="009B5C9B"/>
    <w:rsid w:val="009B5CD9"/>
    <w:rsid w:val="009B5D0F"/>
    <w:rsid w:val="009B5D18"/>
    <w:rsid w:val="009B5D37"/>
    <w:rsid w:val="009B5D5E"/>
    <w:rsid w:val="009B5DCB"/>
    <w:rsid w:val="009B5DE5"/>
    <w:rsid w:val="009B5E39"/>
    <w:rsid w:val="009B5EBF"/>
    <w:rsid w:val="009B5EC8"/>
    <w:rsid w:val="009B6042"/>
    <w:rsid w:val="009B6077"/>
    <w:rsid w:val="009B60F8"/>
    <w:rsid w:val="009B613B"/>
    <w:rsid w:val="009B6271"/>
    <w:rsid w:val="009B629F"/>
    <w:rsid w:val="009B63B3"/>
    <w:rsid w:val="009B6465"/>
    <w:rsid w:val="009B6475"/>
    <w:rsid w:val="009B64DC"/>
    <w:rsid w:val="009B652E"/>
    <w:rsid w:val="009B6774"/>
    <w:rsid w:val="009B67DD"/>
    <w:rsid w:val="009B6A40"/>
    <w:rsid w:val="009B6B4F"/>
    <w:rsid w:val="009B6B5D"/>
    <w:rsid w:val="009B6C34"/>
    <w:rsid w:val="009B6C35"/>
    <w:rsid w:val="009B6D84"/>
    <w:rsid w:val="009B6DCB"/>
    <w:rsid w:val="009B6E3F"/>
    <w:rsid w:val="009B6FD3"/>
    <w:rsid w:val="009B6FFA"/>
    <w:rsid w:val="009B700F"/>
    <w:rsid w:val="009B70F6"/>
    <w:rsid w:val="009B7118"/>
    <w:rsid w:val="009B7211"/>
    <w:rsid w:val="009B721E"/>
    <w:rsid w:val="009B7310"/>
    <w:rsid w:val="009B733A"/>
    <w:rsid w:val="009B7388"/>
    <w:rsid w:val="009B7406"/>
    <w:rsid w:val="009B74E0"/>
    <w:rsid w:val="009B7665"/>
    <w:rsid w:val="009B7672"/>
    <w:rsid w:val="009B77C2"/>
    <w:rsid w:val="009B77D4"/>
    <w:rsid w:val="009B788B"/>
    <w:rsid w:val="009B7982"/>
    <w:rsid w:val="009B7B88"/>
    <w:rsid w:val="009B7D40"/>
    <w:rsid w:val="009B7E02"/>
    <w:rsid w:val="009B7F6C"/>
    <w:rsid w:val="009B7F7B"/>
    <w:rsid w:val="009B7FDF"/>
    <w:rsid w:val="009C002D"/>
    <w:rsid w:val="009C0030"/>
    <w:rsid w:val="009C006E"/>
    <w:rsid w:val="009C01DE"/>
    <w:rsid w:val="009C029C"/>
    <w:rsid w:val="009C055B"/>
    <w:rsid w:val="009C0564"/>
    <w:rsid w:val="009C0655"/>
    <w:rsid w:val="009C07CC"/>
    <w:rsid w:val="009C0C50"/>
    <w:rsid w:val="009C0DB9"/>
    <w:rsid w:val="009C0DEE"/>
    <w:rsid w:val="009C0E49"/>
    <w:rsid w:val="009C0F89"/>
    <w:rsid w:val="009C10AC"/>
    <w:rsid w:val="009C11BE"/>
    <w:rsid w:val="009C11CA"/>
    <w:rsid w:val="009C1223"/>
    <w:rsid w:val="009C1226"/>
    <w:rsid w:val="009C12DB"/>
    <w:rsid w:val="009C137B"/>
    <w:rsid w:val="009C14C9"/>
    <w:rsid w:val="009C152A"/>
    <w:rsid w:val="009C169C"/>
    <w:rsid w:val="009C172D"/>
    <w:rsid w:val="009C1764"/>
    <w:rsid w:val="009C17F2"/>
    <w:rsid w:val="009C1884"/>
    <w:rsid w:val="009C18FC"/>
    <w:rsid w:val="009C1A78"/>
    <w:rsid w:val="009C1A7F"/>
    <w:rsid w:val="009C1A9A"/>
    <w:rsid w:val="009C1BCA"/>
    <w:rsid w:val="009C1BFB"/>
    <w:rsid w:val="009C1C14"/>
    <w:rsid w:val="009C1C35"/>
    <w:rsid w:val="009C1CEC"/>
    <w:rsid w:val="009C1E3F"/>
    <w:rsid w:val="009C1E46"/>
    <w:rsid w:val="009C1EBD"/>
    <w:rsid w:val="009C1EC8"/>
    <w:rsid w:val="009C1ED3"/>
    <w:rsid w:val="009C2002"/>
    <w:rsid w:val="009C20BD"/>
    <w:rsid w:val="009C20DE"/>
    <w:rsid w:val="009C21A7"/>
    <w:rsid w:val="009C235B"/>
    <w:rsid w:val="009C236D"/>
    <w:rsid w:val="009C23AF"/>
    <w:rsid w:val="009C242E"/>
    <w:rsid w:val="009C2564"/>
    <w:rsid w:val="009C25EB"/>
    <w:rsid w:val="009C26F6"/>
    <w:rsid w:val="009C2704"/>
    <w:rsid w:val="009C2937"/>
    <w:rsid w:val="009C295D"/>
    <w:rsid w:val="009C29D6"/>
    <w:rsid w:val="009C2A0A"/>
    <w:rsid w:val="009C2A4D"/>
    <w:rsid w:val="009C2A51"/>
    <w:rsid w:val="009C2A61"/>
    <w:rsid w:val="009C2C4D"/>
    <w:rsid w:val="009C2CE8"/>
    <w:rsid w:val="009C2CFA"/>
    <w:rsid w:val="009C2D88"/>
    <w:rsid w:val="009C2DE3"/>
    <w:rsid w:val="009C2E3B"/>
    <w:rsid w:val="009C2F3C"/>
    <w:rsid w:val="009C2F50"/>
    <w:rsid w:val="009C2FFB"/>
    <w:rsid w:val="009C3003"/>
    <w:rsid w:val="009C3051"/>
    <w:rsid w:val="009C30B1"/>
    <w:rsid w:val="009C30D3"/>
    <w:rsid w:val="009C3218"/>
    <w:rsid w:val="009C32A6"/>
    <w:rsid w:val="009C3398"/>
    <w:rsid w:val="009C34B1"/>
    <w:rsid w:val="009C3545"/>
    <w:rsid w:val="009C35E9"/>
    <w:rsid w:val="009C360D"/>
    <w:rsid w:val="009C3623"/>
    <w:rsid w:val="009C3655"/>
    <w:rsid w:val="009C3680"/>
    <w:rsid w:val="009C38BC"/>
    <w:rsid w:val="009C3903"/>
    <w:rsid w:val="009C3A3B"/>
    <w:rsid w:val="009C3ADA"/>
    <w:rsid w:val="009C3ADD"/>
    <w:rsid w:val="009C3C4D"/>
    <w:rsid w:val="009C3CFF"/>
    <w:rsid w:val="009C3F1F"/>
    <w:rsid w:val="009C3FE4"/>
    <w:rsid w:val="009C4055"/>
    <w:rsid w:val="009C40A3"/>
    <w:rsid w:val="009C428B"/>
    <w:rsid w:val="009C4323"/>
    <w:rsid w:val="009C4352"/>
    <w:rsid w:val="009C4397"/>
    <w:rsid w:val="009C46B9"/>
    <w:rsid w:val="009C477C"/>
    <w:rsid w:val="009C47F8"/>
    <w:rsid w:val="009C49E8"/>
    <w:rsid w:val="009C4A9D"/>
    <w:rsid w:val="009C4C6D"/>
    <w:rsid w:val="009C4C78"/>
    <w:rsid w:val="009C4CB3"/>
    <w:rsid w:val="009C4D8A"/>
    <w:rsid w:val="009C4DE9"/>
    <w:rsid w:val="009C4EC8"/>
    <w:rsid w:val="009C4F1F"/>
    <w:rsid w:val="009C4F31"/>
    <w:rsid w:val="009C4F83"/>
    <w:rsid w:val="009C4F87"/>
    <w:rsid w:val="009C5159"/>
    <w:rsid w:val="009C5194"/>
    <w:rsid w:val="009C51D8"/>
    <w:rsid w:val="009C5258"/>
    <w:rsid w:val="009C52D4"/>
    <w:rsid w:val="009C53FE"/>
    <w:rsid w:val="009C5410"/>
    <w:rsid w:val="009C5436"/>
    <w:rsid w:val="009C547A"/>
    <w:rsid w:val="009C54CA"/>
    <w:rsid w:val="009C554F"/>
    <w:rsid w:val="009C5676"/>
    <w:rsid w:val="009C568A"/>
    <w:rsid w:val="009C5744"/>
    <w:rsid w:val="009C5747"/>
    <w:rsid w:val="009C578A"/>
    <w:rsid w:val="009C57CA"/>
    <w:rsid w:val="009C57DC"/>
    <w:rsid w:val="009C587E"/>
    <w:rsid w:val="009C5942"/>
    <w:rsid w:val="009C5AB8"/>
    <w:rsid w:val="009C5D3C"/>
    <w:rsid w:val="009C5DAC"/>
    <w:rsid w:val="009C5DB3"/>
    <w:rsid w:val="009C5DE3"/>
    <w:rsid w:val="009C5E76"/>
    <w:rsid w:val="009C5E77"/>
    <w:rsid w:val="009C5F6E"/>
    <w:rsid w:val="009C5F7F"/>
    <w:rsid w:val="009C5FC3"/>
    <w:rsid w:val="009C6001"/>
    <w:rsid w:val="009C6004"/>
    <w:rsid w:val="009C6043"/>
    <w:rsid w:val="009C6131"/>
    <w:rsid w:val="009C6152"/>
    <w:rsid w:val="009C626A"/>
    <w:rsid w:val="009C6321"/>
    <w:rsid w:val="009C6326"/>
    <w:rsid w:val="009C64A4"/>
    <w:rsid w:val="009C6566"/>
    <w:rsid w:val="009C6583"/>
    <w:rsid w:val="009C65F7"/>
    <w:rsid w:val="009C6678"/>
    <w:rsid w:val="009C67A6"/>
    <w:rsid w:val="009C684B"/>
    <w:rsid w:val="009C6969"/>
    <w:rsid w:val="009C69BB"/>
    <w:rsid w:val="009C6A0A"/>
    <w:rsid w:val="009C6AD7"/>
    <w:rsid w:val="009C6B9B"/>
    <w:rsid w:val="009C6C1E"/>
    <w:rsid w:val="009C6C49"/>
    <w:rsid w:val="009C6DFF"/>
    <w:rsid w:val="009C6E41"/>
    <w:rsid w:val="009C6E4C"/>
    <w:rsid w:val="009C6EBA"/>
    <w:rsid w:val="009C6ECA"/>
    <w:rsid w:val="009C6FFF"/>
    <w:rsid w:val="009C702A"/>
    <w:rsid w:val="009C713D"/>
    <w:rsid w:val="009C7145"/>
    <w:rsid w:val="009C742C"/>
    <w:rsid w:val="009C74AE"/>
    <w:rsid w:val="009C75DB"/>
    <w:rsid w:val="009C7676"/>
    <w:rsid w:val="009C7794"/>
    <w:rsid w:val="009C7919"/>
    <w:rsid w:val="009C7977"/>
    <w:rsid w:val="009C79DD"/>
    <w:rsid w:val="009C7A45"/>
    <w:rsid w:val="009C7ACB"/>
    <w:rsid w:val="009C7BFE"/>
    <w:rsid w:val="009C7CE1"/>
    <w:rsid w:val="009C7F58"/>
    <w:rsid w:val="009C7FAA"/>
    <w:rsid w:val="009D000C"/>
    <w:rsid w:val="009D0054"/>
    <w:rsid w:val="009D0085"/>
    <w:rsid w:val="009D00AC"/>
    <w:rsid w:val="009D013D"/>
    <w:rsid w:val="009D015E"/>
    <w:rsid w:val="009D0193"/>
    <w:rsid w:val="009D01AB"/>
    <w:rsid w:val="009D028A"/>
    <w:rsid w:val="009D02F3"/>
    <w:rsid w:val="009D06A5"/>
    <w:rsid w:val="009D06FA"/>
    <w:rsid w:val="009D0777"/>
    <w:rsid w:val="009D07CE"/>
    <w:rsid w:val="009D081F"/>
    <w:rsid w:val="009D0827"/>
    <w:rsid w:val="009D098C"/>
    <w:rsid w:val="009D0A49"/>
    <w:rsid w:val="009D0AC6"/>
    <w:rsid w:val="009D0AD2"/>
    <w:rsid w:val="009D0B24"/>
    <w:rsid w:val="009D0BBC"/>
    <w:rsid w:val="009D0BFC"/>
    <w:rsid w:val="009D0C66"/>
    <w:rsid w:val="009D0C84"/>
    <w:rsid w:val="009D0FA9"/>
    <w:rsid w:val="009D11DB"/>
    <w:rsid w:val="009D120E"/>
    <w:rsid w:val="009D1293"/>
    <w:rsid w:val="009D12A2"/>
    <w:rsid w:val="009D13C0"/>
    <w:rsid w:val="009D1470"/>
    <w:rsid w:val="009D1824"/>
    <w:rsid w:val="009D18A4"/>
    <w:rsid w:val="009D197C"/>
    <w:rsid w:val="009D19AC"/>
    <w:rsid w:val="009D1B1D"/>
    <w:rsid w:val="009D1B38"/>
    <w:rsid w:val="009D1B3C"/>
    <w:rsid w:val="009D1B8B"/>
    <w:rsid w:val="009D1BF4"/>
    <w:rsid w:val="009D1C96"/>
    <w:rsid w:val="009D1C97"/>
    <w:rsid w:val="009D1CD5"/>
    <w:rsid w:val="009D1D2A"/>
    <w:rsid w:val="009D1D5B"/>
    <w:rsid w:val="009D1D90"/>
    <w:rsid w:val="009D1DA8"/>
    <w:rsid w:val="009D1DCF"/>
    <w:rsid w:val="009D1E63"/>
    <w:rsid w:val="009D1E64"/>
    <w:rsid w:val="009D1FA4"/>
    <w:rsid w:val="009D2036"/>
    <w:rsid w:val="009D2037"/>
    <w:rsid w:val="009D20A4"/>
    <w:rsid w:val="009D20CD"/>
    <w:rsid w:val="009D2117"/>
    <w:rsid w:val="009D21B2"/>
    <w:rsid w:val="009D224A"/>
    <w:rsid w:val="009D230E"/>
    <w:rsid w:val="009D2315"/>
    <w:rsid w:val="009D2355"/>
    <w:rsid w:val="009D2503"/>
    <w:rsid w:val="009D252D"/>
    <w:rsid w:val="009D2851"/>
    <w:rsid w:val="009D2897"/>
    <w:rsid w:val="009D28D9"/>
    <w:rsid w:val="009D2A79"/>
    <w:rsid w:val="009D2B7F"/>
    <w:rsid w:val="009D2B88"/>
    <w:rsid w:val="009D2C8C"/>
    <w:rsid w:val="009D2DB0"/>
    <w:rsid w:val="009D2F42"/>
    <w:rsid w:val="009D2F46"/>
    <w:rsid w:val="009D2FF6"/>
    <w:rsid w:val="009D30B8"/>
    <w:rsid w:val="009D3282"/>
    <w:rsid w:val="009D32EB"/>
    <w:rsid w:val="009D3423"/>
    <w:rsid w:val="009D348A"/>
    <w:rsid w:val="009D3554"/>
    <w:rsid w:val="009D35AF"/>
    <w:rsid w:val="009D35B1"/>
    <w:rsid w:val="009D3661"/>
    <w:rsid w:val="009D3674"/>
    <w:rsid w:val="009D3722"/>
    <w:rsid w:val="009D3728"/>
    <w:rsid w:val="009D378B"/>
    <w:rsid w:val="009D37BB"/>
    <w:rsid w:val="009D3833"/>
    <w:rsid w:val="009D39B7"/>
    <w:rsid w:val="009D39C5"/>
    <w:rsid w:val="009D3A75"/>
    <w:rsid w:val="009D3AA3"/>
    <w:rsid w:val="009D3D0B"/>
    <w:rsid w:val="009D3DE5"/>
    <w:rsid w:val="009D3E7B"/>
    <w:rsid w:val="009D3ED1"/>
    <w:rsid w:val="009D3F0D"/>
    <w:rsid w:val="009D3F76"/>
    <w:rsid w:val="009D4025"/>
    <w:rsid w:val="009D4360"/>
    <w:rsid w:val="009D4367"/>
    <w:rsid w:val="009D47E6"/>
    <w:rsid w:val="009D496D"/>
    <w:rsid w:val="009D4A07"/>
    <w:rsid w:val="009D4ADC"/>
    <w:rsid w:val="009D4B9B"/>
    <w:rsid w:val="009D4C61"/>
    <w:rsid w:val="009D4CB3"/>
    <w:rsid w:val="009D4CE7"/>
    <w:rsid w:val="009D4D21"/>
    <w:rsid w:val="009D4F48"/>
    <w:rsid w:val="009D50E3"/>
    <w:rsid w:val="009D5104"/>
    <w:rsid w:val="009D541D"/>
    <w:rsid w:val="009D54B3"/>
    <w:rsid w:val="009D54EF"/>
    <w:rsid w:val="009D5577"/>
    <w:rsid w:val="009D55B7"/>
    <w:rsid w:val="009D5604"/>
    <w:rsid w:val="009D5761"/>
    <w:rsid w:val="009D584E"/>
    <w:rsid w:val="009D5932"/>
    <w:rsid w:val="009D5969"/>
    <w:rsid w:val="009D596B"/>
    <w:rsid w:val="009D5A35"/>
    <w:rsid w:val="009D5B48"/>
    <w:rsid w:val="009D5BA4"/>
    <w:rsid w:val="009D5C0D"/>
    <w:rsid w:val="009D5CD2"/>
    <w:rsid w:val="009D5E16"/>
    <w:rsid w:val="009D5EAC"/>
    <w:rsid w:val="009D5EE2"/>
    <w:rsid w:val="009D5F20"/>
    <w:rsid w:val="009D60C9"/>
    <w:rsid w:val="009D6150"/>
    <w:rsid w:val="009D625E"/>
    <w:rsid w:val="009D64C8"/>
    <w:rsid w:val="009D64D5"/>
    <w:rsid w:val="009D64D6"/>
    <w:rsid w:val="009D656F"/>
    <w:rsid w:val="009D67BC"/>
    <w:rsid w:val="009D67E6"/>
    <w:rsid w:val="009D68B5"/>
    <w:rsid w:val="009D69A0"/>
    <w:rsid w:val="009D6A74"/>
    <w:rsid w:val="009D6BE7"/>
    <w:rsid w:val="009D6D2E"/>
    <w:rsid w:val="009D6E01"/>
    <w:rsid w:val="009D6E04"/>
    <w:rsid w:val="009D6FCE"/>
    <w:rsid w:val="009D6FFB"/>
    <w:rsid w:val="009D7021"/>
    <w:rsid w:val="009D70F7"/>
    <w:rsid w:val="009D7295"/>
    <w:rsid w:val="009D7303"/>
    <w:rsid w:val="009D74E4"/>
    <w:rsid w:val="009D781E"/>
    <w:rsid w:val="009D7974"/>
    <w:rsid w:val="009D7BB7"/>
    <w:rsid w:val="009D7C21"/>
    <w:rsid w:val="009D7D27"/>
    <w:rsid w:val="009D7D72"/>
    <w:rsid w:val="009D7EB4"/>
    <w:rsid w:val="009D7F8A"/>
    <w:rsid w:val="009E0104"/>
    <w:rsid w:val="009E01A0"/>
    <w:rsid w:val="009E03BB"/>
    <w:rsid w:val="009E044C"/>
    <w:rsid w:val="009E045B"/>
    <w:rsid w:val="009E050E"/>
    <w:rsid w:val="009E0681"/>
    <w:rsid w:val="009E0696"/>
    <w:rsid w:val="009E06CE"/>
    <w:rsid w:val="009E077C"/>
    <w:rsid w:val="009E08AB"/>
    <w:rsid w:val="009E08B5"/>
    <w:rsid w:val="009E0909"/>
    <w:rsid w:val="009E09DA"/>
    <w:rsid w:val="009E0A42"/>
    <w:rsid w:val="009E0BAD"/>
    <w:rsid w:val="009E0BD9"/>
    <w:rsid w:val="009E0C1A"/>
    <w:rsid w:val="009E0C23"/>
    <w:rsid w:val="009E0F45"/>
    <w:rsid w:val="009E0F67"/>
    <w:rsid w:val="009E0FBE"/>
    <w:rsid w:val="009E10ED"/>
    <w:rsid w:val="009E1226"/>
    <w:rsid w:val="009E13E6"/>
    <w:rsid w:val="009E14F8"/>
    <w:rsid w:val="009E1501"/>
    <w:rsid w:val="009E152F"/>
    <w:rsid w:val="009E15F2"/>
    <w:rsid w:val="009E161B"/>
    <w:rsid w:val="009E16D6"/>
    <w:rsid w:val="009E176A"/>
    <w:rsid w:val="009E18CB"/>
    <w:rsid w:val="009E1A4B"/>
    <w:rsid w:val="009E1B3E"/>
    <w:rsid w:val="009E1B6C"/>
    <w:rsid w:val="009E1B74"/>
    <w:rsid w:val="009E1B95"/>
    <w:rsid w:val="009E1B9F"/>
    <w:rsid w:val="009E1C88"/>
    <w:rsid w:val="009E1D97"/>
    <w:rsid w:val="009E1D9F"/>
    <w:rsid w:val="009E1DC4"/>
    <w:rsid w:val="009E1DF8"/>
    <w:rsid w:val="009E1F1D"/>
    <w:rsid w:val="009E1F2D"/>
    <w:rsid w:val="009E206C"/>
    <w:rsid w:val="009E2085"/>
    <w:rsid w:val="009E20B2"/>
    <w:rsid w:val="009E210B"/>
    <w:rsid w:val="009E2293"/>
    <w:rsid w:val="009E23FC"/>
    <w:rsid w:val="009E23FD"/>
    <w:rsid w:val="009E24B3"/>
    <w:rsid w:val="009E2578"/>
    <w:rsid w:val="009E275C"/>
    <w:rsid w:val="009E2951"/>
    <w:rsid w:val="009E2998"/>
    <w:rsid w:val="009E2A1B"/>
    <w:rsid w:val="009E2BA1"/>
    <w:rsid w:val="009E2C1A"/>
    <w:rsid w:val="009E2C56"/>
    <w:rsid w:val="009E2D04"/>
    <w:rsid w:val="009E2E93"/>
    <w:rsid w:val="009E2F88"/>
    <w:rsid w:val="009E3414"/>
    <w:rsid w:val="009E341D"/>
    <w:rsid w:val="009E34D1"/>
    <w:rsid w:val="009E350D"/>
    <w:rsid w:val="009E351F"/>
    <w:rsid w:val="009E3524"/>
    <w:rsid w:val="009E3568"/>
    <w:rsid w:val="009E3649"/>
    <w:rsid w:val="009E3678"/>
    <w:rsid w:val="009E372E"/>
    <w:rsid w:val="009E3874"/>
    <w:rsid w:val="009E3934"/>
    <w:rsid w:val="009E3A04"/>
    <w:rsid w:val="009E3A48"/>
    <w:rsid w:val="009E3A95"/>
    <w:rsid w:val="009E3A99"/>
    <w:rsid w:val="009E3C1B"/>
    <w:rsid w:val="009E3CE8"/>
    <w:rsid w:val="009E3DF3"/>
    <w:rsid w:val="009E3F40"/>
    <w:rsid w:val="009E3F89"/>
    <w:rsid w:val="009E412D"/>
    <w:rsid w:val="009E416A"/>
    <w:rsid w:val="009E41FF"/>
    <w:rsid w:val="009E4226"/>
    <w:rsid w:val="009E42A1"/>
    <w:rsid w:val="009E42BB"/>
    <w:rsid w:val="009E4332"/>
    <w:rsid w:val="009E43D2"/>
    <w:rsid w:val="009E44FB"/>
    <w:rsid w:val="009E45AB"/>
    <w:rsid w:val="009E466F"/>
    <w:rsid w:val="009E4892"/>
    <w:rsid w:val="009E495D"/>
    <w:rsid w:val="009E4A57"/>
    <w:rsid w:val="009E4C1B"/>
    <w:rsid w:val="009E4C77"/>
    <w:rsid w:val="009E4C7B"/>
    <w:rsid w:val="009E4E46"/>
    <w:rsid w:val="009E4F01"/>
    <w:rsid w:val="009E4F10"/>
    <w:rsid w:val="009E4F3B"/>
    <w:rsid w:val="009E4FB5"/>
    <w:rsid w:val="009E512B"/>
    <w:rsid w:val="009E513D"/>
    <w:rsid w:val="009E521D"/>
    <w:rsid w:val="009E5233"/>
    <w:rsid w:val="009E5372"/>
    <w:rsid w:val="009E5386"/>
    <w:rsid w:val="009E542F"/>
    <w:rsid w:val="009E5477"/>
    <w:rsid w:val="009E54F6"/>
    <w:rsid w:val="009E5500"/>
    <w:rsid w:val="009E5560"/>
    <w:rsid w:val="009E55B5"/>
    <w:rsid w:val="009E5697"/>
    <w:rsid w:val="009E56A0"/>
    <w:rsid w:val="009E579F"/>
    <w:rsid w:val="009E57D4"/>
    <w:rsid w:val="009E57F5"/>
    <w:rsid w:val="009E5977"/>
    <w:rsid w:val="009E59EE"/>
    <w:rsid w:val="009E5A69"/>
    <w:rsid w:val="009E5B0C"/>
    <w:rsid w:val="009E5B6E"/>
    <w:rsid w:val="009E5BF3"/>
    <w:rsid w:val="009E5CC0"/>
    <w:rsid w:val="009E5D08"/>
    <w:rsid w:val="009E5D87"/>
    <w:rsid w:val="009E5DCC"/>
    <w:rsid w:val="009E5E9C"/>
    <w:rsid w:val="009E5EC1"/>
    <w:rsid w:val="009E5EEE"/>
    <w:rsid w:val="009E5F1C"/>
    <w:rsid w:val="009E5FD5"/>
    <w:rsid w:val="009E6050"/>
    <w:rsid w:val="009E6061"/>
    <w:rsid w:val="009E6134"/>
    <w:rsid w:val="009E617F"/>
    <w:rsid w:val="009E61B6"/>
    <w:rsid w:val="009E6241"/>
    <w:rsid w:val="009E634E"/>
    <w:rsid w:val="009E63A8"/>
    <w:rsid w:val="009E646E"/>
    <w:rsid w:val="009E64A0"/>
    <w:rsid w:val="009E6538"/>
    <w:rsid w:val="009E673D"/>
    <w:rsid w:val="009E6787"/>
    <w:rsid w:val="009E67A1"/>
    <w:rsid w:val="009E67BF"/>
    <w:rsid w:val="009E68A8"/>
    <w:rsid w:val="009E68FB"/>
    <w:rsid w:val="009E6955"/>
    <w:rsid w:val="009E6993"/>
    <w:rsid w:val="009E69B4"/>
    <w:rsid w:val="009E6A05"/>
    <w:rsid w:val="009E6A38"/>
    <w:rsid w:val="009E6BFF"/>
    <w:rsid w:val="009E6C39"/>
    <w:rsid w:val="009E6CB0"/>
    <w:rsid w:val="009E6CE2"/>
    <w:rsid w:val="009E6E62"/>
    <w:rsid w:val="009E6E9A"/>
    <w:rsid w:val="009E6F52"/>
    <w:rsid w:val="009E6FA1"/>
    <w:rsid w:val="009E6FF5"/>
    <w:rsid w:val="009E7040"/>
    <w:rsid w:val="009E71B3"/>
    <w:rsid w:val="009E723A"/>
    <w:rsid w:val="009E726F"/>
    <w:rsid w:val="009E733C"/>
    <w:rsid w:val="009E7373"/>
    <w:rsid w:val="009E73DC"/>
    <w:rsid w:val="009E7478"/>
    <w:rsid w:val="009E749B"/>
    <w:rsid w:val="009E75B3"/>
    <w:rsid w:val="009E7614"/>
    <w:rsid w:val="009E7767"/>
    <w:rsid w:val="009E77D0"/>
    <w:rsid w:val="009E7853"/>
    <w:rsid w:val="009E7975"/>
    <w:rsid w:val="009E79B6"/>
    <w:rsid w:val="009E7AEC"/>
    <w:rsid w:val="009E7B2C"/>
    <w:rsid w:val="009E7BF5"/>
    <w:rsid w:val="009E7C41"/>
    <w:rsid w:val="009E7DD4"/>
    <w:rsid w:val="009E7DD6"/>
    <w:rsid w:val="009E7E19"/>
    <w:rsid w:val="009E7F0F"/>
    <w:rsid w:val="009F0043"/>
    <w:rsid w:val="009F0058"/>
    <w:rsid w:val="009F01F6"/>
    <w:rsid w:val="009F029D"/>
    <w:rsid w:val="009F038C"/>
    <w:rsid w:val="009F050E"/>
    <w:rsid w:val="009F0691"/>
    <w:rsid w:val="009F08B3"/>
    <w:rsid w:val="009F08C7"/>
    <w:rsid w:val="009F09D0"/>
    <w:rsid w:val="009F0A98"/>
    <w:rsid w:val="009F0AF2"/>
    <w:rsid w:val="009F0B8D"/>
    <w:rsid w:val="009F0C02"/>
    <w:rsid w:val="009F0C27"/>
    <w:rsid w:val="009F0E98"/>
    <w:rsid w:val="009F0EA8"/>
    <w:rsid w:val="009F0F25"/>
    <w:rsid w:val="009F111A"/>
    <w:rsid w:val="009F1159"/>
    <w:rsid w:val="009F115F"/>
    <w:rsid w:val="009F124A"/>
    <w:rsid w:val="009F12F9"/>
    <w:rsid w:val="009F13AD"/>
    <w:rsid w:val="009F1533"/>
    <w:rsid w:val="009F1623"/>
    <w:rsid w:val="009F1716"/>
    <w:rsid w:val="009F1729"/>
    <w:rsid w:val="009F197D"/>
    <w:rsid w:val="009F19BA"/>
    <w:rsid w:val="009F19C6"/>
    <w:rsid w:val="009F1A71"/>
    <w:rsid w:val="009F1A92"/>
    <w:rsid w:val="009F1B31"/>
    <w:rsid w:val="009F1BA8"/>
    <w:rsid w:val="009F1BB9"/>
    <w:rsid w:val="009F1C08"/>
    <w:rsid w:val="009F1C1A"/>
    <w:rsid w:val="009F1CFA"/>
    <w:rsid w:val="009F1E30"/>
    <w:rsid w:val="009F1E6A"/>
    <w:rsid w:val="009F2289"/>
    <w:rsid w:val="009F22EF"/>
    <w:rsid w:val="009F25FC"/>
    <w:rsid w:val="009F26EA"/>
    <w:rsid w:val="009F2763"/>
    <w:rsid w:val="009F287A"/>
    <w:rsid w:val="009F2918"/>
    <w:rsid w:val="009F2975"/>
    <w:rsid w:val="009F299F"/>
    <w:rsid w:val="009F29BB"/>
    <w:rsid w:val="009F29E6"/>
    <w:rsid w:val="009F29F3"/>
    <w:rsid w:val="009F2A00"/>
    <w:rsid w:val="009F2A2D"/>
    <w:rsid w:val="009F2A59"/>
    <w:rsid w:val="009F2A84"/>
    <w:rsid w:val="009F2B40"/>
    <w:rsid w:val="009F2BA0"/>
    <w:rsid w:val="009F2DAF"/>
    <w:rsid w:val="009F2DFE"/>
    <w:rsid w:val="009F2E12"/>
    <w:rsid w:val="009F2E1D"/>
    <w:rsid w:val="009F2E79"/>
    <w:rsid w:val="009F2F4B"/>
    <w:rsid w:val="009F3001"/>
    <w:rsid w:val="009F3017"/>
    <w:rsid w:val="009F301D"/>
    <w:rsid w:val="009F305A"/>
    <w:rsid w:val="009F3096"/>
    <w:rsid w:val="009F325A"/>
    <w:rsid w:val="009F32E2"/>
    <w:rsid w:val="009F32F5"/>
    <w:rsid w:val="009F3345"/>
    <w:rsid w:val="009F3368"/>
    <w:rsid w:val="009F339A"/>
    <w:rsid w:val="009F33E6"/>
    <w:rsid w:val="009F33F4"/>
    <w:rsid w:val="009F3423"/>
    <w:rsid w:val="009F342B"/>
    <w:rsid w:val="009F35D7"/>
    <w:rsid w:val="009F3648"/>
    <w:rsid w:val="009F36A9"/>
    <w:rsid w:val="009F385B"/>
    <w:rsid w:val="009F3866"/>
    <w:rsid w:val="009F38E1"/>
    <w:rsid w:val="009F393B"/>
    <w:rsid w:val="009F3959"/>
    <w:rsid w:val="009F3AAC"/>
    <w:rsid w:val="009F3AB0"/>
    <w:rsid w:val="009F3B08"/>
    <w:rsid w:val="009F3C05"/>
    <w:rsid w:val="009F3C2B"/>
    <w:rsid w:val="009F3C82"/>
    <w:rsid w:val="009F3D9A"/>
    <w:rsid w:val="009F3E5E"/>
    <w:rsid w:val="009F3EE1"/>
    <w:rsid w:val="009F3F83"/>
    <w:rsid w:val="009F4007"/>
    <w:rsid w:val="009F40F9"/>
    <w:rsid w:val="009F410B"/>
    <w:rsid w:val="009F4123"/>
    <w:rsid w:val="009F443B"/>
    <w:rsid w:val="009F45D6"/>
    <w:rsid w:val="009F4714"/>
    <w:rsid w:val="009F473D"/>
    <w:rsid w:val="009F47C7"/>
    <w:rsid w:val="009F47F0"/>
    <w:rsid w:val="009F488C"/>
    <w:rsid w:val="009F48C3"/>
    <w:rsid w:val="009F4970"/>
    <w:rsid w:val="009F4A5A"/>
    <w:rsid w:val="009F4B8B"/>
    <w:rsid w:val="009F4B93"/>
    <w:rsid w:val="009F4C56"/>
    <w:rsid w:val="009F4C84"/>
    <w:rsid w:val="009F4DA7"/>
    <w:rsid w:val="009F4E3F"/>
    <w:rsid w:val="009F4E60"/>
    <w:rsid w:val="009F4F35"/>
    <w:rsid w:val="009F50B7"/>
    <w:rsid w:val="009F5146"/>
    <w:rsid w:val="009F51EA"/>
    <w:rsid w:val="009F5337"/>
    <w:rsid w:val="009F5428"/>
    <w:rsid w:val="009F547B"/>
    <w:rsid w:val="009F5578"/>
    <w:rsid w:val="009F5638"/>
    <w:rsid w:val="009F5650"/>
    <w:rsid w:val="009F576F"/>
    <w:rsid w:val="009F5869"/>
    <w:rsid w:val="009F5915"/>
    <w:rsid w:val="009F5937"/>
    <w:rsid w:val="009F5967"/>
    <w:rsid w:val="009F5AC0"/>
    <w:rsid w:val="009F5BBD"/>
    <w:rsid w:val="009F5BCA"/>
    <w:rsid w:val="009F5C13"/>
    <w:rsid w:val="009F5DAA"/>
    <w:rsid w:val="009F5DE8"/>
    <w:rsid w:val="009F5F35"/>
    <w:rsid w:val="009F5FED"/>
    <w:rsid w:val="009F6037"/>
    <w:rsid w:val="009F6193"/>
    <w:rsid w:val="009F61AB"/>
    <w:rsid w:val="009F622F"/>
    <w:rsid w:val="009F63DF"/>
    <w:rsid w:val="009F643A"/>
    <w:rsid w:val="009F64E2"/>
    <w:rsid w:val="009F6619"/>
    <w:rsid w:val="009F67AF"/>
    <w:rsid w:val="009F6803"/>
    <w:rsid w:val="009F6A6E"/>
    <w:rsid w:val="009F6ACB"/>
    <w:rsid w:val="009F6B83"/>
    <w:rsid w:val="009F6BA1"/>
    <w:rsid w:val="009F6C1A"/>
    <w:rsid w:val="009F6DCA"/>
    <w:rsid w:val="009F6EA5"/>
    <w:rsid w:val="009F6F25"/>
    <w:rsid w:val="009F6FE0"/>
    <w:rsid w:val="009F7005"/>
    <w:rsid w:val="009F712D"/>
    <w:rsid w:val="009F71C3"/>
    <w:rsid w:val="009F7201"/>
    <w:rsid w:val="009F7319"/>
    <w:rsid w:val="009F73D9"/>
    <w:rsid w:val="009F7478"/>
    <w:rsid w:val="009F74B8"/>
    <w:rsid w:val="009F7599"/>
    <w:rsid w:val="009F75AC"/>
    <w:rsid w:val="009F76EC"/>
    <w:rsid w:val="009F7768"/>
    <w:rsid w:val="009F776A"/>
    <w:rsid w:val="009F79F7"/>
    <w:rsid w:val="009F7A36"/>
    <w:rsid w:val="009F7ACC"/>
    <w:rsid w:val="009F7C01"/>
    <w:rsid w:val="009F7C02"/>
    <w:rsid w:val="009F7C07"/>
    <w:rsid w:val="009F7E2F"/>
    <w:rsid w:val="009F7E70"/>
    <w:rsid w:val="009F7E7F"/>
    <w:rsid w:val="009F7F55"/>
    <w:rsid w:val="009F7FA3"/>
    <w:rsid w:val="00A00070"/>
    <w:rsid w:val="00A00195"/>
    <w:rsid w:val="00A00404"/>
    <w:rsid w:val="00A004D7"/>
    <w:rsid w:val="00A0051B"/>
    <w:rsid w:val="00A00674"/>
    <w:rsid w:val="00A006B1"/>
    <w:rsid w:val="00A00812"/>
    <w:rsid w:val="00A00820"/>
    <w:rsid w:val="00A00888"/>
    <w:rsid w:val="00A008F5"/>
    <w:rsid w:val="00A00919"/>
    <w:rsid w:val="00A00A39"/>
    <w:rsid w:val="00A00AB4"/>
    <w:rsid w:val="00A00AFE"/>
    <w:rsid w:val="00A00B7F"/>
    <w:rsid w:val="00A00C1F"/>
    <w:rsid w:val="00A00CAC"/>
    <w:rsid w:val="00A00E17"/>
    <w:rsid w:val="00A00E2E"/>
    <w:rsid w:val="00A00E6B"/>
    <w:rsid w:val="00A00E71"/>
    <w:rsid w:val="00A011BB"/>
    <w:rsid w:val="00A011FD"/>
    <w:rsid w:val="00A01345"/>
    <w:rsid w:val="00A01560"/>
    <w:rsid w:val="00A0158D"/>
    <w:rsid w:val="00A0158E"/>
    <w:rsid w:val="00A015B6"/>
    <w:rsid w:val="00A01607"/>
    <w:rsid w:val="00A0166D"/>
    <w:rsid w:val="00A018AE"/>
    <w:rsid w:val="00A01A40"/>
    <w:rsid w:val="00A01A6D"/>
    <w:rsid w:val="00A01A94"/>
    <w:rsid w:val="00A01BED"/>
    <w:rsid w:val="00A01D98"/>
    <w:rsid w:val="00A01D9E"/>
    <w:rsid w:val="00A02052"/>
    <w:rsid w:val="00A02083"/>
    <w:rsid w:val="00A020BE"/>
    <w:rsid w:val="00A02242"/>
    <w:rsid w:val="00A02315"/>
    <w:rsid w:val="00A0250C"/>
    <w:rsid w:val="00A02518"/>
    <w:rsid w:val="00A02532"/>
    <w:rsid w:val="00A025DB"/>
    <w:rsid w:val="00A02622"/>
    <w:rsid w:val="00A02677"/>
    <w:rsid w:val="00A0267C"/>
    <w:rsid w:val="00A026FA"/>
    <w:rsid w:val="00A0272F"/>
    <w:rsid w:val="00A02777"/>
    <w:rsid w:val="00A027DF"/>
    <w:rsid w:val="00A02813"/>
    <w:rsid w:val="00A02920"/>
    <w:rsid w:val="00A029F3"/>
    <w:rsid w:val="00A02A48"/>
    <w:rsid w:val="00A02B48"/>
    <w:rsid w:val="00A02EF5"/>
    <w:rsid w:val="00A02F86"/>
    <w:rsid w:val="00A0300A"/>
    <w:rsid w:val="00A03037"/>
    <w:rsid w:val="00A0305F"/>
    <w:rsid w:val="00A03183"/>
    <w:rsid w:val="00A032BC"/>
    <w:rsid w:val="00A0358E"/>
    <w:rsid w:val="00A03650"/>
    <w:rsid w:val="00A036D5"/>
    <w:rsid w:val="00A03754"/>
    <w:rsid w:val="00A03777"/>
    <w:rsid w:val="00A037EF"/>
    <w:rsid w:val="00A0387B"/>
    <w:rsid w:val="00A038FF"/>
    <w:rsid w:val="00A03A62"/>
    <w:rsid w:val="00A03A79"/>
    <w:rsid w:val="00A03B34"/>
    <w:rsid w:val="00A03BEC"/>
    <w:rsid w:val="00A03C49"/>
    <w:rsid w:val="00A03CE5"/>
    <w:rsid w:val="00A03D2E"/>
    <w:rsid w:val="00A03D8F"/>
    <w:rsid w:val="00A03EF2"/>
    <w:rsid w:val="00A03F65"/>
    <w:rsid w:val="00A040A5"/>
    <w:rsid w:val="00A040F0"/>
    <w:rsid w:val="00A0419F"/>
    <w:rsid w:val="00A0425B"/>
    <w:rsid w:val="00A044B3"/>
    <w:rsid w:val="00A0450F"/>
    <w:rsid w:val="00A0453C"/>
    <w:rsid w:val="00A04694"/>
    <w:rsid w:val="00A04742"/>
    <w:rsid w:val="00A0479A"/>
    <w:rsid w:val="00A048F1"/>
    <w:rsid w:val="00A049DA"/>
    <w:rsid w:val="00A04AA7"/>
    <w:rsid w:val="00A04B03"/>
    <w:rsid w:val="00A04BD7"/>
    <w:rsid w:val="00A04C2D"/>
    <w:rsid w:val="00A04D39"/>
    <w:rsid w:val="00A04FD5"/>
    <w:rsid w:val="00A05154"/>
    <w:rsid w:val="00A0518D"/>
    <w:rsid w:val="00A05403"/>
    <w:rsid w:val="00A054B7"/>
    <w:rsid w:val="00A05630"/>
    <w:rsid w:val="00A0576E"/>
    <w:rsid w:val="00A05813"/>
    <w:rsid w:val="00A059EA"/>
    <w:rsid w:val="00A05A84"/>
    <w:rsid w:val="00A05ACF"/>
    <w:rsid w:val="00A05B05"/>
    <w:rsid w:val="00A05B54"/>
    <w:rsid w:val="00A05C0A"/>
    <w:rsid w:val="00A05DB7"/>
    <w:rsid w:val="00A05E9E"/>
    <w:rsid w:val="00A05EF4"/>
    <w:rsid w:val="00A05F84"/>
    <w:rsid w:val="00A05F8D"/>
    <w:rsid w:val="00A05F93"/>
    <w:rsid w:val="00A05FCA"/>
    <w:rsid w:val="00A05FD4"/>
    <w:rsid w:val="00A0609A"/>
    <w:rsid w:val="00A06250"/>
    <w:rsid w:val="00A06373"/>
    <w:rsid w:val="00A06436"/>
    <w:rsid w:val="00A064F7"/>
    <w:rsid w:val="00A06596"/>
    <w:rsid w:val="00A065C6"/>
    <w:rsid w:val="00A06697"/>
    <w:rsid w:val="00A067C5"/>
    <w:rsid w:val="00A067DF"/>
    <w:rsid w:val="00A069E9"/>
    <w:rsid w:val="00A069ED"/>
    <w:rsid w:val="00A06C64"/>
    <w:rsid w:val="00A06CD1"/>
    <w:rsid w:val="00A06CD8"/>
    <w:rsid w:val="00A06D71"/>
    <w:rsid w:val="00A06EF9"/>
    <w:rsid w:val="00A06F10"/>
    <w:rsid w:val="00A07149"/>
    <w:rsid w:val="00A07224"/>
    <w:rsid w:val="00A07448"/>
    <w:rsid w:val="00A0746C"/>
    <w:rsid w:val="00A074A1"/>
    <w:rsid w:val="00A0773B"/>
    <w:rsid w:val="00A07749"/>
    <w:rsid w:val="00A07815"/>
    <w:rsid w:val="00A079AB"/>
    <w:rsid w:val="00A07A2F"/>
    <w:rsid w:val="00A07A8A"/>
    <w:rsid w:val="00A07B19"/>
    <w:rsid w:val="00A07BA0"/>
    <w:rsid w:val="00A07C5B"/>
    <w:rsid w:val="00A07CE7"/>
    <w:rsid w:val="00A07DB3"/>
    <w:rsid w:val="00A07DC7"/>
    <w:rsid w:val="00A07DDF"/>
    <w:rsid w:val="00A07F4D"/>
    <w:rsid w:val="00A07F68"/>
    <w:rsid w:val="00A10151"/>
    <w:rsid w:val="00A102E6"/>
    <w:rsid w:val="00A10312"/>
    <w:rsid w:val="00A10350"/>
    <w:rsid w:val="00A1044B"/>
    <w:rsid w:val="00A1045C"/>
    <w:rsid w:val="00A1057F"/>
    <w:rsid w:val="00A106DC"/>
    <w:rsid w:val="00A10709"/>
    <w:rsid w:val="00A10744"/>
    <w:rsid w:val="00A10C12"/>
    <w:rsid w:val="00A10C34"/>
    <w:rsid w:val="00A10D09"/>
    <w:rsid w:val="00A10E24"/>
    <w:rsid w:val="00A10EEE"/>
    <w:rsid w:val="00A10F5A"/>
    <w:rsid w:val="00A10F65"/>
    <w:rsid w:val="00A10F94"/>
    <w:rsid w:val="00A11002"/>
    <w:rsid w:val="00A11052"/>
    <w:rsid w:val="00A11073"/>
    <w:rsid w:val="00A11189"/>
    <w:rsid w:val="00A11228"/>
    <w:rsid w:val="00A112C5"/>
    <w:rsid w:val="00A1135C"/>
    <w:rsid w:val="00A113FB"/>
    <w:rsid w:val="00A1145A"/>
    <w:rsid w:val="00A11497"/>
    <w:rsid w:val="00A11563"/>
    <w:rsid w:val="00A115E9"/>
    <w:rsid w:val="00A117C9"/>
    <w:rsid w:val="00A11824"/>
    <w:rsid w:val="00A118DB"/>
    <w:rsid w:val="00A1194A"/>
    <w:rsid w:val="00A11B78"/>
    <w:rsid w:val="00A11BC9"/>
    <w:rsid w:val="00A11C00"/>
    <w:rsid w:val="00A120BD"/>
    <w:rsid w:val="00A120E0"/>
    <w:rsid w:val="00A120EE"/>
    <w:rsid w:val="00A120F4"/>
    <w:rsid w:val="00A122A7"/>
    <w:rsid w:val="00A1243B"/>
    <w:rsid w:val="00A124DF"/>
    <w:rsid w:val="00A12500"/>
    <w:rsid w:val="00A126A7"/>
    <w:rsid w:val="00A12764"/>
    <w:rsid w:val="00A12779"/>
    <w:rsid w:val="00A1286D"/>
    <w:rsid w:val="00A12997"/>
    <w:rsid w:val="00A129D2"/>
    <w:rsid w:val="00A129DB"/>
    <w:rsid w:val="00A12A95"/>
    <w:rsid w:val="00A12A9D"/>
    <w:rsid w:val="00A12ADB"/>
    <w:rsid w:val="00A12B24"/>
    <w:rsid w:val="00A12B96"/>
    <w:rsid w:val="00A12C0C"/>
    <w:rsid w:val="00A12C27"/>
    <w:rsid w:val="00A12C3F"/>
    <w:rsid w:val="00A12D1D"/>
    <w:rsid w:val="00A12E1C"/>
    <w:rsid w:val="00A12F3D"/>
    <w:rsid w:val="00A12F61"/>
    <w:rsid w:val="00A1311F"/>
    <w:rsid w:val="00A13131"/>
    <w:rsid w:val="00A13187"/>
    <w:rsid w:val="00A1323A"/>
    <w:rsid w:val="00A13299"/>
    <w:rsid w:val="00A132EB"/>
    <w:rsid w:val="00A1332E"/>
    <w:rsid w:val="00A1347E"/>
    <w:rsid w:val="00A1350E"/>
    <w:rsid w:val="00A135F1"/>
    <w:rsid w:val="00A136DD"/>
    <w:rsid w:val="00A136E5"/>
    <w:rsid w:val="00A136FC"/>
    <w:rsid w:val="00A1375F"/>
    <w:rsid w:val="00A13807"/>
    <w:rsid w:val="00A1389F"/>
    <w:rsid w:val="00A13945"/>
    <w:rsid w:val="00A13A0D"/>
    <w:rsid w:val="00A13A35"/>
    <w:rsid w:val="00A13A8E"/>
    <w:rsid w:val="00A13AF2"/>
    <w:rsid w:val="00A13B24"/>
    <w:rsid w:val="00A13BE9"/>
    <w:rsid w:val="00A13CF8"/>
    <w:rsid w:val="00A13CFB"/>
    <w:rsid w:val="00A13DA9"/>
    <w:rsid w:val="00A13DE8"/>
    <w:rsid w:val="00A13DF0"/>
    <w:rsid w:val="00A13F0C"/>
    <w:rsid w:val="00A13F56"/>
    <w:rsid w:val="00A14049"/>
    <w:rsid w:val="00A14061"/>
    <w:rsid w:val="00A141E4"/>
    <w:rsid w:val="00A14267"/>
    <w:rsid w:val="00A142CA"/>
    <w:rsid w:val="00A142D4"/>
    <w:rsid w:val="00A14360"/>
    <w:rsid w:val="00A144C8"/>
    <w:rsid w:val="00A144EF"/>
    <w:rsid w:val="00A145E6"/>
    <w:rsid w:val="00A1469B"/>
    <w:rsid w:val="00A146A9"/>
    <w:rsid w:val="00A1483D"/>
    <w:rsid w:val="00A14975"/>
    <w:rsid w:val="00A1499B"/>
    <w:rsid w:val="00A14A96"/>
    <w:rsid w:val="00A14B15"/>
    <w:rsid w:val="00A14BC6"/>
    <w:rsid w:val="00A14CB7"/>
    <w:rsid w:val="00A14D83"/>
    <w:rsid w:val="00A14E27"/>
    <w:rsid w:val="00A14FA5"/>
    <w:rsid w:val="00A15081"/>
    <w:rsid w:val="00A151A5"/>
    <w:rsid w:val="00A151CD"/>
    <w:rsid w:val="00A1521F"/>
    <w:rsid w:val="00A15255"/>
    <w:rsid w:val="00A152B9"/>
    <w:rsid w:val="00A15333"/>
    <w:rsid w:val="00A1545E"/>
    <w:rsid w:val="00A154A2"/>
    <w:rsid w:val="00A15709"/>
    <w:rsid w:val="00A15721"/>
    <w:rsid w:val="00A15766"/>
    <w:rsid w:val="00A15770"/>
    <w:rsid w:val="00A1592E"/>
    <w:rsid w:val="00A15A4B"/>
    <w:rsid w:val="00A15A4C"/>
    <w:rsid w:val="00A15C53"/>
    <w:rsid w:val="00A15C5B"/>
    <w:rsid w:val="00A15D5F"/>
    <w:rsid w:val="00A15D93"/>
    <w:rsid w:val="00A16009"/>
    <w:rsid w:val="00A160B4"/>
    <w:rsid w:val="00A160F8"/>
    <w:rsid w:val="00A16122"/>
    <w:rsid w:val="00A16175"/>
    <w:rsid w:val="00A162AF"/>
    <w:rsid w:val="00A162C0"/>
    <w:rsid w:val="00A1633E"/>
    <w:rsid w:val="00A16432"/>
    <w:rsid w:val="00A16459"/>
    <w:rsid w:val="00A1649E"/>
    <w:rsid w:val="00A165EE"/>
    <w:rsid w:val="00A167B1"/>
    <w:rsid w:val="00A1681C"/>
    <w:rsid w:val="00A168E9"/>
    <w:rsid w:val="00A169C2"/>
    <w:rsid w:val="00A16A3E"/>
    <w:rsid w:val="00A16B98"/>
    <w:rsid w:val="00A16BD3"/>
    <w:rsid w:val="00A16C43"/>
    <w:rsid w:val="00A16C75"/>
    <w:rsid w:val="00A16CF4"/>
    <w:rsid w:val="00A16E06"/>
    <w:rsid w:val="00A16F47"/>
    <w:rsid w:val="00A170AC"/>
    <w:rsid w:val="00A170DD"/>
    <w:rsid w:val="00A170FA"/>
    <w:rsid w:val="00A172A0"/>
    <w:rsid w:val="00A172B4"/>
    <w:rsid w:val="00A172BF"/>
    <w:rsid w:val="00A172D3"/>
    <w:rsid w:val="00A1734D"/>
    <w:rsid w:val="00A1744D"/>
    <w:rsid w:val="00A174A1"/>
    <w:rsid w:val="00A174C1"/>
    <w:rsid w:val="00A174DC"/>
    <w:rsid w:val="00A174FC"/>
    <w:rsid w:val="00A175D6"/>
    <w:rsid w:val="00A1770B"/>
    <w:rsid w:val="00A17747"/>
    <w:rsid w:val="00A177EF"/>
    <w:rsid w:val="00A17848"/>
    <w:rsid w:val="00A179B7"/>
    <w:rsid w:val="00A17A8D"/>
    <w:rsid w:val="00A17B6E"/>
    <w:rsid w:val="00A17B8A"/>
    <w:rsid w:val="00A17BAD"/>
    <w:rsid w:val="00A17C8A"/>
    <w:rsid w:val="00A17CB2"/>
    <w:rsid w:val="00A17DEB"/>
    <w:rsid w:val="00A17E89"/>
    <w:rsid w:val="00A17FAA"/>
    <w:rsid w:val="00A17FBF"/>
    <w:rsid w:val="00A17FF1"/>
    <w:rsid w:val="00A20024"/>
    <w:rsid w:val="00A200A0"/>
    <w:rsid w:val="00A20162"/>
    <w:rsid w:val="00A20225"/>
    <w:rsid w:val="00A20299"/>
    <w:rsid w:val="00A203A9"/>
    <w:rsid w:val="00A2043C"/>
    <w:rsid w:val="00A2066E"/>
    <w:rsid w:val="00A20692"/>
    <w:rsid w:val="00A20A34"/>
    <w:rsid w:val="00A20AB2"/>
    <w:rsid w:val="00A20CB3"/>
    <w:rsid w:val="00A20F18"/>
    <w:rsid w:val="00A20F35"/>
    <w:rsid w:val="00A20F51"/>
    <w:rsid w:val="00A20F9C"/>
    <w:rsid w:val="00A20FD4"/>
    <w:rsid w:val="00A21010"/>
    <w:rsid w:val="00A21155"/>
    <w:rsid w:val="00A21230"/>
    <w:rsid w:val="00A21244"/>
    <w:rsid w:val="00A212F9"/>
    <w:rsid w:val="00A21330"/>
    <w:rsid w:val="00A21397"/>
    <w:rsid w:val="00A21515"/>
    <w:rsid w:val="00A2158A"/>
    <w:rsid w:val="00A216C3"/>
    <w:rsid w:val="00A217C9"/>
    <w:rsid w:val="00A218F6"/>
    <w:rsid w:val="00A21983"/>
    <w:rsid w:val="00A219B8"/>
    <w:rsid w:val="00A219F4"/>
    <w:rsid w:val="00A21AAC"/>
    <w:rsid w:val="00A21B4D"/>
    <w:rsid w:val="00A21E5A"/>
    <w:rsid w:val="00A21E7E"/>
    <w:rsid w:val="00A21E90"/>
    <w:rsid w:val="00A21EDB"/>
    <w:rsid w:val="00A21F19"/>
    <w:rsid w:val="00A21FC3"/>
    <w:rsid w:val="00A21FE1"/>
    <w:rsid w:val="00A21FFC"/>
    <w:rsid w:val="00A221BA"/>
    <w:rsid w:val="00A2228B"/>
    <w:rsid w:val="00A22355"/>
    <w:rsid w:val="00A223C2"/>
    <w:rsid w:val="00A22566"/>
    <w:rsid w:val="00A2264F"/>
    <w:rsid w:val="00A2289E"/>
    <w:rsid w:val="00A22900"/>
    <w:rsid w:val="00A22946"/>
    <w:rsid w:val="00A22962"/>
    <w:rsid w:val="00A22AA4"/>
    <w:rsid w:val="00A22D14"/>
    <w:rsid w:val="00A22DE1"/>
    <w:rsid w:val="00A22EC0"/>
    <w:rsid w:val="00A22EF6"/>
    <w:rsid w:val="00A22F1D"/>
    <w:rsid w:val="00A22F6E"/>
    <w:rsid w:val="00A230AD"/>
    <w:rsid w:val="00A2317D"/>
    <w:rsid w:val="00A2322D"/>
    <w:rsid w:val="00A23308"/>
    <w:rsid w:val="00A23339"/>
    <w:rsid w:val="00A23348"/>
    <w:rsid w:val="00A2341B"/>
    <w:rsid w:val="00A23504"/>
    <w:rsid w:val="00A23517"/>
    <w:rsid w:val="00A23679"/>
    <w:rsid w:val="00A236AE"/>
    <w:rsid w:val="00A2382E"/>
    <w:rsid w:val="00A238BB"/>
    <w:rsid w:val="00A23908"/>
    <w:rsid w:val="00A23941"/>
    <w:rsid w:val="00A23A07"/>
    <w:rsid w:val="00A23A1B"/>
    <w:rsid w:val="00A23A53"/>
    <w:rsid w:val="00A23B83"/>
    <w:rsid w:val="00A23C48"/>
    <w:rsid w:val="00A23D5E"/>
    <w:rsid w:val="00A23D71"/>
    <w:rsid w:val="00A23D91"/>
    <w:rsid w:val="00A23E21"/>
    <w:rsid w:val="00A23E52"/>
    <w:rsid w:val="00A23EC2"/>
    <w:rsid w:val="00A23ED6"/>
    <w:rsid w:val="00A23F9B"/>
    <w:rsid w:val="00A240FD"/>
    <w:rsid w:val="00A241D5"/>
    <w:rsid w:val="00A24281"/>
    <w:rsid w:val="00A24348"/>
    <w:rsid w:val="00A2439D"/>
    <w:rsid w:val="00A24402"/>
    <w:rsid w:val="00A24481"/>
    <w:rsid w:val="00A244C0"/>
    <w:rsid w:val="00A244CD"/>
    <w:rsid w:val="00A245EA"/>
    <w:rsid w:val="00A24634"/>
    <w:rsid w:val="00A24871"/>
    <w:rsid w:val="00A248A2"/>
    <w:rsid w:val="00A2495E"/>
    <w:rsid w:val="00A249AE"/>
    <w:rsid w:val="00A24A5B"/>
    <w:rsid w:val="00A24A86"/>
    <w:rsid w:val="00A24BD0"/>
    <w:rsid w:val="00A24D4D"/>
    <w:rsid w:val="00A24D84"/>
    <w:rsid w:val="00A24E27"/>
    <w:rsid w:val="00A24FB1"/>
    <w:rsid w:val="00A24FEB"/>
    <w:rsid w:val="00A250BA"/>
    <w:rsid w:val="00A25105"/>
    <w:rsid w:val="00A2517A"/>
    <w:rsid w:val="00A25222"/>
    <w:rsid w:val="00A25249"/>
    <w:rsid w:val="00A252CC"/>
    <w:rsid w:val="00A2533D"/>
    <w:rsid w:val="00A25391"/>
    <w:rsid w:val="00A253F8"/>
    <w:rsid w:val="00A25484"/>
    <w:rsid w:val="00A254EF"/>
    <w:rsid w:val="00A25565"/>
    <w:rsid w:val="00A25933"/>
    <w:rsid w:val="00A25989"/>
    <w:rsid w:val="00A259C3"/>
    <w:rsid w:val="00A259C8"/>
    <w:rsid w:val="00A25AD1"/>
    <w:rsid w:val="00A25B05"/>
    <w:rsid w:val="00A25C5D"/>
    <w:rsid w:val="00A25D50"/>
    <w:rsid w:val="00A25D7F"/>
    <w:rsid w:val="00A25E9C"/>
    <w:rsid w:val="00A25ED4"/>
    <w:rsid w:val="00A25F21"/>
    <w:rsid w:val="00A2606A"/>
    <w:rsid w:val="00A26167"/>
    <w:rsid w:val="00A263D9"/>
    <w:rsid w:val="00A26465"/>
    <w:rsid w:val="00A2646F"/>
    <w:rsid w:val="00A264AD"/>
    <w:rsid w:val="00A265BE"/>
    <w:rsid w:val="00A2666D"/>
    <w:rsid w:val="00A26671"/>
    <w:rsid w:val="00A26839"/>
    <w:rsid w:val="00A26967"/>
    <w:rsid w:val="00A26A30"/>
    <w:rsid w:val="00A26A4B"/>
    <w:rsid w:val="00A26A70"/>
    <w:rsid w:val="00A26A9F"/>
    <w:rsid w:val="00A26BB6"/>
    <w:rsid w:val="00A26BD8"/>
    <w:rsid w:val="00A26BF1"/>
    <w:rsid w:val="00A26D04"/>
    <w:rsid w:val="00A26D60"/>
    <w:rsid w:val="00A26D84"/>
    <w:rsid w:val="00A26DC8"/>
    <w:rsid w:val="00A26E85"/>
    <w:rsid w:val="00A26FA8"/>
    <w:rsid w:val="00A2706E"/>
    <w:rsid w:val="00A27144"/>
    <w:rsid w:val="00A2721C"/>
    <w:rsid w:val="00A2737B"/>
    <w:rsid w:val="00A273D2"/>
    <w:rsid w:val="00A2753E"/>
    <w:rsid w:val="00A27562"/>
    <w:rsid w:val="00A27616"/>
    <w:rsid w:val="00A27773"/>
    <w:rsid w:val="00A2779B"/>
    <w:rsid w:val="00A277C1"/>
    <w:rsid w:val="00A278C6"/>
    <w:rsid w:val="00A27903"/>
    <w:rsid w:val="00A27973"/>
    <w:rsid w:val="00A279CE"/>
    <w:rsid w:val="00A27A07"/>
    <w:rsid w:val="00A27BEF"/>
    <w:rsid w:val="00A27C78"/>
    <w:rsid w:val="00A27CC7"/>
    <w:rsid w:val="00A27D10"/>
    <w:rsid w:val="00A27F63"/>
    <w:rsid w:val="00A30022"/>
    <w:rsid w:val="00A300BA"/>
    <w:rsid w:val="00A300DB"/>
    <w:rsid w:val="00A3015A"/>
    <w:rsid w:val="00A302BA"/>
    <w:rsid w:val="00A3033B"/>
    <w:rsid w:val="00A3049B"/>
    <w:rsid w:val="00A304B9"/>
    <w:rsid w:val="00A3084C"/>
    <w:rsid w:val="00A308B9"/>
    <w:rsid w:val="00A308CE"/>
    <w:rsid w:val="00A309C1"/>
    <w:rsid w:val="00A309CB"/>
    <w:rsid w:val="00A309D3"/>
    <w:rsid w:val="00A30A41"/>
    <w:rsid w:val="00A30B52"/>
    <w:rsid w:val="00A30B5C"/>
    <w:rsid w:val="00A30B63"/>
    <w:rsid w:val="00A30BC6"/>
    <w:rsid w:val="00A30C36"/>
    <w:rsid w:val="00A30CC7"/>
    <w:rsid w:val="00A30DC7"/>
    <w:rsid w:val="00A30E0E"/>
    <w:rsid w:val="00A30F39"/>
    <w:rsid w:val="00A30FB5"/>
    <w:rsid w:val="00A30FD2"/>
    <w:rsid w:val="00A3114C"/>
    <w:rsid w:val="00A311F9"/>
    <w:rsid w:val="00A312BE"/>
    <w:rsid w:val="00A312F6"/>
    <w:rsid w:val="00A3133D"/>
    <w:rsid w:val="00A313F0"/>
    <w:rsid w:val="00A31435"/>
    <w:rsid w:val="00A31451"/>
    <w:rsid w:val="00A31465"/>
    <w:rsid w:val="00A3150A"/>
    <w:rsid w:val="00A31599"/>
    <w:rsid w:val="00A315B5"/>
    <w:rsid w:val="00A315F0"/>
    <w:rsid w:val="00A31655"/>
    <w:rsid w:val="00A317E9"/>
    <w:rsid w:val="00A31801"/>
    <w:rsid w:val="00A31811"/>
    <w:rsid w:val="00A319E3"/>
    <w:rsid w:val="00A31A65"/>
    <w:rsid w:val="00A31AD1"/>
    <w:rsid w:val="00A31AE0"/>
    <w:rsid w:val="00A31B7D"/>
    <w:rsid w:val="00A31DC1"/>
    <w:rsid w:val="00A31DC6"/>
    <w:rsid w:val="00A31E09"/>
    <w:rsid w:val="00A31E51"/>
    <w:rsid w:val="00A31E6C"/>
    <w:rsid w:val="00A32116"/>
    <w:rsid w:val="00A321AB"/>
    <w:rsid w:val="00A322A4"/>
    <w:rsid w:val="00A323CA"/>
    <w:rsid w:val="00A32450"/>
    <w:rsid w:val="00A32501"/>
    <w:rsid w:val="00A3250A"/>
    <w:rsid w:val="00A3253F"/>
    <w:rsid w:val="00A32704"/>
    <w:rsid w:val="00A329DD"/>
    <w:rsid w:val="00A32AF4"/>
    <w:rsid w:val="00A32DE4"/>
    <w:rsid w:val="00A32DE5"/>
    <w:rsid w:val="00A32DED"/>
    <w:rsid w:val="00A32EA1"/>
    <w:rsid w:val="00A32EAE"/>
    <w:rsid w:val="00A32F2D"/>
    <w:rsid w:val="00A32FFC"/>
    <w:rsid w:val="00A3305E"/>
    <w:rsid w:val="00A330F4"/>
    <w:rsid w:val="00A3315E"/>
    <w:rsid w:val="00A33165"/>
    <w:rsid w:val="00A331DA"/>
    <w:rsid w:val="00A3337A"/>
    <w:rsid w:val="00A33552"/>
    <w:rsid w:val="00A3375B"/>
    <w:rsid w:val="00A337D0"/>
    <w:rsid w:val="00A337D7"/>
    <w:rsid w:val="00A3388B"/>
    <w:rsid w:val="00A33935"/>
    <w:rsid w:val="00A339AA"/>
    <w:rsid w:val="00A33A87"/>
    <w:rsid w:val="00A33B11"/>
    <w:rsid w:val="00A33B3B"/>
    <w:rsid w:val="00A33BC8"/>
    <w:rsid w:val="00A33BE5"/>
    <w:rsid w:val="00A33C42"/>
    <w:rsid w:val="00A33D2C"/>
    <w:rsid w:val="00A33EEE"/>
    <w:rsid w:val="00A33FEA"/>
    <w:rsid w:val="00A342C5"/>
    <w:rsid w:val="00A3432D"/>
    <w:rsid w:val="00A34347"/>
    <w:rsid w:val="00A3434A"/>
    <w:rsid w:val="00A3435A"/>
    <w:rsid w:val="00A343A9"/>
    <w:rsid w:val="00A34473"/>
    <w:rsid w:val="00A345A9"/>
    <w:rsid w:val="00A345B5"/>
    <w:rsid w:val="00A345E1"/>
    <w:rsid w:val="00A34641"/>
    <w:rsid w:val="00A34660"/>
    <w:rsid w:val="00A34698"/>
    <w:rsid w:val="00A34B32"/>
    <w:rsid w:val="00A34B3F"/>
    <w:rsid w:val="00A34BB7"/>
    <w:rsid w:val="00A34C26"/>
    <w:rsid w:val="00A34C68"/>
    <w:rsid w:val="00A34D4D"/>
    <w:rsid w:val="00A34E62"/>
    <w:rsid w:val="00A34F72"/>
    <w:rsid w:val="00A34FCB"/>
    <w:rsid w:val="00A35096"/>
    <w:rsid w:val="00A350C5"/>
    <w:rsid w:val="00A350E1"/>
    <w:rsid w:val="00A35109"/>
    <w:rsid w:val="00A351A1"/>
    <w:rsid w:val="00A351E5"/>
    <w:rsid w:val="00A35295"/>
    <w:rsid w:val="00A35312"/>
    <w:rsid w:val="00A35323"/>
    <w:rsid w:val="00A353A3"/>
    <w:rsid w:val="00A35427"/>
    <w:rsid w:val="00A355E6"/>
    <w:rsid w:val="00A3595D"/>
    <w:rsid w:val="00A35AA0"/>
    <w:rsid w:val="00A35AD0"/>
    <w:rsid w:val="00A35AE0"/>
    <w:rsid w:val="00A35C97"/>
    <w:rsid w:val="00A35E9E"/>
    <w:rsid w:val="00A35ED4"/>
    <w:rsid w:val="00A36127"/>
    <w:rsid w:val="00A36128"/>
    <w:rsid w:val="00A36201"/>
    <w:rsid w:val="00A36254"/>
    <w:rsid w:val="00A362EF"/>
    <w:rsid w:val="00A3639A"/>
    <w:rsid w:val="00A3648C"/>
    <w:rsid w:val="00A366BC"/>
    <w:rsid w:val="00A367F9"/>
    <w:rsid w:val="00A36847"/>
    <w:rsid w:val="00A36993"/>
    <w:rsid w:val="00A36ACE"/>
    <w:rsid w:val="00A36BBC"/>
    <w:rsid w:val="00A36F16"/>
    <w:rsid w:val="00A36F5F"/>
    <w:rsid w:val="00A37054"/>
    <w:rsid w:val="00A37180"/>
    <w:rsid w:val="00A37182"/>
    <w:rsid w:val="00A37196"/>
    <w:rsid w:val="00A3725D"/>
    <w:rsid w:val="00A37288"/>
    <w:rsid w:val="00A37311"/>
    <w:rsid w:val="00A37379"/>
    <w:rsid w:val="00A373D9"/>
    <w:rsid w:val="00A3752C"/>
    <w:rsid w:val="00A375B2"/>
    <w:rsid w:val="00A375CE"/>
    <w:rsid w:val="00A37651"/>
    <w:rsid w:val="00A376B2"/>
    <w:rsid w:val="00A376D1"/>
    <w:rsid w:val="00A37733"/>
    <w:rsid w:val="00A37844"/>
    <w:rsid w:val="00A37852"/>
    <w:rsid w:val="00A3793D"/>
    <w:rsid w:val="00A37997"/>
    <w:rsid w:val="00A37999"/>
    <w:rsid w:val="00A37A29"/>
    <w:rsid w:val="00A37A59"/>
    <w:rsid w:val="00A37A6E"/>
    <w:rsid w:val="00A37A7E"/>
    <w:rsid w:val="00A37ABA"/>
    <w:rsid w:val="00A37B08"/>
    <w:rsid w:val="00A37BE6"/>
    <w:rsid w:val="00A37C2B"/>
    <w:rsid w:val="00A37C2F"/>
    <w:rsid w:val="00A37CFA"/>
    <w:rsid w:val="00A37D30"/>
    <w:rsid w:val="00A37D81"/>
    <w:rsid w:val="00A37E70"/>
    <w:rsid w:val="00A37F04"/>
    <w:rsid w:val="00A37F4B"/>
    <w:rsid w:val="00A37F7B"/>
    <w:rsid w:val="00A40000"/>
    <w:rsid w:val="00A40049"/>
    <w:rsid w:val="00A4009D"/>
    <w:rsid w:val="00A401EC"/>
    <w:rsid w:val="00A4022F"/>
    <w:rsid w:val="00A40248"/>
    <w:rsid w:val="00A4035B"/>
    <w:rsid w:val="00A40538"/>
    <w:rsid w:val="00A40584"/>
    <w:rsid w:val="00A4079B"/>
    <w:rsid w:val="00A407D3"/>
    <w:rsid w:val="00A40812"/>
    <w:rsid w:val="00A40851"/>
    <w:rsid w:val="00A408B6"/>
    <w:rsid w:val="00A40924"/>
    <w:rsid w:val="00A40965"/>
    <w:rsid w:val="00A40967"/>
    <w:rsid w:val="00A40AE5"/>
    <w:rsid w:val="00A40D36"/>
    <w:rsid w:val="00A40E2F"/>
    <w:rsid w:val="00A40E60"/>
    <w:rsid w:val="00A40E83"/>
    <w:rsid w:val="00A40FEF"/>
    <w:rsid w:val="00A4105B"/>
    <w:rsid w:val="00A410DD"/>
    <w:rsid w:val="00A411CF"/>
    <w:rsid w:val="00A412C3"/>
    <w:rsid w:val="00A41304"/>
    <w:rsid w:val="00A41476"/>
    <w:rsid w:val="00A41574"/>
    <w:rsid w:val="00A41592"/>
    <w:rsid w:val="00A415D1"/>
    <w:rsid w:val="00A417C6"/>
    <w:rsid w:val="00A417CD"/>
    <w:rsid w:val="00A41828"/>
    <w:rsid w:val="00A41A5F"/>
    <w:rsid w:val="00A41AB2"/>
    <w:rsid w:val="00A41C14"/>
    <w:rsid w:val="00A41C56"/>
    <w:rsid w:val="00A41D0A"/>
    <w:rsid w:val="00A41D0B"/>
    <w:rsid w:val="00A41D82"/>
    <w:rsid w:val="00A41DB6"/>
    <w:rsid w:val="00A41FB1"/>
    <w:rsid w:val="00A42021"/>
    <w:rsid w:val="00A420EB"/>
    <w:rsid w:val="00A42107"/>
    <w:rsid w:val="00A422A0"/>
    <w:rsid w:val="00A42338"/>
    <w:rsid w:val="00A424A7"/>
    <w:rsid w:val="00A42681"/>
    <w:rsid w:val="00A42737"/>
    <w:rsid w:val="00A42800"/>
    <w:rsid w:val="00A4280D"/>
    <w:rsid w:val="00A428E3"/>
    <w:rsid w:val="00A42998"/>
    <w:rsid w:val="00A42A01"/>
    <w:rsid w:val="00A42BAA"/>
    <w:rsid w:val="00A42C0B"/>
    <w:rsid w:val="00A42D31"/>
    <w:rsid w:val="00A42D6F"/>
    <w:rsid w:val="00A42D79"/>
    <w:rsid w:val="00A42D7C"/>
    <w:rsid w:val="00A42D8D"/>
    <w:rsid w:val="00A42DB3"/>
    <w:rsid w:val="00A42DDF"/>
    <w:rsid w:val="00A42E9F"/>
    <w:rsid w:val="00A42EE5"/>
    <w:rsid w:val="00A42EF7"/>
    <w:rsid w:val="00A43022"/>
    <w:rsid w:val="00A4313C"/>
    <w:rsid w:val="00A431E6"/>
    <w:rsid w:val="00A4339B"/>
    <w:rsid w:val="00A433AF"/>
    <w:rsid w:val="00A43435"/>
    <w:rsid w:val="00A43444"/>
    <w:rsid w:val="00A435C9"/>
    <w:rsid w:val="00A43620"/>
    <w:rsid w:val="00A43695"/>
    <w:rsid w:val="00A4378F"/>
    <w:rsid w:val="00A438BA"/>
    <w:rsid w:val="00A43918"/>
    <w:rsid w:val="00A43926"/>
    <w:rsid w:val="00A43A0A"/>
    <w:rsid w:val="00A43A8B"/>
    <w:rsid w:val="00A43AE6"/>
    <w:rsid w:val="00A43B87"/>
    <w:rsid w:val="00A43BE9"/>
    <w:rsid w:val="00A43C8D"/>
    <w:rsid w:val="00A43D60"/>
    <w:rsid w:val="00A43D8F"/>
    <w:rsid w:val="00A43D98"/>
    <w:rsid w:val="00A43E40"/>
    <w:rsid w:val="00A43EB6"/>
    <w:rsid w:val="00A43F2E"/>
    <w:rsid w:val="00A43F68"/>
    <w:rsid w:val="00A43FBD"/>
    <w:rsid w:val="00A44023"/>
    <w:rsid w:val="00A44089"/>
    <w:rsid w:val="00A440B6"/>
    <w:rsid w:val="00A44268"/>
    <w:rsid w:val="00A442AF"/>
    <w:rsid w:val="00A442C3"/>
    <w:rsid w:val="00A4439D"/>
    <w:rsid w:val="00A443A6"/>
    <w:rsid w:val="00A443DF"/>
    <w:rsid w:val="00A44501"/>
    <w:rsid w:val="00A44650"/>
    <w:rsid w:val="00A4472E"/>
    <w:rsid w:val="00A44762"/>
    <w:rsid w:val="00A447AC"/>
    <w:rsid w:val="00A4488D"/>
    <w:rsid w:val="00A44892"/>
    <w:rsid w:val="00A44A78"/>
    <w:rsid w:val="00A44B1F"/>
    <w:rsid w:val="00A44B62"/>
    <w:rsid w:val="00A44C59"/>
    <w:rsid w:val="00A44C7D"/>
    <w:rsid w:val="00A44CC0"/>
    <w:rsid w:val="00A44CF6"/>
    <w:rsid w:val="00A44D42"/>
    <w:rsid w:val="00A44DA9"/>
    <w:rsid w:val="00A44E27"/>
    <w:rsid w:val="00A44F83"/>
    <w:rsid w:val="00A45133"/>
    <w:rsid w:val="00A45193"/>
    <w:rsid w:val="00A4519F"/>
    <w:rsid w:val="00A45242"/>
    <w:rsid w:val="00A45338"/>
    <w:rsid w:val="00A4535C"/>
    <w:rsid w:val="00A45380"/>
    <w:rsid w:val="00A4541B"/>
    <w:rsid w:val="00A45472"/>
    <w:rsid w:val="00A4549E"/>
    <w:rsid w:val="00A45588"/>
    <w:rsid w:val="00A4566C"/>
    <w:rsid w:val="00A45688"/>
    <w:rsid w:val="00A456BE"/>
    <w:rsid w:val="00A45745"/>
    <w:rsid w:val="00A45780"/>
    <w:rsid w:val="00A4585B"/>
    <w:rsid w:val="00A458C7"/>
    <w:rsid w:val="00A45954"/>
    <w:rsid w:val="00A45999"/>
    <w:rsid w:val="00A45B3D"/>
    <w:rsid w:val="00A45B9F"/>
    <w:rsid w:val="00A45BEF"/>
    <w:rsid w:val="00A45C35"/>
    <w:rsid w:val="00A45CC6"/>
    <w:rsid w:val="00A45D1F"/>
    <w:rsid w:val="00A45D2F"/>
    <w:rsid w:val="00A45E68"/>
    <w:rsid w:val="00A45F46"/>
    <w:rsid w:val="00A4607F"/>
    <w:rsid w:val="00A46137"/>
    <w:rsid w:val="00A46322"/>
    <w:rsid w:val="00A46341"/>
    <w:rsid w:val="00A46461"/>
    <w:rsid w:val="00A4662D"/>
    <w:rsid w:val="00A4665C"/>
    <w:rsid w:val="00A466C8"/>
    <w:rsid w:val="00A468BB"/>
    <w:rsid w:val="00A469E6"/>
    <w:rsid w:val="00A46AB0"/>
    <w:rsid w:val="00A46C7B"/>
    <w:rsid w:val="00A46CDA"/>
    <w:rsid w:val="00A46D38"/>
    <w:rsid w:val="00A46F31"/>
    <w:rsid w:val="00A46F67"/>
    <w:rsid w:val="00A46FE9"/>
    <w:rsid w:val="00A47032"/>
    <w:rsid w:val="00A47118"/>
    <w:rsid w:val="00A47122"/>
    <w:rsid w:val="00A472C1"/>
    <w:rsid w:val="00A47336"/>
    <w:rsid w:val="00A4734C"/>
    <w:rsid w:val="00A474AF"/>
    <w:rsid w:val="00A474DC"/>
    <w:rsid w:val="00A474F0"/>
    <w:rsid w:val="00A475CF"/>
    <w:rsid w:val="00A47792"/>
    <w:rsid w:val="00A477FC"/>
    <w:rsid w:val="00A47846"/>
    <w:rsid w:val="00A47853"/>
    <w:rsid w:val="00A478BA"/>
    <w:rsid w:val="00A47914"/>
    <w:rsid w:val="00A47AF5"/>
    <w:rsid w:val="00A47B59"/>
    <w:rsid w:val="00A47C3C"/>
    <w:rsid w:val="00A47E27"/>
    <w:rsid w:val="00A47EA4"/>
    <w:rsid w:val="00A47F25"/>
    <w:rsid w:val="00A5011D"/>
    <w:rsid w:val="00A50129"/>
    <w:rsid w:val="00A5016B"/>
    <w:rsid w:val="00A501C4"/>
    <w:rsid w:val="00A501C6"/>
    <w:rsid w:val="00A501D1"/>
    <w:rsid w:val="00A501F6"/>
    <w:rsid w:val="00A503D8"/>
    <w:rsid w:val="00A5042D"/>
    <w:rsid w:val="00A50485"/>
    <w:rsid w:val="00A504D6"/>
    <w:rsid w:val="00A504DC"/>
    <w:rsid w:val="00A505A0"/>
    <w:rsid w:val="00A505AC"/>
    <w:rsid w:val="00A505BB"/>
    <w:rsid w:val="00A507A0"/>
    <w:rsid w:val="00A50854"/>
    <w:rsid w:val="00A5085D"/>
    <w:rsid w:val="00A50963"/>
    <w:rsid w:val="00A50996"/>
    <w:rsid w:val="00A50A1B"/>
    <w:rsid w:val="00A50ADB"/>
    <w:rsid w:val="00A50AEF"/>
    <w:rsid w:val="00A50C83"/>
    <w:rsid w:val="00A50CBD"/>
    <w:rsid w:val="00A50CDA"/>
    <w:rsid w:val="00A50F32"/>
    <w:rsid w:val="00A51021"/>
    <w:rsid w:val="00A5121D"/>
    <w:rsid w:val="00A51250"/>
    <w:rsid w:val="00A5127E"/>
    <w:rsid w:val="00A51286"/>
    <w:rsid w:val="00A51322"/>
    <w:rsid w:val="00A5134D"/>
    <w:rsid w:val="00A513DF"/>
    <w:rsid w:val="00A51439"/>
    <w:rsid w:val="00A5145B"/>
    <w:rsid w:val="00A5146D"/>
    <w:rsid w:val="00A514D0"/>
    <w:rsid w:val="00A51645"/>
    <w:rsid w:val="00A516B5"/>
    <w:rsid w:val="00A5171D"/>
    <w:rsid w:val="00A5183D"/>
    <w:rsid w:val="00A51891"/>
    <w:rsid w:val="00A519CC"/>
    <w:rsid w:val="00A51A34"/>
    <w:rsid w:val="00A51A51"/>
    <w:rsid w:val="00A51B8B"/>
    <w:rsid w:val="00A51B9E"/>
    <w:rsid w:val="00A51C01"/>
    <w:rsid w:val="00A51C68"/>
    <w:rsid w:val="00A51CA7"/>
    <w:rsid w:val="00A51CCD"/>
    <w:rsid w:val="00A51D31"/>
    <w:rsid w:val="00A51E57"/>
    <w:rsid w:val="00A51E7C"/>
    <w:rsid w:val="00A51E9A"/>
    <w:rsid w:val="00A51EB1"/>
    <w:rsid w:val="00A51EB9"/>
    <w:rsid w:val="00A51EF0"/>
    <w:rsid w:val="00A51F92"/>
    <w:rsid w:val="00A5205C"/>
    <w:rsid w:val="00A520A2"/>
    <w:rsid w:val="00A520F4"/>
    <w:rsid w:val="00A521E2"/>
    <w:rsid w:val="00A521EB"/>
    <w:rsid w:val="00A5223E"/>
    <w:rsid w:val="00A52352"/>
    <w:rsid w:val="00A52355"/>
    <w:rsid w:val="00A523C8"/>
    <w:rsid w:val="00A52467"/>
    <w:rsid w:val="00A52521"/>
    <w:rsid w:val="00A525DC"/>
    <w:rsid w:val="00A526E0"/>
    <w:rsid w:val="00A52864"/>
    <w:rsid w:val="00A52935"/>
    <w:rsid w:val="00A5294C"/>
    <w:rsid w:val="00A52C02"/>
    <w:rsid w:val="00A52D0C"/>
    <w:rsid w:val="00A52D14"/>
    <w:rsid w:val="00A52D69"/>
    <w:rsid w:val="00A52DCB"/>
    <w:rsid w:val="00A52E95"/>
    <w:rsid w:val="00A52F02"/>
    <w:rsid w:val="00A52F1B"/>
    <w:rsid w:val="00A52F68"/>
    <w:rsid w:val="00A52FB4"/>
    <w:rsid w:val="00A53017"/>
    <w:rsid w:val="00A530DA"/>
    <w:rsid w:val="00A530EA"/>
    <w:rsid w:val="00A53120"/>
    <w:rsid w:val="00A5317B"/>
    <w:rsid w:val="00A532B4"/>
    <w:rsid w:val="00A532E1"/>
    <w:rsid w:val="00A5342E"/>
    <w:rsid w:val="00A53486"/>
    <w:rsid w:val="00A5374A"/>
    <w:rsid w:val="00A537D2"/>
    <w:rsid w:val="00A538C0"/>
    <w:rsid w:val="00A538DA"/>
    <w:rsid w:val="00A539B0"/>
    <w:rsid w:val="00A539DB"/>
    <w:rsid w:val="00A539E8"/>
    <w:rsid w:val="00A539F3"/>
    <w:rsid w:val="00A53A1C"/>
    <w:rsid w:val="00A53A3B"/>
    <w:rsid w:val="00A53A91"/>
    <w:rsid w:val="00A53B45"/>
    <w:rsid w:val="00A53D6E"/>
    <w:rsid w:val="00A53DAB"/>
    <w:rsid w:val="00A53EBD"/>
    <w:rsid w:val="00A53ED7"/>
    <w:rsid w:val="00A53F70"/>
    <w:rsid w:val="00A541A0"/>
    <w:rsid w:val="00A541B1"/>
    <w:rsid w:val="00A541BF"/>
    <w:rsid w:val="00A5426C"/>
    <w:rsid w:val="00A5429E"/>
    <w:rsid w:val="00A542F2"/>
    <w:rsid w:val="00A5432E"/>
    <w:rsid w:val="00A54517"/>
    <w:rsid w:val="00A5451E"/>
    <w:rsid w:val="00A54620"/>
    <w:rsid w:val="00A54719"/>
    <w:rsid w:val="00A5472F"/>
    <w:rsid w:val="00A54752"/>
    <w:rsid w:val="00A54794"/>
    <w:rsid w:val="00A547AC"/>
    <w:rsid w:val="00A5481F"/>
    <w:rsid w:val="00A548A4"/>
    <w:rsid w:val="00A548C9"/>
    <w:rsid w:val="00A5494E"/>
    <w:rsid w:val="00A54971"/>
    <w:rsid w:val="00A54A12"/>
    <w:rsid w:val="00A54B14"/>
    <w:rsid w:val="00A54C26"/>
    <w:rsid w:val="00A54CD2"/>
    <w:rsid w:val="00A54CF7"/>
    <w:rsid w:val="00A54D1A"/>
    <w:rsid w:val="00A54DE3"/>
    <w:rsid w:val="00A54F9F"/>
    <w:rsid w:val="00A5502E"/>
    <w:rsid w:val="00A55120"/>
    <w:rsid w:val="00A551A3"/>
    <w:rsid w:val="00A551F3"/>
    <w:rsid w:val="00A551FC"/>
    <w:rsid w:val="00A5523A"/>
    <w:rsid w:val="00A55241"/>
    <w:rsid w:val="00A55254"/>
    <w:rsid w:val="00A55288"/>
    <w:rsid w:val="00A552D5"/>
    <w:rsid w:val="00A553D1"/>
    <w:rsid w:val="00A554E5"/>
    <w:rsid w:val="00A55574"/>
    <w:rsid w:val="00A55607"/>
    <w:rsid w:val="00A55723"/>
    <w:rsid w:val="00A557C5"/>
    <w:rsid w:val="00A55848"/>
    <w:rsid w:val="00A55852"/>
    <w:rsid w:val="00A558B7"/>
    <w:rsid w:val="00A558C8"/>
    <w:rsid w:val="00A558EC"/>
    <w:rsid w:val="00A5591A"/>
    <w:rsid w:val="00A5597F"/>
    <w:rsid w:val="00A55A9E"/>
    <w:rsid w:val="00A55BE1"/>
    <w:rsid w:val="00A55C01"/>
    <w:rsid w:val="00A55C8C"/>
    <w:rsid w:val="00A55D1E"/>
    <w:rsid w:val="00A55D7E"/>
    <w:rsid w:val="00A55DFF"/>
    <w:rsid w:val="00A5601E"/>
    <w:rsid w:val="00A5605F"/>
    <w:rsid w:val="00A561BE"/>
    <w:rsid w:val="00A561CD"/>
    <w:rsid w:val="00A562BB"/>
    <w:rsid w:val="00A562E4"/>
    <w:rsid w:val="00A56386"/>
    <w:rsid w:val="00A563BF"/>
    <w:rsid w:val="00A5644B"/>
    <w:rsid w:val="00A56565"/>
    <w:rsid w:val="00A565A1"/>
    <w:rsid w:val="00A566A5"/>
    <w:rsid w:val="00A566E6"/>
    <w:rsid w:val="00A5686C"/>
    <w:rsid w:val="00A5692C"/>
    <w:rsid w:val="00A56976"/>
    <w:rsid w:val="00A56A31"/>
    <w:rsid w:val="00A56AF6"/>
    <w:rsid w:val="00A56B21"/>
    <w:rsid w:val="00A56BA4"/>
    <w:rsid w:val="00A56CA5"/>
    <w:rsid w:val="00A56D2D"/>
    <w:rsid w:val="00A56E1B"/>
    <w:rsid w:val="00A56F14"/>
    <w:rsid w:val="00A56FE0"/>
    <w:rsid w:val="00A56FFE"/>
    <w:rsid w:val="00A5705A"/>
    <w:rsid w:val="00A57078"/>
    <w:rsid w:val="00A5711C"/>
    <w:rsid w:val="00A57172"/>
    <w:rsid w:val="00A57294"/>
    <w:rsid w:val="00A57488"/>
    <w:rsid w:val="00A574D8"/>
    <w:rsid w:val="00A57654"/>
    <w:rsid w:val="00A57677"/>
    <w:rsid w:val="00A57835"/>
    <w:rsid w:val="00A57871"/>
    <w:rsid w:val="00A578EF"/>
    <w:rsid w:val="00A578F8"/>
    <w:rsid w:val="00A5793C"/>
    <w:rsid w:val="00A57951"/>
    <w:rsid w:val="00A57AA1"/>
    <w:rsid w:val="00A57AF9"/>
    <w:rsid w:val="00A57B94"/>
    <w:rsid w:val="00A57CF3"/>
    <w:rsid w:val="00A57D1E"/>
    <w:rsid w:val="00A57D41"/>
    <w:rsid w:val="00A57D4F"/>
    <w:rsid w:val="00A57DBA"/>
    <w:rsid w:val="00A57E24"/>
    <w:rsid w:val="00A57E96"/>
    <w:rsid w:val="00A57E9F"/>
    <w:rsid w:val="00A57F3C"/>
    <w:rsid w:val="00A57F51"/>
    <w:rsid w:val="00A6001F"/>
    <w:rsid w:val="00A60021"/>
    <w:rsid w:val="00A601AB"/>
    <w:rsid w:val="00A60217"/>
    <w:rsid w:val="00A60264"/>
    <w:rsid w:val="00A6048E"/>
    <w:rsid w:val="00A60589"/>
    <w:rsid w:val="00A60628"/>
    <w:rsid w:val="00A60682"/>
    <w:rsid w:val="00A606D0"/>
    <w:rsid w:val="00A607B1"/>
    <w:rsid w:val="00A60867"/>
    <w:rsid w:val="00A60934"/>
    <w:rsid w:val="00A60A31"/>
    <w:rsid w:val="00A60B42"/>
    <w:rsid w:val="00A60BA3"/>
    <w:rsid w:val="00A60CFF"/>
    <w:rsid w:val="00A60D5C"/>
    <w:rsid w:val="00A60E57"/>
    <w:rsid w:val="00A60ECB"/>
    <w:rsid w:val="00A60F29"/>
    <w:rsid w:val="00A61041"/>
    <w:rsid w:val="00A610BE"/>
    <w:rsid w:val="00A610DF"/>
    <w:rsid w:val="00A6114B"/>
    <w:rsid w:val="00A61183"/>
    <w:rsid w:val="00A6129C"/>
    <w:rsid w:val="00A613C5"/>
    <w:rsid w:val="00A61482"/>
    <w:rsid w:val="00A6157B"/>
    <w:rsid w:val="00A61601"/>
    <w:rsid w:val="00A61628"/>
    <w:rsid w:val="00A61678"/>
    <w:rsid w:val="00A61825"/>
    <w:rsid w:val="00A61871"/>
    <w:rsid w:val="00A618E7"/>
    <w:rsid w:val="00A619CC"/>
    <w:rsid w:val="00A61A2B"/>
    <w:rsid w:val="00A61B10"/>
    <w:rsid w:val="00A61B95"/>
    <w:rsid w:val="00A61DC1"/>
    <w:rsid w:val="00A61E05"/>
    <w:rsid w:val="00A61EA8"/>
    <w:rsid w:val="00A61F1D"/>
    <w:rsid w:val="00A621BE"/>
    <w:rsid w:val="00A6222B"/>
    <w:rsid w:val="00A6224E"/>
    <w:rsid w:val="00A6239C"/>
    <w:rsid w:val="00A623A1"/>
    <w:rsid w:val="00A6255A"/>
    <w:rsid w:val="00A62686"/>
    <w:rsid w:val="00A6272F"/>
    <w:rsid w:val="00A6280E"/>
    <w:rsid w:val="00A628CB"/>
    <w:rsid w:val="00A628E6"/>
    <w:rsid w:val="00A629F4"/>
    <w:rsid w:val="00A62AC6"/>
    <w:rsid w:val="00A62BB8"/>
    <w:rsid w:val="00A62BC9"/>
    <w:rsid w:val="00A62DD6"/>
    <w:rsid w:val="00A62EBC"/>
    <w:rsid w:val="00A62EDA"/>
    <w:rsid w:val="00A62EF7"/>
    <w:rsid w:val="00A62F41"/>
    <w:rsid w:val="00A62FA6"/>
    <w:rsid w:val="00A6305A"/>
    <w:rsid w:val="00A63085"/>
    <w:rsid w:val="00A631B2"/>
    <w:rsid w:val="00A631C2"/>
    <w:rsid w:val="00A6322B"/>
    <w:rsid w:val="00A63385"/>
    <w:rsid w:val="00A633C1"/>
    <w:rsid w:val="00A63400"/>
    <w:rsid w:val="00A63468"/>
    <w:rsid w:val="00A63511"/>
    <w:rsid w:val="00A636E7"/>
    <w:rsid w:val="00A636F5"/>
    <w:rsid w:val="00A6373C"/>
    <w:rsid w:val="00A63763"/>
    <w:rsid w:val="00A63778"/>
    <w:rsid w:val="00A637FD"/>
    <w:rsid w:val="00A6387F"/>
    <w:rsid w:val="00A6391F"/>
    <w:rsid w:val="00A63966"/>
    <w:rsid w:val="00A63A05"/>
    <w:rsid w:val="00A63A59"/>
    <w:rsid w:val="00A63B9C"/>
    <w:rsid w:val="00A63C13"/>
    <w:rsid w:val="00A63C54"/>
    <w:rsid w:val="00A63DB9"/>
    <w:rsid w:val="00A63DC9"/>
    <w:rsid w:val="00A63EB4"/>
    <w:rsid w:val="00A63F1F"/>
    <w:rsid w:val="00A63F2C"/>
    <w:rsid w:val="00A63F60"/>
    <w:rsid w:val="00A6401C"/>
    <w:rsid w:val="00A64049"/>
    <w:rsid w:val="00A64064"/>
    <w:rsid w:val="00A64074"/>
    <w:rsid w:val="00A64164"/>
    <w:rsid w:val="00A641C3"/>
    <w:rsid w:val="00A641E9"/>
    <w:rsid w:val="00A642A0"/>
    <w:rsid w:val="00A64364"/>
    <w:rsid w:val="00A643C3"/>
    <w:rsid w:val="00A6441B"/>
    <w:rsid w:val="00A6460C"/>
    <w:rsid w:val="00A64633"/>
    <w:rsid w:val="00A6468D"/>
    <w:rsid w:val="00A647A6"/>
    <w:rsid w:val="00A6484D"/>
    <w:rsid w:val="00A6497F"/>
    <w:rsid w:val="00A64982"/>
    <w:rsid w:val="00A649A3"/>
    <w:rsid w:val="00A64AAB"/>
    <w:rsid w:val="00A64B07"/>
    <w:rsid w:val="00A64B5B"/>
    <w:rsid w:val="00A64C3D"/>
    <w:rsid w:val="00A64D54"/>
    <w:rsid w:val="00A64D71"/>
    <w:rsid w:val="00A64DF6"/>
    <w:rsid w:val="00A64E36"/>
    <w:rsid w:val="00A64EB7"/>
    <w:rsid w:val="00A64F3E"/>
    <w:rsid w:val="00A64F8D"/>
    <w:rsid w:val="00A6522D"/>
    <w:rsid w:val="00A65450"/>
    <w:rsid w:val="00A654B9"/>
    <w:rsid w:val="00A654F5"/>
    <w:rsid w:val="00A6553D"/>
    <w:rsid w:val="00A655A0"/>
    <w:rsid w:val="00A65655"/>
    <w:rsid w:val="00A65743"/>
    <w:rsid w:val="00A6586F"/>
    <w:rsid w:val="00A65881"/>
    <w:rsid w:val="00A659DD"/>
    <w:rsid w:val="00A65A14"/>
    <w:rsid w:val="00A65AEA"/>
    <w:rsid w:val="00A65D31"/>
    <w:rsid w:val="00A65DC1"/>
    <w:rsid w:val="00A65DDE"/>
    <w:rsid w:val="00A65E1B"/>
    <w:rsid w:val="00A65EB1"/>
    <w:rsid w:val="00A65F51"/>
    <w:rsid w:val="00A65F73"/>
    <w:rsid w:val="00A65FC0"/>
    <w:rsid w:val="00A65FE7"/>
    <w:rsid w:val="00A66037"/>
    <w:rsid w:val="00A66350"/>
    <w:rsid w:val="00A66515"/>
    <w:rsid w:val="00A66612"/>
    <w:rsid w:val="00A6663C"/>
    <w:rsid w:val="00A667B0"/>
    <w:rsid w:val="00A667EC"/>
    <w:rsid w:val="00A66862"/>
    <w:rsid w:val="00A669E8"/>
    <w:rsid w:val="00A66AAA"/>
    <w:rsid w:val="00A66C76"/>
    <w:rsid w:val="00A66C87"/>
    <w:rsid w:val="00A66CB5"/>
    <w:rsid w:val="00A66D28"/>
    <w:rsid w:val="00A66DAC"/>
    <w:rsid w:val="00A66EE3"/>
    <w:rsid w:val="00A66FA0"/>
    <w:rsid w:val="00A67113"/>
    <w:rsid w:val="00A6712E"/>
    <w:rsid w:val="00A67312"/>
    <w:rsid w:val="00A6731F"/>
    <w:rsid w:val="00A673B1"/>
    <w:rsid w:val="00A673E7"/>
    <w:rsid w:val="00A6747C"/>
    <w:rsid w:val="00A67507"/>
    <w:rsid w:val="00A67586"/>
    <w:rsid w:val="00A6760C"/>
    <w:rsid w:val="00A6787D"/>
    <w:rsid w:val="00A6791F"/>
    <w:rsid w:val="00A67931"/>
    <w:rsid w:val="00A67932"/>
    <w:rsid w:val="00A67979"/>
    <w:rsid w:val="00A6797F"/>
    <w:rsid w:val="00A67A6F"/>
    <w:rsid w:val="00A67AC1"/>
    <w:rsid w:val="00A67BD9"/>
    <w:rsid w:val="00A67C01"/>
    <w:rsid w:val="00A67C88"/>
    <w:rsid w:val="00A67CA1"/>
    <w:rsid w:val="00A67E5D"/>
    <w:rsid w:val="00A67F15"/>
    <w:rsid w:val="00A67F34"/>
    <w:rsid w:val="00A67F44"/>
    <w:rsid w:val="00A67F6D"/>
    <w:rsid w:val="00A67FB5"/>
    <w:rsid w:val="00A70061"/>
    <w:rsid w:val="00A70085"/>
    <w:rsid w:val="00A700F6"/>
    <w:rsid w:val="00A70281"/>
    <w:rsid w:val="00A70335"/>
    <w:rsid w:val="00A70373"/>
    <w:rsid w:val="00A70386"/>
    <w:rsid w:val="00A703C4"/>
    <w:rsid w:val="00A70426"/>
    <w:rsid w:val="00A704AE"/>
    <w:rsid w:val="00A704E4"/>
    <w:rsid w:val="00A705F1"/>
    <w:rsid w:val="00A706CC"/>
    <w:rsid w:val="00A706DE"/>
    <w:rsid w:val="00A707B1"/>
    <w:rsid w:val="00A708A4"/>
    <w:rsid w:val="00A7091E"/>
    <w:rsid w:val="00A709C6"/>
    <w:rsid w:val="00A70A4B"/>
    <w:rsid w:val="00A70B48"/>
    <w:rsid w:val="00A70C2A"/>
    <w:rsid w:val="00A70CBF"/>
    <w:rsid w:val="00A70CFC"/>
    <w:rsid w:val="00A70D31"/>
    <w:rsid w:val="00A70D4A"/>
    <w:rsid w:val="00A70DBA"/>
    <w:rsid w:val="00A70E78"/>
    <w:rsid w:val="00A70F45"/>
    <w:rsid w:val="00A7105D"/>
    <w:rsid w:val="00A71074"/>
    <w:rsid w:val="00A71135"/>
    <w:rsid w:val="00A712C0"/>
    <w:rsid w:val="00A71349"/>
    <w:rsid w:val="00A71358"/>
    <w:rsid w:val="00A713A7"/>
    <w:rsid w:val="00A714ED"/>
    <w:rsid w:val="00A716BD"/>
    <w:rsid w:val="00A716ED"/>
    <w:rsid w:val="00A71838"/>
    <w:rsid w:val="00A7190E"/>
    <w:rsid w:val="00A71992"/>
    <w:rsid w:val="00A71A86"/>
    <w:rsid w:val="00A71B65"/>
    <w:rsid w:val="00A71BE8"/>
    <w:rsid w:val="00A71BF4"/>
    <w:rsid w:val="00A71C10"/>
    <w:rsid w:val="00A71D15"/>
    <w:rsid w:val="00A72034"/>
    <w:rsid w:val="00A7204F"/>
    <w:rsid w:val="00A720EC"/>
    <w:rsid w:val="00A721D9"/>
    <w:rsid w:val="00A72268"/>
    <w:rsid w:val="00A722F5"/>
    <w:rsid w:val="00A72453"/>
    <w:rsid w:val="00A72577"/>
    <w:rsid w:val="00A7261E"/>
    <w:rsid w:val="00A726F1"/>
    <w:rsid w:val="00A726FD"/>
    <w:rsid w:val="00A72805"/>
    <w:rsid w:val="00A72812"/>
    <w:rsid w:val="00A7283C"/>
    <w:rsid w:val="00A7294F"/>
    <w:rsid w:val="00A729E3"/>
    <w:rsid w:val="00A72A78"/>
    <w:rsid w:val="00A72BEB"/>
    <w:rsid w:val="00A72BF3"/>
    <w:rsid w:val="00A72D1C"/>
    <w:rsid w:val="00A72DC1"/>
    <w:rsid w:val="00A72DC6"/>
    <w:rsid w:val="00A72F34"/>
    <w:rsid w:val="00A73280"/>
    <w:rsid w:val="00A733C9"/>
    <w:rsid w:val="00A7349E"/>
    <w:rsid w:val="00A73587"/>
    <w:rsid w:val="00A73694"/>
    <w:rsid w:val="00A7378F"/>
    <w:rsid w:val="00A73812"/>
    <w:rsid w:val="00A7383D"/>
    <w:rsid w:val="00A73889"/>
    <w:rsid w:val="00A738F1"/>
    <w:rsid w:val="00A73936"/>
    <w:rsid w:val="00A73A43"/>
    <w:rsid w:val="00A73A77"/>
    <w:rsid w:val="00A73ABE"/>
    <w:rsid w:val="00A73AC3"/>
    <w:rsid w:val="00A73ADC"/>
    <w:rsid w:val="00A73AFD"/>
    <w:rsid w:val="00A73BE5"/>
    <w:rsid w:val="00A73BF0"/>
    <w:rsid w:val="00A73C62"/>
    <w:rsid w:val="00A7405C"/>
    <w:rsid w:val="00A74065"/>
    <w:rsid w:val="00A74083"/>
    <w:rsid w:val="00A740A2"/>
    <w:rsid w:val="00A741BB"/>
    <w:rsid w:val="00A74220"/>
    <w:rsid w:val="00A7430D"/>
    <w:rsid w:val="00A7431D"/>
    <w:rsid w:val="00A7435D"/>
    <w:rsid w:val="00A74479"/>
    <w:rsid w:val="00A744EE"/>
    <w:rsid w:val="00A7454C"/>
    <w:rsid w:val="00A7464E"/>
    <w:rsid w:val="00A74AAD"/>
    <w:rsid w:val="00A74B39"/>
    <w:rsid w:val="00A74BC8"/>
    <w:rsid w:val="00A74C53"/>
    <w:rsid w:val="00A74C86"/>
    <w:rsid w:val="00A74CCE"/>
    <w:rsid w:val="00A74D45"/>
    <w:rsid w:val="00A74E3E"/>
    <w:rsid w:val="00A7507A"/>
    <w:rsid w:val="00A7512A"/>
    <w:rsid w:val="00A7516E"/>
    <w:rsid w:val="00A75251"/>
    <w:rsid w:val="00A752F4"/>
    <w:rsid w:val="00A754D6"/>
    <w:rsid w:val="00A754EA"/>
    <w:rsid w:val="00A7554A"/>
    <w:rsid w:val="00A75665"/>
    <w:rsid w:val="00A75856"/>
    <w:rsid w:val="00A7588D"/>
    <w:rsid w:val="00A7595A"/>
    <w:rsid w:val="00A75980"/>
    <w:rsid w:val="00A75A5B"/>
    <w:rsid w:val="00A75B55"/>
    <w:rsid w:val="00A75B8C"/>
    <w:rsid w:val="00A75B9D"/>
    <w:rsid w:val="00A75BA9"/>
    <w:rsid w:val="00A75BF7"/>
    <w:rsid w:val="00A75C25"/>
    <w:rsid w:val="00A75C52"/>
    <w:rsid w:val="00A75D0A"/>
    <w:rsid w:val="00A75D5B"/>
    <w:rsid w:val="00A75E90"/>
    <w:rsid w:val="00A76013"/>
    <w:rsid w:val="00A76033"/>
    <w:rsid w:val="00A761EA"/>
    <w:rsid w:val="00A7624F"/>
    <w:rsid w:val="00A76294"/>
    <w:rsid w:val="00A762A2"/>
    <w:rsid w:val="00A76359"/>
    <w:rsid w:val="00A7638A"/>
    <w:rsid w:val="00A763E1"/>
    <w:rsid w:val="00A764E6"/>
    <w:rsid w:val="00A76599"/>
    <w:rsid w:val="00A765A3"/>
    <w:rsid w:val="00A7668B"/>
    <w:rsid w:val="00A7677C"/>
    <w:rsid w:val="00A767EF"/>
    <w:rsid w:val="00A7694E"/>
    <w:rsid w:val="00A76A09"/>
    <w:rsid w:val="00A76AB2"/>
    <w:rsid w:val="00A76C65"/>
    <w:rsid w:val="00A76C71"/>
    <w:rsid w:val="00A76D0E"/>
    <w:rsid w:val="00A76D19"/>
    <w:rsid w:val="00A76FCB"/>
    <w:rsid w:val="00A77115"/>
    <w:rsid w:val="00A7721C"/>
    <w:rsid w:val="00A772C7"/>
    <w:rsid w:val="00A7750A"/>
    <w:rsid w:val="00A7750B"/>
    <w:rsid w:val="00A7755F"/>
    <w:rsid w:val="00A77622"/>
    <w:rsid w:val="00A7768B"/>
    <w:rsid w:val="00A776B9"/>
    <w:rsid w:val="00A7771A"/>
    <w:rsid w:val="00A77732"/>
    <w:rsid w:val="00A77789"/>
    <w:rsid w:val="00A777C5"/>
    <w:rsid w:val="00A777D0"/>
    <w:rsid w:val="00A777F9"/>
    <w:rsid w:val="00A77848"/>
    <w:rsid w:val="00A778F8"/>
    <w:rsid w:val="00A7799F"/>
    <w:rsid w:val="00A77A0F"/>
    <w:rsid w:val="00A77A49"/>
    <w:rsid w:val="00A77AA5"/>
    <w:rsid w:val="00A77B54"/>
    <w:rsid w:val="00A77B80"/>
    <w:rsid w:val="00A77BAA"/>
    <w:rsid w:val="00A77BAF"/>
    <w:rsid w:val="00A77C00"/>
    <w:rsid w:val="00A77C31"/>
    <w:rsid w:val="00A77DDB"/>
    <w:rsid w:val="00A77E78"/>
    <w:rsid w:val="00A77F17"/>
    <w:rsid w:val="00A77F43"/>
    <w:rsid w:val="00A80021"/>
    <w:rsid w:val="00A8017B"/>
    <w:rsid w:val="00A80317"/>
    <w:rsid w:val="00A80331"/>
    <w:rsid w:val="00A8034E"/>
    <w:rsid w:val="00A8035C"/>
    <w:rsid w:val="00A804A6"/>
    <w:rsid w:val="00A80532"/>
    <w:rsid w:val="00A80561"/>
    <w:rsid w:val="00A805E1"/>
    <w:rsid w:val="00A8082C"/>
    <w:rsid w:val="00A808E1"/>
    <w:rsid w:val="00A808FC"/>
    <w:rsid w:val="00A80950"/>
    <w:rsid w:val="00A8096D"/>
    <w:rsid w:val="00A80998"/>
    <w:rsid w:val="00A80A0D"/>
    <w:rsid w:val="00A80A83"/>
    <w:rsid w:val="00A80B1C"/>
    <w:rsid w:val="00A80C4C"/>
    <w:rsid w:val="00A80C75"/>
    <w:rsid w:val="00A80DBD"/>
    <w:rsid w:val="00A80F36"/>
    <w:rsid w:val="00A80FE2"/>
    <w:rsid w:val="00A810BD"/>
    <w:rsid w:val="00A810E4"/>
    <w:rsid w:val="00A81177"/>
    <w:rsid w:val="00A81239"/>
    <w:rsid w:val="00A8125D"/>
    <w:rsid w:val="00A813B5"/>
    <w:rsid w:val="00A8155E"/>
    <w:rsid w:val="00A81729"/>
    <w:rsid w:val="00A817AE"/>
    <w:rsid w:val="00A817D9"/>
    <w:rsid w:val="00A8190B"/>
    <w:rsid w:val="00A81932"/>
    <w:rsid w:val="00A81971"/>
    <w:rsid w:val="00A819BB"/>
    <w:rsid w:val="00A819F7"/>
    <w:rsid w:val="00A81AD3"/>
    <w:rsid w:val="00A81AE6"/>
    <w:rsid w:val="00A81BC9"/>
    <w:rsid w:val="00A81C03"/>
    <w:rsid w:val="00A81CAE"/>
    <w:rsid w:val="00A81ED8"/>
    <w:rsid w:val="00A81F2B"/>
    <w:rsid w:val="00A81F72"/>
    <w:rsid w:val="00A8208C"/>
    <w:rsid w:val="00A822C6"/>
    <w:rsid w:val="00A823B3"/>
    <w:rsid w:val="00A8240A"/>
    <w:rsid w:val="00A82411"/>
    <w:rsid w:val="00A8241D"/>
    <w:rsid w:val="00A8256F"/>
    <w:rsid w:val="00A8259F"/>
    <w:rsid w:val="00A8268D"/>
    <w:rsid w:val="00A82692"/>
    <w:rsid w:val="00A826B5"/>
    <w:rsid w:val="00A826DB"/>
    <w:rsid w:val="00A82755"/>
    <w:rsid w:val="00A82811"/>
    <w:rsid w:val="00A82952"/>
    <w:rsid w:val="00A82A1F"/>
    <w:rsid w:val="00A82A43"/>
    <w:rsid w:val="00A82BD3"/>
    <w:rsid w:val="00A82D05"/>
    <w:rsid w:val="00A82E0E"/>
    <w:rsid w:val="00A82E75"/>
    <w:rsid w:val="00A82E9F"/>
    <w:rsid w:val="00A82F46"/>
    <w:rsid w:val="00A82F47"/>
    <w:rsid w:val="00A82FFE"/>
    <w:rsid w:val="00A8303D"/>
    <w:rsid w:val="00A8307B"/>
    <w:rsid w:val="00A830C4"/>
    <w:rsid w:val="00A83194"/>
    <w:rsid w:val="00A8320B"/>
    <w:rsid w:val="00A8324A"/>
    <w:rsid w:val="00A8329D"/>
    <w:rsid w:val="00A8344E"/>
    <w:rsid w:val="00A83513"/>
    <w:rsid w:val="00A8375F"/>
    <w:rsid w:val="00A83782"/>
    <w:rsid w:val="00A837BD"/>
    <w:rsid w:val="00A837C9"/>
    <w:rsid w:val="00A837D2"/>
    <w:rsid w:val="00A83838"/>
    <w:rsid w:val="00A83890"/>
    <w:rsid w:val="00A83BF3"/>
    <w:rsid w:val="00A83C61"/>
    <w:rsid w:val="00A83CA5"/>
    <w:rsid w:val="00A83D8D"/>
    <w:rsid w:val="00A83E05"/>
    <w:rsid w:val="00A83F31"/>
    <w:rsid w:val="00A83FA5"/>
    <w:rsid w:val="00A84031"/>
    <w:rsid w:val="00A84095"/>
    <w:rsid w:val="00A8429F"/>
    <w:rsid w:val="00A842AC"/>
    <w:rsid w:val="00A843F5"/>
    <w:rsid w:val="00A845DA"/>
    <w:rsid w:val="00A845E5"/>
    <w:rsid w:val="00A84645"/>
    <w:rsid w:val="00A84766"/>
    <w:rsid w:val="00A847E7"/>
    <w:rsid w:val="00A84A6B"/>
    <w:rsid w:val="00A84ADD"/>
    <w:rsid w:val="00A84AFD"/>
    <w:rsid w:val="00A84B99"/>
    <w:rsid w:val="00A84C1A"/>
    <w:rsid w:val="00A84C89"/>
    <w:rsid w:val="00A84D9B"/>
    <w:rsid w:val="00A84E39"/>
    <w:rsid w:val="00A84E4D"/>
    <w:rsid w:val="00A84E64"/>
    <w:rsid w:val="00A84ED1"/>
    <w:rsid w:val="00A84F3F"/>
    <w:rsid w:val="00A84F9F"/>
    <w:rsid w:val="00A84FE7"/>
    <w:rsid w:val="00A8501D"/>
    <w:rsid w:val="00A851CF"/>
    <w:rsid w:val="00A852AF"/>
    <w:rsid w:val="00A852B3"/>
    <w:rsid w:val="00A8540F"/>
    <w:rsid w:val="00A8543E"/>
    <w:rsid w:val="00A85589"/>
    <w:rsid w:val="00A85592"/>
    <w:rsid w:val="00A8570A"/>
    <w:rsid w:val="00A8591D"/>
    <w:rsid w:val="00A85A31"/>
    <w:rsid w:val="00A85A4E"/>
    <w:rsid w:val="00A85B10"/>
    <w:rsid w:val="00A85B7B"/>
    <w:rsid w:val="00A85BA9"/>
    <w:rsid w:val="00A85D75"/>
    <w:rsid w:val="00A85DE7"/>
    <w:rsid w:val="00A85E1A"/>
    <w:rsid w:val="00A85ED5"/>
    <w:rsid w:val="00A85F8A"/>
    <w:rsid w:val="00A85FCC"/>
    <w:rsid w:val="00A85FD6"/>
    <w:rsid w:val="00A860B0"/>
    <w:rsid w:val="00A860C4"/>
    <w:rsid w:val="00A86186"/>
    <w:rsid w:val="00A8632B"/>
    <w:rsid w:val="00A864C6"/>
    <w:rsid w:val="00A86596"/>
    <w:rsid w:val="00A867BB"/>
    <w:rsid w:val="00A867FB"/>
    <w:rsid w:val="00A86969"/>
    <w:rsid w:val="00A869DC"/>
    <w:rsid w:val="00A86BA8"/>
    <w:rsid w:val="00A86CAF"/>
    <w:rsid w:val="00A86CB9"/>
    <w:rsid w:val="00A86CDC"/>
    <w:rsid w:val="00A86D1A"/>
    <w:rsid w:val="00A86E1B"/>
    <w:rsid w:val="00A86ED5"/>
    <w:rsid w:val="00A86F48"/>
    <w:rsid w:val="00A86F7B"/>
    <w:rsid w:val="00A86FE6"/>
    <w:rsid w:val="00A870D1"/>
    <w:rsid w:val="00A870D2"/>
    <w:rsid w:val="00A870EE"/>
    <w:rsid w:val="00A87169"/>
    <w:rsid w:val="00A871BD"/>
    <w:rsid w:val="00A87221"/>
    <w:rsid w:val="00A87236"/>
    <w:rsid w:val="00A8733B"/>
    <w:rsid w:val="00A8736F"/>
    <w:rsid w:val="00A87390"/>
    <w:rsid w:val="00A87436"/>
    <w:rsid w:val="00A874B5"/>
    <w:rsid w:val="00A8758F"/>
    <w:rsid w:val="00A875DF"/>
    <w:rsid w:val="00A876D6"/>
    <w:rsid w:val="00A877C8"/>
    <w:rsid w:val="00A87882"/>
    <w:rsid w:val="00A87891"/>
    <w:rsid w:val="00A878F2"/>
    <w:rsid w:val="00A87903"/>
    <w:rsid w:val="00A879CE"/>
    <w:rsid w:val="00A87AF6"/>
    <w:rsid w:val="00A87B79"/>
    <w:rsid w:val="00A87CBA"/>
    <w:rsid w:val="00A87CFA"/>
    <w:rsid w:val="00A87D88"/>
    <w:rsid w:val="00A87E2E"/>
    <w:rsid w:val="00A87E6C"/>
    <w:rsid w:val="00A87F22"/>
    <w:rsid w:val="00A87F63"/>
    <w:rsid w:val="00A87FCE"/>
    <w:rsid w:val="00A900E7"/>
    <w:rsid w:val="00A9032F"/>
    <w:rsid w:val="00A903CF"/>
    <w:rsid w:val="00A90480"/>
    <w:rsid w:val="00A90561"/>
    <w:rsid w:val="00A905CF"/>
    <w:rsid w:val="00A905E6"/>
    <w:rsid w:val="00A9070D"/>
    <w:rsid w:val="00A90790"/>
    <w:rsid w:val="00A90793"/>
    <w:rsid w:val="00A907D9"/>
    <w:rsid w:val="00A9095F"/>
    <w:rsid w:val="00A909A5"/>
    <w:rsid w:val="00A909A9"/>
    <w:rsid w:val="00A909E7"/>
    <w:rsid w:val="00A90AAB"/>
    <w:rsid w:val="00A90B22"/>
    <w:rsid w:val="00A90C50"/>
    <w:rsid w:val="00A90CB5"/>
    <w:rsid w:val="00A90CCD"/>
    <w:rsid w:val="00A90D18"/>
    <w:rsid w:val="00A90EC4"/>
    <w:rsid w:val="00A90F5F"/>
    <w:rsid w:val="00A9102A"/>
    <w:rsid w:val="00A91049"/>
    <w:rsid w:val="00A91077"/>
    <w:rsid w:val="00A910BE"/>
    <w:rsid w:val="00A9126D"/>
    <w:rsid w:val="00A9127D"/>
    <w:rsid w:val="00A91350"/>
    <w:rsid w:val="00A91375"/>
    <w:rsid w:val="00A91381"/>
    <w:rsid w:val="00A9138B"/>
    <w:rsid w:val="00A914B9"/>
    <w:rsid w:val="00A914ED"/>
    <w:rsid w:val="00A91951"/>
    <w:rsid w:val="00A91B0F"/>
    <w:rsid w:val="00A91B45"/>
    <w:rsid w:val="00A91BD7"/>
    <w:rsid w:val="00A91C5E"/>
    <w:rsid w:val="00A91CB2"/>
    <w:rsid w:val="00A91D23"/>
    <w:rsid w:val="00A91DAA"/>
    <w:rsid w:val="00A91DFE"/>
    <w:rsid w:val="00A91E1B"/>
    <w:rsid w:val="00A91E6C"/>
    <w:rsid w:val="00A91E99"/>
    <w:rsid w:val="00A91EEA"/>
    <w:rsid w:val="00A91FB5"/>
    <w:rsid w:val="00A92017"/>
    <w:rsid w:val="00A92061"/>
    <w:rsid w:val="00A920FB"/>
    <w:rsid w:val="00A92155"/>
    <w:rsid w:val="00A92174"/>
    <w:rsid w:val="00A9235A"/>
    <w:rsid w:val="00A92381"/>
    <w:rsid w:val="00A92440"/>
    <w:rsid w:val="00A92472"/>
    <w:rsid w:val="00A924E1"/>
    <w:rsid w:val="00A926B6"/>
    <w:rsid w:val="00A928E8"/>
    <w:rsid w:val="00A9296D"/>
    <w:rsid w:val="00A9299E"/>
    <w:rsid w:val="00A92B58"/>
    <w:rsid w:val="00A92BD5"/>
    <w:rsid w:val="00A92C9C"/>
    <w:rsid w:val="00A92CD5"/>
    <w:rsid w:val="00A92E22"/>
    <w:rsid w:val="00A92E2C"/>
    <w:rsid w:val="00A92E46"/>
    <w:rsid w:val="00A92FA2"/>
    <w:rsid w:val="00A92FB4"/>
    <w:rsid w:val="00A92FC0"/>
    <w:rsid w:val="00A92FDD"/>
    <w:rsid w:val="00A92FEF"/>
    <w:rsid w:val="00A9302C"/>
    <w:rsid w:val="00A93042"/>
    <w:rsid w:val="00A931AA"/>
    <w:rsid w:val="00A93251"/>
    <w:rsid w:val="00A9331A"/>
    <w:rsid w:val="00A9334C"/>
    <w:rsid w:val="00A9336D"/>
    <w:rsid w:val="00A934A1"/>
    <w:rsid w:val="00A934A6"/>
    <w:rsid w:val="00A93518"/>
    <w:rsid w:val="00A9358C"/>
    <w:rsid w:val="00A935D6"/>
    <w:rsid w:val="00A93622"/>
    <w:rsid w:val="00A9366B"/>
    <w:rsid w:val="00A93729"/>
    <w:rsid w:val="00A9375F"/>
    <w:rsid w:val="00A937DF"/>
    <w:rsid w:val="00A9389B"/>
    <w:rsid w:val="00A938F7"/>
    <w:rsid w:val="00A93911"/>
    <w:rsid w:val="00A9392B"/>
    <w:rsid w:val="00A9398B"/>
    <w:rsid w:val="00A93A85"/>
    <w:rsid w:val="00A93C54"/>
    <w:rsid w:val="00A93C6F"/>
    <w:rsid w:val="00A93CBB"/>
    <w:rsid w:val="00A93E8A"/>
    <w:rsid w:val="00A93EEE"/>
    <w:rsid w:val="00A93F72"/>
    <w:rsid w:val="00A940B4"/>
    <w:rsid w:val="00A940D5"/>
    <w:rsid w:val="00A94222"/>
    <w:rsid w:val="00A9428D"/>
    <w:rsid w:val="00A943B8"/>
    <w:rsid w:val="00A943C9"/>
    <w:rsid w:val="00A94430"/>
    <w:rsid w:val="00A94586"/>
    <w:rsid w:val="00A9470E"/>
    <w:rsid w:val="00A947D3"/>
    <w:rsid w:val="00A9493D"/>
    <w:rsid w:val="00A9494B"/>
    <w:rsid w:val="00A949F1"/>
    <w:rsid w:val="00A94A28"/>
    <w:rsid w:val="00A94A8B"/>
    <w:rsid w:val="00A94AD3"/>
    <w:rsid w:val="00A94BB0"/>
    <w:rsid w:val="00A94C49"/>
    <w:rsid w:val="00A94CE0"/>
    <w:rsid w:val="00A94D40"/>
    <w:rsid w:val="00A94DE8"/>
    <w:rsid w:val="00A94EFA"/>
    <w:rsid w:val="00A94FAB"/>
    <w:rsid w:val="00A951BA"/>
    <w:rsid w:val="00A95217"/>
    <w:rsid w:val="00A95254"/>
    <w:rsid w:val="00A95290"/>
    <w:rsid w:val="00A952CF"/>
    <w:rsid w:val="00A952E3"/>
    <w:rsid w:val="00A952F8"/>
    <w:rsid w:val="00A9531E"/>
    <w:rsid w:val="00A9536D"/>
    <w:rsid w:val="00A953E0"/>
    <w:rsid w:val="00A954CA"/>
    <w:rsid w:val="00A954EF"/>
    <w:rsid w:val="00A95577"/>
    <w:rsid w:val="00A9564E"/>
    <w:rsid w:val="00A9568B"/>
    <w:rsid w:val="00A95691"/>
    <w:rsid w:val="00A956A5"/>
    <w:rsid w:val="00A95741"/>
    <w:rsid w:val="00A95816"/>
    <w:rsid w:val="00A958DE"/>
    <w:rsid w:val="00A95A08"/>
    <w:rsid w:val="00A95A1E"/>
    <w:rsid w:val="00A95AF7"/>
    <w:rsid w:val="00A95BCF"/>
    <w:rsid w:val="00A95DD6"/>
    <w:rsid w:val="00A95E75"/>
    <w:rsid w:val="00A95F72"/>
    <w:rsid w:val="00A95FAA"/>
    <w:rsid w:val="00A960C8"/>
    <w:rsid w:val="00A96115"/>
    <w:rsid w:val="00A9616D"/>
    <w:rsid w:val="00A961A9"/>
    <w:rsid w:val="00A96233"/>
    <w:rsid w:val="00A96274"/>
    <w:rsid w:val="00A9628B"/>
    <w:rsid w:val="00A96447"/>
    <w:rsid w:val="00A964A3"/>
    <w:rsid w:val="00A964C4"/>
    <w:rsid w:val="00A9678C"/>
    <w:rsid w:val="00A967A7"/>
    <w:rsid w:val="00A967CB"/>
    <w:rsid w:val="00A96839"/>
    <w:rsid w:val="00A9686B"/>
    <w:rsid w:val="00A96878"/>
    <w:rsid w:val="00A968E7"/>
    <w:rsid w:val="00A9690A"/>
    <w:rsid w:val="00A96A2E"/>
    <w:rsid w:val="00A96A69"/>
    <w:rsid w:val="00A96C37"/>
    <w:rsid w:val="00A96DA8"/>
    <w:rsid w:val="00A96E87"/>
    <w:rsid w:val="00A96FE3"/>
    <w:rsid w:val="00A9701C"/>
    <w:rsid w:val="00A97040"/>
    <w:rsid w:val="00A97073"/>
    <w:rsid w:val="00A97131"/>
    <w:rsid w:val="00A97165"/>
    <w:rsid w:val="00A97166"/>
    <w:rsid w:val="00A97167"/>
    <w:rsid w:val="00A971FF"/>
    <w:rsid w:val="00A973E7"/>
    <w:rsid w:val="00A97460"/>
    <w:rsid w:val="00A97477"/>
    <w:rsid w:val="00A97715"/>
    <w:rsid w:val="00A977C9"/>
    <w:rsid w:val="00A977ED"/>
    <w:rsid w:val="00A97822"/>
    <w:rsid w:val="00A9790F"/>
    <w:rsid w:val="00A97931"/>
    <w:rsid w:val="00A979C5"/>
    <w:rsid w:val="00A97B0F"/>
    <w:rsid w:val="00A97BBC"/>
    <w:rsid w:val="00A97BCC"/>
    <w:rsid w:val="00A97DA5"/>
    <w:rsid w:val="00A97DE2"/>
    <w:rsid w:val="00A97E0A"/>
    <w:rsid w:val="00A97E1A"/>
    <w:rsid w:val="00A97E43"/>
    <w:rsid w:val="00A97FDB"/>
    <w:rsid w:val="00A97FFA"/>
    <w:rsid w:val="00AA01C8"/>
    <w:rsid w:val="00AA024C"/>
    <w:rsid w:val="00AA0269"/>
    <w:rsid w:val="00AA0291"/>
    <w:rsid w:val="00AA035C"/>
    <w:rsid w:val="00AA03A5"/>
    <w:rsid w:val="00AA0461"/>
    <w:rsid w:val="00AA04BA"/>
    <w:rsid w:val="00AA05A6"/>
    <w:rsid w:val="00AA05F5"/>
    <w:rsid w:val="00AA0664"/>
    <w:rsid w:val="00AA06C4"/>
    <w:rsid w:val="00AA0710"/>
    <w:rsid w:val="00AA083A"/>
    <w:rsid w:val="00AA08A8"/>
    <w:rsid w:val="00AA08E9"/>
    <w:rsid w:val="00AA0906"/>
    <w:rsid w:val="00AA097A"/>
    <w:rsid w:val="00AA0A49"/>
    <w:rsid w:val="00AA0AAD"/>
    <w:rsid w:val="00AA0B2B"/>
    <w:rsid w:val="00AA0B84"/>
    <w:rsid w:val="00AA0BF5"/>
    <w:rsid w:val="00AA0D9B"/>
    <w:rsid w:val="00AA0E2B"/>
    <w:rsid w:val="00AA0E2F"/>
    <w:rsid w:val="00AA0E56"/>
    <w:rsid w:val="00AA107F"/>
    <w:rsid w:val="00AA10DE"/>
    <w:rsid w:val="00AA122E"/>
    <w:rsid w:val="00AA1288"/>
    <w:rsid w:val="00AA133E"/>
    <w:rsid w:val="00AA13D6"/>
    <w:rsid w:val="00AA141D"/>
    <w:rsid w:val="00AA1420"/>
    <w:rsid w:val="00AA15C8"/>
    <w:rsid w:val="00AA168E"/>
    <w:rsid w:val="00AA171C"/>
    <w:rsid w:val="00AA174E"/>
    <w:rsid w:val="00AA1852"/>
    <w:rsid w:val="00AA18CA"/>
    <w:rsid w:val="00AA1911"/>
    <w:rsid w:val="00AA193B"/>
    <w:rsid w:val="00AA193F"/>
    <w:rsid w:val="00AA19C8"/>
    <w:rsid w:val="00AA1A70"/>
    <w:rsid w:val="00AA1B9E"/>
    <w:rsid w:val="00AA1BAF"/>
    <w:rsid w:val="00AA1BE8"/>
    <w:rsid w:val="00AA1C43"/>
    <w:rsid w:val="00AA1D3F"/>
    <w:rsid w:val="00AA1D7F"/>
    <w:rsid w:val="00AA1F91"/>
    <w:rsid w:val="00AA20C0"/>
    <w:rsid w:val="00AA20C1"/>
    <w:rsid w:val="00AA20F7"/>
    <w:rsid w:val="00AA21F7"/>
    <w:rsid w:val="00AA2320"/>
    <w:rsid w:val="00AA2339"/>
    <w:rsid w:val="00AA233D"/>
    <w:rsid w:val="00AA236C"/>
    <w:rsid w:val="00AA23D5"/>
    <w:rsid w:val="00AA24FF"/>
    <w:rsid w:val="00AA259C"/>
    <w:rsid w:val="00AA26D3"/>
    <w:rsid w:val="00AA2A0E"/>
    <w:rsid w:val="00AA2ADD"/>
    <w:rsid w:val="00AA2B16"/>
    <w:rsid w:val="00AA2E34"/>
    <w:rsid w:val="00AA2EA1"/>
    <w:rsid w:val="00AA2ED9"/>
    <w:rsid w:val="00AA2EEE"/>
    <w:rsid w:val="00AA2F55"/>
    <w:rsid w:val="00AA2F66"/>
    <w:rsid w:val="00AA2F6F"/>
    <w:rsid w:val="00AA301A"/>
    <w:rsid w:val="00AA30D0"/>
    <w:rsid w:val="00AA3464"/>
    <w:rsid w:val="00AA3566"/>
    <w:rsid w:val="00AA35F8"/>
    <w:rsid w:val="00AA3684"/>
    <w:rsid w:val="00AA370D"/>
    <w:rsid w:val="00AA3861"/>
    <w:rsid w:val="00AA38C5"/>
    <w:rsid w:val="00AA391C"/>
    <w:rsid w:val="00AA394F"/>
    <w:rsid w:val="00AA396E"/>
    <w:rsid w:val="00AA3996"/>
    <w:rsid w:val="00AA3A3A"/>
    <w:rsid w:val="00AA3AA6"/>
    <w:rsid w:val="00AA3BD2"/>
    <w:rsid w:val="00AA3C24"/>
    <w:rsid w:val="00AA3CE0"/>
    <w:rsid w:val="00AA3D70"/>
    <w:rsid w:val="00AA3E1A"/>
    <w:rsid w:val="00AA3E92"/>
    <w:rsid w:val="00AA3F19"/>
    <w:rsid w:val="00AA42F4"/>
    <w:rsid w:val="00AA4745"/>
    <w:rsid w:val="00AA47A2"/>
    <w:rsid w:val="00AA49BB"/>
    <w:rsid w:val="00AA4C1D"/>
    <w:rsid w:val="00AA4C52"/>
    <w:rsid w:val="00AA4D1F"/>
    <w:rsid w:val="00AA4D4A"/>
    <w:rsid w:val="00AA4EA3"/>
    <w:rsid w:val="00AA4F8D"/>
    <w:rsid w:val="00AA4FC3"/>
    <w:rsid w:val="00AA5136"/>
    <w:rsid w:val="00AA51EB"/>
    <w:rsid w:val="00AA520F"/>
    <w:rsid w:val="00AA52DA"/>
    <w:rsid w:val="00AA553A"/>
    <w:rsid w:val="00AA557E"/>
    <w:rsid w:val="00AA5602"/>
    <w:rsid w:val="00AA5606"/>
    <w:rsid w:val="00AA5663"/>
    <w:rsid w:val="00AA5929"/>
    <w:rsid w:val="00AA59A2"/>
    <w:rsid w:val="00AA5AE3"/>
    <w:rsid w:val="00AA5B11"/>
    <w:rsid w:val="00AA5B1C"/>
    <w:rsid w:val="00AA5B60"/>
    <w:rsid w:val="00AA5B9B"/>
    <w:rsid w:val="00AA5C42"/>
    <w:rsid w:val="00AA5D59"/>
    <w:rsid w:val="00AA5DEF"/>
    <w:rsid w:val="00AA5E7E"/>
    <w:rsid w:val="00AA5F2F"/>
    <w:rsid w:val="00AA6037"/>
    <w:rsid w:val="00AA6052"/>
    <w:rsid w:val="00AA6109"/>
    <w:rsid w:val="00AA61BA"/>
    <w:rsid w:val="00AA63D9"/>
    <w:rsid w:val="00AA649B"/>
    <w:rsid w:val="00AA653A"/>
    <w:rsid w:val="00AA6657"/>
    <w:rsid w:val="00AA67AE"/>
    <w:rsid w:val="00AA67ED"/>
    <w:rsid w:val="00AA68E1"/>
    <w:rsid w:val="00AA68F5"/>
    <w:rsid w:val="00AA6960"/>
    <w:rsid w:val="00AA6A2C"/>
    <w:rsid w:val="00AA6ABC"/>
    <w:rsid w:val="00AA6BA0"/>
    <w:rsid w:val="00AA6CC7"/>
    <w:rsid w:val="00AA6D2E"/>
    <w:rsid w:val="00AA6F8B"/>
    <w:rsid w:val="00AA70EF"/>
    <w:rsid w:val="00AA715D"/>
    <w:rsid w:val="00AA725F"/>
    <w:rsid w:val="00AA7269"/>
    <w:rsid w:val="00AA72AE"/>
    <w:rsid w:val="00AA7301"/>
    <w:rsid w:val="00AA749E"/>
    <w:rsid w:val="00AA74C2"/>
    <w:rsid w:val="00AA74CF"/>
    <w:rsid w:val="00AA75D4"/>
    <w:rsid w:val="00AA76DF"/>
    <w:rsid w:val="00AA76F0"/>
    <w:rsid w:val="00AA781B"/>
    <w:rsid w:val="00AA785E"/>
    <w:rsid w:val="00AA788D"/>
    <w:rsid w:val="00AA791B"/>
    <w:rsid w:val="00AA79B3"/>
    <w:rsid w:val="00AA79BF"/>
    <w:rsid w:val="00AA7E9C"/>
    <w:rsid w:val="00AB0059"/>
    <w:rsid w:val="00AB00D7"/>
    <w:rsid w:val="00AB0168"/>
    <w:rsid w:val="00AB019E"/>
    <w:rsid w:val="00AB031A"/>
    <w:rsid w:val="00AB041E"/>
    <w:rsid w:val="00AB0423"/>
    <w:rsid w:val="00AB0579"/>
    <w:rsid w:val="00AB05B0"/>
    <w:rsid w:val="00AB06EB"/>
    <w:rsid w:val="00AB06F6"/>
    <w:rsid w:val="00AB0742"/>
    <w:rsid w:val="00AB0786"/>
    <w:rsid w:val="00AB0909"/>
    <w:rsid w:val="00AB0AB5"/>
    <w:rsid w:val="00AB0ADB"/>
    <w:rsid w:val="00AB0B10"/>
    <w:rsid w:val="00AB0B6A"/>
    <w:rsid w:val="00AB0BCC"/>
    <w:rsid w:val="00AB0D2D"/>
    <w:rsid w:val="00AB0D58"/>
    <w:rsid w:val="00AB0D5A"/>
    <w:rsid w:val="00AB0ECE"/>
    <w:rsid w:val="00AB0F74"/>
    <w:rsid w:val="00AB0FA5"/>
    <w:rsid w:val="00AB0FB3"/>
    <w:rsid w:val="00AB0FEF"/>
    <w:rsid w:val="00AB10F7"/>
    <w:rsid w:val="00AB118C"/>
    <w:rsid w:val="00AB1342"/>
    <w:rsid w:val="00AB1357"/>
    <w:rsid w:val="00AB13B7"/>
    <w:rsid w:val="00AB1411"/>
    <w:rsid w:val="00AB15AC"/>
    <w:rsid w:val="00AB1744"/>
    <w:rsid w:val="00AB17CE"/>
    <w:rsid w:val="00AB1893"/>
    <w:rsid w:val="00AB1971"/>
    <w:rsid w:val="00AB19E4"/>
    <w:rsid w:val="00AB1A3F"/>
    <w:rsid w:val="00AB1A58"/>
    <w:rsid w:val="00AB1BA7"/>
    <w:rsid w:val="00AB1D23"/>
    <w:rsid w:val="00AB1F23"/>
    <w:rsid w:val="00AB1FA7"/>
    <w:rsid w:val="00AB203B"/>
    <w:rsid w:val="00AB21BC"/>
    <w:rsid w:val="00AB2242"/>
    <w:rsid w:val="00AB234B"/>
    <w:rsid w:val="00AB23CD"/>
    <w:rsid w:val="00AB2419"/>
    <w:rsid w:val="00AB2454"/>
    <w:rsid w:val="00AB253E"/>
    <w:rsid w:val="00AB2574"/>
    <w:rsid w:val="00AB2619"/>
    <w:rsid w:val="00AB266D"/>
    <w:rsid w:val="00AB26EC"/>
    <w:rsid w:val="00AB2816"/>
    <w:rsid w:val="00AB28A1"/>
    <w:rsid w:val="00AB2946"/>
    <w:rsid w:val="00AB2986"/>
    <w:rsid w:val="00AB2A7D"/>
    <w:rsid w:val="00AB2A8C"/>
    <w:rsid w:val="00AB2B94"/>
    <w:rsid w:val="00AB2B9F"/>
    <w:rsid w:val="00AB2BAC"/>
    <w:rsid w:val="00AB2BC5"/>
    <w:rsid w:val="00AB2C2A"/>
    <w:rsid w:val="00AB2D3F"/>
    <w:rsid w:val="00AB2D58"/>
    <w:rsid w:val="00AB2E5B"/>
    <w:rsid w:val="00AB2EC3"/>
    <w:rsid w:val="00AB2F8A"/>
    <w:rsid w:val="00AB30AF"/>
    <w:rsid w:val="00AB30B5"/>
    <w:rsid w:val="00AB3123"/>
    <w:rsid w:val="00AB329D"/>
    <w:rsid w:val="00AB334F"/>
    <w:rsid w:val="00AB342B"/>
    <w:rsid w:val="00AB3564"/>
    <w:rsid w:val="00AB3615"/>
    <w:rsid w:val="00AB3633"/>
    <w:rsid w:val="00AB365B"/>
    <w:rsid w:val="00AB37DB"/>
    <w:rsid w:val="00AB387C"/>
    <w:rsid w:val="00AB38E2"/>
    <w:rsid w:val="00AB3B02"/>
    <w:rsid w:val="00AB3B74"/>
    <w:rsid w:val="00AB3D81"/>
    <w:rsid w:val="00AB3DB1"/>
    <w:rsid w:val="00AB3E10"/>
    <w:rsid w:val="00AB3E97"/>
    <w:rsid w:val="00AB3EC1"/>
    <w:rsid w:val="00AB3F0C"/>
    <w:rsid w:val="00AB3F8C"/>
    <w:rsid w:val="00AB3FCB"/>
    <w:rsid w:val="00AB3FF8"/>
    <w:rsid w:val="00AB406B"/>
    <w:rsid w:val="00AB40BF"/>
    <w:rsid w:val="00AB41C7"/>
    <w:rsid w:val="00AB41D6"/>
    <w:rsid w:val="00AB437F"/>
    <w:rsid w:val="00AB43E4"/>
    <w:rsid w:val="00AB450D"/>
    <w:rsid w:val="00AB454F"/>
    <w:rsid w:val="00AB4674"/>
    <w:rsid w:val="00AB46FA"/>
    <w:rsid w:val="00AB4738"/>
    <w:rsid w:val="00AB47EA"/>
    <w:rsid w:val="00AB48D9"/>
    <w:rsid w:val="00AB4CE2"/>
    <w:rsid w:val="00AB4DB4"/>
    <w:rsid w:val="00AB4DE0"/>
    <w:rsid w:val="00AB4EB5"/>
    <w:rsid w:val="00AB4EEC"/>
    <w:rsid w:val="00AB5008"/>
    <w:rsid w:val="00AB52A8"/>
    <w:rsid w:val="00AB52EF"/>
    <w:rsid w:val="00AB53A6"/>
    <w:rsid w:val="00AB53C8"/>
    <w:rsid w:val="00AB5501"/>
    <w:rsid w:val="00AB559A"/>
    <w:rsid w:val="00AB57EF"/>
    <w:rsid w:val="00AB583A"/>
    <w:rsid w:val="00AB586E"/>
    <w:rsid w:val="00AB5896"/>
    <w:rsid w:val="00AB5915"/>
    <w:rsid w:val="00AB5B3A"/>
    <w:rsid w:val="00AB5BAC"/>
    <w:rsid w:val="00AB5C26"/>
    <w:rsid w:val="00AB5D61"/>
    <w:rsid w:val="00AB5E07"/>
    <w:rsid w:val="00AB5E36"/>
    <w:rsid w:val="00AB5EB3"/>
    <w:rsid w:val="00AB5F0D"/>
    <w:rsid w:val="00AB5FC4"/>
    <w:rsid w:val="00AB5FD0"/>
    <w:rsid w:val="00AB600A"/>
    <w:rsid w:val="00AB6062"/>
    <w:rsid w:val="00AB60F1"/>
    <w:rsid w:val="00AB60F7"/>
    <w:rsid w:val="00AB61C6"/>
    <w:rsid w:val="00AB61E5"/>
    <w:rsid w:val="00AB620F"/>
    <w:rsid w:val="00AB62C3"/>
    <w:rsid w:val="00AB65AE"/>
    <w:rsid w:val="00AB65BC"/>
    <w:rsid w:val="00AB6676"/>
    <w:rsid w:val="00AB66B4"/>
    <w:rsid w:val="00AB6852"/>
    <w:rsid w:val="00AB6856"/>
    <w:rsid w:val="00AB68DA"/>
    <w:rsid w:val="00AB69C4"/>
    <w:rsid w:val="00AB69CC"/>
    <w:rsid w:val="00AB69E3"/>
    <w:rsid w:val="00AB6A39"/>
    <w:rsid w:val="00AB6BAC"/>
    <w:rsid w:val="00AB6C04"/>
    <w:rsid w:val="00AB6D67"/>
    <w:rsid w:val="00AB6DAE"/>
    <w:rsid w:val="00AB6DD1"/>
    <w:rsid w:val="00AB6E98"/>
    <w:rsid w:val="00AB6F97"/>
    <w:rsid w:val="00AB7066"/>
    <w:rsid w:val="00AB7172"/>
    <w:rsid w:val="00AB7430"/>
    <w:rsid w:val="00AB74DF"/>
    <w:rsid w:val="00AB7526"/>
    <w:rsid w:val="00AB75FF"/>
    <w:rsid w:val="00AB767E"/>
    <w:rsid w:val="00AB76FF"/>
    <w:rsid w:val="00AB77BD"/>
    <w:rsid w:val="00AB79DD"/>
    <w:rsid w:val="00AB79E6"/>
    <w:rsid w:val="00AB7A0D"/>
    <w:rsid w:val="00AB7C63"/>
    <w:rsid w:val="00AB7D68"/>
    <w:rsid w:val="00AB7DCF"/>
    <w:rsid w:val="00AB7DF3"/>
    <w:rsid w:val="00AB7E38"/>
    <w:rsid w:val="00AB7F82"/>
    <w:rsid w:val="00AC000A"/>
    <w:rsid w:val="00AC018C"/>
    <w:rsid w:val="00AC040F"/>
    <w:rsid w:val="00AC0450"/>
    <w:rsid w:val="00AC0465"/>
    <w:rsid w:val="00AC04E3"/>
    <w:rsid w:val="00AC068A"/>
    <w:rsid w:val="00AC06E8"/>
    <w:rsid w:val="00AC06EE"/>
    <w:rsid w:val="00AC08FF"/>
    <w:rsid w:val="00AC09E2"/>
    <w:rsid w:val="00AC0A9A"/>
    <w:rsid w:val="00AC0AB0"/>
    <w:rsid w:val="00AC0AC8"/>
    <w:rsid w:val="00AC0B2D"/>
    <w:rsid w:val="00AC0C66"/>
    <w:rsid w:val="00AC0C91"/>
    <w:rsid w:val="00AC0D38"/>
    <w:rsid w:val="00AC0E30"/>
    <w:rsid w:val="00AC0E5E"/>
    <w:rsid w:val="00AC0EBF"/>
    <w:rsid w:val="00AC0FB5"/>
    <w:rsid w:val="00AC1133"/>
    <w:rsid w:val="00AC11C0"/>
    <w:rsid w:val="00AC124A"/>
    <w:rsid w:val="00AC12B2"/>
    <w:rsid w:val="00AC1330"/>
    <w:rsid w:val="00AC1417"/>
    <w:rsid w:val="00AC1442"/>
    <w:rsid w:val="00AC1536"/>
    <w:rsid w:val="00AC1544"/>
    <w:rsid w:val="00AC168E"/>
    <w:rsid w:val="00AC16B2"/>
    <w:rsid w:val="00AC16CF"/>
    <w:rsid w:val="00AC17BA"/>
    <w:rsid w:val="00AC1815"/>
    <w:rsid w:val="00AC18A6"/>
    <w:rsid w:val="00AC1979"/>
    <w:rsid w:val="00AC19A0"/>
    <w:rsid w:val="00AC1A21"/>
    <w:rsid w:val="00AC1A44"/>
    <w:rsid w:val="00AC1A46"/>
    <w:rsid w:val="00AC1AB7"/>
    <w:rsid w:val="00AC1AE4"/>
    <w:rsid w:val="00AC1B18"/>
    <w:rsid w:val="00AC1D3A"/>
    <w:rsid w:val="00AC1D3F"/>
    <w:rsid w:val="00AC1DF6"/>
    <w:rsid w:val="00AC1F56"/>
    <w:rsid w:val="00AC2198"/>
    <w:rsid w:val="00AC2273"/>
    <w:rsid w:val="00AC2470"/>
    <w:rsid w:val="00AC24A3"/>
    <w:rsid w:val="00AC2523"/>
    <w:rsid w:val="00AC253A"/>
    <w:rsid w:val="00AC27E3"/>
    <w:rsid w:val="00AC2841"/>
    <w:rsid w:val="00AC2898"/>
    <w:rsid w:val="00AC2925"/>
    <w:rsid w:val="00AC2956"/>
    <w:rsid w:val="00AC2ABE"/>
    <w:rsid w:val="00AC2B2E"/>
    <w:rsid w:val="00AC2B6C"/>
    <w:rsid w:val="00AC2C95"/>
    <w:rsid w:val="00AC2D65"/>
    <w:rsid w:val="00AC2D73"/>
    <w:rsid w:val="00AC2DCF"/>
    <w:rsid w:val="00AC2E05"/>
    <w:rsid w:val="00AC2E5C"/>
    <w:rsid w:val="00AC2F0C"/>
    <w:rsid w:val="00AC3044"/>
    <w:rsid w:val="00AC30D4"/>
    <w:rsid w:val="00AC314E"/>
    <w:rsid w:val="00AC31B3"/>
    <w:rsid w:val="00AC327A"/>
    <w:rsid w:val="00AC32BB"/>
    <w:rsid w:val="00AC32CA"/>
    <w:rsid w:val="00AC33AD"/>
    <w:rsid w:val="00AC34AE"/>
    <w:rsid w:val="00AC34B4"/>
    <w:rsid w:val="00AC353A"/>
    <w:rsid w:val="00AC36FD"/>
    <w:rsid w:val="00AC3724"/>
    <w:rsid w:val="00AC375A"/>
    <w:rsid w:val="00AC388A"/>
    <w:rsid w:val="00AC396A"/>
    <w:rsid w:val="00AC39A7"/>
    <w:rsid w:val="00AC3A60"/>
    <w:rsid w:val="00AC3B19"/>
    <w:rsid w:val="00AC3B30"/>
    <w:rsid w:val="00AC3B72"/>
    <w:rsid w:val="00AC3BCC"/>
    <w:rsid w:val="00AC3C2B"/>
    <w:rsid w:val="00AC3C80"/>
    <w:rsid w:val="00AC3D1E"/>
    <w:rsid w:val="00AC3D6C"/>
    <w:rsid w:val="00AC3EAA"/>
    <w:rsid w:val="00AC3EC3"/>
    <w:rsid w:val="00AC3EC7"/>
    <w:rsid w:val="00AC3EDB"/>
    <w:rsid w:val="00AC414D"/>
    <w:rsid w:val="00AC428B"/>
    <w:rsid w:val="00AC42A8"/>
    <w:rsid w:val="00AC436E"/>
    <w:rsid w:val="00AC43ED"/>
    <w:rsid w:val="00AC44F3"/>
    <w:rsid w:val="00AC469A"/>
    <w:rsid w:val="00AC481B"/>
    <w:rsid w:val="00AC48A9"/>
    <w:rsid w:val="00AC4901"/>
    <w:rsid w:val="00AC491E"/>
    <w:rsid w:val="00AC494B"/>
    <w:rsid w:val="00AC499B"/>
    <w:rsid w:val="00AC49F3"/>
    <w:rsid w:val="00AC4A88"/>
    <w:rsid w:val="00AC4AD4"/>
    <w:rsid w:val="00AC4BE5"/>
    <w:rsid w:val="00AC4BF2"/>
    <w:rsid w:val="00AC4C37"/>
    <w:rsid w:val="00AC4F1B"/>
    <w:rsid w:val="00AC4F7E"/>
    <w:rsid w:val="00AC4F99"/>
    <w:rsid w:val="00AC4FF3"/>
    <w:rsid w:val="00AC5054"/>
    <w:rsid w:val="00AC5325"/>
    <w:rsid w:val="00AC53F1"/>
    <w:rsid w:val="00AC5768"/>
    <w:rsid w:val="00AC58AE"/>
    <w:rsid w:val="00AC58CF"/>
    <w:rsid w:val="00AC5905"/>
    <w:rsid w:val="00AC5953"/>
    <w:rsid w:val="00AC5976"/>
    <w:rsid w:val="00AC5A71"/>
    <w:rsid w:val="00AC5C32"/>
    <w:rsid w:val="00AC5C39"/>
    <w:rsid w:val="00AC5DF4"/>
    <w:rsid w:val="00AC5E16"/>
    <w:rsid w:val="00AC5F24"/>
    <w:rsid w:val="00AC5FC9"/>
    <w:rsid w:val="00AC6049"/>
    <w:rsid w:val="00AC6412"/>
    <w:rsid w:val="00AC64DB"/>
    <w:rsid w:val="00AC654B"/>
    <w:rsid w:val="00AC665F"/>
    <w:rsid w:val="00AC67CD"/>
    <w:rsid w:val="00AC6863"/>
    <w:rsid w:val="00AC6944"/>
    <w:rsid w:val="00AC6993"/>
    <w:rsid w:val="00AC6B43"/>
    <w:rsid w:val="00AC6BDB"/>
    <w:rsid w:val="00AC6C7C"/>
    <w:rsid w:val="00AC6CDC"/>
    <w:rsid w:val="00AC6D89"/>
    <w:rsid w:val="00AC6DAA"/>
    <w:rsid w:val="00AC6E7D"/>
    <w:rsid w:val="00AC6EAD"/>
    <w:rsid w:val="00AC6F15"/>
    <w:rsid w:val="00AC6F1A"/>
    <w:rsid w:val="00AC6F8C"/>
    <w:rsid w:val="00AC6FA6"/>
    <w:rsid w:val="00AC70BC"/>
    <w:rsid w:val="00AC7156"/>
    <w:rsid w:val="00AC71A3"/>
    <w:rsid w:val="00AC7321"/>
    <w:rsid w:val="00AC73F4"/>
    <w:rsid w:val="00AC73F7"/>
    <w:rsid w:val="00AC7428"/>
    <w:rsid w:val="00AC7440"/>
    <w:rsid w:val="00AC7447"/>
    <w:rsid w:val="00AC74CA"/>
    <w:rsid w:val="00AC7646"/>
    <w:rsid w:val="00AC78C9"/>
    <w:rsid w:val="00AC7915"/>
    <w:rsid w:val="00AC79E4"/>
    <w:rsid w:val="00AC7A5D"/>
    <w:rsid w:val="00AC7BC6"/>
    <w:rsid w:val="00AC7BEA"/>
    <w:rsid w:val="00AC7C4C"/>
    <w:rsid w:val="00AC7DB4"/>
    <w:rsid w:val="00AC7DB5"/>
    <w:rsid w:val="00AC7EAF"/>
    <w:rsid w:val="00AD01CD"/>
    <w:rsid w:val="00AD022B"/>
    <w:rsid w:val="00AD025F"/>
    <w:rsid w:val="00AD02E3"/>
    <w:rsid w:val="00AD03E5"/>
    <w:rsid w:val="00AD049F"/>
    <w:rsid w:val="00AD04D5"/>
    <w:rsid w:val="00AD053C"/>
    <w:rsid w:val="00AD0581"/>
    <w:rsid w:val="00AD06BB"/>
    <w:rsid w:val="00AD06FB"/>
    <w:rsid w:val="00AD07DA"/>
    <w:rsid w:val="00AD0816"/>
    <w:rsid w:val="00AD088E"/>
    <w:rsid w:val="00AD08B8"/>
    <w:rsid w:val="00AD08CD"/>
    <w:rsid w:val="00AD0918"/>
    <w:rsid w:val="00AD09A9"/>
    <w:rsid w:val="00AD0A3A"/>
    <w:rsid w:val="00AD0AE8"/>
    <w:rsid w:val="00AD0DFB"/>
    <w:rsid w:val="00AD0E08"/>
    <w:rsid w:val="00AD0E31"/>
    <w:rsid w:val="00AD11C2"/>
    <w:rsid w:val="00AD1398"/>
    <w:rsid w:val="00AD1554"/>
    <w:rsid w:val="00AD16B8"/>
    <w:rsid w:val="00AD16E6"/>
    <w:rsid w:val="00AD17F5"/>
    <w:rsid w:val="00AD189D"/>
    <w:rsid w:val="00AD1965"/>
    <w:rsid w:val="00AD1986"/>
    <w:rsid w:val="00AD199B"/>
    <w:rsid w:val="00AD19CE"/>
    <w:rsid w:val="00AD19DD"/>
    <w:rsid w:val="00AD19F6"/>
    <w:rsid w:val="00AD1C4E"/>
    <w:rsid w:val="00AD1CC3"/>
    <w:rsid w:val="00AD1D23"/>
    <w:rsid w:val="00AD1D8A"/>
    <w:rsid w:val="00AD1EE9"/>
    <w:rsid w:val="00AD1F6F"/>
    <w:rsid w:val="00AD220C"/>
    <w:rsid w:val="00AD22BF"/>
    <w:rsid w:val="00AD2487"/>
    <w:rsid w:val="00AD257E"/>
    <w:rsid w:val="00AD260C"/>
    <w:rsid w:val="00AD2724"/>
    <w:rsid w:val="00AD2736"/>
    <w:rsid w:val="00AD277A"/>
    <w:rsid w:val="00AD27C6"/>
    <w:rsid w:val="00AD2813"/>
    <w:rsid w:val="00AD2819"/>
    <w:rsid w:val="00AD2912"/>
    <w:rsid w:val="00AD298A"/>
    <w:rsid w:val="00AD29E5"/>
    <w:rsid w:val="00AD2BC1"/>
    <w:rsid w:val="00AD2C21"/>
    <w:rsid w:val="00AD2C95"/>
    <w:rsid w:val="00AD2D39"/>
    <w:rsid w:val="00AD2D46"/>
    <w:rsid w:val="00AD2E7A"/>
    <w:rsid w:val="00AD2F35"/>
    <w:rsid w:val="00AD32F3"/>
    <w:rsid w:val="00AD337C"/>
    <w:rsid w:val="00AD353F"/>
    <w:rsid w:val="00AD356A"/>
    <w:rsid w:val="00AD35E0"/>
    <w:rsid w:val="00AD36EC"/>
    <w:rsid w:val="00AD3853"/>
    <w:rsid w:val="00AD3893"/>
    <w:rsid w:val="00AD38F9"/>
    <w:rsid w:val="00AD396D"/>
    <w:rsid w:val="00AD3A46"/>
    <w:rsid w:val="00AD3A63"/>
    <w:rsid w:val="00AD3A64"/>
    <w:rsid w:val="00AD3A67"/>
    <w:rsid w:val="00AD3B33"/>
    <w:rsid w:val="00AD3BD9"/>
    <w:rsid w:val="00AD3BDD"/>
    <w:rsid w:val="00AD3E4A"/>
    <w:rsid w:val="00AD3F6A"/>
    <w:rsid w:val="00AD4027"/>
    <w:rsid w:val="00AD4153"/>
    <w:rsid w:val="00AD41B3"/>
    <w:rsid w:val="00AD41BD"/>
    <w:rsid w:val="00AD421B"/>
    <w:rsid w:val="00AD423C"/>
    <w:rsid w:val="00AD432D"/>
    <w:rsid w:val="00AD448B"/>
    <w:rsid w:val="00AD450B"/>
    <w:rsid w:val="00AD455D"/>
    <w:rsid w:val="00AD45EA"/>
    <w:rsid w:val="00AD4707"/>
    <w:rsid w:val="00AD4752"/>
    <w:rsid w:val="00AD47C5"/>
    <w:rsid w:val="00AD4800"/>
    <w:rsid w:val="00AD4809"/>
    <w:rsid w:val="00AD48E9"/>
    <w:rsid w:val="00AD4973"/>
    <w:rsid w:val="00AD4A17"/>
    <w:rsid w:val="00AD4A89"/>
    <w:rsid w:val="00AD4B93"/>
    <w:rsid w:val="00AD4B96"/>
    <w:rsid w:val="00AD4C0B"/>
    <w:rsid w:val="00AD4D1A"/>
    <w:rsid w:val="00AD4D2F"/>
    <w:rsid w:val="00AD4E27"/>
    <w:rsid w:val="00AD4F4A"/>
    <w:rsid w:val="00AD51DF"/>
    <w:rsid w:val="00AD524B"/>
    <w:rsid w:val="00AD54A5"/>
    <w:rsid w:val="00AD54D7"/>
    <w:rsid w:val="00AD54F3"/>
    <w:rsid w:val="00AD553C"/>
    <w:rsid w:val="00AD55C1"/>
    <w:rsid w:val="00AD5665"/>
    <w:rsid w:val="00AD56E1"/>
    <w:rsid w:val="00AD5856"/>
    <w:rsid w:val="00AD596E"/>
    <w:rsid w:val="00AD597D"/>
    <w:rsid w:val="00AD5989"/>
    <w:rsid w:val="00AD5AC6"/>
    <w:rsid w:val="00AD5AFB"/>
    <w:rsid w:val="00AD5CA8"/>
    <w:rsid w:val="00AD5D71"/>
    <w:rsid w:val="00AD5E41"/>
    <w:rsid w:val="00AD5E92"/>
    <w:rsid w:val="00AD5F48"/>
    <w:rsid w:val="00AD5FBD"/>
    <w:rsid w:val="00AD605C"/>
    <w:rsid w:val="00AD6069"/>
    <w:rsid w:val="00AD60A3"/>
    <w:rsid w:val="00AD60A8"/>
    <w:rsid w:val="00AD618C"/>
    <w:rsid w:val="00AD624B"/>
    <w:rsid w:val="00AD62A1"/>
    <w:rsid w:val="00AD640B"/>
    <w:rsid w:val="00AD6415"/>
    <w:rsid w:val="00AD6540"/>
    <w:rsid w:val="00AD655F"/>
    <w:rsid w:val="00AD65EC"/>
    <w:rsid w:val="00AD6768"/>
    <w:rsid w:val="00AD67B5"/>
    <w:rsid w:val="00AD6935"/>
    <w:rsid w:val="00AD6940"/>
    <w:rsid w:val="00AD6C36"/>
    <w:rsid w:val="00AD6CD2"/>
    <w:rsid w:val="00AD6D10"/>
    <w:rsid w:val="00AD6DAB"/>
    <w:rsid w:val="00AD6E96"/>
    <w:rsid w:val="00AD7010"/>
    <w:rsid w:val="00AD705B"/>
    <w:rsid w:val="00AD718D"/>
    <w:rsid w:val="00AD7198"/>
    <w:rsid w:val="00AD72B3"/>
    <w:rsid w:val="00AD72E6"/>
    <w:rsid w:val="00AD7356"/>
    <w:rsid w:val="00AD73AA"/>
    <w:rsid w:val="00AD73DD"/>
    <w:rsid w:val="00AD73FF"/>
    <w:rsid w:val="00AD74A7"/>
    <w:rsid w:val="00AD7723"/>
    <w:rsid w:val="00AD785D"/>
    <w:rsid w:val="00AD79E0"/>
    <w:rsid w:val="00AD7A91"/>
    <w:rsid w:val="00AD7B24"/>
    <w:rsid w:val="00AD7BBD"/>
    <w:rsid w:val="00AD7C6A"/>
    <w:rsid w:val="00AD7E20"/>
    <w:rsid w:val="00AE025F"/>
    <w:rsid w:val="00AE0272"/>
    <w:rsid w:val="00AE02EA"/>
    <w:rsid w:val="00AE0424"/>
    <w:rsid w:val="00AE04F2"/>
    <w:rsid w:val="00AE05F7"/>
    <w:rsid w:val="00AE0645"/>
    <w:rsid w:val="00AE0681"/>
    <w:rsid w:val="00AE06F2"/>
    <w:rsid w:val="00AE07D7"/>
    <w:rsid w:val="00AE0821"/>
    <w:rsid w:val="00AE0AE3"/>
    <w:rsid w:val="00AE0BAC"/>
    <w:rsid w:val="00AE0C67"/>
    <w:rsid w:val="00AE0CE9"/>
    <w:rsid w:val="00AE0CEB"/>
    <w:rsid w:val="00AE0CF2"/>
    <w:rsid w:val="00AE0CF3"/>
    <w:rsid w:val="00AE0D59"/>
    <w:rsid w:val="00AE0DBC"/>
    <w:rsid w:val="00AE0E83"/>
    <w:rsid w:val="00AE0E91"/>
    <w:rsid w:val="00AE0ED6"/>
    <w:rsid w:val="00AE0F05"/>
    <w:rsid w:val="00AE0F71"/>
    <w:rsid w:val="00AE10EE"/>
    <w:rsid w:val="00AE11DC"/>
    <w:rsid w:val="00AE12BF"/>
    <w:rsid w:val="00AE12ED"/>
    <w:rsid w:val="00AE1584"/>
    <w:rsid w:val="00AE15AA"/>
    <w:rsid w:val="00AE15F0"/>
    <w:rsid w:val="00AE1678"/>
    <w:rsid w:val="00AE16A4"/>
    <w:rsid w:val="00AE16D2"/>
    <w:rsid w:val="00AE178F"/>
    <w:rsid w:val="00AE1853"/>
    <w:rsid w:val="00AE18A7"/>
    <w:rsid w:val="00AE1900"/>
    <w:rsid w:val="00AE193D"/>
    <w:rsid w:val="00AE1AB5"/>
    <w:rsid w:val="00AE1B29"/>
    <w:rsid w:val="00AE1BE2"/>
    <w:rsid w:val="00AE1C37"/>
    <w:rsid w:val="00AE1C5D"/>
    <w:rsid w:val="00AE1E57"/>
    <w:rsid w:val="00AE1E82"/>
    <w:rsid w:val="00AE1F8D"/>
    <w:rsid w:val="00AE21D4"/>
    <w:rsid w:val="00AE22AB"/>
    <w:rsid w:val="00AE2317"/>
    <w:rsid w:val="00AE23D7"/>
    <w:rsid w:val="00AE2442"/>
    <w:rsid w:val="00AE253E"/>
    <w:rsid w:val="00AE258C"/>
    <w:rsid w:val="00AE260A"/>
    <w:rsid w:val="00AE2635"/>
    <w:rsid w:val="00AE2713"/>
    <w:rsid w:val="00AE2815"/>
    <w:rsid w:val="00AE2C59"/>
    <w:rsid w:val="00AE2CC5"/>
    <w:rsid w:val="00AE2CFE"/>
    <w:rsid w:val="00AE2D80"/>
    <w:rsid w:val="00AE2DBA"/>
    <w:rsid w:val="00AE2E88"/>
    <w:rsid w:val="00AE2ED3"/>
    <w:rsid w:val="00AE2F10"/>
    <w:rsid w:val="00AE2F4B"/>
    <w:rsid w:val="00AE2F73"/>
    <w:rsid w:val="00AE2FFE"/>
    <w:rsid w:val="00AE30D8"/>
    <w:rsid w:val="00AE30F7"/>
    <w:rsid w:val="00AE3263"/>
    <w:rsid w:val="00AE32FD"/>
    <w:rsid w:val="00AE338E"/>
    <w:rsid w:val="00AE3557"/>
    <w:rsid w:val="00AE3571"/>
    <w:rsid w:val="00AE35DE"/>
    <w:rsid w:val="00AE3671"/>
    <w:rsid w:val="00AE36EE"/>
    <w:rsid w:val="00AE37BD"/>
    <w:rsid w:val="00AE388A"/>
    <w:rsid w:val="00AE3D15"/>
    <w:rsid w:val="00AE3D7F"/>
    <w:rsid w:val="00AE3ED5"/>
    <w:rsid w:val="00AE3F54"/>
    <w:rsid w:val="00AE3F6B"/>
    <w:rsid w:val="00AE3F9E"/>
    <w:rsid w:val="00AE3FAF"/>
    <w:rsid w:val="00AE437E"/>
    <w:rsid w:val="00AE450A"/>
    <w:rsid w:val="00AE4582"/>
    <w:rsid w:val="00AE4633"/>
    <w:rsid w:val="00AE46EA"/>
    <w:rsid w:val="00AE4872"/>
    <w:rsid w:val="00AE488F"/>
    <w:rsid w:val="00AE48B7"/>
    <w:rsid w:val="00AE4BF7"/>
    <w:rsid w:val="00AE4BFA"/>
    <w:rsid w:val="00AE4CFA"/>
    <w:rsid w:val="00AE4D3D"/>
    <w:rsid w:val="00AE4EBC"/>
    <w:rsid w:val="00AE5022"/>
    <w:rsid w:val="00AE502B"/>
    <w:rsid w:val="00AE50C5"/>
    <w:rsid w:val="00AE5117"/>
    <w:rsid w:val="00AE51F0"/>
    <w:rsid w:val="00AE5252"/>
    <w:rsid w:val="00AE5283"/>
    <w:rsid w:val="00AE53E7"/>
    <w:rsid w:val="00AE54A0"/>
    <w:rsid w:val="00AE54C2"/>
    <w:rsid w:val="00AE54C7"/>
    <w:rsid w:val="00AE5577"/>
    <w:rsid w:val="00AE579D"/>
    <w:rsid w:val="00AE5985"/>
    <w:rsid w:val="00AE59A5"/>
    <w:rsid w:val="00AE5A14"/>
    <w:rsid w:val="00AE5AF9"/>
    <w:rsid w:val="00AE5B37"/>
    <w:rsid w:val="00AE5DB3"/>
    <w:rsid w:val="00AE5E3B"/>
    <w:rsid w:val="00AE5EB8"/>
    <w:rsid w:val="00AE60EE"/>
    <w:rsid w:val="00AE62A5"/>
    <w:rsid w:val="00AE632F"/>
    <w:rsid w:val="00AE637F"/>
    <w:rsid w:val="00AE641E"/>
    <w:rsid w:val="00AE642D"/>
    <w:rsid w:val="00AE6451"/>
    <w:rsid w:val="00AE6457"/>
    <w:rsid w:val="00AE64B9"/>
    <w:rsid w:val="00AE64C5"/>
    <w:rsid w:val="00AE65F9"/>
    <w:rsid w:val="00AE6627"/>
    <w:rsid w:val="00AE676C"/>
    <w:rsid w:val="00AE67B2"/>
    <w:rsid w:val="00AE6A5C"/>
    <w:rsid w:val="00AE6BB1"/>
    <w:rsid w:val="00AE6C14"/>
    <w:rsid w:val="00AE6C61"/>
    <w:rsid w:val="00AE6C8A"/>
    <w:rsid w:val="00AE6DB5"/>
    <w:rsid w:val="00AE7001"/>
    <w:rsid w:val="00AE7128"/>
    <w:rsid w:val="00AE720B"/>
    <w:rsid w:val="00AE722A"/>
    <w:rsid w:val="00AE7283"/>
    <w:rsid w:val="00AE734E"/>
    <w:rsid w:val="00AE7451"/>
    <w:rsid w:val="00AE7541"/>
    <w:rsid w:val="00AE75F6"/>
    <w:rsid w:val="00AE7603"/>
    <w:rsid w:val="00AE7838"/>
    <w:rsid w:val="00AE7A8A"/>
    <w:rsid w:val="00AE7B85"/>
    <w:rsid w:val="00AE7D70"/>
    <w:rsid w:val="00AE7E2F"/>
    <w:rsid w:val="00AF011E"/>
    <w:rsid w:val="00AF015C"/>
    <w:rsid w:val="00AF0273"/>
    <w:rsid w:val="00AF03D8"/>
    <w:rsid w:val="00AF04BE"/>
    <w:rsid w:val="00AF04C8"/>
    <w:rsid w:val="00AF0551"/>
    <w:rsid w:val="00AF055C"/>
    <w:rsid w:val="00AF05D0"/>
    <w:rsid w:val="00AF0689"/>
    <w:rsid w:val="00AF086A"/>
    <w:rsid w:val="00AF0872"/>
    <w:rsid w:val="00AF09CD"/>
    <w:rsid w:val="00AF0A4D"/>
    <w:rsid w:val="00AF0C3C"/>
    <w:rsid w:val="00AF0DC6"/>
    <w:rsid w:val="00AF0EEC"/>
    <w:rsid w:val="00AF1066"/>
    <w:rsid w:val="00AF111B"/>
    <w:rsid w:val="00AF114E"/>
    <w:rsid w:val="00AF1276"/>
    <w:rsid w:val="00AF133E"/>
    <w:rsid w:val="00AF13E6"/>
    <w:rsid w:val="00AF15E4"/>
    <w:rsid w:val="00AF164B"/>
    <w:rsid w:val="00AF1663"/>
    <w:rsid w:val="00AF1759"/>
    <w:rsid w:val="00AF179E"/>
    <w:rsid w:val="00AF1881"/>
    <w:rsid w:val="00AF19DC"/>
    <w:rsid w:val="00AF1A33"/>
    <w:rsid w:val="00AF1AC1"/>
    <w:rsid w:val="00AF1B3E"/>
    <w:rsid w:val="00AF1B40"/>
    <w:rsid w:val="00AF1CBA"/>
    <w:rsid w:val="00AF1DD8"/>
    <w:rsid w:val="00AF1E52"/>
    <w:rsid w:val="00AF1ED2"/>
    <w:rsid w:val="00AF1F38"/>
    <w:rsid w:val="00AF1FA7"/>
    <w:rsid w:val="00AF2026"/>
    <w:rsid w:val="00AF202C"/>
    <w:rsid w:val="00AF2048"/>
    <w:rsid w:val="00AF2139"/>
    <w:rsid w:val="00AF21A4"/>
    <w:rsid w:val="00AF21C0"/>
    <w:rsid w:val="00AF2277"/>
    <w:rsid w:val="00AF22F7"/>
    <w:rsid w:val="00AF2333"/>
    <w:rsid w:val="00AF2381"/>
    <w:rsid w:val="00AF23BD"/>
    <w:rsid w:val="00AF247F"/>
    <w:rsid w:val="00AF24DD"/>
    <w:rsid w:val="00AF254C"/>
    <w:rsid w:val="00AF2584"/>
    <w:rsid w:val="00AF260B"/>
    <w:rsid w:val="00AF2652"/>
    <w:rsid w:val="00AF265F"/>
    <w:rsid w:val="00AF26A8"/>
    <w:rsid w:val="00AF26C6"/>
    <w:rsid w:val="00AF2736"/>
    <w:rsid w:val="00AF2875"/>
    <w:rsid w:val="00AF2959"/>
    <w:rsid w:val="00AF2969"/>
    <w:rsid w:val="00AF2AC3"/>
    <w:rsid w:val="00AF2B9F"/>
    <w:rsid w:val="00AF2BA1"/>
    <w:rsid w:val="00AF2C6A"/>
    <w:rsid w:val="00AF2C79"/>
    <w:rsid w:val="00AF2D25"/>
    <w:rsid w:val="00AF2E49"/>
    <w:rsid w:val="00AF2E50"/>
    <w:rsid w:val="00AF2EA5"/>
    <w:rsid w:val="00AF2F99"/>
    <w:rsid w:val="00AF2FA0"/>
    <w:rsid w:val="00AF3080"/>
    <w:rsid w:val="00AF309D"/>
    <w:rsid w:val="00AF309F"/>
    <w:rsid w:val="00AF312B"/>
    <w:rsid w:val="00AF31B4"/>
    <w:rsid w:val="00AF32DA"/>
    <w:rsid w:val="00AF3329"/>
    <w:rsid w:val="00AF3375"/>
    <w:rsid w:val="00AF3593"/>
    <w:rsid w:val="00AF3597"/>
    <w:rsid w:val="00AF3691"/>
    <w:rsid w:val="00AF3764"/>
    <w:rsid w:val="00AF3779"/>
    <w:rsid w:val="00AF37E7"/>
    <w:rsid w:val="00AF3870"/>
    <w:rsid w:val="00AF38C6"/>
    <w:rsid w:val="00AF38D6"/>
    <w:rsid w:val="00AF3956"/>
    <w:rsid w:val="00AF3A0B"/>
    <w:rsid w:val="00AF3B33"/>
    <w:rsid w:val="00AF3D3D"/>
    <w:rsid w:val="00AF3D82"/>
    <w:rsid w:val="00AF3D8D"/>
    <w:rsid w:val="00AF400F"/>
    <w:rsid w:val="00AF401A"/>
    <w:rsid w:val="00AF404C"/>
    <w:rsid w:val="00AF407A"/>
    <w:rsid w:val="00AF4093"/>
    <w:rsid w:val="00AF40EE"/>
    <w:rsid w:val="00AF4112"/>
    <w:rsid w:val="00AF4135"/>
    <w:rsid w:val="00AF419F"/>
    <w:rsid w:val="00AF4205"/>
    <w:rsid w:val="00AF43BE"/>
    <w:rsid w:val="00AF44D0"/>
    <w:rsid w:val="00AF4520"/>
    <w:rsid w:val="00AF459E"/>
    <w:rsid w:val="00AF45EA"/>
    <w:rsid w:val="00AF47C4"/>
    <w:rsid w:val="00AF48A5"/>
    <w:rsid w:val="00AF49A5"/>
    <w:rsid w:val="00AF49AC"/>
    <w:rsid w:val="00AF49F2"/>
    <w:rsid w:val="00AF4A46"/>
    <w:rsid w:val="00AF4AE4"/>
    <w:rsid w:val="00AF4D48"/>
    <w:rsid w:val="00AF4D6A"/>
    <w:rsid w:val="00AF4DCA"/>
    <w:rsid w:val="00AF4E77"/>
    <w:rsid w:val="00AF4E7D"/>
    <w:rsid w:val="00AF4EAF"/>
    <w:rsid w:val="00AF4F13"/>
    <w:rsid w:val="00AF4F17"/>
    <w:rsid w:val="00AF4F61"/>
    <w:rsid w:val="00AF501E"/>
    <w:rsid w:val="00AF50A4"/>
    <w:rsid w:val="00AF50C1"/>
    <w:rsid w:val="00AF5102"/>
    <w:rsid w:val="00AF51AE"/>
    <w:rsid w:val="00AF51F9"/>
    <w:rsid w:val="00AF5248"/>
    <w:rsid w:val="00AF527C"/>
    <w:rsid w:val="00AF52C1"/>
    <w:rsid w:val="00AF53AE"/>
    <w:rsid w:val="00AF550C"/>
    <w:rsid w:val="00AF5528"/>
    <w:rsid w:val="00AF56DF"/>
    <w:rsid w:val="00AF57FF"/>
    <w:rsid w:val="00AF58BD"/>
    <w:rsid w:val="00AF597A"/>
    <w:rsid w:val="00AF59A3"/>
    <w:rsid w:val="00AF5A40"/>
    <w:rsid w:val="00AF5A58"/>
    <w:rsid w:val="00AF5AE9"/>
    <w:rsid w:val="00AF5C26"/>
    <w:rsid w:val="00AF5C7E"/>
    <w:rsid w:val="00AF5D06"/>
    <w:rsid w:val="00AF5EF7"/>
    <w:rsid w:val="00AF625D"/>
    <w:rsid w:val="00AF6325"/>
    <w:rsid w:val="00AF6443"/>
    <w:rsid w:val="00AF6445"/>
    <w:rsid w:val="00AF6522"/>
    <w:rsid w:val="00AF6545"/>
    <w:rsid w:val="00AF668B"/>
    <w:rsid w:val="00AF67D0"/>
    <w:rsid w:val="00AF6873"/>
    <w:rsid w:val="00AF68A7"/>
    <w:rsid w:val="00AF6A0C"/>
    <w:rsid w:val="00AF6A54"/>
    <w:rsid w:val="00AF6A84"/>
    <w:rsid w:val="00AF6BC6"/>
    <w:rsid w:val="00AF6CAF"/>
    <w:rsid w:val="00AF6D71"/>
    <w:rsid w:val="00AF6D9A"/>
    <w:rsid w:val="00AF6E83"/>
    <w:rsid w:val="00AF6F1B"/>
    <w:rsid w:val="00AF70C6"/>
    <w:rsid w:val="00AF711A"/>
    <w:rsid w:val="00AF7169"/>
    <w:rsid w:val="00AF7170"/>
    <w:rsid w:val="00AF71FA"/>
    <w:rsid w:val="00AF72C0"/>
    <w:rsid w:val="00AF733F"/>
    <w:rsid w:val="00AF735E"/>
    <w:rsid w:val="00AF7390"/>
    <w:rsid w:val="00AF7469"/>
    <w:rsid w:val="00AF7484"/>
    <w:rsid w:val="00AF74C0"/>
    <w:rsid w:val="00AF751F"/>
    <w:rsid w:val="00AF7531"/>
    <w:rsid w:val="00AF7630"/>
    <w:rsid w:val="00AF7698"/>
    <w:rsid w:val="00AF76B0"/>
    <w:rsid w:val="00AF76D9"/>
    <w:rsid w:val="00AF7780"/>
    <w:rsid w:val="00AF78A4"/>
    <w:rsid w:val="00AF790B"/>
    <w:rsid w:val="00AF796C"/>
    <w:rsid w:val="00AF79B6"/>
    <w:rsid w:val="00AF79E7"/>
    <w:rsid w:val="00AF79EB"/>
    <w:rsid w:val="00AF7AE8"/>
    <w:rsid w:val="00AF7CA3"/>
    <w:rsid w:val="00AF7D96"/>
    <w:rsid w:val="00AF7D97"/>
    <w:rsid w:val="00AF7E3E"/>
    <w:rsid w:val="00AF7E6E"/>
    <w:rsid w:val="00AF7E86"/>
    <w:rsid w:val="00AF7E89"/>
    <w:rsid w:val="00AF7ED1"/>
    <w:rsid w:val="00AF7EE4"/>
    <w:rsid w:val="00AF7F41"/>
    <w:rsid w:val="00AF7F5F"/>
    <w:rsid w:val="00AF7F90"/>
    <w:rsid w:val="00B00012"/>
    <w:rsid w:val="00B00187"/>
    <w:rsid w:val="00B00198"/>
    <w:rsid w:val="00B001E7"/>
    <w:rsid w:val="00B003F2"/>
    <w:rsid w:val="00B00489"/>
    <w:rsid w:val="00B0050F"/>
    <w:rsid w:val="00B005BB"/>
    <w:rsid w:val="00B005D6"/>
    <w:rsid w:val="00B00903"/>
    <w:rsid w:val="00B00A1F"/>
    <w:rsid w:val="00B00A31"/>
    <w:rsid w:val="00B00B54"/>
    <w:rsid w:val="00B00BDB"/>
    <w:rsid w:val="00B00C59"/>
    <w:rsid w:val="00B00C5D"/>
    <w:rsid w:val="00B00DB9"/>
    <w:rsid w:val="00B00E31"/>
    <w:rsid w:val="00B00E78"/>
    <w:rsid w:val="00B00EDF"/>
    <w:rsid w:val="00B01065"/>
    <w:rsid w:val="00B01165"/>
    <w:rsid w:val="00B01188"/>
    <w:rsid w:val="00B01215"/>
    <w:rsid w:val="00B01247"/>
    <w:rsid w:val="00B01274"/>
    <w:rsid w:val="00B01312"/>
    <w:rsid w:val="00B0131A"/>
    <w:rsid w:val="00B01396"/>
    <w:rsid w:val="00B013CB"/>
    <w:rsid w:val="00B01587"/>
    <w:rsid w:val="00B015F1"/>
    <w:rsid w:val="00B0169F"/>
    <w:rsid w:val="00B01748"/>
    <w:rsid w:val="00B017D4"/>
    <w:rsid w:val="00B0180A"/>
    <w:rsid w:val="00B01818"/>
    <w:rsid w:val="00B0191C"/>
    <w:rsid w:val="00B019EE"/>
    <w:rsid w:val="00B01A29"/>
    <w:rsid w:val="00B01A33"/>
    <w:rsid w:val="00B01A80"/>
    <w:rsid w:val="00B01B4D"/>
    <w:rsid w:val="00B01B61"/>
    <w:rsid w:val="00B01BA6"/>
    <w:rsid w:val="00B01BF1"/>
    <w:rsid w:val="00B01C1C"/>
    <w:rsid w:val="00B01C30"/>
    <w:rsid w:val="00B01C56"/>
    <w:rsid w:val="00B01E93"/>
    <w:rsid w:val="00B020E3"/>
    <w:rsid w:val="00B02294"/>
    <w:rsid w:val="00B022BB"/>
    <w:rsid w:val="00B02377"/>
    <w:rsid w:val="00B026BE"/>
    <w:rsid w:val="00B027B5"/>
    <w:rsid w:val="00B02819"/>
    <w:rsid w:val="00B02855"/>
    <w:rsid w:val="00B02861"/>
    <w:rsid w:val="00B02B2D"/>
    <w:rsid w:val="00B02B73"/>
    <w:rsid w:val="00B02C08"/>
    <w:rsid w:val="00B02D01"/>
    <w:rsid w:val="00B02D5E"/>
    <w:rsid w:val="00B02DDB"/>
    <w:rsid w:val="00B02E94"/>
    <w:rsid w:val="00B02E9C"/>
    <w:rsid w:val="00B02EAD"/>
    <w:rsid w:val="00B030CC"/>
    <w:rsid w:val="00B030D5"/>
    <w:rsid w:val="00B03144"/>
    <w:rsid w:val="00B0324D"/>
    <w:rsid w:val="00B0333D"/>
    <w:rsid w:val="00B03345"/>
    <w:rsid w:val="00B033CB"/>
    <w:rsid w:val="00B033CE"/>
    <w:rsid w:val="00B033FA"/>
    <w:rsid w:val="00B03583"/>
    <w:rsid w:val="00B03694"/>
    <w:rsid w:val="00B03748"/>
    <w:rsid w:val="00B03987"/>
    <w:rsid w:val="00B03A82"/>
    <w:rsid w:val="00B03A9C"/>
    <w:rsid w:val="00B03AD9"/>
    <w:rsid w:val="00B03B40"/>
    <w:rsid w:val="00B03B6D"/>
    <w:rsid w:val="00B03CD6"/>
    <w:rsid w:val="00B03CD8"/>
    <w:rsid w:val="00B03E9D"/>
    <w:rsid w:val="00B03F24"/>
    <w:rsid w:val="00B0416C"/>
    <w:rsid w:val="00B0417E"/>
    <w:rsid w:val="00B041E1"/>
    <w:rsid w:val="00B04204"/>
    <w:rsid w:val="00B0431D"/>
    <w:rsid w:val="00B04352"/>
    <w:rsid w:val="00B043AD"/>
    <w:rsid w:val="00B043AF"/>
    <w:rsid w:val="00B044DE"/>
    <w:rsid w:val="00B04533"/>
    <w:rsid w:val="00B04626"/>
    <w:rsid w:val="00B04773"/>
    <w:rsid w:val="00B047F3"/>
    <w:rsid w:val="00B04A57"/>
    <w:rsid w:val="00B04ADD"/>
    <w:rsid w:val="00B04CEF"/>
    <w:rsid w:val="00B04DD6"/>
    <w:rsid w:val="00B04DE5"/>
    <w:rsid w:val="00B04DE7"/>
    <w:rsid w:val="00B04E5F"/>
    <w:rsid w:val="00B04F69"/>
    <w:rsid w:val="00B05028"/>
    <w:rsid w:val="00B05029"/>
    <w:rsid w:val="00B05061"/>
    <w:rsid w:val="00B05094"/>
    <w:rsid w:val="00B050E2"/>
    <w:rsid w:val="00B0517F"/>
    <w:rsid w:val="00B051A4"/>
    <w:rsid w:val="00B051AF"/>
    <w:rsid w:val="00B0530F"/>
    <w:rsid w:val="00B05388"/>
    <w:rsid w:val="00B05468"/>
    <w:rsid w:val="00B05550"/>
    <w:rsid w:val="00B05582"/>
    <w:rsid w:val="00B055B0"/>
    <w:rsid w:val="00B055BB"/>
    <w:rsid w:val="00B055E7"/>
    <w:rsid w:val="00B0562C"/>
    <w:rsid w:val="00B0563D"/>
    <w:rsid w:val="00B0585A"/>
    <w:rsid w:val="00B058B6"/>
    <w:rsid w:val="00B059C9"/>
    <w:rsid w:val="00B059E9"/>
    <w:rsid w:val="00B05B17"/>
    <w:rsid w:val="00B05BE1"/>
    <w:rsid w:val="00B05BF2"/>
    <w:rsid w:val="00B05BF7"/>
    <w:rsid w:val="00B05D87"/>
    <w:rsid w:val="00B05E60"/>
    <w:rsid w:val="00B05F23"/>
    <w:rsid w:val="00B05F5C"/>
    <w:rsid w:val="00B05F60"/>
    <w:rsid w:val="00B05FD3"/>
    <w:rsid w:val="00B06008"/>
    <w:rsid w:val="00B06077"/>
    <w:rsid w:val="00B0608C"/>
    <w:rsid w:val="00B06128"/>
    <w:rsid w:val="00B06142"/>
    <w:rsid w:val="00B06214"/>
    <w:rsid w:val="00B0621A"/>
    <w:rsid w:val="00B0623D"/>
    <w:rsid w:val="00B062A3"/>
    <w:rsid w:val="00B0640C"/>
    <w:rsid w:val="00B0651A"/>
    <w:rsid w:val="00B066F9"/>
    <w:rsid w:val="00B06742"/>
    <w:rsid w:val="00B06761"/>
    <w:rsid w:val="00B068D6"/>
    <w:rsid w:val="00B06973"/>
    <w:rsid w:val="00B069EA"/>
    <w:rsid w:val="00B06AED"/>
    <w:rsid w:val="00B06B5C"/>
    <w:rsid w:val="00B06B95"/>
    <w:rsid w:val="00B06BE6"/>
    <w:rsid w:val="00B06F17"/>
    <w:rsid w:val="00B0708B"/>
    <w:rsid w:val="00B07131"/>
    <w:rsid w:val="00B07218"/>
    <w:rsid w:val="00B07261"/>
    <w:rsid w:val="00B07348"/>
    <w:rsid w:val="00B07454"/>
    <w:rsid w:val="00B0748D"/>
    <w:rsid w:val="00B074C4"/>
    <w:rsid w:val="00B074E1"/>
    <w:rsid w:val="00B07535"/>
    <w:rsid w:val="00B075C3"/>
    <w:rsid w:val="00B075E9"/>
    <w:rsid w:val="00B075F9"/>
    <w:rsid w:val="00B076AE"/>
    <w:rsid w:val="00B076C4"/>
    <w:rsid w:val="00B07796"/>
    <w:rsid w:val="00B0783D"/>
    <w:rsid w:val="00B07861"/>
    <w:rsid w:val="00B078C7"/>
    <w:rsid w:val="00B078E9"/>
    <w:rsid w:val="00B079F5"/>
    <w:rsid w:val="00B079FC"/>
    <w:rsid w:val="00B07A83"/>
    <w:rsid w:val="00B07AF7"/>
    <w:rsid w:val="00B07B02"/>
    <w:rsid w:val="00B07B06"/>
    <w:rsid w:val="00B07B1F"/>
    <w:rsid w:val="00B07B53"/>
    <w:rsid w:val="00B07BF4"/>
    <w:rsid w:val="00B07CFA"/>
    <w:rsid w:val="00B07D15"/>
    <w:rsid w:val="00B07EDE"/>
    <w:rsid w:val="00B07F56"/>
    <w:rsid w:val="00B10171"/>
    <w:rsid w:val="00B102A0"/>
    <w:rsid w:val="00B103B5"/>
    <w:rsid w:val="00B10441"/>
    <w:rsid w:val="00B10470"/>
    <w:rsid w:val="00B1048A"/>
    <w:rsid w:val="00B10585"/>
    <w:rsid w:val="00B105EC"/>
    <w:rsid w:val="00B105F0"/>
    <w:rsid w:val="00B1061E"/>
    <w:rsid w:val="00B1065B"/>
    <w:rsid w:val="00B106CD"/>
    <w:rsid w:val="00B10762"/>
    <w:rsid w:val="00B10856"/>
    <w:rsid w:val="00B10977"/>
    <w:rsid w:val="00B109BA"/>
    <w:rsid w:val="00B109DB"/>
    <w:rsid w:val="00B10A09"/>
    <w:rsid w:val="00B10AF8"/>
    <w:rsid w:val="00B10CB7"/>
    <w:rsid w:val="00B10D41"/>
    <w:rsid w:val="00B10DFF"/>
    <w:rsid w:val="00B10E80"/>
    <w:rsid w:val="00B10F14"/>
    <w:rsid w:val="00B10F56"/>
    <w:rsid w:val="00B11027"/>
    <w:rsid w:val="00B110F4"/>
    <w:rsid w:val="00B111F4"/>
    <w:rsid w:val="00B113F9"/>
    <w:rsid w:val="00B11445"/>
    <w:rsid w:val="00B114E5"/>
    <w:rsid w:val="00B114F6"/>
    <w:rsid w:val="00B1153A"/>
    <w:rsid w:val="00B1166D"/>
    <w:rsid w:val="00B117CB"/>
    <w:rsid w:val="00B11816"/>
    <w:rsid w:val="00B11836"/>
    <w:rsid w:val="00B118B2"/>
    <w:rsid w:val="00B11A6D"/>
    <w:rsid w:val="00B11D3F"/>
    <w:rsid w:val="00B11E91"/>
    <w:rsid w:val="00B11F89"/>
    <w:rsid w:val="00B12013"/>
    <w:rsid w:val="00B121DA"/>
    <w:rsid w:val="00B1225E"/>
    <w:rsid w:val="00B122CD"/>
    <w:rsid w:val="00B1243A"/>
    <w:rsid w:val="00B12469"/>
    <w:rsid w:val="00B125B5"/>
    <w:rsid w:val="00B12688"/>
    <w:rsid w:val="00B12706"/>
    <w:rsid w:val="00B127CE"/>
    <w:rsid w:val="00B12837"/>
    <w:rsid w:val="00B1286E"/>
    <w:rsid w:val="00B12872"/>
    <w:rsid w:val="00B12931"/>
    <w:rsid w:val="00B1296B"/>
    <w:rsid w:val="00B12A26"/>
    <w:rsid w:val="00B12B18"/>
    <w:rsid w:val="00B12BB6"/>
    <w:rsid w:val="00B12BBB"/>
    <w:rsid w:val="00B12DE9"/>
    <w:rsid w:val="00B12F37"/>
    <w:rsid w:val="00B12F8C"/>
    <w:rsid w:val="00B1303B"/>
    <w:rsid w:val="00B130AC"/>
    <w:rsid w:val="00B1318B"/>
    <w:rsid w:val="00B131D2"/>
    <w:rsid w:val="00B1323F"/>
    <w:rsid w:val="00B13364"/>
    <w:rsid w:val="00B133C2"/>
    <w:rsid w:val="00B13479"/>
    <w:rsid w:val="00B13608"/>
    <w:rsid w:val="00B13788"/>
    <w:rsid w:val="00B137E3"/>
    <w:rsid w:val="00B13926"/>
    <w:rsid w:val="00B13AB3"/>
    <w:rsid w:val="00B13BB0"/>
    <w:rsid w:val="00B13BBB"/>
    <w:rsid w:val="00B13C3B"/>
    <w:rsid w:val="00B13DB8"/>
    <w:rsid w:val="00B13F11"/>
    <w:rsid w:val="00B13F5C"/>
    <w:rsid w:val="00B14035"/>
    <w:rsid w:val="00B14060"/>
    <w:rsid w:val="00B140BC"/>
    <w:rsid w:val="00B1412F"/>
    <w:rsid w:val="00B141BA"/>
    <w:rsid w:val="00B14209"/>
    <w:rsid w:val="00B1425A"/>
    <w:rsid w:val="00B1438D"/>
    <w:rsid w:val="00B14453"/>
    <w:rsid w:val="00B144C1"/>
    <w:rsid w:val="00B14551"/>
    <w:rsid w:val="00B14589"/>
    <w:rsid w:val="00B14625"/>
    <w:rsid w:val="00B14726"/>
    <w:rsid w:val="00B14884"/>
    <w:rsid w:val="00B148C0"/>
    <w:rsid w:val="00B14AC6"/>
    <w:rsid w:val="00B14AE8"/>
    <w:rsid w:val="00B14AEB"/>
    <w:rsid w:val="00B14B27"/>
    <w:rsid w:val="00B14C08"/>
    <w:rsid w:val="00B14C0D"/>
    <w:rsid w:val="00B14C57"/>
    <w:rsid w:val="00B14D10"/>
    <w:rsid w:val="00B14D6A"/>
    <w:rsid w:val="00B14F6E"/>
    <w:rsid w:val="00B150EB"/>
    <w:rsid w:val="00B1517C"/>
    <w:rsid w:val="00B151D6"/>
    <w:rsid w:val="00B15232"/>
    <w:rsid w:val="00B15306"/>
    <w:rsid w:val="00B1536B"/>
    <w:rsid w:val="00B1546A"/>
    <w:rsid w:val="00B15487"/>
    <w:rsid w:val="00B154CD"/>
    <w:rsid w:val="00B154FC"/>
    <w:rsid w:val="00B15569"/>
    <w:rsid w:val="00B155DC"/>
    <w:rsid w:val="00B155F0"/>
    <w:rsid w:val="00B156E7"/>
    <w:rsid w:val="00B15747"/>
    <w:rsid w:val="00B1580C"/>
    <w:rsid w:val="00B1590D"/>
    <w:rsid w:val="00B15971"/>
    <w:rsid w:val="00B15A4A"/>
    <w:rsid w:val="00B15B01"/>
    <w:rsid w:val="00B15D4E"/>
    <w:rsid w:val="00B15F98"/>
    <w:rsid w:val="00B160CF"/>
    <w:rsid w:val="00B16325"/>
    <w:rsid w:val="00B16431"/>
    <w:rsid w:val="00B1658C"/>
    <w:rsid w:val="00B1665C"/>
    <w:rsid w:val="00B16683"/>
    <w:rsid w:val="00B16729"/>
    <w:rsid w:val="00B167C2"/>
    <w:rsid w:val="00B1683F"/>
    <w:rsid w:val="00B16875"/>
    <w:rsid w:val="00B169CA"/>
    <w:rsid w:val="00B16A05"/>
    <w:rsid w:val="00B16B4D"/>
    <w:rsid w:val="00B16CB9"/>
    <w:rsid w:val="00B16CD3"/>
    <w:rsid w:val="00B16D60"/>
    <w:rsid w:val="00B16D6B"/>
    <w:rsid w:val="00B16E0B"/>
    <w:rsid w:val="00B16E34"/>
    <w:rsid w:val="00B17079"/>
    <w:rsid w:val="00B1708F"/>
    <w:rsid w:val="00B170E1"/>
    <w:rsid w:val="00B1710D"/>
    <w:rsid w:val="00B171EF"/>
    <w:rsid w:val="00B17221"/>
    <w:rsid w:val="00B174C1"/>
    <w:rsid w:val="00B1758D"/>
    <w:rsid w:val="00B1758E"/>
    <w:rsid w:val="00B175D2"/>
    <w:rsid w:val="00B17633"/>
    <w:rsid w:val="00B17726"/>
    <w:rsid w:val="00B1778A"/>
    <w:rsid w:val="00B1784F"/>
    <w:rsid w:val="00B17870"/>
    <w:rsid w:val="00B1797B"/>
    <w:rsid w:val="00B179EF"/>
    <w:rsid w:val="00B17A01"/>
    <w:rsid w:val="00B17A5B"/>
    <w:rsid w:val="00B17A7C"/>
    <w:rsid w:val="00B17B29"/>
    <w:rsid w:val="00B17B31"/>
    <w:rsid w:val="00B17B3E"/>
    <w:rsid w:val="00B17B66"/>
    <w:rsid w:val="00B17C2A"/>
    <w:rsid w:val="00B17D35"/>
    <w:rsid w:val="00B17D83"/>
    <w:rsid w:val="00B17DC5"/>
    <w:rsid w:val="00B17E26"/>
    <w:rsid w:val="00B17EC8"/>
    <w:rsid w:val="00B17F51"/>
    <w:rsid w:val="00B17FA7"/>
    <w:rsid w:val="00B201F5"/>
    <w:rsid w:val="00B2037C"/>
    <w:rsid w:val="00B203BF"/>
    <w:rsid w:val="00B203D0"/>
    <w:rsid w:val="00B20460"/>
    <w:rsid w:val="00B2049C"/>
    <w:rsid w:val="00B20646"/>
    <w:rsid w:val="00B206B4"/>
    <w:rsid w:val="00B206CE"/>
    <w:rsid w:val="00B2082C"/>
    <w:rsid w:val="00B20871"/>
    <w:rsid w:val="00B208F4"/>
    <w:rsid w:val="00B209BD"/>
    <w:rsid w:val="00B20AFC"/>
    <w:rsid w:val="00B20B01"/>
    <w:rsid w:val="00B20D36"/>
    <w:rsid w:val="00B20D95"/>
    <w:rsid w:val="00B20F16"/>
    <w:rsid w:val="00B20FB1"/>
    <w:rsid w:val="00B21099"/>
    <w:rsid w:val="00B210CA"/>
    <w:rsid w:val="00B2114D"/>
    <w:rsid w:val="00B211EC"/>
    <w:rsid w:val="00B2124A"/>
    <w:rsid w:val="00B21349"/>
    <w:rsid w:val="00B21492"/>
    <w:rsid w:val="00B214EF"/>
    <w:rsid w:val="00B2160A"/>
    <w:rsid w:val="00B2168D"/>
    <w:rsid w:val="00B216A6"/>
    <w:rsid w:val="00B21759"/>
    <w:rsid w:val="00B217A6"/>
    <w:rsid w:val="00B217BD"/>
    <w:rsid w:val="00B217C0"/>
    <w:rsid w:val="00B217F1"/>
    <w:rsid w:val="00B21836"/>
    <w:rsid w:val="00B21919"/>
    <w:rsid w:val="00B21928"/>
    <w:rsid w:val="00B21983"/>
    <w:rsid w:val="00B2198C"/>
    <w:rsid w:val="00B219DC"/>
    <w:rsid w:val="00B21A2C"/>
    <w:rsid w:val="00B21A8F"/>
    <w:rsid w:val="00B21B06"/>
    <w:rsid w:val="00B21B27"/>
    <w:rsid w:val="00B21B76"/>
    <w:rsid w:val="00B21BF2"/>
    <w:rsid w:val="00B21C34"/>
    <w:rsid w:val="00B21C7D"/>
    <w:rsid w:val="00B21C89"/>
    <w:rsid w:val="00B21D5C"/>
    <w:rsid w:val="00B21DFE"/>
    <w:rsid w:val="00B21E9B"/>
    <w:rsid w:val="00B21EF2"/>
    <w:rsid w:val="00B22090"/>
    <w:rsid w:val="00B220AB"/>
    <w:rsid w:val="00B22117"/>
    <w:rsid w:val="00B22305"/>
    <w:rsid w:val="00B2231C"/>
    <w:rsid w:val="00B2236E"/>
    <w:rsid w:val="00B2245F"/>
    <w:rsid w:val="00B2252D"/>
    <w:rsid w:val="00B22751"/>
    <w:rsid w:val="00B22774"/>
    <w:rsid w:val="00B22793"/>
    <w:rsid w:val="00B22962"/>
    <w:rsid w:val="00B229A5"/>
    <w:rsid w:val="00B22B2F"/>
    <w:rsid w:val="00B22C53"/>
    <w:rsid w:val="00B22CDB"/>
    <w:rsid w:val="00B22D0F"/>
    <w:rsid w:val="00B22E0D"/>
    <w:rsid w:val="00B22E59"/>
    <w:rsid w:val="00B22E67"/>
    <w:rsid w:val="00B22EAD"/>
    <w:rsid w:val="00B22F66"/>
    <w:rsid w:val="00B22FCA"/>
    <w:rsid w:val="00B23048"/>
    <w:rsid w:val="00B23053"/>
    <w:rsid w:val="00B230B7"/>
    <w:rsid w:val="00B231FA"/>
    <w:rsid w:val="00B23312"/>
    <w:rsid w:val="00B23337"/>
    <w:rsid w:val="00B2335C"/>
    <w:rsid w:val="00B233EB"/>
    <w:rsid w:val="00B23464"/>
    <w:rsid w:val="00B235B5"/>
    <w:rsid w:val="00B235F2"/>
    <w:rsid w:val="00B236C0"/>
    <w:rsid w:val="00B236D9"/>
    <w:rsid w:val="00B238C6"/>
    <w:rsid w:val="00B23923"/>
    <w:rsid w:val="00B23986"/>
    <w:rsid w:val="00B23A1F"/>
    <w:rsid w:val="00B23A27"/>
    <w:rsid w:val="00B23B81"/>
    <w:rsid w:val="00B23C12"/>
    <w:rsid w:val="00B23C5B"/>
    <w:rsid w:val="00B23C6B"/>
    <w:rsid w:val="00B23C6D"/>
    <w:rsid w:val="00B23CED"/>
    <w:rsid w:val="00B23E51"/>
    <w:rsid w:val="00B23EC8"/>
    <w:rsid w:val="00B23F46"/>
    <w:rsid w:val="00B240F0"/>
    <w:rsid w:val="00B2411E"/>
    <w:rsid w:val="00B24156"/>
    <w:rsid w:val="00B24234"/>
    <w:rsid w:val="00B24506"/>
    <w:rsid w:val="00B245B7"/>
    <w:rsid w:val="00B246D0"/>
    <w:rsid w:val="00B2494A"/>
    <w:rsid w:val="00B2499A"/>
    <w:rsid w:val="00B249D7"/>
    <w:rsid w:val="00B24A0B"/>
    <w:rsid w:val="00B24A77"/>
    <w:rsid w:val="00B24AA5"/>
    <w:rsid w:val="00B24B3A"/>
    <w:rsid w:val="00B24BDA"/>
    <w:rsid w:val="00B24C64"/>
    <w:rsid w:val="00B24C81"/>
    <w:rsid w:val="00B24CE3"/>
    <w:rsid w:val="00B24D06"/>
    <w:rsid w:val="00B24D2D"/>
    <w:rsid w:val="00B24D5E"/>
    <w:rsid w:val="00B24E45"/>
    <w:rsid w:val="00B24E49"/>
    <w:rsid w:val="00B24EB0"/>
    <w:rsid w:val="00B25121"/>
    <w:rsid w:val="00B2514B"/>
    <w:rsid w:val="00B25165"/>
    <w:rsid w:val="00B25191"/>
    <w:rsid w:val="00B253F7"/>
    <w:rsid w:val="00B254B3"/>
    <w:rsid w:val="00B254ED"/>
    <w:rsid w:val="00B256D5"/>
    <w:rsid w:val="00B256FC"/>
    <w:rsid w:val="00B25761"/>
    <w:rsid w:val="00B25AF8"/>
    <w:rsid w:val="00B25C35"/>
    <w:rsid w:val="00B25C59"/>
    <w:rsid w:val="00B25CAD"/>
    <w:rsid w:val="00B25D2B"/>
    <w:rsid w:val="00B25D55"/>
    <w:rsid w:val="00B25DE0"/>
    <w:rsid w:val="00B25F05"/>
    <w:rsid w:val="00B26083"/>
    <w:rsid w:val="00B260A9"/>
    <w:rsid w:val="00B26188"/>
    <w:rsid w:val="00B261E5"/>
    <w:rsid w:val="00B262D1"/>
    <w:rsid w:val="00B26329"/>
    <w:rsid w:val="00B26507"/>
    <w:rsid w:val="00B2654B"/>
    <w:rsid w:val="00B265CE"/>
    <w:rsid w:val="00B2684C"/>
    <w:rsid w:val="00B26897"/>
    <w:rsid w:val="00B26967"/>
    <w:rsid w:val="00B26AFC"/>
    <w:rsid w:val="00B26B36"/>
    <w:rsid w:val="00B26BE5"/>
    <w:rsid w:val="00B26C60"/>
    <w:rsid w:val="00B26DC4"/>
    <w:rsid w:val="00B26E12"/>
    <w:rsid w:val="00B26ED9"/>
    <w:rsid w:val="00B270B4"/>
    <w:rsid w:val="00B270E9"/>
    <w:rsid w:val="00B2724A"/>
    <w:rsid w:val="00B27271"/>
    <w:rsid w:val="00B27296"/>
    <w:rsid w:val="00B27419"/>
    <w:rsid w:val="00B27498"/>
    <w:rsid w:val="00B274EE"/>
    <w:rsid w:val="00B27554"/>
    <w:rsid w:val="00B27569"/>
    <w:rsid w:val="00B275E3"/>
    <w:rsid w:val="00B27623"/>
    <w:rsid w:val="00B2767D"/>
    <w:rsid w:val="00B27888"/>
    <w:rsid w:val="00B278AC"/>
    <w:rsid w:val="00B278BE"/>
    <w:rsid w:val="00B27945"/>
    <w:rsid w:val="00B27A13"/>
    <w:rsid w:val="00B27AB2"/>
    <w:rsid w:val="00B27BD7"/>
    <w:rsid w:val="00B27C1F"/>
    <w:rsid w:val="00B27CD0"/>
    <w:rsid w:val="00B27D6D"/>
    <w:rsid w:val="00B27E75"/>
    <w:rsid w:val="00B27EB4"/>
    <w:rsid w:val="00B300BD"/>
    <w:rsid w:val="00B30146"/>
    <w:rsid w:val="00B302B2"/>
    <w:rsid w:val="00B302DC"/>
    <w:rsid w:val="00B302FE"/>
    <w:rsid w:val="00B30396"/>
    <w:rsid w:val="00B305C5"/>
    <w:rsid w:val="00B305FA"/>
    <w:rsid w:val="00B3074F"/>
    <w:rsid w:val="00B307C6"/>
    <w:rsid w:val="00B3087A"/>
    <w:rsid w:val="00B30890"/>
    <w:rsid w:val="00B30971"/>
    <w:rsid w:val="00B30A85"/>
    <w:rsid w:val="00B30B8E"/>
    <w:rsid w:val="00B30C61"/>
    <w:rsid w:val="00B30C89"/>
    <w:rsid w:val="00B30CBD"/>
    <w:rsid w:val="00B30CC9"/>
    <w:rsid w:val="00B30D6B"/>
    <w:rsid w:val="00B30E44"/>
    <w:rsid w:val="00B30E72"/>
    <w:rsid w:val="00B30E93"/>
    <w:rsid w:val="00B30F3D"/>
    <w:rsid w:val="00B31035"/>
    <w:rsid w:val="00B311C4"/>
    <w:rsid w:val="00B31284"/>
    <w:rsid w:val="00B312FF"/>
    <w:rsid w:val="00B31345"/>
    <w:rsid w:val="00B313C5"/>
    <w:rsid w:val="00B315F3"/>
    <w:rsid w:val="00B31666"/>
    <w:rsid w:val="00B316DE"/>
    <w:rsid w:val="00B31792"/>
    <w:rsid w:val="00B317AF"/>
    <w:rsid w:val="00B318B3"/>
    <w:rsid w:val="00B3190D"/>
    <w:rsid w:val="00B31950"/>
    <w:rsid w:val="00B31A19"/>
    <w:rsid w:val="00B31A6C"/>
    <w:rsid w:val="00B31BB4"/>
    <w:rsid w:val="00B31BB7"/>
    <w:rsid w:val="00B31C83"/>
    <w:rsid w:val="00B31CB2"/>
    <w:rsid w:val="00B31CE0"/>
    <w:rsid w:val="00B31D2F"/>
    <w:rsid w:val="00B31DAA"/>
    <w:rsid w:val="00B31DBC"/>
    <w:rsid w:val="00B31DBF"/>
    <w:rsid w:val="00B31EA3"/>
    <w:rsid w:val="00B32067"/>
    <w:rsid w:val="00B3220D"/>
    <w:rsid w:val="00B32224"/>
    <w:rsid w:val="00B32239"/>
    <w:rsid w:val="00B32249"/>
    <w:rsid w:val="00B32258"/>
    <w:rsid w:val="00B322BC"/>
    <w:rsid w:val="00B325C3"/>
    <w:rsid w:val="00B325E8"/>
    <w:rsid w:val="00B32623"/>
    <w:rsid w:val="00B32811"/>
    <w:rsid w:val="00B328B8"/>
    <w:rsid w:val="00B3291A"/>
    <w:rsid w:val="00B329DF"/>
    <w:rsid w:val="00B32A4A"/>
    <w:rsid w:val="00B32AAB"/>
    <w:rsid w:val="00B32ACB"/>
    <w:rsid w:val="00B32BD2"/>
    <w:rsid w:val="00B32C0A"/>
    <w:rsid w:val="00B32CDC"/>
    <w:rsid w:val="00B32E19"/>
    <w:rsid w:val="00B32E48"/>
    <w:rsid w:val="00B333C4"/>
    <w:rsid w:val="00B33513"/>
    <w:rsid w:val="00B335D9"/>
    <w:rsid w:val="00B3368F"/>
    <w:rsid w:val="00B33690"/>
    <w:rsid w:val="00B3380F"/>
    <w:rsid w:val="00B338E7"/>
    <w:rsid w:val="00B33959"/>
    <w:rsid w:val="00B339F0"/>
    <w:rsid w:val="00B33A70"/>
    <w:rsid w:val="00B33C13"/>
    <w:rsid w:val="00B33D94"/>
    <w:rsid w:val="00B33DAD"/>
    <w:rsid w:val="00B33DD9"/>
    <w:rsid w:val="00B33DED"/>
    <w:rsid w:val="00B33ED5"/>
    <w:rsid w:val="00B33EE4"/>
    <w:rsid w:val="00B33F35"/>
    <w:rsid w:val="00B33FB3"/>
    <w:rsid w:val="00B34078"/>
    <w:rsid w:val="00B341B3"/>
    <w:rsid w:val="00B34222"/>
    <w:rsid w:val="00B3427A"/>
    <w:rsid w:val="00B342A8"/>
    <w:rsid w:val="00B344A2"/>
    <w:rsid w:val="00B34511"/>
    <w:rsid w:val="00B34589"/>
    <w:rsid w:val="00B346F8"/>
    <w:rsid w:val="00B3474F"/>
    <w:rsid w:val="00B34785"/>
    <w:rsid w:val="00B34A3C"/>
    <w:rsid w:val="00B34AE9"/>
    <w:rsid w:val="00B34B35"/>
    <w:rsid w:val="00B34C69"/>
    <w:rsid w:val="00B34CE1"/>
    <w:rsid w:val="00B34E09"/>
    <w:rsid w:val="00B34E89"/>
    <w:rsid w:val="00B34ED5"/>
    <w:rsid w:val="00B34F31"/>
    <w:rsid w:val="00B34F54"/>
    <w:rsid w:val="00B35207"/>
    <w:rsid w:val="00B3524E"/>
    <w:rsid w:val="00B352D5"/>
    <w:rsid w:val="00B35325"/>
    <w:rsid w:val="00B3549D"/>
    <w:rsid w:val="00B3563A"/>
    <w:rsid w:val="00B35657"/>
    <w:rsid w:val="00B3569D"/>
    <w:rsid w:val="00B35709"/>
    <w:rsid w:val="00B35810"/>
    <w:rsid w:val="00B35889"/>
    <w:rsid w:val="00B3597C"/>
    <w:rsid w:val="00B359B5"/>
    <w:rsid w:val="00B35AC7"/>
    <w:rsid w:val="00B35CA6"/>
    <w:rsid w:val="00B35CD4"/>
    <w:rsid w:val="00B35D8D"/>
    <w:rsid w:val="00B35E79"/>
    <w:rsid w:val="00B35EA5"/>
    <w:rsid w:val="00B35F01"/>
    <w:rsid w:val="00B35FB5"/>
    <w:rsid w:val="00B36275"/>
    <w:rsid w:val="00B363A2"/>
    <w:rsid w:val="00B36510"/>
    <w:rsid w:val="00B36578"/>
    <w:rsid w:val="00B36599"/>
    <w:rsid w:val="00B365B2"/>
    <w:rsid w:val="00B3660C"/>
    <w:rsid w:val="00B36611"/>
    <w:rsid w:val="00B366DB"/>
    <w:rsid w:val="00B366FF"/>
    <w:rsid w:val="00B36704"/>
    <w:rsid w:val="00B36786"/>
    <w:rsid w:val="00B3679F"/>
    <w:rsid w:val="00B367E6"/>
    <w:rsid w:val="00B367F6"/>
    <w:rsid w:val="00B36823"/>
    <w:rsid w:val="00B369EC"/>
    <w:rsid w:val="00B369F8"/>
    <w:rsid w:val="00B36A52"/>
    <w:rsid w:val="00B36B59"/>
    <w:rsid w:val="00B36C37"/>
    <w:rsid w:val="00B36CA3"/>
    <w:rsid w:val="00B36EC1"/>
    <w:rsid w:val="00B36F09"/>
    <w:rsid w:val="00B36F40"/>
    <w:rsid w:val="00B37017"/>
    <w:rsid w:val="00B37028"/>
    <w:rsid w:val="00B3705E"/>
    <w:rsid w:val="00B370D6"/>
    <w:rsid w:val="00B371FB"/>
    <w:rsid w:val="00B37404"/>
    <w:rsid w:val="00B37593"/>
    <w:rsid w:val="00B37659"/>
    <w:rsid w:val="00B3778F"/>
    <w:rsid w:val="00B377A8"/>
    <w:rsid w:val="00B377CE"/>
    <w:rsid w:val="00B37812"/>
    <w:rsid w:val="00B37885"/>
    <w:rsid w:val="00B378E9"/>
    <w:rsid w:val="00B37961"/>
    <w:rsid w:val="00B379CF"/>
    <w:rsid w:val="00B379F1"/>
    <w:rsid w:val="00B37A39"/>
    <w:rsid w:val="00B37AAA"/>
    <w:rsid w:val="00B37B43"/>
    <w:rsid w:val="00B37B78"/>
    <w:rsid w:val="00B37CA2"/>
    <w:rsid w:val="00B37D61"/>
    <w:rsid w:val="00B37E86"/>
    <w:rsid w:val="00B37E9C"/>
    <w:rsid w:val="00B37EB5"/>
    <w:rsid w:val="00B37F85"/>
    <w:rsid w:val="00B37FA6"/>
    <w:rsid w:val="00B4000E"/>
    <w:rsid w:val="00B40078"/>
    <w:rsid w:val="00B40106"/>
    <w:rsid w:val="00B40139"/>
    <w:rsid w:val="00B401AD"/>
    <w:rsid w:val="00B402A0"/>
    <w:rsid w:val="00B402F3"/>
    <w:rsid w:val="00B4035B"/>
    <w:rsid w:val="00B403B2"/>
    <w:rsid w:val="00B403C7"/>
    <w:rsid w:val="00B403FE"/>
    <w:rsid w:val="00B40453"/>
    <w:rsid w:val="00B404D5"/>
    <w:rsid w:val="00B40583"/>
    <w:rsid w:val="00B4064C"/>
    <w:rsid w:val="00B40670"/>
    <w:rsid w:val="00B406B8"/>
    <w:rsid w:val="00B406CD"/>
    <w:rsid w:val="00B40713"/>
    <w:rsid w:val="00B40798"/>
    <w:rsid w:val="00B407BA"/>
    <w:rsid w:val="00B40828"/>
    <w:rsid w:val="00B4085E"/>
    <w:rsid w:val="00B40925"/>
    <w:rsid w:val="00B40963"/>
    <w:rsid w:val="00B409E1"/>
    <w:rsid w:val="00B40A5A"/>
    <w:rsid w:val="00B40DC5"/>
    <w:rsid w:val="00B40E30"/>
    <w:rsid w:val="00B40EE1"/>
    <w:rsid w:val="00B40F7B"/>
    <w:rsid w:val="00B41001"/>
    <w:rsid w:val="00B41093"/>
    <w:rsid w:val="00B410C9"/>
    <w:rsid w:val="00B411FC"/>
    <w:rsid w:val="00B4121E"/>
    <w:rsid w:val="00B412C7"/>
    <w:rsid w:val="00B4146A"/>
    <w:rsid w:val="00B414AB"/>
    <w:rsid w:val="00B414DB"/>
    <w:rsid w:val="00B416EE"/>
    <w:rsid w:val="00B41723"/>
    <w:rsid w:val="00B41802"/>
    <w:rsid w:val="00B41878"/>
    <w:rsid w:val="00B419B8"/>
    <w:rsid w:val="00B41AC9"/>
    <w:rsid w:val="00B41CBD"/>
    <w:rsid w:val="00B41D7C"/>
    <w:rsid w:val="00B41E05"/>
    <w:rsid w:val="00B42100"/>
    <w:rsid w:val="00B42116"/>
    <w:rsid w:val="00B42173"/>
    <w:rsid w:val="00B4217D"/>
    <w:rsid w:val="00B421AA"/>
    <w:rsid w:val="00B423E0"/>
    <w:rsid w:val="00B42579"/>
    <w:rsid w:val="00B425A5"/>
    <w:rsid w:val="00B42718"/>
    <w:rsid w:val="00B42726"/>
    <w:rsid w:val="00B4272E"/>
    <w:rsid w:val="00B4274B"/>
    <w:rsid w:val="00B427A8"/>
    <w:rsid w:val="00B42811"/>
    <w:rsid w:val="00B42816"/>
    <w:rsid w:val="00B4296A"/>
    <w:rsid w:val="00B429A7"/>
    <w:rsid w:val="00B42A9E"/>
    <w:rsid w:val="00B42B9E"/>
    <w:rsid w:val="00B42CBA"/>
    <w:rsid w:val="00B42CD9"/>
    <w:rsid w:val="00B42D35"/>
    <w:rsid w:val="00B42D42"/>
    <w:rsid w:val="00B42D6D"/>
    <w:rsid w:val="00B42DD9"/>
    <w:rsid w:val="00B42E39"/>
    <w:rsid w:val="00B42F88"/>
    <w:rsid w:val="00B43109"/>
    <w:rsid w:val="00B4317C"/>
    <w:rsid w:val="00B432A2"/>
    <w:rsid w:val="00B43423"/>
    <w:rsid w:val="00B434BE"/>
    <w:rsid w:val="00B4356E"/>
    <w:rsid w:val="00B435D4"/>
    <w:rsid w:val="00B437FA"/>
    <w:rsid w:val="00B438F2"/>
    <w:rsid w:val="00B4393B"/>
    <w:rsid w:val="00B439D9"/>
    <w:rsid w:val="00B43A8A"/>
    <w:rsid w:val="00B43D1A"/>
    <w:rsid w:val="00B43E76"/>
    <w:rsid w:val="00B43F16"/>
    <w:rsid w:val="00B43F20"/>
    <w:rsid w:val="00B43F24"/>
    <w:rsid w:val="00B44174"/>
    <w:rsid w:val="00B442E5"/>
    <w:rsid w:val="00B44464"/>
    <w:rsid w:val="00B4450F"/>
    <w:rsid w:val="00B44563"/>
    <w:rsid w:val="00B44619"/>
    <w:rsid w:val="00B44842"/>
    <w:rsid w:val="00B44955"/>
    <w:rsid w:val="00B44A9F"/>
    <w:rsid w:val="00B44B01"/>
    <w:rsid w:val="00B44B05"/>
    <w:rsid w:val="00B44BAC"/>
    <w:rsid w:val="00B44BCF"/>
    <w:rsid w:val="00B44BE1"/>
    <w:rsid w:val="00B44C23"/>
    <w:rsid w:val="00B44CC7"/>
    <w:rsid w:val="00B44D4C"/>
    <w:rsid w:val="00B44DE4"/>
    <w:rsid w:val="00B44E6F"/>
    <w:rsid w:val="00B44F50"/>
    <w:rsid w:val="00B44FAA"/>
    <w:rsid w:val="00B45182"/>
    <w:rsid w:val="00B4520F"/>
    <w:rsid w:val="00B455F8"/>
    <w:rsid w:val="00B456ED"/>
    <w:rsid w:val="00B45928"/>
    <w:rsid w:val="00B459A4"/>
    <w:rsid w:val="00B459EC"/>
    <w:rsid w:val="00B45A5E"/>
    <w:rsid w:val="00B45C31"/>
    <w:rsid w:val="00B45C35"/>
    <w:rsid w:val="00B45CB0"/>
    <w:rsid w:val="00B45D85"/>
    <w:rsid w:val="00B45DC9"/>
    <w:rsid w:val="00B45E51"/>
    <w:rsid w:val="00B45ECA"/>
    <w:rsid w:val="00B4606C"/>
    <w:rsid w:val="00B46098"/>
    <w:rsid w:val="00B4620A"/>
    <w:rsid w:val="00B46383"/>
    <w:rsid w:val="00B463CD"/>
    <w:rsid w:val="00B4656F"/>
    <w:rsid w:val="00B46595"/>
    <w:rsid w:val="00B46675"/>
    <w:rsid w:val="00B467B9"/>
    <w:rsid w:val="00B468A6"/>
    <w:rsid w:val="00B46911"/>
    <w:rsid w:val="00B4691B"/>
    <w:rsid w:val="00B46B97"/>
    <w:rsid w:val="00B46C6E"/>
    <w:rsid w:val="00B46CA0"/>
    <w:rsid w:val="00B46CB0"/>
    <w:rsid w:val="00B46D8D"/>
    <w:rsid w:val="00B46E24"/>
    <w:rsid w:val="00B46F6E"/>
    <w:rsid w:val="00B46F8B"/>
    <w:rsid w:val="00B46F9E"/>
    <w:rsid w:val="00B4713E"/>
    <w:rsid w:val="00B4717D"/>
    <w:rsid w:val="00B4719C"/>
    <w:rsid w:val="00B47233"/>
    <w:rsid w:val="00B4730C"/>
    <w:rsid w:val="00B47603"/>
    <w:rsid w:val="00B47758"/>
    <w:rsid w:val="00B4784F"/>
    <w:rsid w:val="00B47964"/>
    <w:rsid w:val="00B479D9"/>
    <w:rsid w:val="00B47A15"/>
    <w:rsid w:val="00B47B3A"/>
    <w:rsid w:val="00B47B89"/>
    <w:rsid w:val="00B47BD7"/>
    <w:rsid w:val="00B47BD8"/>
    <w:rsid w:val="00B47D3D"/>
    <w:rsid w:val="00B47ED6"/>
    <w:rsid w:val="00B47FAB"/>
    <w:rsid w:val="00B50020"/>
    <w:rsid w:val="00B5004E"/>
    <w:rsid w:val="00B50096"/>
    <w:rsid w:val="00B500D3"/>
    <w:rsid w:val="00B501CA"/>
    <w:rsid w:val="00B501CE"/>
    <w:rsid w:val="00B501D6"/>
    <w:rsid w:val="00B501E5"/>
    <w:rsid w:val="00B5020E"/>
    <w:rsid w:val="00B50232"/>
    <w:rsid w:val="00B50507"/>
    <w:rsid w:val="00B50576"/>
    <w:rsid w:val="00B505DA"/>
    <w:rsid w:val="00B506E9"/>
    <w:rsid w:val="00B50700"/>
    <w:rsid w:val="00B508CB"/>
    <w:rsid w:val="00B50988"/>
    <w:rsid w:val="00B50B28"/>
    <w:rsid w:val="00B50B8A"/>
    <w:rsid w:val="00B50B9C"/>
    <w:rsid w:val="00B50D20"/>
    <w:rsid w:val="00B50D8F"/>
    <w:rsid w:val="00B50DA6"/>
    <w:rsid w:val="00B50E7E"/>
    <w:rsid w:val="00B50F8E"/>
    <w:rsid w:val="00B51045"/>
    <w:rsid w:val="00B5109F"/>
    <w:rsid w:val="00B510A8"/>
    <w:rsid w:val="00B510D4"/>
    <w:rsid w:val="00B5117A"/>
    <w:rsid w:val="00B511F9"/>
    <w:rsid w:val="00B51218"/>
    <w:rsid w:val="00B51243"/>
    <w:rsid w:val="00B51254"/>
    <w:rsid w:val="00B51403"/>
    <w:rsid w:val="00B51410"/>
    <w:rsid w:val="00B51441"/>
    <w:rsid w:val="00B514AD"/>
    <w:rsid w:val="00B51574"/>
    <w:rsid w:val="00B5158E"/>
    <w:rsid w:val="00B515CD"/>
    <w:rsid w:val="00B516A9"/>
    <w:rsid w:val="00B516B4"/>
    <w:rsid w:val="00B516B6"/>
    <w:rsid w:val="00B516E5"/>
    <w:rsid w:val="00B51717"/>
    <w:rsid w:val="00B517F2"/>
    <w:rsid w:val="00B51800"/>
    <w:rsid w:val="00B51910"/>
    <w:rsid w:val="00B5196E"/>
    <w:rsid w:val="00B519FD"/>
    <w:rsid w:val="00B51A74"/>
    <w:rsid w:val="00B51C36"/>
    <w:rsid w:val="00B51C89"/>
    <w:rsid w:val="00B51D82"/>
    <w:rsid w:val="00B51EAD"/>
    <w:rsid w:val="00B51FE5"/>
    <w:rsid w:val="00B52255"/>
    <w:rsid w:val="00B522ED"/>
    <w:rsid w:val="00B52335"/>
    <w:rsid w:val="00B523D6"/>
    <w:rsid w:val="00B52436"/>
    <w:rsid w:val="00B52487"/>
    <w:rsid w:val="00B525B8"/>
    <w:rsid w:val="00B52653"/>
    <w:rsid w:val="00B526F5"/>
    <w:rsid w:val="00B52700"/>
    <w:rsid w:val="00B527EA"/>
    <w:rsid w:val="00B5291E"/>
    <w:rsid w:val="00B52A72"/>
    <w:rsid w:val="00B52A89"/>
    <w:rsid w:val="00B52B2B"/>
    <w:rsid w:val="00B52CDB"/>
    <w:rsid w:val="00B52E76"/>
    <w:rsid w:val="00B52EA1"/>
    <w:rsid w:val="00B5310A"/>
    <w:rsid w:val="00B5337B"/>
    <w:rsid w:val="00B5340E"/>
    <w:rsid w:val="00B535DF"/>
    <w:rsid w:val="00B53657"/>
    <w:rsid w:val="00B536CD"/>
    <w:rsid w:val="00B5379D"/>
    <w:rsid w:val="00B53901"/>
    <w:rsid w:val="00B53925"/>
    <w:rsid w:val="00B5398A"/>
    <w:rsid w:val="00B539DC"/>
    <w:rsid w:val="00B53AF9"/>
    <w:rsid w:val="00B53BA1"/>
    <w:rsid w:val="00B53C40"/>
    <w:rsid w:val="00B53CCF"/>
    <w:rsid w:val="00B53CE0"/>
    <w:rsid w:val="00B53D1D"/>
    <w:rsid w:val="00B53DAF"/>
    <w:rsid w:val="00B53DB8"/>
    <w:rsid w:val="00B53DFD"/>
    <w:rsid w:val="00B53E00"/>
    <w:rsid w:val="00B53E85"/>
    <w:rsid w:val="00B53F4E"/>
    <w:rsid w:val="00B53FBA"/>
    <w:rsid w:val="00B53FE3"/>
    <w:rsid w:val="00B540F4"/>
    <w:rsid w:val="00B54121"/>
    <w:rsid w:val="00B54353"/>
    <w:rsid w:val="00B5473B"/>
    <w:rsid w:val="00B54742"/>
    <w:rsid w:val="00B54747"/>
    <w:rsid w:val="00B54775"/>
    <w:rsid w:val="00B5477F"/>
    <w:rsid w:val="00B547BB"/>
    <w:rsid w:val="00B547F8"/>
    <w:rsid w:val="00B54871"/>
    <w:rsid w:val="00B54C6F"/>
    <w:rsid w:val="00B54C82"/>
    <w:rsid w:val="00B54CF2"/>
    <w:rsid w:val="00B54DBF"/>
    <w:rsid w:val="00B54DF4"/>
    <w:rsid w:val="00B54ECA"/>
    <w:rsid w:val="00B54F1A"/>
    <w:rsid w:val="00B54FA8"/>
    <w:rsid w:val="00B54FCC"/>
    <w:rsid w:val="00B55097"/>
    <w:rsid w:val="00B55111"/>
    <w:rsid w:val="00B55134"/>
    <w:rsid w:val="00B55329"/>
    <w:rsid w:val="00B553BC"/>
    <w:rsid w:val="00B554B7"/>
    <w:rsid w:val="00B55594"/>
    <w:rsid w:val="00B555BE"/>
    <w:rsid w:val="00B55732"/>
    <w:rsid w:val="00B557DB"/>
    <w:rsid w:val="00B557F4"/>
    <w:rsid w:val="00B558DA"/>
    <w:rsid w:val="00B558F1"/>
    <w:rsid w:val="00B55A66"/>
    <w:rsid w:val="00B55A98"/>
    <w:rsid w:val="00B55D61"/>
    <w:rsid w:val="00B55E31"/>
    <w:rsid w:val="00B55F13"/>
    <w:rsid w:val="00B56066"/>
    <w:rsid w:val="00B560DB"/>
    <w:rsid w:val="00B560E8"/>
    <w:rsid w:val="00B561F0"/>
    <w:rsid w:val="00B5622F"/>
    <w:rsid w:val="00B5630D"/>
    <w:rsid w:val="00B5635A"/>
    <w:rsid w:val="00B56543"/>
    <w:rsid w:val="00B56581"/>
    <w:rsid w:val="00B5667B"/>
    <w:rsid w:val="00B566FE"/>
    <w:rsid w:val="00B5671C"/>
    <w:rsid w:val="00B5677C"/>
    <w:rsid w:val="00B5692D"/>
    <w:rsid w:val="00B56AAB"/>
    <w:rsid w:val="00B56ACB"/>
    <w:rsid w:val="00B56BCF"/>
    <w:rsid w:val="00B56C04"/>
    <w:rsid w:val="00B56C10"/>
    <w:rsid w:val="00B56C1C"/>
    <w:rsid w:val="00B56C53"/>
    <w:rsid w:val="00B56CA0"/>
    <w:rsid w:val="00B56DAC"/>
    <w:rsid w:val="00B56E63"/>
    <w:rsid w:val="00B56E8D"/>
    <w:rsid w:val="00B56EB9"/>
    <w:rsid w:val="00B56F6E"/>
    <w:rsid w:val="00B56FC7"/>
    <w:rsid w:val="00B5706C"/>
    <w:rsid w:val="00B5714E"/>
    <w:rsid w:val="00B57298"/>
    <w:rsid w:val="00B57306"/>
    <w:rsid w:val="00B573FB"/>
    <w:rsid w:val="00B573FD"/>
    <w:rsid w:val="00B574A9"/>
    <w:rsid w:val="00B574DA"/>
    <w:rsid w:val="00B57556"/>
    <w:rsid w:val="00B5755F"/>
    <w:rsid w:val="00B57605"/>
    <w:rsid w:val="00B576CC"/>
    <w:rsid w:val="00B57723"/>
    <w:rsid w:val="00B5772B"/>
    <w:rsid w:val="00B57791"/>
    <w:rsid w:val="00B577E2"/>
    <w:rsid w:val="00B5782B"/>
    <w:rsid w:val="00B5789C"/>
    <w:rsid w:val="00B5789E"/>
    <w:rsid w:val="00B578DD"/>
    <w:rsid w:val="00B57980"/>
    <w:rsid w:val="00B579E2"/>
    <w:rsid w:val="00B57AD0"/>
    <w:rsid w:val="00B57B2E"/>
    <w:rsid w:val="00B57C7F"/>
    <w:rsid w:val="00B57CCA"/>
    <w:rsid w:val="00B57CF9"/>
    <w:rsid w:val="00B57E12"/>
    <w:rsid w:val="00B57FDB"/>
    <w:rsid w:val="00B6000A"/>
    <w:rsid w:val="00B6018A"/>
    <w:rsid w:val="00B60212"/>
    <w:rsid w:val="00B6029A"/>
    <w:rsid w:val="00B60314"/>
    <w:rsid w:val="00B603B1"/>
    <w:rsid w:val="00B60418"/>
    <w:rsid w:val="00B604F0"/>
    <w:rsid w:val="00B60562"/>
    <w:rsid w:val="00B60597"/>
    <w:rsid w:val="00B605C0"/>
    <w:rsid w:val="00B60669"/>
    <w:rsid w:val="00B6066B"/>
    <w:rsid w:val="00B6067D"/>
    <w:rsid w:val="00B6089C"/>
    <w:rsid w:val="00B608A0"/>
    <w:rsid w:val="00B608A5"/>
    <w:rsid w:val="00B60911"/>
    <w:rsid w:val="00B60AB9"/>
    <w:rsid w:val="00B60ACE"/>
    <w:rsid w:val="00B60AE7"/>
    <w:rsid w:val="00B60B12"/>
    <w:rsid w:val="00B60B2E"/>
    <w:rsid w:val="00B60BC7"/>
    <w:rsid w:val="00B60C48"/>
    <w:rsid w:val="00B60C5F"/>
    <w:rsid w:val="00B60D29"/>
    <w:rsid w:val="00B60DCA"/>
    <w:rsid w:val="00B60DE2"/>
    <w:rsid w:val="00B60E27"/>
    <w:rsid w:val="00B60EA3"/>
    <w:rsid w:val="00B60F0A"/>
    <w:rsid w:val="00B61129"/>
    <w:rsid w:val="00B611ED"/>
    <w:rsid w:val="00B61422"/>
    <w:rsid w:val="00B61433"/>
    <w:rsid w:val="00B614B9"/>
    <w:rsid w:val="00B61546"/>
    <w:rsid w:val="00B61551"/>
    <w:rsid w:val="00B61552"/>
    <w:rsid w:val="00B615AF"/>
    <w:rsid w:val="00B617C1"/>
    <w:rsid w:val="00B61870"/>
    <w:rsid w:val="00B61889"/>
    <w:rsid w:val="00B61945"/>
    <w:rsid w:val="00B619AB"/>
    <w:rsid w:val="00B61ACB"/>
    <w:rsid w:val="00B61B5E"/>
    <w:rsid w:val="00B61B6B"/>
    <w:rsid w:val="00B61BDE"/>
    <w:rsid w:val="00B61F3B"/>
    <w:rsid w:val="00B61F72"/>
    <w:rsid w:val="00B6207B"/>
    <w:rsid w:val="00B620B6"/>
    <w:rsid w:val="00B620D0"/>
    <w:rsid w:val="00B622AB"/>
    <w:rsid w:val="00B6236E"/>
    <w:rsid w:val="00B623C0"/>
    <w:rsid w:val="00B623CC"/>
    <w:rsid w:val="00B6249A"/>
    <w:rsid w:val="00B6258D"/>
    <w:rsid w:val="00B626D6"/>
    <w:rsid w:val="00B626DF"/>
    <w:rsid w:val="00B627DB"/>
    <w:rsid w:val="00B62812"/>
    <w:rsid w:val="00B6290E"/>
    <w:rsid w:val="00B629E3"/>
    <w:rsid w:val="00B62A30"/>
    <w:rsid w:val="00B62A92"/>
    <w:rsid w:val="00B62AA0"/>
    <w:rsid w:val="00B62AE5"/>
    <w:rsid w:val="00B62B1A"/>
    <w:rsid w:val="00B62C06"/>
    <w:rsid w:val="00B62D33"/>
    <w:rsid w:val="00B62D5B"/>
    <w:rsid w:val="00B62D62"/>
    <w:rsid w:val="00B62DE7"/>
    <w:rsid w:val="00B62EBB"/>
    <w:rsid w:val="00B62F29"/>
    <w:rsid w:val="00B62FA6"/>
    <w:rsid w:val="00B6307D"/>
    <w:rsid w:val="00B6309C"/>
    <w:rsid w:val="00B6315A"/>
    <w:rsid w:val="00B63203"/>
    <w:rsid w:val="00B6320F"/>
    <w:rsid w:val="00B63260"/>
    <w:rsid w:val="00B6326B"/>
    <w:rsid w:val="00B632C4"/>
    <w:rsid w:val="00B6340C"/>
    <w:rsid w:val="00B63416"/>
    <w:rsid w:val="00B6351D"/>
    <w:rsid w:val="00B63563"/>
    <w:rsid w:val="00B63580"/>
    <w:rsid w:val="00B63640"/>
    <w:rsid w:val="00B63656"/>
    <w:rsid w:val="00B6371F"/>
    <w:rsid w:val="00B6379F"/>
    <w:rsid w:val="00B637FB"/>
    <w:rsid w:val="00B63814"/>
    <w:rsid w:val="00B6387E"/>
    <w:rsid w:val="00B638B4"/>
    <w:rsid w:val="00B639A4"/>
    <w:rsid w:val="00B63A2F"/>
    <w:rsid w:val="00B63A3E"/>
    <w:rsid w:val="00B63B9D"/>
    <w:rsid w:val="00B63BA0"/>
    <w:rsid w:val="00B63BFD"/>
    <w:rsid w:val="00B63CA0"/>
    <w:rsid w:val="00B63D6A"/>
    <w:rsid w:val="00B63DC0"/>
    <w:rsid w:val="00B63E28"/>
    <w:rsid w:val="00B63E9C"/>
    <w:rsid w:val="00B63EB4"/>
    <w:rsid w:val="00B63F72"/>
    <w:rsid w:val="00B6405A"/>
    <w:rsid w:val="00B640A9"/>
    <w:rsid w:val="00B641BC"/>
    <w:rsid w:val="00B643A1"/>
    <w:rsid w:val="00B643BC"/>
    <w:rsid w:val="00B6446E"/>
    <w:rsid w:val="00B647B6"/>
    <w:rsid w:val="00B64836"/>
    <w:rsid w:val="00B649A3"/>
    <w:rsid w:val="00B64ABF"/>
    <w:rsid w:val="00B64AC7"/>
    <w:rsid w:val="00B64B1D"/>
    <w:rsid w:val="00B64B8A"/>
    <w:rsid w:val="00B64B9E"/>
    <w:rsid w:val="00B64D0B"/>
    <w:rsid w:val="00B64D64"/>
    <w:rsid w:val="00B64E9B"/>
    <w:rsid w:val="00B64FB1"/>
    <w:rsid w:val="00B6510A"/>
    <w:rsid w:val="00B65206"/>
    <w:rsid w:val="00B65235"/>
    <w:rsid w:val="00B65320"/>
    <w:rsid w:val="00B6533B"/>
    <w:rsid w:val="00B65372"/>
    <w:rsid w:val="00B65549"/>
    <w:rsid w:val="00B655BE"/>
    <w:rsid w:val="00B655D1"/>
    <w:rsid w:val="00B65628"/>
    <w:rsid w:val="00B656FE"/>
    <w:rsid w:val="00B65709"/>
    <w:rsid w:val="00B65755"/>
    <w:rsid w:val="00B658AC"/>
    <w:rsid w:val="00B65A96"/>
    <w:rsid w:val="00B65B2A"/>
    <w:rsid w:val="00B65B2C"/>
    <w:rsid w:val="00B65B4C"/>
    <w:rsid w:val="00B65C51"/>
    <w:rsid w:val="00B65D36"/>
    <w:rsid w:val="00B65D86"/>
    <w:rsid w:val="00B65FC2"/>
    <w:rsid w:val="00B66009"/>
    <w:rsid w:val="00B660D2"/>
    <w:rsid w:val="00B661B4"/>
    <w:rsid w:val="00B661E4"/>
    <w:rsid w:val="00B66230"/>
    <w:rsid w:val="00B662E9"/>
    <w:rsid w:val="00B6631C"/>
    <w:rsid w:val="00B66450"/>
    <w:rsid w:val="00B6661C"/>
    <w:rsid w:val="00B6678A"/>
    <w:rsid w:val="00B667E9"/>
    <w:rsid w:val="00B668B8"/>
    <w:rsid w:val="00B668DC"/>
    <w:rsid w:val="00B66915"/>
    <w:rsid w:val="00B669EA"/>
    <w:rsid w:val="00B66A1A"/>
    <w:rsid w:val="00B66A82"/>
    <w:rsid w:val="00B66B7E"/>
    <w:rsid w:val="00B66BEC"/>
    <w:rsid w:val="00B66C40"/>
    <w:rsid w:val="00B66DCD"/>
    <w:rsid w:val="00B66E17"/>
    <w:rsid w:val="00B66E48"/>
    <w:rsid w:val="00B66E8A"/>
    <w:rsid w:val="00B67100"/>
    <w:rsid w:val="00B671C0"/>
    <w:rsid w:val="00B67243"/>
    <w:rsid w:val="00B67331"/>
    <w:rsid w:val="00B67432"/>
    <w:rsid w:val="00B6743A"/>
    <w:rsid w:val="00B674B5"/>
    <w:rsid w:val="00B67518"/>
    <w:rsid w:val="00B6754A"/>
    <w:rsid w:val="00B675A0"/>
    <w:rsid w:val="00B675AE"/>
    <w:rsid w:val="00B677FB"/>
    <w:rsid w:val="00B67872"/>
    <w:rsid w:val="00B678F8"/>
    <w:rsid w:val="00B67A62"/>
    <w:rsid w:val="00B67BAF"/>
    <w:rsid w:val="00B67C65"/>
    <w:rsid w:val="00B67CD4"/>
    <w:rsid w:val="00B67D25"/>
    <w:rsid w:val="00B67DA2"/>
    <w:rsid w:val="00B67E71"/>
    <w:rsid w:val="00B67EC3"/>
    <w:rsid w:val="00B67F08"/>
    <w:rsid w:val="00B67FA5"/>
    <w:rsid w:val="00B701A3"/>
    <w:rsid w:val="00B7021E"/>
    <w:rsid w:val="00B7029F"/>
    <w:rsid w:val="00B702C1"/>
    <w:rsid w:val="00B703FD"/>
    <w:rsid w:val="00B70643"/>
    <w:rsid w:val="00B7066D"/>
    <w:rsid w:val="00B70738"/>
    <w:rsid w:val="00B70825"/>
    <w:rsid w:val="00B70956"/>
    <w:rsid w:val="00B709C5"/>
    <w:rsid w:val="00B70AF9"/>
    <w:rsid w:val="00B70B96"/>
    <w:rsid w:val="00B70BE2"/>
    <w:rsid w:val="00B70E46"/>
    <w:rsid w:val="00B70E70"/>
    <w:rsid w:val="00B70E7C"/>
    <w:rsid w:val="00B70FC4"/>
    <w:rsid w:val="00B70FDE"/>
    <w:rsid w:val="00B712DE"/>
    <w:rsid w:val="00B71353"/>
    <w:rsid w:val="00B71395"/>
    <w:rsid w:val="00B7147E"/>
    <w:rsid w:val="00B71532"/>
    <w:rsid w:val="00B7155A"/>
    <w:rsid w:val="00B71584"/>
    <w:rsid w:val="00B715E4"/>
    <w:rsid w:val="00B715F7"/>
    <w:rsid w:val="00B71618"/>
    <w:rsid w:val="00B716F1"/>
    <w:rsid w:val="00B7176A"/>
    <w:rsid w:val="00B7177F"/>
    <w:rsid w:val="00B71781"/>
    <w:rsid w:val="00B717FA"/>
    <w:rsid w:val="00B718DF"/>
    <w:rsid w:val="00B71950"/>
    <w:rsid w:val="00B719A4"/>
    <w:rsid w:val="00B71A6C"/>
    <w:rsid w:val="00B71ACB"/>
    <w:rsid w:val="00B71B48"/>
    <w:rsid w:val="00B71C06"/>
    <w:rsid w:val="00B71C5F"/>
    <w:rsid w:val="00B71CD6"/>
    <w:rsid w:val="00B71D0B"/>
    <w:rsid w:val="00B71D25"/>
    <w:rsid w:val="00B71EC1"/>
    <w:rsid w:val="00B71F10"/>
    <w:rsid w:val="00B71F8F"/>
    <w:rsid w:val="00B71F9B"/>
    <w:rsid w:val="00B720C3"/>
    <w:rsid w:val="00B720D9"/>
    <w:rsid w:val="00B72143"/>
    <w:rsid w:val="00B7215B"/>
    <w:rsid w:val="00B72184"/>
    <w:rsid w:val="00B72245"/>
    <w:rsid w:val="00B722A0"/>
    <w:rsid w:val="00B722CE"/>
    <w:rsid w:val="00B723D9"/>
    <w:rsid w:val="00B7243F"/>
    <w:rsid w:val="00B7248B"/>
    <w:rsid w:val="00B7253C"/>
    <w:rsid w:val="00B72566"/>
    <w:rsid w:val="00B72633"/>
    <w:rsid w:val="00B726F9"/>
    <w:rsid w:val="00B7275D"/>
    <w:rsid w:val="00B72760"/>
    <w:rsid w:val="00B72771"/>
    <w:rsid w:val="00B727D8"/>
    <w:rsid w:val="00B72803"/>
    <w:rsid w:val="00B72985"/>
    <w:rsid w:val="00B729EA"/>
    <w:rsid w:val="00B72A4E"/>
    <w:rsid w:val="00B72A65"/>
    <w:rsid w:val="00B72D89"/>
    <w:rsid w:val="00B72F1B"/>
    <w:rsid w:val="00B72FCC"/>
    <w:rsid w:val="00B73032"/>
    <w:rsid w:val="00B730CE"/>
    <w:rsid w:val="00B7318E"/>
    <w:rsid w:val="00B73350"/>
    <w:rsid w:val="00B7348A"/>
    <w:rsid w:val="00B73517"/>
    <w:rsid w:val="00B73587"/>
    <w:rsid w:val="00B73628"/>
    <w:rsid w:val="00B73837"/>
    <w:rsid w:val="00B7383A"/>
    <w:rsid w:val="00B73959"/>
    <w:rsid w:val="00B73AAB"/>
    <w:rsid w:val="00B73AF2"/>
    <w:rsid w:val="00B73BC7"/>
    <w:rsid w:val="00B73C6B"/>
    <w:rsid w:val="00B73CF2"/>
    <w:rsid w:val="00B73D66"/>
    <w:rsid w:val="00B73E8B"/>
    <w:rsid w:val="00B73FCB"/>
    <w:rsid w:val="00B74184"/>
    <w:rsid w:val="00B7422D"/>
    <w:rsid w:val="00B7424E"/>
    <w:rsid w:val="00B742A5"/>
    <w:rsid w:val="00B74375"/>
    <w:rsid w:val="00B74474"/>
    <w:rsid w:val="00B744BC"/>
    <w:rsid w:val="00B74572"/>
    <w:rsid w:val="00B74747"/>
    <w:rsid w:val="00B74775"/>
    <w:rsid w:val="00B74A65"/>
    <w:rsid w:val="00B74B52"/>
    <w:rsid w:val="00B74B56"/>
    <w:rsid w:val="00B74CA6"/>
    <w:rsid w:val="00B74D8F"/>
    <w:rsid w:val="00B74E6E"/>
    <w:rsid w:val="00B74E9E"/>
    <w:rsid w:val="00B74F35"/>
    <w:rsid w:val="00B74FDF"/>
    <w:rsid w:val="00B751FA"/>
    <w:rsid w:val="00B7521B"/>
    <w:rsid w:val="00B752E8"/>
    <w:rsid w:val="00B75329"/>
    <w:rsid w:val="00B7538D"/>
    <w:rsid w:val="00B753DA"/>
    <w:rsid w:val="00B753F7"/>
    <w:rsid w:val="00B7540B"/>
    <w:rsid w:val="00B75582"/>
    <w:rsid w:val="00B755DD"/>
    <w:rsid w:val="00B75666"/>
    <w:rsid w:val="00B756BE"/>
    <w:rsid w:val="00B75745"/>
    <w:rsid w:val="00B75766"/>
    <w:rsid w:val="00B757AB"/>
    <w:rsid w:val="00B75887"/>
    <w:rsid w:val="00B758E6"/>
    <w:rsid w:val="00B7591A"/>
    <w:rsid w:val="00B75A81"/>
    <w:rsid w:val="00B75AC5"/>
    <w:rsid w:val="00B75C7C"/>
    <w:rsid w:val="00B75EA8"/>
    <w:rsid w:val="00B75EFD"/>
    <w:rsid w:val="00B75FC1"/>
    <w:rsid w:val="00B76007"/>
    <w:rsid w:val="00B7605F"/>
    <w:rsid w:val="00B76116"/>
    <w:rsid w:val="00B764DD"/>
    <w:rsid w:val="00B765BD"/>
    <w:rsid w:val="00B765D4"/>
    <w:rsid w:val="00B7675E"/>
    <w:rsid w:val="00B767B8"/>
    <w:rsid w:val="00B769F6"/>
    <w:rsid w:val="00B76B00"/>
    <w:rsid w:val="00B76B7C"/>
    <w:rsid w:val="00B76BC7"/>
    <w:rsid w:val="00B76BD0"/>
    <w:rsid w:val="00B76C27"/>
    <w:rsid w:val="00B76EC9"/>
    <w:rsid w:val="00B76FD1"/>
    <w:rsid w:val="00B77000"/>
    <w:rsid w:val="00B770F0"/>
    <w:rsid w:val="00B771A4"/>
    <w:rsid w:val="00B7724B"/>
    <w:rsid w:val="00B772B4"/>
    <w:rsid w:val="00B77519"/>
    <w:rsid w:val="00B77537"/>
    <w:rsid w:val="00B777F4"/>
    <w:rsid w:val="00B77937"/>
    <w:rsid w:val="00B77972"/>
    <w:rsid w:val="00B77998"/>
    <w:rsid w:val="00B77AEA"/>
    <w:rsid w:val="00B77BA7"/>
    <w:rsid w:val="00B77BD9"/>
    <w:rsid w:val="00B77CE3"/>
    <w:rsid w:val="00B77DE7"/>
    <w:rsid w:val="00B77E63"/>
    <w:rsid w:val="00B77F1D"/>
    <w:rsid w:val="00B77F9B"/>
    <w:rsid w:val="00B8005E"/>
    <w:rsid w:val="00B8008F"/>
    <w:rsid w:val="00B8022D"/>
    <w:rsid w:val="00B8035A"/>
    <w:rsid w:val="00B803CB"/>
    <w:rsid w:val="00B80407"/>
    <w:rsid w:val="00B80629"/>
    <w:rsid w:val="00B806D0"/>
    <w:rsid w:val="00B80785"/>
    <w:rsid w:val="00B8079D"/>
    <w:rsid w:val="00B80A80"/>
    <w:rsid w:val="00B80AC0"/>
    <w:rsid w:val="00B80AC8"/>
    <w:rsid w:val="00B80B31"/>
    <w:rsid w:val="00B80B6A"/>
    <w:rsid w:val="00B80BAC"/>
    <w:rsid w:val="00B80C25"/>
    <w:rsid w:val="00B80C6C"/>
    <w:rsid w:val="00B80C7F"/>
    <w:rsid w:val="00B80C8A"/>
    <w:rsid w:val="00B80CAB"/>
    <w:rsid w:val="00B80CAC"/>
    <w:rsid w:val="00B80D3A"/>
    <w:rsid w:val="00B80DEB"/>
    <w:rsid w:val="00B80E9A"/>
    <w:rsid w:val="00B80E9E"/>
    <w:rsid w:val="00B80EFF"/>
    <w:rsid w:val="00B80F8D"/>
    <w:rsid w:val="00B811D9"/>
    <w:rsid w:val="00B81283"/>
    <w:rsid w:val="00B812E3"/>
    <w:rsid w:val="00B81340"/>
    <w:rsid w:val="00B813B2"/>
    <w:rsid w:val="00B81554"/>
    <w:rsid w:val="00B81595"/>
    <w:rsid w:val="00B8160A"/>
    <w:rsid w:val="00B816F8"/>
    <w:rsid w:val="00B817A8"/>
    <w:rsid w:val="00B818D5"/>
    <w:rsid w:val="00B818F6"/>
    <w:rsid w:val="00B819B6"/>
    <w:rsid w:val="00B81B13"/>
    <w:rsid w:val="00B81B26"/>
    <w:rsid w:val="00B81B47"/>
    <w:rsid w:val="00B81C05"/>
    <w:rsid w:val="00B81D04"/>
    <w:rsid w:val="00B81D3F"/>
    <w:rsid w:val="00B81D53"/>
    <w:rsid w:val="00B81E46"/>
    <w:rsid w:val="00B81EAD"/>
    <w:rsid w:val="00B81F51"/>
    <w:rsid w:val="00B81F65"/>
    <w:rsid w:val="00B81F83"/>
    <w:rsid w:val="00B81FF6"/>
    <w:rsid w:val="00B82078"/>
    <w:rsid w:val="00B82196"/>
    <w:rsid w:val="00B822A6"/>
    <w:rsid w:val="00B8236E"/>
    <w:rsid w:val="00B82396"/>
    <w:rsid w:val="00B823B9"/>
    <w:rsid w:val="00B823D7"/>
    <w:rsid w:val="00B824C3"/>
    <w:rsid w:val="00B82540"/>
    <w:rsid w:val="00B8255D"/>
    <w:rsid w:val="00B8258C"/>
    <w:rsid w:val="00B825EB"/>
    <w:rsid w:val="00B8260D"/>
    <w:rsid w:val="00B826EF"/>
    <w:rsid w:val="00B82774"/>
    <w:rsid w:val="00B827EA"/>
    <w:rsid w:val="00B828CA"/>
    <w:rsid w:val="00B828D5"/>
    <w:rsid w:val="00B82909"/>
    <w:rsid w:val="00B8296B"/>
    <w:rsid w:val="00B8296E"/>
    <w:rsid w:val="00B82A51"/>
    <w:rsid w:val="00B82A81"/>
    <w:rsid w:val="00B82B03"/>
    <w:rsid w:val="00B82B6B"/>
    <w:rsid w:val="00B82B8A"/>
    <w:rsid w:val="00B82C29"/>
    <w:rsid w:val="00B82FA2"/>
    <w:rsid w:val="00B8307A"/>
    <w:rsid w:val="00B831E5"/>
    <w:rsid w:val="00B8320E"/>
    <w:rsid w:val="00B8329F"/>
    <w:rsid w:val="00B83331"/>
    <w:rsid w:val="00B833CB"/>
    <w:rsid w:val="00B833CC"/>
    <w:rsid w:val="00B8346B"/>
    <w:rsid w:val="00B834D2"/>
    <w:rsid w:val="00B835E5"/>
    <w:rsid w:val="00B8363C"/>
    <w:rsid w:val="00B83694"/>
    <w:rsid w:val="00B8369C"/>
    <w:rsid w:val="00B83721"/>
    <w:rsid w:val="00B8376D"/>
    <w:rsid w:val="00B8377E"/>
    <w:rsid w:val="00B83787"/>
    <w:rsid w:val="00B8395E"/>
    <w:rsid w:val="00B83AEB"/>
    <w:rsid w:val="00B83BED"/>
    <w:rsid w:val="00B83C86"/>
    <w:rsid w:val="00B83CF4"/>
    <w:rsid w:val="00B83E13"/>
    <w:rsid w:val="00B83FC3"/>
    <w:rsid w:val="00B83FF7"/>
    <w:rsid w:val="00B840A0"/>
    <w:rsid w:val="00B840E6"/>
    <w:rsid w:val="00B841A0"/>
    <w:rsid w:val="00B8426B"/>
    <w:rsid w:val="00B843B2"/>
    <w:rsid w:val="00B84413"/>
    <w:rsid w:val="00B84505"/>
    <w:rsid w:val="00B8454A"/>
    <w:rsid w:val="00B84635"/>
    <w:rsid w:val="00B84682"/>
    <w:rsid w:val="00B8484C"/>
    <w:rsid w:val="00B84884"/>
    <w:rsid w:val="00B84AA9"/>
    <w:rsid w:val="00B84B90"/>
    <w:rsid w:val="00B84D05"/>
    <w:rsid w:val="00B84D08"/>
    <w:rsid w:val="00B84E1F"/>
    <w:rsid w:val="00B84E8E"/>
    <w:rsid w:val="00B84E9A"/>
    <w:rsid w:val="00B8502C"/>
    <w:rsid w:val="00B851B1"/>
    <w:rsid w:val="00B851EE"/>
    <w:rsid w:val="00B852FB"/>
    <w:rsid w:val="00B8534C"/>
    <w:rsid w:val="00B85382"/>
    <w:rsid w:val="00B853E7"/>
    <w:rsid w:val="00B855F3"/>
    <w:rsid w:val="00B85657"/>
    <w:rsid w:val="00B85664"/>
    <w:rsid w:val="00B85684"/>
    <w:rsid w:val="00B856B1"/>
    <w:rsid w:val="00B85724"/>
    <w:rsid w:val="00B857F5"/>
    <w:rsid w:val="00B858C5"/>
    <w:rsid w:val="00B858D1"/>
    <w:rsid w:val="00B85935"/>
    <w:rsid w:val="00B85A77"/>
    <w:rsid w:val="00B85B6F"/>
    <w:rsid w:val="00B85C1A"/>
    <w:rsid w:val="00B85C90"/>
    <w:rsid w:val="00B85CA2"/>
    <w:rsid w:val="00B85D69"/>
    <w:rsid w:val="00B85E18"/>
    <w:rsid w:val="00B85E95"/>
    <w:rsid w:val="00B85EB0"/>
    <w:rsid w:val="00B85F0C"/>
    <w:rsid w:val="00B85F16"/>
    <w:rsid w:val="00B85FD8"/>
    <w:rsid w:val="00B86016"/>
    <w:rsid w:val="00B8603D"/>
    <w:rsid w:val="00B86258"/>
    <w:rsid w:val="00B862BA"/>
    <w:rsid w:val="00B862EC"/>
    <w:rsid w:val="00B86493"/>
    <w:rsid w:val="00B86533"/>
    <w:rsid w:val="00B86536"/>
    <w:rsid w:val="00B86551"/>
    <w:rsid w:val="00B86597"/>
    <w:rsid w:val="00B86599"/>
    <w:rsid w:val="00B865C5"/>
    <w:rsid w:val="00B865CE"/>
    <w:rsid w:val="00B866CD"/>
    <w:rsid w:val="00B86733"/>
    <w:rsid w:val="00B86768"/>
    <w:rsid w:val="00B86806"/>
    <w:rsid w:val="00B86969"/>
    <w:rsid w:val="00B86C18"/>
    <w:rsid w:val="00B86CCD"/>
    <w:rsid w:val="00B86E6F"/>
    <w:rsid w:val="00B86EDD"/>
    <w:rsid w:val="00B870D3"/>
    <w:rsid w:val="00B87147"/>
    <w:rsid w:val="00B871C2"/>
    <w:rsid w:val="00B87234"/>
    <w:rsid w:val="00B87292"/>
    <w:rsid w:val="00B87324"/>
    <w:rsid w:val="00B8750E"/>
    <w:rsid w:val="00B87593"/>
    <w:rsid w:val="00B876B2"/>
    <w:rsid w:val="00B8774B"/>
    <w:rsid w:val="00B8778F"/>
    <w:rsid w:val="00B87798"/>
    <w:rsid w:val="00B87859"/>
    <w:rsid w:val="00B87883"/>
    <w:rsid w:val="00B87927"/>
    <w:rsid w:val="00B87A88"/>
    <w:rsid w:val="00B87AD0"/>
    <w:rsid w:val="00B87AFB"/>
    <w:rsid w:val="00B87BB2"/>
    <w:rsid w:val="00B87BB8"/>
    <w:rsid w:val="00B87BF9"/>
    <w:rsid w:val="00B87C7D"/>
    <w:rsid w:val="00B87CA2"/>
    <w:rsid w:val="00B87CBD"/>
    <w:rsid w:val="00B87D2B"/>
    <w:rsid w:val="00B87E55"/>
    <w:rsid w:val="00B87E80"/>
    <w:rsid w:val="00B87E90"/>
    <w:rsid w:val="00B87F0F"/>
    <w:rsid w:val="00B87FB9"/>
    <w:rsid w:val="00B9003B"/>
    <w:rsid w:val="00B900DF"/>
    <w:rsid w:val="00B900EA"/>
    <w:rsid w:val="00B90161"/>
    <w:rsid w:val="00B901FB"/>
    <w:rsid w:val="00B9021A"/>
    <w:rsid w:val="00B90238"/>
    <w:rsid w:val="00B90270"/>
    <w:rsid w:val="00B902C7"/>
    <w:rsid w:val="00B902F6"/>
    <w:rsid w:val="00B90369"/>
    <w:rsid w:val="00B903D4"/>
    <w:rsid w:val="00B90401"/>
    <w:rsid w:val="00B904D8"/>
    <w:rsid w:val="00B904DD"/>
    <w:rsid w:val="00B907D2"/>
    <w:rsid w:val="00B9081C"/>
    <w:rsid w:val="00B9087A"/>
    <w:rsid w:val="00B909A4"/>
    <w:rsid w:val="00B909BC"/>
    <w:rsid w:val="00B90A55"/>
    <w:rsid w:val="00B90B7F"/>
    <w:rsid w:val="00B90C82"/>
    <w:rsid w:val="00B90CC8"/>
    <w:rsid w:val="00B90DC4"/>
    <w:rsid w:val="00B90E12"/>
    <w:rsid w:val="00B90F1E"/>
    <w:rsid w:val="00B91012"/>
    <w:rsid w:val="00B91021"/>
    <w:rsid w:val="00B91089"/>
    <w:rsid w:val="00B9108E"/>
    <w:rsid w:val="00B910A7"/>
    <w:rsid w:val="00B91109"/>
    <w:rsid w:val="00B911DE"/>
    <w:rsid w:val="00B9122A"/>
    <w:rsid w:val="00B9127D"/>
    <w:rsid w:val="00B91314"/>
    <w:rsid w:val="00B91657"/>
    <w:rsid w:val="00B916B7"/>
    <w:rsid w:val="00B916C5"/>
    <w:rsid w:val="00B91886"/>
    <w:rsid w:val="00B9191E"/>
    <w:rsid w:val="00B91922"/>
    <w:rsid w:val="00B919CF"/>
    <w:rsid w:val="00B91A60"/>
    <w:rsid w:val="00B91C14"/>
    <w:rsid w:val="00B91C1E"/>
    <w:rsid w:val="00B91C55"/>
    <w:rsid w:val="00B91C5E"/>
    <w:rsid w:val="00B91D0B"/>
    <w:rsid w:val="00B91DD2"/>
    <w:rsid w:val="00B91DF6"/>
    <w:rsid w:val="00B91FF6"/>
    <w:rsid w:val="00B9207C"/>
    <w:rsid w:val="00B920A3"/>
    <w:rsid w:val="00B921BC"/>
    <w:rsid w:val="00B92312"/>
    <w:rsid w:val="00B92447"/>
    <w:rsid w:val="00B92495"/>
    <w:rsid w:val="00B92725"/>
    <w:rsid w:val="00B92771"/>
    <w:rsid w:val="00B927AC"/>
    <w:rsid w:val="00B928F2"/>
    <w:rsid w:val="00B9290B"/>
    <w:rsid w:val="00B929E2"/>
    <w:rsid w:val="00B929FB"/>
    <w:rsid w:val="00B92D1C"/>
    <w:rsid w:val="00B92D95"/>
    <w:rsid w:val="00B92DF4"/>
    <w:rsid w:val="00B92E65"/>
    <w:rsid w:val="00B92EB3"/>
    <w:rsid w:val="00B93038"/>
    <w:rsid w:val="00B931EC"/>
    <w:rsid w:val="00B93219"/>
    <w:rsid w:val="00B932A7"/>
    <w:rsid w:val="00B93471"/>
    <w:rsid w:val="00B9358A"/>
    <w:rsid w:val="00B935F3"/>
    <w:rsid w:val="00B936D4"/>
    <w:rsid w:val="00B9370D"/>
    <w:rsid w:val="00B937D0"/>
    <w:rsid w:val="00B9386C"/>
    <w:rsid w:val="00B93877"/>
    <w:rsid w:val="00B938CC"/>
    <w:rsid w:val="00B93908"/>
    <w:rsid w:val="00B939B1"/>
    <w:rsid w:val="00B93AE6"/>
    <w:rsid w:val="00B93B72"/>
    <w:rsid w:val="00B93C3E"/>
    <w:rsid w:val="00B93C5C"/>
    <w:rsid w:val="00B93DD6"/>
    <w:rsid w:val="00B93E62"/>
    <w:rsid w:val="00B93E70"/>
    <w:rsid w:val="00B93EB5"/>
    <w:rsid w:val="00B940C5"/>
    <w:rsid w:val="00B940C8"/>
    <w:rsid w:val="00B941BA"/>
    <w:rsid w:val="00B942B5"/>
    <w:rsid w:val="00B942F4"/>
    <w:rsid w:val="00B94358"/>
    <w:rsid w:val="00B9438B"/>
    <w:rsid w:val="00B94718"/>
    <w:rsid w:val="00B94728"/>
    <w:rsid w:val="00B9493E"/>
    <w:rsid w:val="00B94960"/>
    <w:rsid w:val="00B94A5C"/>
    <w:rsid w:val="00B94A90"/>
    <w:rsid w:val="00B94B5D"/>
    <w:rsid w:val="00B94C5D"/>
    <w:rsid w:val="00B94FF4"/>
    <w:rsid w:val="00B95046"/>
    <w:rsid w:val="00B95137"/>
    <w:rsid w:val="00B951DD"/>
    <w:rsid w:val="00B951F7"/>
    <w:rsid w:val="00B9525F"/>
    <w:rsid w:val="00B95327"/>
    <w:rsid w:val="00B9538D"/>
    <w:rsid w:val="00B953B2"/>
    <w:rsid w:val="00B95411"/>
    <w:rsid w:val="00B954A0"/>
    <w:rsid w:val="00B9560E"/>
    <w:rsid w:val="00B958BD"/>
    <w:rsid w:val="00B958D6"/>
    <w:rsid w:val="00B95969"/>
    <w:rsid w:val="00B959E6"/>
    <w:rsid w:val="00B95A63"/>
    <w:rsid w:val="00B95A73"/>
    <w:rsid w:val="00B95B34"/>
    <w:rsid w:val="00B95BD4"/>
    <w:rsid w:val="00B95C05"/>
    <w:rsid w:val="00B95D01"/>
    <w:rsid w:val="00B95EEF"/>
    <w:rsid w:val="00B95FB0"/>
    <w:rsid w:val="00B9604B"/>
    <w:rsid w:val="00B96069"/>
    <w:rsid w:val="00B960BB"/>
    <w:rsid w:val="00B96139"/>
    <w:rsid w:val="00B96216"/>
    <w:rsid w:val="00B962E4"/>
    <w:rsid w:val="00B96459"/>
    <w:rsid w:val="00B96495"/>
    <w:rsid w:val="00B964CD"/>
    <w:rsid w:val="00B964E6"/>
    <w:rsid w:val="00B9661C"/>
    <w:rsid w:val="00B9665A"/>
    <w:rsid w:val="00B966CF"/>
    <w:rsid w:val="00B96734"/>
    <w:rsid w:val="00B967A6"/>
    <w:rsid w:val="00B968EB"/>
    <w:rsid w:val="00B969A9"/>
    <w:rsid w:val="00B969E3"/>
    <w:rsid w:val="00B96B11"/>
    <w:rsid w:val="00B96BCE"/>
    <w:rsid w:val="00B96CAA"/>
    <w:rsid w:val="00B96D01"/>
    <w:rsid w:val="00B96E18"/>
    <w:rsid w:val="00B96F46"/>
    <w:rsid w:val="00B96FBA"/>
    <w:rsid w:val="00B97010"/>
    <w:rsid w:val="00B970A7"/>
    <w:rsid w:val="00B97109"/>
    <w:rsid w:val="00B9716B"/>
    <w:rsid w:val="00B9717B"/>
    <w:rsid w:val="00B97217"/>
    <w:rsid w:val="00B9722E"/>
    <w:rsid w:val="00B972EE"/>
    <w:rsid w:val="00B9733F"/>
    <w:rsid w:val="00B973F3"/>
    <w:rsid w:val="00B97538"/>
    <w:rsid w:val="00B97587"/>
    <w:rsid w:val="00B9778A"/>
    <w:rsid w:val="00B9780B"/>
    <w:rsid w:val="00B978A8"/>
    <w:rsid w:val="00B9791D"/>
    <w:rsid w:val="00B9796C"/>
    <w:rsid w:val="00B97979"/>
    <w:rsid w:val="00B979CC"/>
    <w:rsid w:val="00B97A0B"/>
    <w:rsid w:val="00B97A34"/>
    <w:rsid w:val="00B97AE3"/>
    <w:rsid w:val="00B97B21"/>
    <w:rsid w:val="00B97BCE"/>
    <w:rsid w:val="00B97C09"/>
    <w:rsid w:val="00B97D66"/>
    <w:rsid w:val="00B97E5C"/>
    <w:rsid w:val="00B97F75"/>
    <w:rsid w:val="00B9FBF3"/>
    <w:rsid w:val="00BA0045"/>
    <w:rsid w:val="00BA00F2"/>
    <w:rsid w:val="00BA01AB"/>
    <w:rsid w:val="00BA026B"/>
    <w:rsid w:val="00BA02A0"/>
    <w:rsid w:val="00BA02A5"/>
    <w:rsid w:val="00BA02EE"/>
    <w:rsid w:val="00BA04E2"/>
    <w:rsid w:val="00BA067D"/>
    <w:rsid w:val="00BA06DA"/>
    <w:rsid w:val="00BA06E7"/>
    <w:rsid w:val="00BA070C"/>
    <w:rsid w:val="00BA0834"/>
    <w:rsid w:val="00BA0956"/>
    <w:rsid w:val="00BA0959"/>
    <w:rsid w:val="00BA097B"/>
    <w:rsid w:val="00BA099F"/>
    <w:rsid w:val="00BA09A2"/>
    <w:rsid w:val="00BA0A2C"/>
    <w:rsid w:val="00BA0A4F"/>
    <w:rsid w:val="00BA0D5F"/>
    <w:rsid w:val="00BA0D6E"/>
    <w:rsid w:val="00BA0DDE"/>
    <w:rsid w:val="00BA0F6D"/>
    <w:rsid w:val="00BA0FE1"/>
    <w:rsid w:val="00BA101B"/>
    <w:rsid w:val="00BA1036"/>
    <w:rsid w:val="00BA103C"/>
    <w:rsid w:val="00BA1113"/>
    <w:rsid w:val="00BA1114"/>
    <w:rsid w:val="00BA1187"/>
    <w:rsid w:val="00BA11AF"/>
    <w:rsid w:val="00BA13B9"/>
    <w:rsid w:val="00BA140A"/>
    <w:rsid w:val="00BA155A"/>
    <w:rsid w:val="00BA15A9"/>
    <w:rsid w:val="00BA16D6"/>
    <w:rsid w:val="00BA1707"/>
    <w:rsid w:val="00BA1793"/>
    <w:rsid w:val="00BA17DF"/>
    <w:rsid w:val="00BA1861"/>
    <w:rsid w:val="00BA18B7"/>
    <w:rsid w:val="00BA191C"/>
    <w:rsid w:val="00BA1A53"/>
    <w:rsid w:val="00BA1B98"/>
    <w:rsid w:val="00BA1BC9"/>
    <w:rsid w:val="00BA1BD2"/>
    <w:rsid w:val="00BA1CB1"/>
    <w:rsid w:val="00BA1D77"/>
    <w:rsid w:val="00BA1D8D"/>
    <w:rsid w:val="00BA1E31"/>
    <w:rsid w:val="00BA1E5E"/>
    <w:rsid w:val="00BA1E60"/>
    <w:rsid w:val="00BA1E6C"/>
    <w:rsid w:val="00BA1EBA"/>
    <w:rsid w:val="00BA1F16"/>
    <w:rsid w:val="00BA2051"/>
    <w:rsid w:val="00BA2079"/>
    <w:rsid w:val="00BA20B4"/>
    <w:rsid w:val="00BA2272"/>
    <w:rsid w:val="00BA2381"/>
    <w:rsid w:val="00BA2423"/>
    <w:rsid w:val="00BA25DD"/>
    <w:rsid w:val="00BA2726"/>
    <w:rsid w:val="00BA2727"/>
    <w:rsid w:val="00BA2848"/>
    <w:rsid w:val="00BA286A"/>
    <w:rsid w:val="00BA28B8"/>
    <w:rsid w:val="00BA28DE"/>
    <w:rsid w:val="00BA2B33"/>
    <w:rsid w:val="00BA2B56"/>
    <w:rsid w:val="00BA2BAD"/>
    <w:rsid w:val="00BA2C30"/>
    <w:rsid w:val="00BA2CAC"/>
    <w:rsid w:val="00BA2D29"/>
    <w:rsid w:val="00BA2EF4"/>
    <w:rsid w:val="00BA30B5"/>
    <w:rsid w:val="00BA30CD"/>
    <w:rsid w:val="00BA3166"/>
    <w:rsid w:val="00BA3177"/>
    <w:rsid w:val="00BA31DE"/>
    <w:rsid w:val="00BA31E5"/>
    <w:rsid w:val="00BA3239"/>
    <w:rsid w:val="00BA3331"/>
    <w:rsid w:val="00BA34BA"/>
    <w:rsid w:val="00BA35A0"/>
    <w:rsid w:val="00BA35C6"/>
    <w:rsid w:val="00BA36F3"/>
    <w:rsid w:val="00BA3755"/>
    <w:rsid w:val="00BA3889"/>
    <w:rsid w:val="00BA396E"/>
    <w:rsid w:val="00BA3972"/>
    <w:rsid w:val="00BA39BC"/>
    <w:rsid w:val="00BA3B3B"/>
    <w:rsid w:val="00BA3EF1"/>
    <w:rsid w:val="00BA3F7B"/>
    <w:rsid w:val="00BA405C"/>
    <w:rsid w:val="00BA40F4"/>
    <w:rsid w:val="00BA4103"/>
    <w:rsid w:val="00BA4116"/>
    <w:rsid w:val="00BA4211"/>
    <w:rsid w:val="00BA4409"/>
    <w:rsid w:val="00BA4412"/>
    <w:rsid w:val="00BA4609"/>
    <w:rsid w:val="00BA4621"/>
    <w:rsid w:val="00BA464F"/>
    <w:rsid w:val="00BA4683"/>
    <w:rsid w:val="00BA47B8"/>
    <w:rsid w:val="00BA47DB"/>
    <w:rsid w:val="00BA48C9"/>
    <w:rsid w:val="00BA48CD"/>
    <w:rsid w:val="00BA49E9"/>
    <w:rsid w:val="00BA4A00"/>
    <w:rsid w:val="00BA4A38"/>
    <w:rsid w:val="00BA4B91"/>
    <w:rsid w:val="00BA4C70"/>
    <w:rsid w:val="00BA4CA2"/>
    <w:rsid w:val="00BA4CC7"/>
    <w:rsid w:val="00BA4D41"/>
    <w:rsid w:val="00BA4E0A"/>
    <w:rsid w:val="00BA4EC3"/>
    <w:rsid w:val="00BA4ED1"/>
    <w:rsid w:val="00BA4EFB"/>
    <w:rsid w:val="00BA4FBE"/>
    <w:rsid w:val="00BA4FC1"/>
    <w:rsid w:val="00BA503D"/>
    <w:rsid w:val="00BA5101"/>
    <w:rsid w:val="00BA5192"/>
    <w:rsid w:val="00BA5305"/>
    <w:rsid w:val="00BA5339"/>
    <w:rsid w:val="00BA5376"/>
    <w:rsid w:val="00BA54ED"/>
    <w:rsid w:val="00BA5510"/>
    <w:rsid w:val="00BA554E"/>
    <w:rsid w:val="00BA55B1"/>
    <w:rsid w:val="00BA564E"/>
    <w:rsid w:val="00BA5652"/>
    <w:rsid w:val="00BA5698"/>
    <w:rsid w:val="00BA56D1"/>
    <w:rsid w:val="00BA5741"/>
    <w:rsid w:val="00BA599B"/>
    <w:rsid w:val="00BA5A1E"/>
    <w:rsid w:val="00BA5A2F"/>
    <w:rsid w:val="00BA5A4C"/>
    <w:rsid w:val="00BA5B30"/>
    <w:rsid w:val="00BA5B4D"/>
    <w:rsid w:val="00BA5B84"/>
    <w:rsid w:val="00BA5BCE"/>
    <w:rsid w:val="00BA5C02"/>
    <w:rsid w:val="00BA5CEC"/>
    <w:rsid w:val="00BA5D40"/>
    <w:rsid w:val="00BA5D81"/>
    <w:rsid w:val="00BA5DD9"/>
    <w:rsid w:val="00BA5E89"/>
    <w:rsid w:val="00BA6025"/>
    <w:rsid w:val="00BA6097"/>
    <w:rsid w:val="00BA627D"/>
    <w:rsid w:val="00BA658C"/>
    <w:rsid w:val="00BA65A1"/>
    <w:rsid w:val="00BA66B6"/>
    <w:rsid w:val="00BA677B"/>
    <w:rsid w:val="00BA6960"/>
    <w:rsid w:val="00BA69AC"/>
    <w:rsid w:val="00BA6A48"/>
    <w:rsid w:val="00BA6D58"/>
    <w:rsid w:val="00BA6D75"/>
    <w:rsid w:val="00BA6D8D"/>
    <w:rsid w:val="00BA6EA3"/>
    <w:rsid w:val="00BA6F74"/>
    <w:rsid w:val="00BA71AB"/>
    <w:rsid w:val="00BA7296"/>
    <w:rsid w:val="00BA741D"/>
    <w:rsid w:val="00BA7466"/>
    <w:rsid w:val="00BA74BF"/>
    <w:rsid w:val="00BA7501"/>
    <w:rsid w:val="00BA7577"/>
    <w:rsid w:val="00BA7663"/>
    <w:rsid w:val="00BA76EF"/>
    <w:rsid w:val="00BA77A9"/>
    <w:rsid w:val="00BA78A1"/>
    <w:rsid w:val="00BA792D"/>
    <w:rsid w:val="00BA796D"/>
    <w:rsid w:val="00BA7995"/>
    <w:rsid w:val="00BA799E"/>
    <w:rsid w:val="00BA7ADB"/>
    <w:rsid w:val="00BA7B9B"/>
    <w:rsid w:val="00BA7C20"/>
    <w:rsid w:val="00BA7E08"/>
    <w:rsid w:val="00BA7F73"/>
    <w:rsid w:val="00BA7FA3"/>
    <w:rsid w:val="00BA7FE4"/>
    <w:rsid w:val="00BB001C"/>
    <w:rsid w:val="00BB00C4"/>
    <w:rsid w:val="00BB022C"/>
    <w:rsid w:val="00BB023C"/>
    <w:rsid w:val="00BB0357"/>
    <w:rsid w:val="00BB0607"/>
    <w:rsid w:val="00BB0640"/>
    <w:rsid w:val="00BB0653"/>
    <w:rsid w:val="00BB0736"/>
    <w:rsid w:val="00BB07B1"/>
    <w:rsid w:val="00BB08D5"/>
    <w:rsid w:val="00BB09BD"/>
    <w:rsid w:val="00BB0AB9"/>
    <w:rsid w:val="00BB0B79"/>
    <w:rsid w:val="00BB0C85"/>
    <w:rsid w:val="00BB0D71"/>
    <w:rsid w:val="00BB0E2C"/>
    <w:rsid w:val="00BB0F55"/>
    <w:rsid w:val="00BB0F97"/>
    <w:rsid w:val="00BB1033"/>
    <w:rsid w:val="00BB1080"/>
    <w:rsid w:val="00BB110D"/>
    <w:rsid w:val="00BB14CB"/>
    <w:rsid w:val="00BB1593"/>
    <w:rsid w:val="00BB1873"/>
    <w:rsid w:val="00BB18E3"/>
    <w:rsid w:val="00BB1980"/>
    <w:rsid w:val="00BB1AC2"/>
    <w:rsid w:val="00BB1ADC"/>
    <w:rsid w:val="00BB1B03"/>
    <w:rsid w:val="00BB1D34"/>
    <w:rsid w:val="00BB1DA9"/>
    <w:rsid w:val="00BB1DB0"/>
    <w:rsid w:val="00BB1E6C"/>
    <w:rsid w:val="00BB1FE9"/>
    <w:rsid w:val="00BB2058"/>
    <w:rsid w:val="00BB20BF"/>
    <w:rsid w:val="00BB2121"/>
    <w:rsid w:val="00BB2130"/>
    <w:rsid w:val="00BB22E5"/>
    <w:rsid w:val="00BB2583"/>
    <w:rsid w:val="00BB2AE5"/>
    <w:rsid w:val="00BB2C13"/>
    <w:rsid w:val="00BB2C93"/>
    <w:rsid w:val="00BB2CD3"/>
    <w:rsid w:val="00BB2E04"/>
    <w:rsid w:val="00BB2F4A"/>
    <w:rsid w:val="00BB300E"/>
    <w:rsid w:val="00BB3037"/>
    <w:rsid w:val="00BB3085"/>
    <w:rsid w:val="00BB312C"/>
    <w:rsid w:val="00BB31B3"/>
    <w:rsid w:val="00BB31E8"/>
    <w:rsid w:val="00BB3232"/>
    <w:rsid w:val="00BB3483"/>
    <w:rsid w:val="00BB34A2"/>
    <w:rsid w:val="00BB3565"/>
    <w:rsid w:val="00BB3572"/>
    <w:rsid w:val="00BB35A7"/>
    <w:rsid w:val="00BB35B0"/>
    <w:rsid w:val="00BB3662"/>
    <w:rsid w:val="00BB36CC"/>
    <w:rsid w:val="00BB3A1C"/>
    <w:rsid w:val="00BB3A5D"/>
    <w:rsid w:val="00BB3AE7"/>
    <w:rsid w:val="00BB3BBC"/>
    <w:rsid w:val="00BB3BE2"/>
    <w:rsid w:val="00BB3CAC"/>
    <w:rsid w:val="00BB3CCE"/>
    <w:rsid w:val="00BB3CF2"/>
    <w:rsid w:val="00BB3D7C"/>
    <w:rsid w:val="00BB3F47"/>
    <w:rsid w:val="00BB4136"/>
    <w:rsid w:val="00BB4224"/>
    <w:rsid w:val="00BB423B"/>
    <w:rsid w:val="00BB4257"/>
    <w:rsid w:val="00BB4400"/>
    <w:rsid w:val="00BB44DC"/>
    <w:rsid w:val="00BB44ED"/>
    <w:rsid w:val="00BB45D3"/>
    <w:rsid w:val="00BB45E4"/>
    <w:rsid w:val="00BB46BA"/>
    <w:rsid w:val="00BB4781"/>
    <w:rsid w:val="00BB4878"/>
    <w:rsid w:val="00BB4880"/>
    <w:rsid w:val="00BB4892"/>
    <w:rsid w:val="00BB490C"/>
    <w:rsid w:val="00BB49E9"/>
    <w:rsid w:val="00BB4B51"/>
    <w:rsid w:val="00BB4D24"/>
    <w:rsid w:val="00BB4D75"/>
    <w:rsid w:val="00BB4DE7"/>
    <w:rsid w:val="00BB4FAB"/>
    <w:rsid w:val="00BB4FBD"/>
    <w:rsid w:val="00BB50FB"/>
    <w:rsid w:val="00BB5104"/>
    <w:rsid w:val="00BB5248"/>
    <w:rsid w:val="00BB52A4"/>
    <w:rsid w:val="00BB52DB"/>
    <w:rsid w:val="00BB5316"/>
    <w:rsid w:val="00BB5410"/>
    <w:rsid w:val="00BB54D2"/>
    <w:rsid w:val="00BB5544"/>
    <w:rsid w:val="00BB5591"/>
    <w:rsid w:val="00BB565D"/>
    <w:rsid w:val="00BB56FA"/>
    <w:rsid w:val="00BB5707"/>
    <w:rsid w:val="00BB57CC"/>
    <w:rsid w:val="00BB581B"/>
    <w:rsid w:val="00BB587A"/>
    <w:rsid w:val="00BB5A5C"/>
    <w:rsid w:val="00BB5AB1"/>
    <w:rsid w:val="00BB5B51"/>
    <w:rsid w:val="00BB5B52"/>
    <w:rsid w:val="00BB5C3D"/>
    <w:rsid w:val="00BB5CD0"/>
    <w:rsid w:val="00BB5CD5"/>
    <w:rsid w:val="00BB5D54"/>
    <w:rsid w:val="00BB5DAE"/>
    <w:rsid w:val="00BB5F67"/>
    <w:rsid w:val="00BB60B4"/>
    <w:rsid w:val="00BB6173"/>
    <w:rsid w:val="00BB6374"/>
    <w:rsid w:val="00BB6411"/>
    <w:rsid w:val="00BB644F"/>
    <w:rsid w:val="00BB647A"/>
    <w:rsid w:val="00BB653B"/>
    <w:rsid w:val="00BB663B"/>
    <w:rsid w:val="00BB6656"/>
    <w:rsid w:val="00BB6685"/>
    <w:rsid w:val="00BB67C6"/>
    <w:rsid w:val="00BB6897"/>
    <w:rsid w:val="00BB6A3B"/>
    <w:rsid w:val="00BB6B35"/>
    <w:rsid w:val="00BB6B83"/>
    <w:rsid w:val="00BB6BCF"/>
    <w:rsid w:val="00BB6C49"/>
    <w:rsid w:val="00BB6C87"/>
    <w:rsid w:val="00BB6D10"/>
    <w:rsid w:val="00BB6DFB"/>
    <w:rsid w:val="00BB6E5E"/>
    <w:rsid w:val="00BB6EC5"/>
    <w:rsid w:val="00BB6F54"/>
    <w:rsid w:val="00BB6FDB"/>
    <w:rsid w:val="00BB7080"/>
    <w:rsid w:val="00BB70E2"/>
    <w:rsid w:val="00BB718D"/>
    <w:rsid w:val="00BB71C6"/>
    <w:rsid w:val="00BB725E"/>
    <w:rsid w:val="00BB7287"/>
    <w:rsid w:val="00BB7288"/>
    <w:rsid w:val="00BB7294"/>
    <w:rsid w:val="00BB73E1"/>
    <w:rsid w:val="00BB7594"/>
    <w:rsid w:val="00BB75F6"/>
    <w:rsid w:val="00BB76A2"/>
    <w:rsid w:val="00BB76B8"/>
    <w:rsid w:val="00BB77A8"/>
    <w:rsid w:val="00BB77DA"/>
    <w:rsid w:val="00BB794C"/>
    <w:rsid w:val="00BB79B6"/>
    <w:rsid w:val="00BB7B06"/>
    <w:rsid w:val="00BB7BF9"/>
    <w:rsid w:val="00BB7D17"/>
    <w:rsid w:val="00BB7EDB"/>
    <w:rsid w:val="00BB7EE0"/>
    <w:rsid w:val="00BB7FD7"/>
    <w:rsid w:val="00BC00D2"/>
    <w:rsid w:val="00BC011A"/>
    <w:rsid w:val="00BC014B"/>
    <w:rsid w:val="00BC022F"/>
    <w:rsid w:val="00BC0290"/>
    <w:rsid w:val="00BC03BD"/>
    <w:rsid w:val="00BC03FC"/>
    <w:rsid w:val="00BC046F"/>
    <w:rsid w:val="00BC059D"/>
    <w:rsid w:val="00BC05A5"/>
    <w:rsid w:val="00BC06BA"/>
    <w:rsid w:val="00BC084E"/>
    <w:rsid w:val="00BC089F"/>
    <w:rsid w:val="00BC08E7"/>
    <w:rsid w:val="00BC0967"/>
    <w:rsid w:val="00BC0979"/>
    <w:rsid w:val="00BC09BC"/>
    <w:rsid w:val="00BC0A2E"/>
    <w:rsid w:val="00BC0A99"/>
    <w:rsid w:val="00BC0B33"/>
    <w:rsid w:val="00BC0CE7"/>
    <w:rsid w:val="00BC0DBA"/>
    <w:rsid w:val="00BC0DFB"/>
    <w:rsid w:val="00BC0E19"/>
    <w:rsid w:val="00BC0F6E"/>
    <w:rsid w:val="00BC0F9A"/>
    <w:rsid w:val="00BC102C"/>
    <w:rsid w:val="00BC10D9"/>
    <w:rsid w:val="00BC122F"/>
    <w:rsid w:val="00BC12DB"/>
    <w:rsid w:val="00BC131F"/>
    <w:rsid w:val="00BC1395"/>
    <w:rsid w:val="00BC13E4"/>
    <w:rsid w:val="00BC1454"/>
    <w:rsid w:val="00BC14AE"/>
    <w:rsid w:val="00BC16A8"/>
    <w:rsid w:val="00BC172A"/>
    <w:rsid w:val="00BC177F"/>
    <w:rsid w:val="00BC17AE"/>
    <w:rsid w:val="00BC17E2"/>
    <w:rsid w:val="00BC181A"/>
    <w:rsid w:val="00BC1854"/>
    <w:rsid w:val="00BC1999"/>
    <w:rsid w:val="00BC1AE1"/>
    <w:rsid w:val="00BC1B58"/>
    <w:rsid w:val="00BC1C8D"/>
    <w:rsid w:val="00BC1D25"/>
    <w:rsid w:val="00BC1D72"/>
    <w:rsid w:val="00BC1E14"/>
    <w:rsid w:val="00BC1E3A"/>
    <w:rsid w:val="00BC1E76"/>
    <w:rsid w:val="00BC1EF3"/>
    <w:rsid w:val="00BC1FEA"/>
    <w:rsid w:val="00BC207E"/>
    <w:rsid w:val="00BC20F7"/>
    <w:rsid w:val="00BC2194"/>
    <w:rsid w:val="00BC2264"/>
    <w:rsid w:val="00BC226C"/>
    <w:rsid w:val="00BC22C9"/>
    <w:rsid w:val="00BC22F2"/>
    <w:rsid w:val="00BC233D"/>
    <w:rsid w:val="00BC23EF"/>
    <w:rsid w:val="00BC269F"/>
    <w:rsid w:val="00BC26BB"/>
    <w:rsid w:val="00BC2704"/>
    <w:rsid w:val="00BC270D"/>
    <w:rsid w:val="00BC2904"/>
    <w:rsid w:val="00BC2941"/>
    <w:rsid w:val="00BC294E"/>
    <w:rsid w:val="00BC2A65"/>
    <w:rsid w:val="00BC2A91"/>
    <w:rsid w:val="00BC2B16"/>
    <w:rsid w:val="00BC2B2A"/>
    <w:rsid w:val="00BC2E61"/>
    <w:rsid w:val="00BC3066"/>
    <w:rsid w:val="00BC3133"/>
    <w:rsid w:val="00BC31C9"/>
    <w:rsid w:val="00BC325B"/>
    <w:rsid w:val="00BC326A"/>
    <w:rsid w:val="00BC3277"/>
    <w:rsid w:val="00BC3329"/>
    <w:rsid w:val="00BC3493"/>
    <w:rsid w:val="00BC35E8"/>
    <w:rsid w:val="00BC3692"/>
    <w:rsid w:val="00BC36E2"/>
    <w:rsid w:val="00BC3708"/>
    <w:rsid w:val="00BC37B3"/>
    <w:rsid w:val="00BC37DA"/>
    <w:rsid w:val="00BC3819"/>
    <w:rsid w:val="00BC38BA"/>
    <w:rsid w:val="00BC38E8"/>
    <w:rsid w:val="00BC3927"/>
    <w:rsid w:val="00BC3A9C"/>
    <w:rsid w:val="00BC3B72"/>
    <w:rsid w:val="00BC3BF2"/>
    <w:rsid w:val="00BC3C67"/>
    <w:rsid w:val="00BC3DDB"/>
    <w:rsid w:val="00BC3DF5"/>
    <w:rsid w:val="00BC3DFB"/>
    <w:rsid w:val="00BC3EFE"/>
    <w:rsid w:val="00BC3F01"/>
    <w:rsid w:val="00BC3F5A"/>
    <w:rsid w:val="00BC3F80"/>
    <w:rsid w:val="00BC3F86"/>
    <w:rsid w:val="00BC4070"/>
    <w:rsid w:val="00BC40E4"/>
    <w:rsid w:val="00BC41B7"/>
    <w:rsid w:val="00BC4289"/>
    <w:rsid w:val="00BC433C"/>
    <w:rsid w:val="00BC43E0"/>
    <w:rsid w:val="00BC4517"/>
    <w:rsid w:val="00BC456D"/>
    <w:rsid w:val="00BC4749"/>
    <w:rsid w:val="00BC4918"/>
    <w:rsid w:val="00BC49AD"/>
    <w:rsid w:val="00BC4A36"/>
    <w:rsid w:val="00BC4A4C"/>
    <w:rsid w:val="00BC4A9F"/>
    <w:rsid w:val="00BC4C6A"/>
    <w:rsid w:val="00BC4DBF"/>
    <w:rsid w:val="00BC4DCC"/>
    <w:rsid w:val="00BC4DF5"/>
    <w:rsid w:val="00BC4F2C"/>
    <w:rsid w:val="00BC516B"/>
    <w:rsid w:val="00BC51EA"/>
    <w:rsid w:val="00BC53E4"/>
    <w:rsid w:val="00BC5569"/>
    <w:rsid w:val="00BC56E5"/>
    <w:rsid w:val="00BC5846"/>
    <w:rsid w:val="00BC58CF"/>
    <w:rsid w:val="00BC5959"/>
    <w:rsid w:val="00BC5A87"/>
    <w:rsid w:val="00BC5B0F"/>
    <w:rsid w:val="00BC5B1C"/>
    <w:rsid w:val="00BC5B27"/>
    <w:rsid w:val="00BC5ED1"/>
    <w:rsid w:val="00BC5FDB"/>
    <w:rsid w:val="00BC6093"/>
    <w:rsid w:val="00BC60A2"/>
    <w:rsid w:val="00BC6248"/>
    <w:rsid w:val="00BC624E"/>
    <w:rsid w:val="00BC6521"/>
    <w:rsid w:val="00BC6556"/>
    <w:rsid w:val="00BC65DD"/>
    <w:rsid w:val="00BC66C3"/>
    <w:rsid w:val="00BC6740"/>
    <w:rsid w:val="00BC683E"/>
    <w:rsid w:val="00BC68C6"/>
    <w:rsid w:val="00BC68DE"/>
    <w:rsid w:val="00BC6903"/>
    <w:rsid w:val="00BC696B"/>
    <w:rsid w:val="00BC69DC"/>
    <w:rsid w:val="00BC6A19"/>
    <w:rsid w:val="00BC6A56"/>
    <w:rsid w:val="00BC6A6A"/>
    <w:rsid w:val="00BC6A89"/>
    <w:rsid w:val="00BC6B09"/>
    <w:rsid w:val="00BC6BBB"/>
    <w:rsid w:val="00BC6D0C"/>
    <w:rsid w:val="00BC6D2F"/>
    <w:rsid w:val="00BC6DB9"/>
    <w:rsid w:val="00BC6DFD"/>
    <w:rsid w:val="00BC6EE8"/>
    <w:rsid w:val="00BC6F0C"/>
    <w:rsid w:val="00BC6F4F"/>
    <w:rsid w:val="00BC6F8F"/>
    <w:rsid w:val="00BC6FF7"/>
    <w:rsid w:val="00BC724A"/>
    <w:rsid w:val="00BC73D7"/>
    <w:rsid w:val="00BC746A"/>
    <w:rsid w:val="00BC7478"/>
    <w:rsid w:val="00BC751E"/>
    <w:rsid w:val="00BC75D7"/>
    <w:rsid w:val="00BC77EE"/>
    <w:rsid w:val="00BC77FE"/>
    <w:rsid w:val="00BC786A"/>
    <w:rsid w:val="00BC78C3"/>
    <w:rsid w:val="00BC7967"/>
    <w:rsid w:val="00BC79FB"/>
    <w:rsid w:val="00BC7A92"/>
    <w:rsid w:val="00BC7B48"/>
    <w:rsid w:val="00BC7B63"/>
    <w:rsid w:val="00BC7BDE"/>
    <w:rsid w:val="00BC7C0C"/>
    <w:rsid w:val="00BC7C7D"/>
    <w:rsid w:val="00BC7CFF"/>
    <w:rsid w:val="00BC7D4C"/>
    <w:rsid w:val="00BC7FBA"/>
    <w:rsid w:val="00BD02F5"/>
    <w:rsid w:val="00BD0318"/>
    <w:rsid w:val="00BD031E"/>
    <w:rsid w:val="00BD0357"/>
    <w:rsid w:val="00BD0498"/>
    <w:rsid w:val="00BD0516"/>
    <w:rsid w:val="00BD051B"/>
    <w:rsid w:val="00BD0670"/>
    <w:rsid w:val="00BD068B"/>
    <w:rsid w:val="00BD0727"/>
    <w:rsid w:val="00BD0749"/>
    <w:rsid w:val="00BD07FA"/>
    <w:rsid w:val="00BD0840"/>
    <w:rsid w:val="00BD08B2"/>
    <w:rsid w:val="00BD0A05"/>
    <w:rsid w:val="00BD0A41"/>
    <w:rsid w:val="00BD0A7A"/>
    <w:rsid w:val="00BD0AA0"/>
    <w:rsid w:val="00BD0C50"/>
    <w:rsid w:val="00BD0C77"/>
    <w:rsid w:val="00BD0D17"/>
    <w:rsid w:val="00BD0DDD"/>
    <w:rsid w:val="00BD0F92"/>
    <w:rsid w:val="00BD11C1"/>
    <w:rsid w:val="00BD12F9"/>
    <w:rsid w:val="00BD132E"/>
    <w:rsid w:val="00BD1342"/>
    <w:rsid w:val="00BD1565"/>
    <w:rsid w:val="00BD15B4"/>
    <w:rsid w:val="00BD1615"/>
    <w:rsid w:val="00BD1706"/>
    <w:rsid w:val="00BD1884"/>
    <w:rsid w:val="00BD18A6"/>
    <w:rsid w:val="00BD18C8"/>
    <w:rsid w:val="00BD19BF"/>
    <w:rsid w:val="00BD1AEB"/>
    <w:rsid w:val="00BD1C5A"/>
    <w:rsid w:val="00BD1F2E"/>
    <w:rsid w:val="00BD1FCD"/>
    <w:rsid w:val="00BD21C6"/>
    <w:rsid w:val="00BD22A5"/>
    <w:rsid w:val="00BD22E7"/>
    <w:rsid w:val="00BD22FE"/>
    <w:rsid w:val="00BD2300"/>
    <w:rsid w:val="00BD25C6"/>
    <w:rsid w:val="00BD25FC"/>
    <w:rsid w:val="00BD26FE"/>
    <w:rsid w:val="00BD2757"/>
    <w:rsid w:val="00BD282B"/>
    <w:rsid w:val="00BD2838"/>
    <w:rsid w:val="00BD289E"/>
    <w:rsid w:val="00BD299A"/>
    <w:rsid w:val="00BD29FA"/>
    <w:rsid w:val="00BD29FF"/>
    <w:rsid w:val="00BD2A3B"/>
    <w:rsid w:val="00BD2A45"/>
    <w:rsid w:val="00BD2A81"/>
    <w:rsid w:val="00BD2B9A"/>
    <w:rsid w:val="00BD2C9C"/>
    <w:rsid w:val="00BD2D63"/>
    <w:rsid w:val="00BD2D94"/>
    <w:rsid w:val="00BD2F0A"/>
    <w:rsid w:val="00BD301A"/>
    <w:rsid w:val="00BD3070"/>
    <w:rsid w:val="00BD3165"/>
    <w:rsid w:val="00BD31AB"/>
    <w:rsid w:val="00BD3482"/>
    <w:rsid w:val="00BD3545"/>
    <w:rsid w:val="00BD3551"/>
    <w:rsid w:val="00BD3581"/>
    <w:rsid w:val="00BD3592"/>
    <w:rsid w:val="00BD35A3"/>
    <w:rsid w:val="00BD35B3"/>
    <w:rsid w:val="00BD366A"/>
    <w:rsid w:val="00BD3829"/>
    <w:rsid w:val="00BD3941"/>
    <w:rsid w:val="00BD39DA"/>
    <w:rsid w:val="00BD3A09"/>
    <w:rsid w:val="00BD3A46"/>
    <w:rsid w:val="00BD3BF2"/>
    <w:rsid w:val="00BD3C2E"/>
    <w:rsid w:val="00BD3E71"/>
    <w:rsid w:val="00BD3E7D"/>
    <w:rsid w:val="00BD3F91"/>
    <w:rsid w:val="00BD3FAD"/>
    <w:rsid w:val="00BD3FB2"/>
    <w:rsid w:val="00BD40AA"/>
    <w:rsid w:val="00BD40CB"/>
    <w:rsid w:val="00BD4181"/>
    <w:rsid w:val="00BD4200"/>
    <w:rsid w:val="00BD4293"/>
    <w:rsid w:val="00BD42CE"/>
    <w:rsid w:val="00BD43C7"/>
    <w:rsid w:val="00BD4427"/>
    <w:rsid w:val="00BD450C"/>
    <w:rsid w:val="00BD45C0"/>
    <w:rsid w:val="00BD4623"/>
    <w:rsid w:val="00BD4634"/>
    <w:rsid w:val="00BD4645"/>
    <w:rsid w:val="00BD46BE"/>
    <w:rsid w:val="00BD47B4"/>
    <w:rsid w:val="00BD4858"/>
    <w:rsid w:val="00BD487B"/>
    <w:rsid w:val="00BD48DB"/>
    <w:rsid w:val="00BD48F5"/>
    <w:rsid w:val="00BD490C"/>
    <w:rsid w:val="00BD4A32"/>
    <w:rsid w:val="00BD4AA5"/>
    <w:rsid w:val="00BD4BBE"/>
    <w:rsid w:val="00BD4BC2"/>
    <w:rsid w:val="00BD4BF4"/>
    <w:rsid w:val="00BD4C58"/>
    <w:rsid w:val="00BD4C84"/>
    <w:rsid w:val="00BD4CD6"/>
    <w:rsid w:val="00BD4D3E"/>
    <w:rsid w:val="00BD4DA2"/>
    <w:rsid w:val="00BD4E0A"/>
    <w:rsid w:val="00BD4FB7"/>
    <w:rsid w:val="00BD5018"/>
    <w:rsid w:val="00BD5136"/>
    <w:rsid w:val="00BD5160"/>
    <w:rsid w:val="00BD527C"/>
    <w:rsid w:val="00BD5301"/>
    <w:rsid w:val="00BD5446"/>
    <w:rsid w:val="00BD54B0"/>
    <w:rsid w:val="00BD5590"/>
    <w:rsid w:val="00BD55A0"/>
    <w:rsid w:val="00BD574C"/>
    <w:rsid w:val="00BD5890"/>
    <w:rsid w:val="00BD58A7"/>
    <w:rsid w:val="00BD5919"/>
    <w:rsid w:val="00BD5A13"/>
    <w:rsid w:val="00BD5AF0"/>
    <w:rsid w:val="00BD5B10"/>
    <w:rsid w:val="00BD5B85"/>
    <w:rsid w:val="00BD5CAD"/>
    <w:rsid w:val="00BD5CD4"/>
    <w:rsid w:val="00BD5D99"/>
    <w:rsid w:val="00BD5E93"/>
    <w:rsid w:val="00BD5F57"/>
    <w:rsid w:val="00BD6077"/>
    <w:rsid w:val="00BD61C3"/>
    <w:rsid w:val="00BD63E4"/>
    <w:rsid w:val="00BD63F5"/>
    <w:rsid w:val="00BD63FB"/>
    <w:rsid w:val="00BD6586"/>
    <w:rsid w:val="00BD6601"/>
    <w:rsid w:val="00BD6857"/>
    <w:rsid w:val="00BD6937"/>
    <w:rsid w:val="00BD6A89"/>
    <w:rsid w:val="00BD6B40"/>
    <w:rsid w:val="00BD6BA9"/>
    <w:rsid w:val="00BD6BD5"/>
    <w:rsid w:val="00BD6C35"/>
    <w:rsid w:val="00BD6CA3"/>
    <w:rsid w:val="00BD6CA4"/>
    <w:rsid w:val="00BD6D4F"/>
    <w:rsid w:val="00BD6DAD"/>
    <w:rsid w:val="00BD6E26"/>
    <w:rsid w:val="00BD6FC8"/>
    <w:rsid w:val="00BD704C"/>
    <w:rsid w:val="00BD7055"/>
    <w:rsid w:val="00BD70BB"/>
    <w:rsid w:val="00BD70D6"/>
    <w:rsid w:val="00BD7101"/>
    <w:rsid w:val="00BD71DB"/>
    <w:rsid w:val="00BD735F"/>
    <w:rsid w:val="00BD74D2"/>
    <w:rsid w:val="00BD74F4"/>
    <w:rsid w:val="00BD75B2"/>
    <w:rsid w:val="00BD7609"/>
    <w:rsid w:val="00BD763C"/>
    <w:rsid w:val="00BD7674"/>
    <w:rsid w:val="00BD76DC"/>
    <w:rsid w:val="00BD7865"/>
    <w:rsid w:val="00BD78D1"/>
    <w:rsid w:val="00BD7948"/>
    <w:rsid w:val="00BD7952"/>
    <w:rsid w:val="00BD7A30"/>
    <w:rsid w:val="00BD7A7D"/>
    <w:rsid w:val="00BD7AB7"/>
    <w:rsid w:val="00BD7AC0"/>
    <w:rsid w:val="00BD7E9B"/>
    <w:rsid w:val="00BD7F71"/>
    <w:rsid w:val="00BE00C5"/>
    <w:rsid w:val="00BE044C"/>
    <w:rsid w:val="00BE0597"/>
    <w:rsid w:val="00BE05D4"/>
    <w:rsid w:val="00BE06B0"/>
    <w:rsid w:val="00BE06E6"/>
    <w:rsid w:val="00BE0993"/>
    <w:rsid w:val="00BE0DA0"/>
    <w:rsid w:val="00BE0E04"/>
    <w:rsid w:val="00BE0EC7"/>
    <w:rsid w:val="00BE0F62"/>
    <w:rsid w:val="00BE0F8A"/>
    <w:rsid w:val="00BE115F"/>
    <w:rsid w:val="00BE1171"/>
    <w:rsid w:val="00BE1181"/>
    <w:rsid w:val="00BE1184"/>
    <w:rsid w:val="00BE12BC"/>
    <w:rsid w:val="00BE12F9"/>
    <w:rsid w:val="00BE1352"/>
    <w:rsid w:val="00BE1374"/>
    <w:rsid w:val="00BE148D"/>
    <w:rsid w:val="00BE17FF"/>
    <w:rsid w:val="00BE1961"/>
    <w:rsid w:val="00BE19E9"/>
    <w:rsid w:val="00BE1A0E"/>
    <w:rsid w:val="00BE1ADB"/>
    <w:rsid w:val="00BE1B40"/>
    <w:rsid w:val="00BE1BA8"/>
    <w:rsid w:val="00BE1BDC"/>
    <w:rsid w:val="00BE1C1D"/>
    <w:rsid w:val="00BE1E0F"/>
    <w:rsid w:val="00BE2174"/>
    <w:rsid w:val="00BE217F"/>
    <w:rsid w:val="00BE22FA"/>
    <w:rsid w:val="00BE230B"/>
    <w:rsid w:val="00BE23F1"/>
    <w:rsid w:val="00BE2434"/>
    <w:rsid w:val="00BE2550"/>
    <w:rsid w:val="00BE2552"/>
    <w:rsid w:val="00BE25BD"/>
    <w:rsid w:val="00BE261E"/>
    <w:rsid w:val="00BE2685"/>
    <w:rsid w:val="00BE2720"/>
    <w:rsid w:val="00BE2827"/>
    <w:rsid w:val="00BE286B"/>
    <w:rsid w:val="00BE28F4"/>
    <w:rsid w:val="00BE291A"/>
    <w:rsid w:val="00BE291F"/>
    <w:rsid w:val="00BE2990"/>
    <w:rsid w:val="00BE2A39"/>
    <w:rsid w:val="00BE2A40"/>
    <w:rsid w:val="00BE2BC7"/>
    <w:rsid w:val="00BE2D04"/>
    <w:rsid w:val="00BE2D3A"/>
    <w:rsid w:val="00BE2D52"/>
    <w:rsid w:val="00BE2D9D"/>
    <w:rsid w:val="00BE2E1A"/>
    <w:rsid w:val="00BE2E3E"/>
    <w:rsid w:val="00BE2FC9"/>
    <w:rsid w:val="00BE3098"/>
    <w:rsid w:val="00BE30C1"/>
    <w:rsid w:val="00BE3335"/>
    <w:rsid w:val="00BE33F7"/>
    <w:rsid w:val="00BE345C"/>
    <w:rsid w:val="00BE3472"/>
    <w:rsid w:val="00BE35C8"/>
    <w:rsid w:val="00BE36F6"/>
    <w:rsid w:val="00BE372B"/>
    <w:rsid w:val="00BE377E"/>
    <w:rsid w:val="00BE3891"/>
    <w:rsid w:val="00BE3983"/>
    <w:rsid w:val="00BE3B83"/>
    <w:rsid w:val="00BE3BD8"/>
    <w:rsid w:val="00BE3D20"/>
    <w:rsid w:val="00BE3E30"/>
    <w:rsid w:val="00BE3EA5"/>
    <w:rsid w:val="00BE3ED6"/>
    <w:rsid w:val="00BE3EE2"/>
    <w:rsid w:val="00BE3F5D"/>
    <w:rsid w:val="00BE3F76"/>
    <w:rsid w:val="00BE3FE5"/>
    <w:rsid w:val="00BE4104"/>
    <w:rsid w:val="00BE422C"/>
    <w:rsid w:val="00BE4284"/>
    <w:rsid w:val="00BE42BE"/>
    <w:rsid w:val="00BE430B"/>
    <w:rsid w:val="00BE4310"/>
    <w:rsid w:val="00BE4351"/>
    <w:rsid w:val="00BE43D3"/>
    <w:rsid w:val="00BE4415"/>
    <w:rsid w:val="00BE446A"/>
    <w:rsid w:val="00BE4484"/>
    <w:rsid w:val="00BE4728"/>
    <w:rsid w:val="00BE4769"/>
    <w:rsid w:val="00BE4892"/>
    <w:rsid w:val="00BE4921"/>
    <w:rsid w:val="00BE49FB"/>
    <w:rsid w:val="00BE4A58"/>
    <w:rsid w:val="00BE4B5D"/>
    <w:rsid w:val="00BE4CDC"/>
    <w:rsid w:val="00BE4DAC"/>
    <w:rsid w:val="00BE4DF6"/>
    <w:rsid w:val="00BE4DF9"/>
    <w:rsid w:val="00BE4E36"/>
    <w:rsid w:val="00BE4FFA"/>
    <w:rsid w:val="00BE5250"/>
    <w:rsid w:val="00BE52F6"/>
    <w:rsid w:val="00BE5397"/>
    <w:rsid w:val="00BE53D9"/>
    <w:rsid w:val="00BE540F"/>
    <w:rsid w:val="00BE54E1"/>
    <w:rsid w:val="00BE5571"/>
    <w:rsid w:val="00BE557F"/>
    <w:rsid w:val="00BE5592"/>
    <w:rsid w:val="00BE55CE"/>
    <w:rsid w:val="00BE5642"/>
    <w:rsid w:val="00BE56B7"/>
    <w:rsid w:val="00BE56D8"/>
    <w:rsid w:val="00BE56F5"/>
    <w:rsid w:val="00BE570B"/>
    <w:rsid w:val="00BE57FD"/>
    <w:rsid w:val="00BE58D1"/>
    <w:rsid w:val="00BE591B"/>
    <w:rsid w:val="00BE5968"/>
    <w:rsid w:val="00BE599F"/>
    <w:rsid w:val="00BE59A6"/>
    <w:rsid w:val="00BE5AB9"/>
    <w:rsid w:val="00BE5BA7"/>
    <w:rsid w:val="00BE5BF1"/>
    <w:rsid w:val="00BE5C1A"/>
    <w:rsid w:val="00BE5C40"/>
    <w:rsid w:val="00BE5C98"/>
    <w:rsid w:val="00BE5CD0"/>
    <w:rsid w:val="00BE5E7E"/>
    <w:rsid w:val="00BE5F7F"/>
    <w:rsid w:val="00BE6083"/>
    <w:rsid w:val="00BE6107"/>
    <w:rsid w:val="00BE613D"/>
    <w:rsid w:val="00BE6157"/>
    <w:rsid w:val="00BE621A"/>
    <w:rsid w:val="00BE6316"/>
    <w:rsid w:val="00BE63A2"/>
    <w:rsid w:val="00BE6430"/>
    <w:rsid w:val="00BE64DD"/>
    <w:rsid w:val="00BE6533"/>
    <w:rsid w:val="00BE65B9"/>
    <w:rsid w:val="00BE6618"/>
    <w:rsid w:val="00BE6ACD"/>
    <w:rsid w:val="00BE6D1B"/>
    <w:rsid w:val="00BE6D38"/>
    <w:rsid w:val="00BE6E79"/>
    <w:rsid w:val="00BE6F78"/>
    <w:rsid w:val="00BE70B4"/>
    <w:rsid w:val="00BE70CF"/>
    <w:rsid w:val="00BE7184"/>
    <w:rsid w:val="00BE718B"/>
    <w:rsid w:val="00BE71BB"/>
    <w:rsid w:val="00BE727D"/>
    <w:rsid w:val="00BE733B"/>
    <w:rsid w:val="00BE7365"/>
    <w:rsid w:val="00BE73CC"/>
    <w:rsid w:val="00BE73D1"/>
    <w:rsid w:val="00BE7483"/>
    <w:rsid w:val="00BE75A4"/>
    <w:rsid w:val="00BE7649"/>
    <w:rsid w:val="00BE764D"/>
    <w:rsid w:val="00BE79D6"/>
    <w:rsid w:val="00BE7A2B"/>
    <w:rsid w:val="00BE7A71"/>
    <w:rsid w:val="00BE7B2C"/>
    <w:rsid w:val="00BE7B78"/>
    <w:rsid w:val="00BE7DD1"/>
    <w:rsid w:val="00BE7E6D"/>
    <w:rsid w:val="00BE7EA5"/>
    <w:rsid w:val="00BF00A8"/>
    <w:rsid w:val="00BF020C"/>
    <w:rsid w:val="00BF0398"/>
    <w:rsid w:val="00BF04D4"/>
    <w:rsid w:val="00BF056C"/>
    <w:rsid w:val="00BF05C4"/>
    <w:rsid w:val="00BF06C2"/>
    <w:rsid w:val="00BF0919"/>
    <w:rsid w:val="00BF09BD"/>
    <w:rsid w:val="00BF0A56"/>
    <w:rsid w:val="00BF0D88"/>
    <w:rsid w:val="00BF0DAA"/>
    <w:rsid w:val="00BF0DAB"/>
    <w:rsid w:val="00BF0EF1"/>
    <w:rsid w:val="00BF0F2E"/>
    <w:rsid w:val="00BF1106"/>
    <w:rsid w:val="00BF1109"/>
    <w:rsid w:val="00BF1294"/>
    <w:rsid w:val="00BF129E"/>
    <w:rsid w:val="00BF1312"/>
    <w:rsid w:val="00BF132B"/>
    <w:rsid w:val="00BF144F"/>
    <w:rsid w:val="00BF1471"/>
    <w:rsid w:val="00BF15A0"/>
    <w:rsid w:val="00BF1601"/>
    <w:rsid w:val="00BF1615"/>
    <w:rsid w:val="00BF1842"/>
    <w:rsid w:val="00BF1902"/>
    <w:rsid w:val="00BF193C"/>
    <w:rsid w:val="00BF195E"/>
    <w:rsid w:val="00BF19D0"/>
    <w:rsid w:val="00BF1AA1"/>
    <w:rsid w:val="00BF1AD9"/>
    <w:rsid w:val="00BF1BD5"/>
    <w:rsid w:val="00BF1C34"/>
    <w:rsid w:val="00BF1EC4"/>
    <w:rsid w:val="00BF1EFE"/>
    <w:rsid w:val="00BF20BA"/>
    <w:rsid w:val="00BF214A"/>
    <w:rsid w:val="00BF21C6"/>
    <w:rsid w:val="00BF22CE"/>
    <w:rsid w:val="00BF236A"/>
    <w:rsid w:val="00BF23B6"/>
    <w:rsid w:val="00BF2412"/>
    <w:rsid w:val="00BF24FD"/>
    <w:rsid w:val="00BF2502"/>
    <w:rsid w:val="00BF250F"/>
    <w:rsid w:val="00BF266C"/>
    <w:rsid w:val="00BF2749"/>
    <w:rsid w:val="00BF277B"/>
    <w:rsid w:val="00BF27C6"/>
    <w:rsid w:val="00BF28DF"/>
    <w:rsid w:val="00BF2990"/>
    <w:rsid w:val="00BF29DF"/>
    <w:rsid w:val="00BF2A5B"/>
    <w:rsid w:val="00BF2BD4"/>
    <w:rsid w:val="00BF2CD0"/>
    <w:rsid w:val="00BF2CF6"/>
    <w:rsid w:val="00BF2F4F"/>
    <w:rsid w:val="00BF3260"/>
    <w:rsid w:val="00BF33D3"/>
    <w:rsid w:val="00BF343B"/>
    <w:rsid w:val="00BF3455"/>
    <w:rsid w:val="00BF35B1"/>
    <w:rsid w:val="00BF3641"/>
    <w:rsid w:val="00BF366B"/>
    <w:rsid w:val="00BF36A0"/>
    <w:rsid w:val="00BF36D2"/>
    <w:rsid w:val="00BF36DD"/>
    <w:rsid w:val="00BF3794"/>
    <w:rsid w:val="00BF3826"/>
    <w:rsid w:val="00BF383F"/>
    <w:rsid w:val="00BF3892"/>
    <w:rsid w:val="00BF38DB"/>
    <w:rsid w:val="00BF3943"/>
    <w:rsid w:val="00BF3994"/>
    <w:rsid w:val="00BF3CD1"/>
    <w:rsid w:val="00BF3D65"/>
    <w:rsid w:val="00BF3DFA"/>
    <w:rsid w:val="00BF3E47"/>
    <w:rsid w:val="00BF3FA3"/>
    <w:rsid w:val="00BF3FD9"/>
    <w:rsid w:val="00BF40A2"/>
    <w:rsid w:val="00BF4120"/>
    <w:rsid w:val="00BF4550"/>
    <w:rsid w:val="00BF480C"/>
    <w:rsid w:val="00BF4847"/>
    <w:rsid w:val="00BF4AA0"/>
    <w:rsid w:val="00BF4B2C"/>
    <w:rsid w:val="00BF4CBB"/>
    <w:rsid w:val="00BF4DEA"/>
    <w:rsid w:val="00BF5055"/>
    <w:rsid w:val="00BF5058"/>
    <w:rsid w:val="00BF50C3"/>
    <w:rsid w:val="00BF50DC"/>
    <w:rsid w:val="00BF51CC"/>
    <w:rsid w:val="00BF529F"/>
    <w:rsid w:val="00BF52BE"/>
    <w:rsid w:val="00BF5327"/>
    <w:rsid w:val="00BF5329"/>
    <w:rsid w:val="00BF539E"/>
    <w:rsid w:val="00BF53D2"/>
    <w:rsid w:val="00BF570A"/>
    <w:rsid w:val="00BF5860"/>
    <w:rsid w:val="00BF595D"/>
    <w:rsid w:val="00BF5BAF"/>
    <w:rsid w:val="00BF5CEC"/>
    <w:rsid w:val="00BF5D0B"/>
    <w:rsid w:val="00BF5D0C"/>
    <w:rsid w:val="00BF5DAB"/>
    <w:rsid w:val="00BF5DD4"/>
    <w:rsid w:val="00BF5E2F"/>
    <w:rsid w:val="00BF5EA7"/>
    <w:rsid w:val="00BF6062"/>
    <w:rsid w:val="00BF6168"/>
    <w:rsid w:val="00BF61B0"/>
    <w:rsid w:val="00BF61FF"/>
    <w:rsid w:val="00BF6245"/>
    <w:rsid w:val="00BF6270"/>
    <w:rsid w:val="00BF62D1"/>
    <w:rsid w:val="00BF63DC"/>
    <w:rsid w:val="00BF63FC"/>
    <w:rsid w:val="00BF64E8"/>
    <w:rsid w:val="00BF662C"/>
    <w:rsid w:val="00BF6691"/>
    <w:rsid w:val="00BF670A"/>
    <w:rsid w:val="00BF6752"/>
    <w:rsid w:val="00BF6860"/>
    <w:rsid w:val="00BF688F"/>
    <w:rsid w:val="00BF6A8A"/>
    <w:rsid w:val="00BF6AB6"/>
    <w:rsid w:val="00BF6B29"/>
    <w:rsid w:val="00BF6B8A"/>
    <w:rsid w:val="00BF6C93"/>
    <w:rsid w:val="00BF6E86"/>
    <w:rsid w:val="00BF6F32"/>
    <w:rsid w:val="00BF6FA4"/>
    <w:rsid w:val="00BF705B"/>
    <w:rsid w:val="00BF71EB"/>
    <w:rsid w:val="00BF7294"/>
    <w:rsid w:val="00BF72C3"/>
    <w:rsid w:val="00BF73AE"/>
    <w:rsid w:val="00BF73FF"/>
    <w:rsid w:val="00BF7553"/>
    <w:rsid w:val="00BF76F3"/>
    <w:rsid w:val="00BF777A"/>
    <w:rsid w:val="00BF778E"/>
    <w:rsid w:val="00BF7890"/>
    <w:rsid w:val="00BF7962"/>
    <w:rsid w:val="00BF799C"/>
    <w:rsid w:val="00BF79C1"/>
    <w:rsid w:val="00BF7A7A"/>
    <w:rsid w:val="00BF7AA1"/>
    <w:rsid w:val="00BF7B73"/>
    <w:rsid w:val="00BF7B9E"/>
    <w:rsid w:val="00BF7C0E"/>
    <w:rsid w:val="00BF7DB5"/>
    <w:rsid w:val="00BF7E37"/>
    <w:rsid w:val="00BF7E7C"/>
    <w:rsid w:val="00BF7F40"/>
    <w:rsid w:val="00C001E9"/>
    <w:rsid w:val="00C0032B"/>
    <w:rsid w:val="00C0049E"/>
    <w:rsid w:val="00C005B7"/>
    <w:rsid w:val="00C0066C"/>
    <w:rsid w:val="00C0067B"/>
    <w:rsid w:val="00C00699"/>
    <w:rsid w:val="00C0093B"/>
    <w:rsid w:val="00C00A70"/>
    <w:rsid w:val="00C00AC6"/>
    <w:rsid w:val="00C00B32"/>
    <w:rsid w:val="00C00BD0"/>
    <w:rsid w:val="00C00E73"/>
    <w:rsid w:val="00C00EDE"/>
    <w:rsid w:val="00C00EEC"/>
    <w:rsid w:val="00C00F16"/>
    <w:rsid w:val="00C00F76"/>
    <w:rsid w:val="00C00FB4"/>
    <w:rsid w:val="00C00FDB"/>
    <w:rsid w:val="00C01114"/>
    <w:rsid w:val="00C0112A"/>
    <w:rsid w:val="00C01146"/>
    <w:rsid w:val="00C011A1"/>
    <w:rsid w:val="00C01279"/>
    <w:rsid w:val="00C01295"/>
    <w:rsid w:val="00C01296"/>
    <w:rsid w:val="00C014B2"/>
    <w:rsid w:val="00C0171C"/>
    <w:rsid w:val="00C017BB"/>
    <w:rsid w:val="00C01838"/>
    <w:rsid w:val="00C01849"/>
    <w:rsid w:val="00C0185D"/>
    <w:rsid w:val="00C01861"/>
    <w:rsid w:val="00C01886"/>
    <w:rsid w:val="00C0190F"/>
    <w:rsid w:val="00C01996"/>
    <w:rsid w:val="00C019B1"/>
    <w:rsid w:val="00C01A7D"/>
    <w:rsid w:val="00C01B03"/>
    <w:rsid w:val="00C01B72"/>
    <w:rsid w:val="00C01B8A"/>
    <w:rsid w:val="00C01C8F"/>
    <w:rsid w:val="00C01D6B"/>
    <w:rsid w:val="00C01D7D"/>
    <w:rsid w:val="00C01E4A"/>
    <w:rsid w:val="00C01E5A"/>
    <w:rsid w:val="00C01F2E"/>
    <w:rsid w:val="00C01F46"/>
    <w:rsid w:val="00C01F69"/>
    <w:rsid w:val="00C02137"/>
    <w:rsid w:val="00C0218E"/>
    <w:rsid w:val="00C0224D"/>
    <w:rsid w:val="00C0228B"/>
    <w:rsid w:val="00C0232E"/>
    <w:rsid w:val="00C02347"/>
    <w:rsid w:val="00C023D3"/>
    <w:rsid w:val="00C023F0"/>
    <w:rsid w:val="00C0241E"/>
    <w:rsid w:val="00C02465"/>
    <w:rsid w:val="00C02526"/>
    <w:rsid w:val="00C02529"/>
    <w:rsid w:val="00C025F9"/>
    <w:rsid w:val="00C0261B"/>
    <w:rsid w:val="00C0265E"/>
    <w:rsid w:val="00C028B3"/>
    <w:rsid w:val="00C02934"/>
    <w:rsid w:val="00C02952"/>
    <w:rsid w:val="00C02B5E"/>
    <w:rsid w:val="00C02B68"/>
    <w:rsid w:val="00C02BE5"/>
    <w:rsid w:val="00C02C1E"/>
    <w:rsid w:val="00C02C94"/>
    <w:rsid w:val="00C02CC7"/>
    <w:rsid w:val="00C02DBA"/>
    <w:rsid w:val="00C02DD2"/>
    <w:rsid w:val="00C02F45"/>
    <w:rsid w:val="00C02F65"/>
    <w:rsid w:val="00C02F88"/>
    <w:rsid w:val="00C02FE3"/>
    <w:rsid w:val="00C030CD"/>
    <w:rsid w:val="00C032A7"/>
    <w:rsid w:val="00C03421"/>
    <w:rsid w:val="00C034DF"/>
    <w:rsid w:val="00C035F8"/>
    <w:rsid w:val="00C03734"/>
    <w:rsid w:val="00C03769"/>
    <w:rsid w:val="00C03858"/>
    <w:rsid w:val="00C03869"/>
    <w:rsid w:val="00C0388A"/>
    <w:rsid w:val="00C03A23"/>
    <w:rsid w:val="00C03A81"/>
    <w:rsid w:val="00C03AC6"/>
    <w:rsid w:val="00C03B96"/>
    <w:rsid w:val="00C03D27"/>
    <w:rsid w:val="00C03D6D"/>
    <w:rsid w:val="00C03FCD"/>
    <w:rsid w:val="00C04058"/>
    <w:rsid w:val="00C04214"/>
    <w:rsid w:val="00C042D0"/>
    <w:rsid w:val="00C0437B"/>
    <w:rsid w:val="00C0459A"/>
    <w:rsid w:val="00C045B6"/>
    <w:rsid w:val="00C047B7"/>
    <w:rsid w:val="00C047E5"/>
    <w:rsid w:val="00C0483D"/>
    <w:rsid w:val="00C04907"/>
    <w:rsid w:val="00C04947"/>
    <w:rsid w:val="00C04978"/>
    <w:rsid w:val="00C049BB"/>
    <w:rsid w:val="00C04A46"/>
    <w:rsid w:val="00C04ADF"/>
    <w:rsid w:val="00C04B4F"/>
    <w:rsid w:val="00C04D43"/>
    <w:rsid w:val="00C04E7C"/>
    <w:rsid w:val="00C04F0C"/>
    <w:rsid w:val="00C04F59"/>
    <w:rsid w:val="00C04F85"/>
    <w:rsid w:val="00C04FA9"/>
    <w:rsid w:val="00C04FEC"/>
    <w:rsid w:val="00C05403"/>
    <w:rsid w:val="00C05427"/>
    <w:rsid w:val="00C054EE"/>
    <w:rsid w:val="00C0550C"/>
    <w:rsid w:val="00C05664"/>
    <w:rsid w:val="00C05721"/>
    <w:rsid w:val="00C0576F"/>
    <w:rsid w:val="00C05B8F"/>
    <w:rsid w:val="00C05BC3"/>
    <w:rsid w:val="00C05C08"/>
    <w:rsid w:val="00C05C1C"/>
    <w:rsid w:val="00C05C36"/>
    <w:rsid w:val="00C05D67"/>
    <w:rsid w:val="00C05E2D"/>
    <w:rsid w:val="00C05E3B"/>
    <w:rsid w:val="00C05E5F"/>
    <w:rsid w:val="00C05E69"/>
    <w:rsid w:val="00C05ED5"/>
    <w:rsid w:val="00C06195"/>
    <w:rsid w:val="00C061B6"/>
    <w:rsid w:val="00C06420"/>
    <w:rsid w:val="00C064BF"/>
    <w:rsid w:val="00C0650F"/>
    <w:rsid w:val="00C0652A"/>
    <w:rsid w:val="00C065EE"/>
    <w:rsid w:val="00C06657"/>
    <w:rsid w:val="00C06700"/>
    <w:rsid w:val="00C06820"/>
    <w:rsid w:val="00C06873"/>
    <w:rsid w:val="00C068BF"/>
    <w:rsid w:val="00C0696F"/>
    <w:rsid w:val="00C06A85"/>
    <w:rsid w:val="00C06B16"/>
    <w:rsid w:val="00C06BF5"/>
    <w:rsid w:val="00C06C21"/>
    <w:rsid w:val="00C06C93"/>
    <w:rsid w:val="00C06D7D"/>
    <w:rsid w:val="00C06DAE"/>
    <w:rsid w:val="00C06DCA"/>
    <w:rsid w:val="00C06DDE"/>
    <w:rsid w:val="00C06DE0"/>
    <w:rsid w:val="00C06FC0"/>
    <w:rsid w:val="00C07076"/>
    <w:rsid w:val="00C07226"/>
    <w:rsid w:val="00C07236"/>
    <w:rsid w:val="00C074DB"/>
    <w:rsid w:val="00C0754B"/>
    <w:rsid w:val="00C0755C"/>
    <w:rsid w:val="00C075EE"/>
    <w:rsid w:val="00C07622"/>
    <w:rsid w:val="00C07691"/>
    <w:rsid w:val="00C077AC"/>
    <w:rsid w:val="00C078A7"/>
    <w:rsid w:val="00C079E3"/>
    <w:rsid w:val="00C07BA0"/>
    <w:rsid w:val="00C07BF3"/>
    <w:rsid w:val="00C07C94"/>
    <w:rsid w:val="00C07DA8"/>
    <w:rsid w:val="00C07DF1"/>
    <w:rsid w:val="00C07DF7"/>
    <w:rsid w:val="00C10070"/>
    <w:rsid w:val="00C103CD"/>
    <w:rsid w:val="00C103FD"/>
    <w:rsid w:val="00C105CF"/>
    <w:rsid w:val="00C106D1"/>
    <w:rsid w:val="00C10701"/>
    <w:rsid w:val="00C107DD"/>
    <w:rsid w:val="00C1097B"/>
    <w:rsid w:val="00C109D1"/>
    <w:rsid w:val="00C10B1F"/>
    <w:rsid w:val="00C10C2B"/>
    <w:rsid w:val="00C10C69"/>
    <w:rsid w:val="00C10D19"/>
    <w:rsid w:val="00C10DA3"/>
    <w:rsid w:val="00C10DC6"/>
    <w:rsid w:val="00C10DD7"/>
    <w:rsid w:val="00C10E07"/>
    <w:rsid w:val="00C10E08"/>
    <w:rsid w:val="00C10F15"/>
    <w:rsid w:val="00C111DB"/>
    <w:rsid w:val="00C11214"/>
    <w:rsid w:val="00C112D2"/>
    <w:rsid w:val="00C11372"/>
    <w:rsid w:val="00C11435"/>
    <w:rsid w:val="00C114E8"/>
    <w:rsid w:val="00C11575"/>
    <w:rsid w:val="00C115BE"/>
    <w:rsid w:val="00C11601"/>
    <w:rsid w:val="00C1162E"/>
    <w:rsid w:val="00C1169C"/>
    <w:rsid w:val="00C116CA"/>
    <w:rsid w:val="00C116F9"/>
    <w:rsid w:val="00C118AA"/>
    <w:rsid w:val="00C118D5"/>
    <w:rsid w:val="00C119FE"/>
    <w:rsid w:val="00C11A3C"/>
    <w:rsid w:val="00C11B14"/>
    <w:rsid w:val="00C11B16"/>
    <w:rsid w:val="00C11B1C"/>
    <w:rsid w:val="00C11B48"/>
    <w:rsid w:val="00C11B6D"/>
    <w:rsid w:val="00C11C09"/>
    <w:rsid w:val="00C11C8B"/>
    <w:rsid w:val="00C11FC4"/>
    <w:rsid w:val="00C12264"/>
    <w:rsid w:val="00C12394"/>
    <w:rsid w:val="00C1246D"/>
    <w:rsid w:val="00C12483"/>
    <w:rsid w:val="00C125BF"/>
    <w:rsid w:val="00C12660"/>
    <w:rsid w:val="00C1267B"/>
    <w:rsid w:val="00C12682"/>
    <w:rsid w:val="00C127EC"/>
    <w:rsid w:val="00C128CB"/>
    <w:rsid w:val="00C12AA5"/>
    <w:rsid w:val="00C12C1D"/>
    <w:rsid w:val="00C12F77"/>
    <w:rsid w:val="00C13058"/>
    <w:rsid w:val="00C13160"/>
    <w:rsid w:val="00C131C7"/>
    <w:rsid w:val="00C13368"/>
    <w:rsid w:val="00C1345D"/>
    <w:rsid w:val="00C13483"/>
    <w:rsid w:val="00C1348A"/>
    <w:rsid w:val="00C13490"/>
    <w:rsid w:val="00C13494"/>
    <w:rsid w:val="00C134CB"/>
    <w:rsid w:val="00C136EA"/>
    <w:rsid w:val="00C137F1"/>
    <w:rsid w:val="00C1389E"/>
    <w:rsid w:val="00C138A8"/>
    <w:rsid w:val="00C1396A"/>
    <w:rsid w:val="00C139D2"/>
    <w:rsid w:val="00C13B28"/>
    <w:rsid w:val="00C13EBC"/>
    <w:rsid w:val="00C13EF8"/>
    <w:rsid w:val="00C13FEB"/>
    <w:rsid w:val="00C14116"/>
    <w:rsid w:val="00C14155"/>
    <w:rsid w:val="00C141AA"/>
    <w:rsid w:val="00C141F1"/>
    <w:rsid w:val="00C142D0"/>
    <w:rsid w:val="00C14479"/>
    <w:rsid w:val="00C14675"/>
    <w:rsid w:val="00C146E4"/>
    <w:rsid w:val="00C1484E"/>
    <w:rsid w:val="00C1486F"/>
    <w:rsid w:val="00C1488B"/>
    <w:rsid w:val="00C148AB"/>
    <w:rsid w:val="00C148C4"/>
    <w:rsid w:val="00C1494B"/>
    <w:rsid w:val="00C1494D"/>
    <w:rsid w:val="00C1495F"/>
    <w:rsid w:val="00C149A4"/>
    <w:rsid w:val="00C149A8"/>
    <w:rsid w:val="00C149EB"/>
    <w:rsid w:val="00C14B0B"/>
    <w:rsid w:val="00C14DB5"/>
    <w:rsid w:val="00C14DDF"/>
    <w:rsid w:val="00C14E28"/>
    <w:rsid w:val="00C14F70"/>
    <w:rsid w:val="00C15016"/>
    <w:rsid w:val="00C1502B"/>
    <w:rsid w:val="00C1502D"/>
    <w:rsid w:val="00C150A0"/>
    <w:rsid w:val="00C150EF"/>
    <w:rsid w:val="00C1512A"/>
    <w:rsid w:val="00C1512C"/>
    <w:rsid w:val="00C151D8"/>
    <w:rsid w:val="00C15369"/>
    <w:rsid w:val="00C1538A"/>
    <w:rsid w:val="00C15425"/>
    <w:rsid w:val="00C15466"/>
    <w:rsid w:val="00C15502"/>
    <w:rsid w:val="00C15546"/>
    <w:rsid w:val="00C155D0"/>
    <w:rsid w:val="00C155D4"/>
    <w:rsid w:val="00C157F8"/>
    <w:rsid w:val="00C15906"/>
    <w:rsid w:val="00C15A39"/>
    <w:rsid w:val="00C15A55"/>
    <w:rsid w:val="00C15BFE"/>
    <w:rsid w:val="00C15C10"/>
    <w:rsid w:val="00C15C55"/>
    <w:rsid w:val="00C15CCD"/>
    <w:rsid w:val="00C15F6F"/>
    <w:rsid w:val="00C15F85"/>
    <w:rsid w:val="00C15FB3"/>
    <w:rsid w:val="00C160B1"/>
    <w:rsid w:val="00C16129"/>
    <w:rsid w:val="00C161B9"/>
    <w:rsid w:val="00C161CF"/>
    <w:rsid w:val="00C1634E"/>
    <w:rsid w:val="00C1645B"/>
    <w:rsid w:val="00C16464"/>
    <w:rsid w:val="00C16532"/>
    <w:rsid w:val="00C1662A"/>
    <w:rsid w:val="00C16725"/>
    <w:rsid w:val="00C1673E"/>
    <w:rsid w:val="00C16839"/>
    <w:rsid w:val="00C1685F"/>
    <w:rsid w:val="00C168E7"/>
    <w:rsid w:val="00C16982"/>
    <w:rsid w:val="00C169B5"/>
    <w:rsid w:val="00C169F2"/>
    <w:rsid w:val="00C16AFD"/>
    <w:rsid w:val="00C16E56"/>
    <w:rsid w:val="00C16F58"/>
    <w:rsid w:val="00C16F61"/>
    <w:rsid w:val="00C16F7A"/>
    <w:rsid w:val="00C16F86"/>
    <w:rsid w:val="00C1702A"/>
    <w:rsid w:val="00C1709A"/>
    <w:rsid w:val="00C170E5"/>
    <w:rsid w:val="00C1712B"/>
    <w:rsid w:val="00C17152"/>
    <w:rsid w:val="00C17203"/>
    <w:rsid w:val="00C17322"/>
    <w:rsid w:val="00C17640"/>
    <w:rsid w:val="00C17754"/>
    <w:rsid w:val="00C178E2"/>
    <w:rsid w:val="00C1794C"/>
    <w:rsid w:val="00C1795D"/>
    <w:rsid w:val="00C179A2"/>
    <w:rsid w:val="00C179B6"/>
    <w:rsid w:val="00C17A26"/>
    <w:rsid w:val="00C17A4D"/>
    <w:rsid w:val="00C17A5B"/>
    <w:rsid w:val="00C17C8B"/>
    <w:rsid w:val="00C17DAB"/>
    <w:rsid w:val="00C17E14"/>
    <w:rsid w:val="00C17E85"/>
    <w:rsid w:val="00C17EA8"/>
    <w:rsid w:val="00C17EAE"/>
    <w:rsid w:val="00C17EB9"/>
    <w:rsid w:val="00C17F08"/>
    <w:rsid w:val="00C17F34"/>
    <w:rsid w:val="00C17F98"/>
    <w:rsid w:val="00C20116"/>
    <w:rsid w:val="00C2015C"/>
    <w:rsid w:val="00C20298"/>
    <w:rsid w:val="00C2032E"/>
    <w:rsid w:val="00C2040C"/>
    <w:rsid w:val="00C206C5"/>
    <w:rsid w:val="00C20729"/>
    <w:rsid w:val="00C20807"/>
    <w:rsid w:val="00C20829"/>
    <w:rsid w:val="00C20878"/>
    <w:rsid w:val="00C2087F"/>
    <w:rsid w:val="00C2093C"/>
    <w:rsid w:val="00C20943"/>
    <w:rsid w:val="00C209D6"/>
    <w:rsid w:val="00C20A1C"/>
    <w:rsid w:val="00C20AB1"/>
    <w:rsid w:val="00C20ACA"/>
    <w:rsid w:val="00C20B45"/>
    <w:rsid w:val="00C20B60"/>
    <w:rsid w:val="00C20D5C"/>
    <w:rsid w:val="00C20E04"/>
    <w:rsid w:val="00C20E09"/>
    <w:rsid w:val="00C20EDF"/>
    <w:rsid w:val="00C2104A"/>
    <w:rsid w:val="00C21088"/>
    <w:rsid w:val="00C2121B"/>
    <w:rsid w:val="00C2139C"/>
    <w:rsid w:val="00C213C2"/>
    <w:rsid w:val="00C21404"/>
    <w:rsid w:val="00C21409"/>
    <w:rsid w:val="00C214CA"/>
    <w:rsid w:val="00C2155A"/>
    <w:rsid w:val="00C2171E"/>
    <w:rsid w:val="00C21834"/>
    <w:rsid w:val="00C21864"/>
    <w:rsid w:val="00C2193B"/>
    <w:rsid w:val="00C219F4"/>
    <w:rsid w:val="00C21AFE"/>
    <w:rsid w:val="00C21BD4"/>
    <w:rsid w:val="00C21C3C"/>
    <w:rsid w:val="00C21D9D"/>
    <w:rsid w:val="00C21DB9"/>
    <w:rsid w:val="00C21E24"/>
    <w:rsid w:val="00C21ED9"/>
    <w:rsid w:val="00C21EE3"/>
    <w:rsid w:val="00C21F29"/>
    <w:rsid w:val="00C220D1"/>
    <w:rsid w:val="00C22171"/>
    <w:rsid w:val="00C22438"/>
    <w:rsid w:val="00C2247D"/>
    <w:rsid w:val="00C22507"/>
    <w:rsid w:val="00C2255E"/>
    <w:rsid w:val="00C225E2"/>
    <w:rsid w:val="00C2269E"/>
    <w:rsid w:val="00C226CA"/>
    <w:rsid w:val="00C22747"/>
    <w:rsid w:val="00C22874"/>
    <w:rsid w:val="00C22A93"/>
    <w:rsid w:val="00C22AA1"/>
    <w:rsid w:val="00C22AB5"/>
    <w:rsid w:val="00C22B52"/>
    <w:rsid w:val="00C22B60"/>
    <w:rsid w:val="00C22B9F"/>
    <w:rsid w:val="00C22BDF"/>
    <w:rsid w:val="00C22BE0"/>
    <w:rsid w:val="00C22C08"/>
    <w:rsid w:val="00C22CAD"/>
    <w:rsid w:val="00C22CC5"/>
    <w:rsid w:val="00C22CF1"/>
    <w:rsid w:val="00C22D45"/>
    <w:rsid w:val="00C22E2D"/>
    <w:rsid w:val="00C22E9F"/>
    <w:rsid w:val="00C23009"/>
    <w:rsid w:val="00C23077"/>
    <w:rsid w:val="00C23085"/>
    <w:rsid w:val="00C23089"/>
    <w:rsid w:val="00C2312C"/>
    <w:rsid w:val="00C2317D"/>
    <w:rsid w:val="00C23186"/>
    <w:rsid w:val="00C2319C"/>
    <w:rsid w:val="00C232AC"/>
    <w:rsid w:val="00C232FF"/>
    <w:rsid w:val="00C2335B"/>
    <w:rsid w:val="00C233BF"/>
    <w:rsid w:val="00C23405"/>
    <w:rsid w:val="00C234AF"/>
    <w:rsid w:val="00C2365E"/>
    <w:rsid w:val="00C23829"/>
    <w:rsid w:val="00C23834"/>
    <w:rsid w:val="00C23913"/>
    <w:rsid w:val="00C23968"/>
    <w:rsid w:val="00C23A6C"/>
    <w:rsid w:val="00C23AE0"/>
    <w:rsid w:val="00C23AFF"/>
    <w:rsid w:val="00C23BC1"/>
    <w:rsid w:val="00C23C08"/>
    <w:rsid w:val="00C23C65"/>
    <w:rsid w:val="00C23CF6"/>
    <w:rsid w:val="00C23D55"/>
    <w:rsid w:val="00C23D64"/>
    <w:rsid w:val="00C23F8C"/>
    <w:rsid w:val="00C23FBD"/>
    <w:rsid w:val="00C241AA"/>
    <w:rsid w:val="00C24289"/>
    <w:rsid w:val="00C2428F"/>
    <w:rsid w:val="00C242F3"/>
    <w:rsid w:val="00C2437F"/>
    <w:rsid w:val="00C245C1"/>
    <w:rsid w:val="00C24661"/>
    <w:rsid w:val="00C246AF"/>
    <w:rsid w:val="00C2473C"/>
    <w:rsid w:val="00C24792"/>
    <w:rsid w:val="00C24877"/>
    <w:rsid w:val="00C248EE"/>
    <w:rsid w:val="00C248FF"/>
    <w:rsid w:val="00C24AEF"/>
    <w:rsid w:val="00C24BBD"/>
    <w:rsid w:val="00C24C3F"/>
    <w:rsid w:val="00C24C59"/>
    <w:rsid w:val="00C24C84"/>
    <w:rsid w:val="00C24D08"/>
    <w:rsid w:val="00C24D5C"/>
    <w:rsid w:val="00C24DD7"/>
    <w:rsid w:val="00C24E7D"/>
    <w:rsid w:val="00C24EE1"/>
    <w:rsid w:val="00C24F53"/>
    <w:rsid w:val="00C250BC"/>
    <w:rsid w:val="00C25238"/>
    <w:rsid w:val="00C25281"/>
    <w:rsid w:val="00C25311"/>
    <w:rsid w:val="00C254D5"/>
    <w:rsid w:val="00C25678"/>
    <w:rsid w:val="00C25679"/>
    <w:rsid w:val="00C25683"/>
    <w:rsid w:val="00C25730"/>
    <w:rsid w:val="00C25756"/>
    <w:rsid w:val="00C2581D"/>
    <w:rsid w:val="00C2583C"/>
    <w:rsid w:val="00C2588D"/>
    <w:rsid w:val="00C25B55"/>
    <w:rsid w:val="00C25BBE"/>
    <w:rsid w:val="00C25C3E"/>
    <w:rsid w:val="00C25CD0"/>
    <w:rsid w:val="00C25E3A"/>
    <w:rsid w:val="00C25E44"/>
    <w:rsid w:val="00C25E6B"/>
    <w:rsid w:val="00C25F0D"/>
    <w:rsid w:val="00C26120"/>
    <w:rsid w:val="00C26145"/>
    <w:rsid w:val="00C2615B"/>
    <w:rsid w:val="00C262A7"/>
    <w:rsid w:val="00C26327"/>
    <w:rsid w:val="00C2632A"/>
    <w:rsid w:val="00C26479"/>
    <w:rsid w:val="00C2651D"/>
    <w:rsid w:val="00C26561"/>
    <w:rsid w:val="00C26702"/>
    <w:rsid w:val="00C2675F"/>
    <w:rsid w:val="00C267D1"/>
    <w:rsid w:val="00C267F5"/>
    <w:rsid w:val="00C268F7"/>
    <w:rsid w:val="00C26A00"/>
    <w:rsid w:val="00C26B0E"/>
    <w:rsid w:val="00C26C0B"/>
    <w:rsid w:val="00C26C65"/>
    <w:rsid w:val="00C26C6D"/>
    <w:rsid w:val="00C26CDA"/>
    <w:rsid w:val="00C26D49"/>
    <w:rsid w:val="00C26F43"/>
    <w:rsid w:val="00C26FDB"/>
    <w:rsid w:val="00C2702A"/>
    <w:rsid w:val="00C270BD"/>
    <w:rsid w:val="00C270DB"/>
    <w:rsid w:val="00C2710D"/>
    <w:rsid w:val="00C27264"/>
    <w:rsid w:val="00C27293"/>
    <w:rsid w:val="00C27393"/>
    <w:rsid w:val="00C273A3"/>
    <w:rsid w:val="00C273C9"/>
    <w:rsid w:val="00C27405"/>
    <w:rsid w:val="00C27502"/>
    <w:rsid w:val="00C275AB"/>
    <w:rsid w:val="00C2766E"/>
    <w:rsid w:val="00C27775"/>
    <w:rsid w:val="00C277F9"/>
    <w:rsid w:val="00C27A86"/>
    <w:rsid w:val="00C27A89"/>
    <w:rsid w:val="00C27B2B"/>
    <w:rsid w:val="00C27FCB"/>
    <w:rsid w:val="00C27FD7"/>
    <w:rsid w:val="00C30064"/>
    <w:rsid w:val="00C300E4"/>
    <w:rsid w:val="00C30203"/>
    <w:rsid w:val="00C30223"/>
    <w:rsid w:val="00C302B6"/>
    <w:rsid w:val="00C30544"/>
    <w:rsid w:val="00C30560"/>
    <w:rsid w:val="00C30699"/>
    <w:rsid w:val="00C30708"/>
    <w:rsid w:val="00C30763"/>
    <w:rsid w:val="00C307A6"/>
    <w:rsid w:val="00C3085C"/>
    <w:rsid w:val="00C30988"/>
    <w:rsid w:val="00C3099F"/>
    <w:rsid w:val="00C30A35"/>
    <w:rsid w:val="00C30AF3"/>
    <w:rsid w:val="00C30B00"/>
    <w:rsid w:val="00C30B23"/>
    <w:rsid w:val="00C30B31"/>
    <w:rsid w:val="00C30CDC"/>
    <w:rsid w:val="00C30E97"/>
    <w:rsid w:val="00C30EA2"/>
    <w:rsid w:val="00C30EAF"/>
    <w:rsid w:val="00C30ED4"/>
    <w:rsid w:val="00C30FF6"/>
    <w:rsid w:val="00C310A0"/>
    <w:rsid w:val="00C31183"/>
    <w:rsid w:val="00C311E4"/>
    <w:rsid w:val="00C31212"/>
    <w:rsid w:val="00C31246"/>
    <w:rsid w:val="00C31276"/>
    <w:rsid w:val="00C312E7"/>
    <w:rsid w:val="00C31354"/>
    <w:rsid w:val="00C31487"/>
    <w:rsid w:val="00C3150D"/>
    <w:rsid w:val="00C3158F"/>
    <w:rsid w:val="00C3173A"/>
    <w:rsid w:val="00C3178D"/>
    <w:rsid w:val="00C3197F"/>
    <w:rsid w:val="00C319A8"/>
    <w:rsid w:val="00C319AC"/>
    <w:rsid w:val="00C31ADD"/>
    <w:rsid w:val="00C31C03"/>
    <w:rsid w:val="00C31CA0"/>
    <w:rsid w:val="00C31CB6"/>
    <w:rsid w:val="00C31CBD"/>
    <w:rsid w:val="00C31D53"/>
    <w:rsid w:val="00C31D5A"/>
    <w:rsid w:val="00C31DCB"/>
    <w:rsid w:val="00C31EEC"/>
    <w:rsid w:val="00C3212B"/>
    <w:rsid w:val="00C321B0"/>
    <w:rsid w:val="00C321B5"/>
    <w:rsid w:val="00C321D3"/>
    <w:rsid w:val="00C321DE"/>
    <w:rsid w:val="00C323C8"/>
    <w:rsid w:val="00C323EF"/>
    <w:rsid w:val="00C323F6"/>
    <w:rsid w:val="00C3244F"/>
    <w:rsid w:val="00C32475"/>
    <w:rsid w:val="00C32487"/>
    <w:rsid w:val="00C324CF"/>
    <w:rsid w:val="00C32564"/>
    <w:rsid w:val="00C32612"/>
    <w:rsid w:val="00C32640"/>
    <w:rsid w:val="00C3267C"/>
    <w:rsid w:val="00C32715"/>
    <w:rsid w:val="00C32768"/>
    <w:rsid w:val="00C3285D"/>
    <w:rsid w:val="00C328A6"/>
    <w:rsid w:val="00C328AE"/>
    <w:rsid w:val="00C328B3"/>
    <w:rsid w:val="00C32A6D"/>
    <w:rsid w:val="00C32A92"/>
    <w:rsid w:val="00C32DD2"/>
    <w:rsid w:val="00C32E59"/>
    <w:rsid w:val="00C32ECA"/>
    <w:rsid w:val="00C32F3B"/>
    <w:rsid w:val="00C32F53"/>
    <w:rsid w:val="00C32FC1"/>
    <w:rsid w:val="00C331A1"/>
    <w:rsid w:val="00C331C1"/>
    <w:rsid w:val="00C33343"/>
    <w:rsid w:val="00C3335A"/>
    <w:rsid w:val="00C333B1"/>
    <w:rsid w:val="00C333BE"/>
    <w:rsid w:val="00C33408"/>
    <w:rsid w:val="00C3347B"/>
    <w:rsid w:val="00C3348A"/>
    <w:rsid w:val="00C3353D"/>
    <w:rsid w:val="00C33594"/>
    <w:rsid w:val="00C33771"/>
    <w:rsid w:val="00C337AD"/>
    <w:rsid w:val="00C338B9"/>
    <w:rsid w:val="00C338EC"/>
    <w:rsid w:val="00C3390B"/>
    <w:rsid w:val="00C3392C"/>
    <w:rsid w:val="00C33970"/>
    <w:rsid w:val="00C33A25"/>
    <w:rsid w:val="00C33A61"/>
    <w:rsid w:val="00C33A93"/>
    <w:rsid w:val="00C33A9C"/>
    <w:rsid w:val="00C33B27"/>
    <w:rsid w:val="00C33BBE"/>
    <w:rsid w:val="00C33BCF"/>
    <w:rsid w:val="00C33C1A"/>
    <w:rsid w:val="00C33DA8"/>
    <w:rsid w:val="00C33E34"/>
    <w:rsid w:val="00C33E62"/>
    <w:rsid w:val="00C33EE6"/>
    <w:rsid w:val="00C33F83"/>
    <w:rsid w:val="00C33FB6"/>
    <w:rsid w:val="00C340AD"/>
    <w:rsid w:val="00C340C3"/>
    <w:rsid w:val="00C340FB"/>
    <w:rsid w:val="00C3416C"/>
    <w:rsid w:val="00C3434A"/>
    <w:rsid w:val="00C34446"/>
    <w:rsid w:val="00C3444A"/>
    <w:rsid w:val="00C3482B"/>
    <w:rsid w:val="00C34873"/>
    <w:rsid w:val="00C34888"/>
    <w:rsid w:val="00C349E8"/>
    <w:rsid w:val="00C349FF"/>
    <w:rsid w:val="00C34A7A"/>
    <w:rsid w:val="00C34AC0"/>
    <w:rsid w:val="00C34BEA"/>
    <w:rsid w:val="00C34BFE"/>
    <w:rsid w:val="00C34C41"/>
    <w:rsid w:val="00C34C52"/>
    <w:rsid w:val="00C34C81"/>
    <w:rsid w:val="00C34CF0"/>
    <w:rsid w:val="00C34E38"/>
    <w:rsid w:val="00C34FA9"/>
    <w:rsid w:val="00C34FD1"/>
    <w:rsid w:val="00C3504C"/>
    <w:rsid w:val="00C3507C"/>
    <w:rsid w:val="00C3529E"/>
    <w:rsid w:val="00C35453"/>
    <w:rsid w:val="00C354F6"/>
    <w:rsid w:val="00C35608"/>
    <w:rsid w:val="00C35751"/>
    <w:rsid w:val="00C3582A"/>
    <w:rsid w:val="00C35873"/>
    <w:rsid w:val="00C358DA"/>
    <w:rsid w:val="00C35975"/>
    <w:rsid w:val="00C35B1C"/>
    <w:rsid w:val="00C35B49"/>
    <w:rsid w:val="00C35DEE"/>
    <w:rsid w:val="00C35E51"/>
    <w:rsid w:val="00C35EE3"/>
    <w:rsid w:val="00C35F1F"/>
    <w:rsid w:val="00C35F5A"/>
    <w:rsid w:val="00C35F5F"/>
    <w:rsid w:val="00C35F9F"/>
    <w:rsid w:val="00C35FDE"/>
    <w:rsid w:val="00C36176"/>
    <w:rsid w:val="00C36284"/>
    <w:rsid w:val="00C362AB"/>
    <w:rsid w:val="00C36310"/>
    <w:rsid w:val="00C36339"/>
    <w:rsid w:val="00C36470"/>
    <w:rsid w:val="00C36684"/>
    <w:rsid w:val="00C36856"/>
    <w:rsid w:val="00C3685B"/>
    <w:rsid w:val="00C36860"/>
    <w:rsid w:val="00C368C3"/>
    <w:rsid w:val="00C368E1"/>
    <w:rsid w:val="00C3698D"/>
    <w:rsid w:val="00C36A31"/>
    <w:rsid w:val="00C36AC8"/>
    <w:rsid w:val="00C36ADB"/>
    <w:rsid w:val="00C36B55"/>
    <w:rsid w:val="00C36BA4"/>
    <w:rsid w:val="00C36C13"/>
    <w:rsid w:val="00C36C95"/>
    <w:rsid w:val="00C36DAB"/>
    <w:rsid w:val="00C36E4B"/>
    <w:rsid w:val="00C36EEA"/>
    <w:rsid w:val="00C36EEB"/>
    <w:rsid w:val="00C36F72"/>
    <w:rsid w:val="00C36F7A"/>
    <w:rsid w:val="00C36F94"/>
    <w:rsid w:val="00C36FB0"/>
    <w:rsid w:val="00C36FBA"/>
    <w:rsid w:val="00C37281"/>
    <w:rsid w:val="00C37292"/>
    <w:rsid w:val="00C37305"/>
    <w:rsid w:val="00C37394"/>
    <w:rsid w:val="00C373F2"/>
    <w:rsid w:val="00C3769E"/>
    <w:rsid w:val="00C37782"/>
    <w:rsid w:val="00C37890"/>
    <w:rsid w:val="00C37908"/>
    <w:rsid w:val="00C379B6"/>
    <w:rsid w:val="00C37B63"/>
    <w:rsid w:val="00C37B83"/>
    <w:rsid w:val="00C37BFA"/>
    <w:rsid w:val="00C37CAE"/>
    <w:rsid w:val="00C37D63"/>
    <w:rsid w:val="00C37D76"/>
    <w:rsid w:val="00C37D9D"/>
    <w:rsid w:val="00C37E6B"/>
    <w:rsid w:val="00C37E90"/>
    <w:rsid w:val="00C37ED1"/>
    <w:rsid w:val="00C4007A"/>
    <w:rsid w:val="00C401F2"/>
    <w:rsid w:val="00C4041E"/>
    <w:rsid w:val="00C40508"/>
    <w:rsid w:val="00C405C6"/>
    <w:rsid w:val="00C4064D"/>
    <w:rsid w:val="00C40939"/>
    <w:rsid w:val="00C40A8E"/>
    <w:rsid w:val="00C40B26"/>
    <w:rsid w:val="00C40D79"/>
    <w:rsid w:val="00C4108E"/>
    <w:rsid w:val="00C4110D"/>
    <w:rsid w:val="00C4112B"/>
    <w:rsid w:val="00C41180"/>
    <w:rsid w:val="00C41268"/>
    <w:rsid w:val="00C413C3"/>
    <w:rsid w:val="00C413C7"/>
    <w:rsid w:val="00C414A4"/>
    <w:rsid w:val="00C41536"/>
    <w:rsid w:val="00C4155E"/>
    <w:rsid w:val="00C41579"/>
    <w:rsid w:val="00C415A2"/>
    <w:rsid w:val="00C41626"/>
    <w:rsid w:val="00C41788"/>
    <w:rsid w:val="00C4182C"/>
    <w:rsid w:val="00C418A1"/>
    <w:rsid w:val="00C418A2"/>
    <w:rsid w:val="00C4199B"/>
    <w:rsid w:val="00C419D4"/>
    <w:rsid w:val="00C41A0D"/>
    <w:rsid w:val="00C41A99"/>
    <w:rsid w:val="00C41AC5"/>
    <w:rsid w:val="00C41DF9"/>
    <w:rsid w:val="00C41DFF"/>
    <w:rsid w:val="00C41E4E"/>
    <w:rsid w:val="00C41EAF"/>
    <w:rsid w:val="00C41FA3"/>
    <w:rsid w:val="00C4201B"/>
    <w:rsid w:val="00C42066"/>
    <w:rsid w:val="00C42226"/>
    <w:rsid w:val="00C423EA"/>
    <w:rsid w:val="00C424CE"/>
    <w:rsid w:val="00C42581"/>
    <w:rsid w:val="00C42677"/>
    <w:rsid w:val="00C426BF"/>
    <w:rsid w:val="00C426CA"/>
    <w:rsid w:val="00C42808"/>
    <w:rsid w:val="00C4280B"/>
    <w:rsid w:val="00C429F1"/>
    <w:rsid w:val="00C429FA"/>
    <w:rsid w:val="00C42B05"/>
    <w:rsid w:val="00C42B9E"/>
    <w:rsid w:val="00C42D5C"/>
    <w:rsid w:val="00C42D6D"/>
    <w:rsid w:val="00C42E47"/>
    <w:rsid w:val="00C42E76"/>
    <w:rsid w:val="00C42E80"/>
    <w:rsid w:val="00C42EDB"/>
    <w:rsid w:val="00C42F0C"/>
    <w:rsid w:val="00C431D8"/>
    <w:rsid w:val="00C431E5"/>
    <w:rsid w:val="00C431F6"/>
    <w:rsid w:val="00C43238"/>
    <w:rsid w:val="00C432E3"/>
    <w:rsid w:val="00C4343F"/>
    <w:rsid w:val="00C434FB"/>
    <w:rsid w:val="00C4371E"/>
    <w:rsid w:val="00C4373B"/>
    <w:rsid w:val="00C437EE"/>
    <w:rsid w:val="00C437F2"/>
    <w:rsid w:val="00C438FE"/>
    <w:rsid w:val="00C43A35"/>
    <w:rsid w:val="00C43A83"/>
    <w:rsid w:val="00C43B20"/>
    <w:rsid w:val="00C43B78"/>
    <w:rsid w:val="00C43BAC"/>
    <w:rsid w:val="00C43C60"/>
    <w:rsid w:val="00C43F0F"/>
    <w:rsid w:val="00C43F13"/>
    <w:rsid w:val="00C43F56"/>
    <w:rsid w:val="00C43FF1"/>
    <w:rsid w:val="00C44342"/>
    <w:rsid w:val="00C4445E"/>
    <w:rsid w:val="00C4449A"/>
    <w:rsid w:val="00C44513"/>
    <w:rsid w:val="00C445B5"/>
    <w:rsid w:val="00C446F8"/>
    <w:rsid w:val="00C4470B"/>
    <w:rsid w:val="00C44907"/>
    <w:rsid w:val="00C4498F"/>
    <w:rsid w:val="00C44A4C"/>
    <w:rsid w:val="00C44B18"/>
    <w:rsid w:val="00C44B1B"/>
    <w:rsid w:val="00C44BAE"/>
    <w:rsid w:val="00C44C1D"/>
    <w:rsid w:val="00C44DC7"/>
    <w:rsid w:val="00C44E1C"/>
    <w:rsid w:val="00C44E25"/>
    <w:rsid w:val="00C44F92"/>
    <w:rsid w:val="00C44F99"/>
    <w:rsid w:val="00C44FC3"/>
    <w:rsid w:val="00C44FF4"/>
    <w:rsid w:val="00C4504C"/>
    <w:rsid w:val="00C450BE"/>
    <w:rsid w:val="00C45129"/>
    <w:rsid w:val="00C45148"/>
    <w:rsid w:val="00C45274"/>
    <w:rsid w:val="00C45396"/>
    <w:rsid w:val="00C45440"/>
    <w:rsid w:val="00C4548A"/>
    <w:rsid w:val="00C455EA"/>
    <w:rsid w:val="00C4563B"/>
    <w:rsid w:val="00C45690"/>
    <w:rsid w:val="00C457D3"/>
    <w:rsid w:val="00C45941"/>
    <w:rsid w:val="00C459B8"/>
    <w:rsid w:val="00C45AC7"/>
    <w:rsid w:val="00C45ACD"/>
    <w:rsid w:val="00C45B94"/>
    <w:rsid w:val="00C45D05"/>
    <w:rsid w:val="00C45D3D"/>
    <w:rsid w:val="00C45D78"/>
    <w:rsid w:val="00C45F5D"/>
    <w:rsid w:val="00C45F5E"/>
    <w:rsid w:val="00C45FEC"/>
    <w:rsid w:val="00C46030"/>
    <w:rsid w:val="00C460C8"/>
    <w:rsid w:val="00C46112"/>
    <w:rsid w:val="00C4623C"/>
    <w:rsid w:val="00C4628E"/>
    <w:rsid w:val="00C46367"/>
    <w:rsid w:val="00C4636A"/>
    <w:rsid w:val="00C464D8"/>
    <w:rsid w:val="00C466DE"/>
    <w:rsid w:val="00C46770"/>
    <w:rsid w:val="00C467C3"/>
    <w:rsid w:val="00C467F0"/>
    <w:rsid w:val="00C46847"/>
    <w:rsid w:val="00C46875"/>
    <w:rsid w:val="00C46884"/>
    <w:rsid w:val="00C468D6"/>
    <w:rsid w:val="00C46A12"/>
    <w:rsid w:val="00C46ACF"/>
    <w:rsid w:val="00C46AFB"/>
    <w:rsid w:val="00C46B0B"/>
    <w:rsid w:val="00C46B2A"/>
    <w:rsid w:val="00C46B51"/>
    <w:rsid w:val="00C46CB5"/>
    <w:rsid w:val="00C46D53"/>
    <w:rsid w:val="00C46EB8"/>
    <w:rsid w:val="00C470C0"/>
    <w:rsid w:val="00C471F6"/>
    <w:rsid w:val="00C47256"/>
    <w:rsid w:val="00C473BF"/>
    <w:rsid w:val="00C474D7"/>
    <w:rsid w:val="00C47523"/>
    <w:rsid w:val="00C47598"/>
    <w:rsid w:val="00C475E4"/>
    <w:rsid w:val="00C47744"/>
    <w:rsid w:val="00C4774E"/>
    <w:rsid w:val="00C477CA"/>
    <w:rsid w:val="00C4784C"/>
    <w:rsid w:val="00C4784D"/>
    <w:rsid w:val="00C47899"/>
    <w:rsid w:val="00C478DA"/>
    <w:rsid w:val="00C478EA"/>
    <w:rsid w:val="00C47933"/>
    <w:rsid w:val="00C479F6"/>
    <w:rsid w:val="00C47AB5"/>
    <w:rsid w:val="00C47B4A"/>
    <w:rsid w:val="00C47C5E"/>
    <w:rsid w:val="00C47D0E"/>
    <w:rsid w:val="00C47D2B"/>
    <w:rsid w:val="00C47D34"/>
    <w:rsid w:val="00C47EEB"/>
    <w:rsid w:val="00C50026"/>
    <w:rsid w:val="00C50044"/>
    <w:rsid w:val="00C500D0"/>
    <w:rsid w:val="00C5013B"/>
    <w:rsid w:val="00C50179"/>
    <w:rsid w:val="00C5020C"/>
    <w:rsid w:val="00C50494"/>
    <w:rsid w:val="00C5059E"/>
    <w:rsid w:val="00C505E1"/>
    <w:rsid w:val="00C50606"/>
    <w:rsid w:val="00C5064C"/>
    <w:rsid w:val="00C5066A"/>
    <w:rsid w:val="00C506FC"/>
    <w:rsid w:val="00C507CD"/>
    <w:rsid w:val="00C507EF"/>
    <w:rsid w:val="00C50851"/>
    <w:rsid w:val="00C508C4"/>
    <w:rsid w:val="00C508E5"/>
    <w:rsid w:val="00C50A72"/>
    <w:rsid w:val="00C50A95"/>
    <w:rsid w:val="00C50AD1"/>
    <w:rsid w:val="00C50B1F"/>
    <w:rsid w:val="00C50B7A"/>
    <w:rsid w:val="00C50BD8"/>
    <w:rsid w:val="00C50D26"/>
    <w:rsid w:val="00C50F33"/>
    <w:rsid w:val="00C50FF4"/>
    <w:rsid w:val="00C50FFC"/>
    <w:rsid w:val="00C512C6"/>
    <w:rsid w:val="00C512F5"/>
    <w:rsid w:val="00C514C3"/>
    <w:rsid w:val="00C515BA"/>
    <w:rsid w:val="00C51695"/>
    <w:rsid w:val="00C51723"/>
    <w:rsid w:val="00C5189A"/>
    <w:rsid w:val="00C51922"/>
    <w:rsid w:val="00C51935"/>
    <w:rsid w:val="00C519A6"/>
    <w:rsid w:val="00C51A09"/>
    <w:rsid w:val="00C51B32"/>
    <w:rsid w:val="00C51B78"/>
    <w:rsid w:val="00C51B7F"/>
    <w:rsid w:val="00C51BA7"/>
    <w:rsid w:val="00C51BFD"/>
    <w:rsid w:val="00C51DB3"/>
    <w:rsid w:val="00C51DC3"/>
    <w:rsid w:val="00C51DDA"/>
    <w:rsid w:val="00C51F01"/>
    <w:rsid w:val="00C51F2C"/>
    <w:rsid w:val="00C52113"/>
    <w:rsid w:val="00C521A8"/>
    <w:rsid w:val="00C522AA"/>
    <w:rsid w:val="00C522D7"/>
    <w:rsid w:val="00C522D8"/>
    <w:rsid w:val="00C523AE"/>
    <w:rsid w:val="00C52452"/>
    <w:rsid w:val="00C524A2"/>
    <w:rsid w:val="00C524A5"/>
    <w:rsid w:val="00C524DE"/>
    <w:rsid w:val="00C525FD"/>
    <w:rsid w:val="00C5276F"/>
    <w:rsid w:val="00C528F8"/>
    <w:rsid w:val="00C5292B"/>
    <w:rsid w:val="00C52946"/>
    <w:rsid w:val="00C52A0E"/>
    <w:rsid w:val="00C52AC7"/>
    <w:rsid w:val="00C52AFA"/>
    <w:rsid w:val="00C52B17"/>
    <w:rsid w:val="00C52C2A"/>
    <w:rsid w:val="00C52D11"/>
    <w:rsid w:val="00C52D74"/>
    <w:rsid w:val="00C52DD7"/>
    <w:rsid w:val="00C52E00"/>
    <w:rsid w:val="00C52EC4"/>
    <w:rsid w:val="00C5308E"/>
    <w:rsid w:val="00C532A8"/>
    <w:rsid w:val="00C5339C"/>
    <w:rsid w:val="00C534B8"/>
    <w:rsid w:val="00C5351E"/>
    <w:rsid w:val="00C5355C"/>
    <w:rsid w:val="00C535C3"/>
    <w:rsid w:val="00C53665"/>
    <w:rsid w:val="00C536AF"/>
    <w:rsid w:val="00C536FE"/>
    <w:rsid w:val="00C53709"/>
    <w:rsid w:val="00C53744"/>
    <w:rsid w:val="00C5388E"/>
    <w:rsid w:val="00C539A4"/>
    <w:rsid w:val="00C539B2"/>
    <w:rsid w:val="00C53A12"/>
    <w:rsid w:val="00C53A39"/>
    <w:rsid w:val="00C53A4A"/>
    <w:rsid w:val="00C53AAD"/>
    <w:rsid w:val="00C53B56"/>
    <w:rsid w:val="00C53C6F"/>
    <w:rsid w:val="00C53CA8"/>
    <w:rsid w:val="00C53E30"/>
    <w:rsid w:val="00C53E4D"/>
    <w:rsid w:val="00C53F5E"/>
    <w:rsid w:val="00C53FDF"/>
    <w:rsid w:val="00C54096"/>
    <w:rsid w:val="00C54130"/>
    <w:rsid w:val="00C541A5"/>
    <w:rsid w:val="00C54286"/>
    <w:rsid w:val="00C542FD"/>
    <w:rsid w:val="00C543E2"/>
    <w:rsid w:val="00C54443"/>
    <w:rsid w:val="00C545A0"/>
    <w:rsid w:val="00C545D0"/>
    <w:rsid w:val="00C546C3"/>
    <w:rsid w:val="00C5477B"/>
    <w:rsid w:val="00C547C9"/>
    <w:rsid w:val="00C54864"/>
    <w:rsid w:val="00C54912"/>
    <w:rsid w:val="00C54BC0"/>
    <w:rsid w:val="00C54C4A"/>
    <w:rsid w:val="00C54C53"/>
    <w:rsid w:val="00C54CA0"/>
    <w:rsid w:val="00C54CFD"/>
    <w:rsid w:val="00C54DE3"/>
    <w:rsid w:val="00C54EFB"/>
    <w:rsid w:val="00C54F30"/>
    <w:rsid w:val="00C54F9F"/>
    <w:rsid w:val="00C55048"/>
    <w:rsid w:val="00C551E0"/>
    <w:rsid w:val="00C55310"/>
    <w:rsid w:val="00C5534F"/>
    <w:rsid w:val="00C55352"/>
    <w:rsid w:val="00C5547B"/>
    <w:rsid w:val="00C5559B"/>
    <w:rsid w:val="00C555DA"/>
    <w:rsid w:val="00C55603"/>
    <w:rsid w:val="00C55677"/>
    <w:rsid w:val="00C556AF"/>
    <w:rsid w:val="00C556CD"/>
    <w:rsid w:val="00C556D1"/>
    <w:rsid w:val="00C5574D"/>
    <w:rsid w:val="00C55951"/>
    <w:rsid w:val="00C55AAA"/>
    <w:rsid w:val="00C55AF3"/>
    <w:rsid w:val="00C55B64"/>
    <w:rsid w:val="00C55BCB"/>
    <w:rsid w:val="00C55D66"/>
    <w:rsid w:val="00C55F49"/>
    <w:rsid w:val="00C56082"/>
    <w:rsid w:val="00C56106"/>
    <w:rsid w:val="00C56204"/>
    <w:rsid w:val="00C56293"/>
    <w:rsid w:val="00C5629F"/>
    <w:rsid w:val="00C562AC"/>
    <w:rsid w:val="00C563AD"/>
    <w:rsid w:val="00C563D1"/>
    <w:rsid w:val="00C563DE"/>
    <w:rsid w:val="00C5646C"/>
    <w:rsid w:val="00C565A0"/>
    <w:rsid w:val="00C565E5"/>
    <w:rsid w:val="00C56888"/>
    <w:rsid w:val="00C569D5"/>
    <w:rsid w:val="00C56A3B"/>
    <w:rsid w:val="00C56B8A"/>
    <w:rsid w:val="00C56C31"/>
    <w:rsid w:val="00C56C38"/>
    <w:rsid w:val="00C56C61"/>
    <w:rsid w:val="00C56D85"/>
    <w:rsid w:val="00C56D91"/>
    <w:rsid w:val="00C56DAF"/>
    <w:rsid w:val="00C56DBA"/>
    <w:rsid w:val="00C56DBD"/>
    <w:rsid w:val="00C56DDE"/>
    <w:rsid w:val="00C56F41"/>
    <w:rsid w:val="00C56FD7"/>
    <w:rsid w:val="00C56FF2"/>
    <w:rsid w:val="00C56FFF"/>
    <w:rsid w:val="00C5704F"/>
    <w:rsid w:val="00C570C9"/>
    <w:rsid w:val="00C572B8"/>
    <w:rsid w:val="00C573B0"/>
    <w:rsid w:val="00C57444"/>
    <w:rsid w:val="00C5745E"/>
    <w:rsid w:val="00C5749A"/>
    <w:rsid w:val="00C57583"/>
    <w:rsid w:val="00C5760B"/>
    <w:rsid w:val="00C576DE"/>
    <w:rsid w:val="00C57802"/>
    <w:rsid w:val="00C578D6"/>
    <w:rsid w:val="00C57921"/>
    <w:rsid w:val="00C57B02"/>
    <w:rsid w:val="00C57BDA"/>
    <w:rsid w:val="00C57C7E"/>
    <w:rsid w:val="00C57D3C"/>
    <w:rsid w:val="00C57E89"/>
    <w:rsid w:val="00C57ED8"/>
    <w:rsid w:val="00C57F99"/>
    <w:rsid w:val="00C5F205"/>
    <w:rsid w:val="00C6019D"/>
    <w:rsid w:val="00C601B3"/>
    <w:rsid w:val="00C601F8"/>
    <w:rsid w:val="00C6028F"/>
    <w:rsid w:val="00C602B6"/>
    <w:rsid w:val="00C602CA"/>
    <w:rsid w:val="00C602DB"/>
    <w:rsid w:val="00C602EC"/>
    <w:rsid w:val="00C60432"/>
    <w:rsid w:val="00C604F9"/>
    <w:rsid w:val="00C60516"/>
    <w:rsid w:val="00C60526"/>
    <w:rsid w:val="00C605D9"/>
    <w:rsid w:val="00C606DC"/>
    <w:rsid w:val="00C60717"/>
    <w:rsid w:val="00C60756"/>
    <w:rsid w:val="00C607D4"/>
    <w:rsid w:val="00C60876"/>
    <w:rsid w:val="00C6087A"/>
    <w:rsid w:val="00C60939"/>
    <w:rsid w:val="00C609ED"/>
    <w:rsid w:val="00C60C4C"/>
    <w:rsid w:val="00C60CF3"/>
    <w:rsid w:val="00C60D5A"/>
    <w:rsid w:val="00C60D7B"/>
    <w:rsid w:val="00C60D99"/>
    <w:rsid w:val="00C60DD5"/>
    <w:rsid w:val="00C60E82"/>
    <w:rsid w:val="00C60F20"/>
    <w:rsid w:val="00C60F24"/>
    <w:rsid w:val="00C610DD"/>
    <w:rsid w:val="00C6118C"/>
    <w:rsid w:val="00C61229"/>
    <w:rsid w:val="00C6126E"/>
    <w:rsid w:val="00C612F1"/>
    <w:rsid w:val="00C61374"/>
    <w:rsid w:val="00C61460"/>
    <w:rsid w:val="00C6150B"/>
    <w:rsid w:val="00C6157D"/>
    <w:rsid w:val="00C615AF"/>
    <w:rsid w:val="00C61627"/>
    <w:rsid w:val="00C616A3"/>
    <w:rsid w:val="00C61774"/>
    <w:rsid w:val="00C61815"/>
    <w:rsid w:val="00C61859"/>
    <w:rsid w:val="00C618AB"/>
    <w:rsid w:val="00C6192F"/>
    <w:rsid w:val="00C619B7"/>
    <w:rsid w:val="00C61A22"/>
    <w:rsid w:val="00C61A53"/>
    <w:rsid w:val="00C61D1C"/>
    <w:rsid w:val="00C61D9E"/>
    <w:rsid w:val="00C61E13"/>
    <w:rsid w:val="00C61F00"/>
    <w:rsid w:val="00C61FFA"/>
    <w:rsid w:val="00C62066"/>
    <w:rsid w:val="00C620ED"/>
    <w:rsid w:val="00C621F1"/>
    <w:rsid w:val="00C62207"/>
    <w:rsid w:val="00C622BB"/>
    <w:rsid w:val="00C6230D"/>
    <w:rsid w:val="00C6231F"/>
    <w:rsid w:val="00C624CE"/>
    <w:rsid w:val="00C624F4"/>
    <w:rsid w:val="00C625DF"/>
    <w:rsid w:val="00C627D7"/>
    <w:rsid w:val="00C628E6"/>
    <w:rsid w:val="00C62966"/>
    <w:rsid w:val="00C62989"/>
    <w:rsid w:val="00C62B9F"/>
    <w:rsid w:val="00C62C11"/>
    <w:rsid w:val="00C62CE7"/>
    <w:rsid w:val="00C62D38"/>
    <w:rsid w:val="00C62D98"/>
    <w:rsid w:val="00C62DC3"/>
    <w:rsid w:val="00C62DE6"/>
    <w:rsid w:val="00C62DF9"/>
    <w:rsid w:val="00C62E1C"/>
    <w:rsid w:val="00C62E5E"/>
    <w:rsid w:val="00C62E65"/>
    <w:rsid w:val="00C62F1C"/>
    <w:rsid w:val="00C62FBB"/>
    <w:rsid w:val="00C6309A"/>
    <w:rsid w:val="00C631E0"/>
    <w:rsid w:val="00C631E9"/>
    <w:rsid w:val="00C631F9"/>
    <w:rsid w:val="00C63239"/>
    <w:rsid w:val="00C63301"/>
    <w:rsid w:val="00C6333B"/>
    <w:rsid w:val="00C63369"/>
    <w:rsid w:val="00C633E5"/>
    <w:rsid w:val="00C633F6"/>
    <w:rsid w:val="00C63588"/>
    <w:rsid w:val="00C636E8"/>
    <w:rsid w:val="00C636ED"/>
    <w:rsid w:val="00C6390B"/>
    <w:rsid w:val="00C63967"/>
    <w:rsid w:val="00C6398B"/>
    <w:rsid w:val="00C639A5"/>
    <w:rsid w:val="00C63AA5"/>
    <w:rsid w:val="00C63C1E"/>
    <w:rsid w:val="00C63CB4"/>
    <w:rsid w:val="00C63D65"/>
    <w:rsid w:val="00C63D80"/>
    <w:rsid w:val="00C63DDD"/>
    <w:rsid w:val="00C63F29"/>
    <w:rsid w:val="00C63F93"/>
    <w:rsid w:val="00C64124"/>
    <w:rsid w:val="00C64195"/>
    <w:rsid w:val="00C641C1"/>
    <w:rsid w:val="00C642B7"/>
    <w:rsid w:val="00C64347"/>
    <w:rsid w:val="00C6443C"/>
    <w:rsid w:val="00C64441"/>
    <w:rsid w:val="00C644AA"/>
    <w:rsid w:val="00C644C5"/>
    <w:rsid w:val="00C644DE"/>
    <w:rsid w:val="00C64505"/>
    <w:rsid w:val="00C64564"/>
    <w:rsid w:val="00C6459C"/>
    <w:rsid w:val="00C64687"/>
    <w:rsid w:val="00C64757"/>
    <w:rsid w:val="00C6475D"/>
    <w:rsid w:val="00C64818"/>
    <w:rsid w:val="00C648CD"/>
    <w:rsid w:val="00C648DA"/>
    <w:rsid w:val="00C6498A"/>
    <w:rsid w:val="00C64A12"/>
    <w:rsid w:val="00C64A9C"/>
    <w:rsid w:val="00C64BFD"/>
    <w:rsid w:val="00C6508C"/>
    <w:rsid w:val="00C650AD"/>
    <w:rsid w:val="00C6513E"/>
    <w:rsid w:val="00C653D4"/>
    <w:rsid w:val="00C654C1"/>
    <w:rsid w:val="00C65546"/>
    <w:rsid w:val="00C655B4"/>
    <w:rsid w:val="00C65617"/>
    <w:rsid w:val="00C6589D"/>
    <w:rsid w:val="00C6594D"/>
    <w:rsid w:val="00C65AA8"/>
    <w:rsid w:val="00C65B01"/>
    <w:rsid w:val="00C65B2B"/>
    <w:rsid w:val="00C65BF3"/>
    <w:rsid w:val="00C65C3E"/>
    <w:rsid w:val="00C65D59"/>
    <w:rsid w:val="00C65D5A"/>
    <w:rsid w:val="00C65EED"/>
    <w:rsid w:val="00C65EEE"/>
    <w:rsid w:val="00C65FCC"/>
    <w:rsid w:val="00C66080"/>
    <w:rsid w:val="00C660F8"/>
    <w:rsid w:val="00C66156"/>
    <w:rsid w:val="00C661B6"/>
    <w:rsid w:val="00C6625E"/>
    <w:rsid w:val="00C6628C"/>
    <w:rsid w:val="00C66295"/>
    <w:rsid w:val="00C662BD"/>
    <w:rsid w:val="00C66333"/>
    <w:rsid w:val="00C6635C"/>
    <w:rsid w:val="00C6650A"/>
    <w:rsid w:val="00C66548"/>
    <w:rsid w:val="00C665C1"/>
    <w:rsid w:val="00C667C8"/>
    <w:rsid w:val="00C66832"/>
    <w:rsid w:val="00C66902"/>
    <w:rsid w:val="00C66A1B"/>
    <w:rsid w:val="00C66A35"/>
    <w:rsid w:val="00C66A8E"/>
    <w:rsid w:val="00C66B9A"/>
    <w:rsid w:val="00C66CBA"/>
    <w:rsid w:val="00C66F96"/>
    <w:rsid w:val="00C66FC2"/>
    <w:rsid w:val="00C66FEC"/>
    <w:rsid w:val="00C67211"/>
    <w:rsid w:val="00C672A2"/>
    <w:rsid w:val="00C67331"/>
    <w:rsid w:val="00C6734B"/>
    <w:rsid w:val="00C673F1"/>
    <w:rsid w:val="00C6745D"/>
    <w:rsid w:val="00C6752F"/>
    <w:rsid w:val="00C67542"/>
    <w:rsid w:val="00C67560"/>
    <w:rsid w:val="00C679CA"/>
    <w:rsid w:val="00C67A8C"/>
    <w:rsid w:val="00C67AEC"/>
    <w:rsid w:val="00C67C45"/>
    <w:rsid w:val="00C67C78"/>
    <w:rsid w:val="00C67D5E"/>
    <w:rsid w:val="00C67E3D"/>
    <w:rsid w:val="00C67EB2"/>
    <w:rsid w:val="00C67F97"/>
    <w:rsid w:val="00C70032"/>
    <w:rsid w:val="00C70118"/>
    <w:rsid w:val="00C7015E"/>
    <w:rsid w:val="00C70219"/>
    <w:rsid w:val="00C7041C"/>
    <w:rsid w:val="00C705DB"/>
    <w:rsid w:val="00C70620"/>
    <w:rsid w:val="00C70672"/>
    <w:rsid w:val="00C706F8"/>
    <w:rsid w:val="00C70781"/>
    <w:rsid w:val="00C707CD"/>
    <w:rsid w:val="00C70857"/>
    <w:rsid w:val="00C708A7"/>
    <w:rsid w:val="00C70926"/>
    <w:rsid w:val="00C709A7"/>
    <w:rsid w:val="00C709F8"/>
    <w:rsid w:val="00C70A8C"/>
    <w:rsid w:val="00C70AA6"/>
    <w:rsid w:val="00C70AC3"/>
    <w:rsid w:val="00C70B5D"/>
    <w:rsid w:val="00C70C20"/>
    <w:rsid w:val="00C70D5E"/>
    <w:rsid w:val="00C70D72"/>
    <w:rsid w:val="00C70E43"/>
    <w:rsid w:val="00C70F08"/>
    <w:rsid w:val="00C70F90"/>
    <w:rsid w:val="00C70FDA"/>
    <w:rsid w:val="00C71025"/>
    <w:rsid w:val="00C710A0"/>
    <w:rsid w:val="00C710B9"/>
    <w:rsid w:val="00C710E1"/>
    <w:rsid w:val="00C712EA"/>
    <w:rsid w:val="00C7149D"/>
    <w:rsid w:val="00C7159D"/>
    <w:rsid w:val="00C715F9"/>
    <w:rsid w:val="00C717C2"/>
    <w:rsid w:val="00C71997"/>
    <w:rsid w:val="00C71B83"/>
    <w:rsid w:val="00C71BAA"/>
    <w:rsid w:val="00C71CD3"/>
    <w:rsid w:val="00C71D0D"/>
    <w:rsid w:val="00C71D3A"/>
    <w:rsid w:val="00C71D99"/>
    <w:rsid w:val="00C71DF2"/>
    <w:rsid w:val="00C71F6A"/>
    <w:rsid w:val="00C71FC1"/>
    <w:rsid w:val="00C71FD7"/>
    <w:rsid w:val="00C7203C"/>
    <w:rsid w:val="00C720D6"/>
    <w:rsid w:val="00C7212B"/>
    <w:rsid w:val="00C72230"/>
    <w:rsid w:val="00C7242F"/>
    <w:rsid w:val="00C7243B"/>
    <w:rsid w:val="00C72456"/>
    <w:rsid w:val="00C724B6"/>
    <w:rsid w:val="00C724DF"/>
    <w:rsid w:val="00C724F8"/>
    <w:rsid w:val="00C727B1"/>
    <w:rsid w:val="00C72839"/>
    <w:rsid w:val="00C72868"/>
    <w:rsid w:val="00C72889"/>
    <w:rsid w:val="00C728A5"/>
    <w:rsid w:val="00C728E4"/>
    <w:rsid w:val="00C728F4"/>
    <w:rsid w:val="00C7297A"/>
    <w:rsid w:val="00C72A20"/>
    <w:rsid w:val="00C72A26"/>
    <w:rsid w:val="00C72A9C"/>
    <w:rsid w:val="00C72AF5"/>
    <w:rsid w:val="00C72C18"/>
    <w:rsid w:val="00C72D56"/>
    <w:rsid w:val="00C72E0E"/>
    <w:rsid w:val="00C72FB2"/>
    <w:rsid w:val="00C73016"/>
    <w:rsid w:val="00C73044"/>
    <w:rsid w:val="00C7333D"/>
    <w:rsid w:val="00C734BA"/>
    <w:rsid w:val="00C734BD"/>
    <w:rsid w:val="00C734E0"/>
    <w:rsid w:val="00C73524"/>
    <w:rsid w:val="00C73599"/>
    <w:rsid w:val="00C735F4"/>
    <w:rsid w:val="00C736AF"/>
    <w:rsid w:val="00C738AC"/>
    <w:rsid w:val="00C7397F"/>
    <w:rsid w:val="00C739D4"/>
    <w:rsid w:val="00C73A6C"/>
    <w:rsid w:val="00C73B77"/>
    <w:rsid w:val="00C73D05"/>
    <w:rsid w:val="00C73E20"/>
    <w:rsid w:val="00C73F85"/>
    <w:rsid w:val="00C73F8C"/>
    <w:rsid w:val="00C74058"/>
    <w:rsid w:val="00C7410F"/>
    <w:rsid w:val="00C74229"/>
    <w:rsid w:val="00C742CD"/>
    <w:rsid w:val="00C744B1"/>
    <w:rsid w:val="00C744B4"/>
    <w:rsid w:val="00C74529"/>
    <w:rsid w:val="00C74640"/>
    <w:rsid w:val="00C746F1"/>
    <w:rsid w:val="00C74772"/>
    <w:rsid w:val="00C748CA"/>
    <w:rsid w:val="00C748CD"/>
    <w:rsid w:val="00C7497E"/>
    <w:rsid w:val="00C74A10"/>
    <w:rsid w:val="00C74B67"/>
    <w:rsid w:val="00C74BCC"/>
    <w:rsid w:val="00C74BEC"/>
    <w:rsid w:val="00C74CE0"/>
    <w:rsid w:val="00C74D1E"/>
    <w:rsid w:val="00C74DAA"/>
    <w:rsid w:val="00C751DE"/>
    <w:rsid w:val="00C753A6"/>
    <w:rsid w:val="00C753BD"/>
    <w:rsid w:val="00C753E1"/>
    <w:rsid w:val="00C75447"/>
    <w:rsid w:val="00C75479"/>
    <w:rsid w:val="00C7551C"/>
    <w:rsid w:val="00C75629"/>
    <w:rsid w:val="00C756E5"/>
    <w:rsid w:val="00C7575C"/>
    <w:rsid w:val="00C757DC"/>
    <w:rsid w:val="00C757EA"/>
    <w:rsid w:val="00C758AA"/>
    <w:rsid w:val="00C75973"/>
    <w:rsid w:val="00C75AEE"/>
    <w:rsid w:val="00C75BAE"/>
    <w:rsid w:val="00C75C42"/>
    <w:rsid w:val="00C75E4D"/>
    <w:rsid w:val="00C75E8C"/>
    <w:rsid w:val="00C75F97"/>
    <w:rsid w:val="00C76123"/>
    <w:rsid w:val="00C76246"/>
    <w:rsid w:val="00C762D9"/>
    <w:rsid w:val="00C762E0"/>
    <w:rsid w:val="00C764BA"/>
    <w:rsid w:val="00C764CD"/>
    <w:rsid w:val="00C764F4"/>
    <w:rsid w:val="00C76537"/>
    <w:rsid w:val="00C76541"/>
    <w:rsid w:val="00C765DA"/>
    <w:rsid w:val="00C765E5"/>
    <w:rsid w:val="00C76623"/>
    <w:rsid w:val="00C7668C"/>
    <w:rsid w:val="00C767B4"/>
    <w:rsid w:val="00C76839"/>
    <w:rsid w:val="00C7695A"/>
    <w:rsid w:val="00C76A4D"/>
    <w:rsid w:val="00C76AD4"/>
    <w:rsid w:val="00C76B1E"/>
    <w:rsid w:val="00C76B45"/>
    <w:rsid w:val="00C76B5E"/>
    <w:rsid w:val="00C76CBA"/>
    <w:rsid w:val="00C76CE5"/>
    <w:rsid w:val="00C76EDC"/>
    <w:rsid w:val="00C77067"/>
    <w:rsid w:val="00C77079"/>
    <w:rsid w:val="00C770A8"/>
    <w:rsid w:val="00C770C9"/>
    <w:rsid w:val="00C771D2"/>
    <w:rsid w:val="00C7737C"/>
    <w:rsid w:val="00C7738C"/>
    <w:rsid w:val="00C773F6"/>
    <w:rsid w:val="00C7757A"/>
    <w:rsid w:val="00C77667"/>
    <w:rsid w:val="00C77764"/>
    <w:rsid w:val="00C77A39"/>
    <w:rsid w:val="00C77A6F"/>
    <w:rsid w:val="00C77BB1"/>
    <w:rsid w:val="00C77BB6"/>
    <w:rsid w:val="00C77D1A"/>
    <w:rsid w:val="00C77D1B"/>
    <w:rsid w:val="00C77D1C"/>
    <w:rsid w:val="00C77D2B"/>
    <w:rsid w:val="00C77D45"/>
    <w:rsid w:val="00C800C0"/>
    <w:rsid w:val="00C80401"/>
    <w:rsid w:val="00C80512"/>
    <w:rsid w:val="00C8054D"/>
    <w:rsid w:val="00C8057C"/>
    <w:rsid w:val="00C8069F"/>
    <w:rsid w:val="00C806ED"/>
    <w:rsid w:val="00C80710"/>
    <w:rsid w:val="00C8086C"/>
    <w:rsid w:val="00C80A40"/>
    <w:rsid w:val="00C80A41"/>
    <w:rsid w:val="00C80CF6"/>
    <w:rsid w:val="00C80E2B"/>
    <w:rsid w:val="00C80EAD"/>
    <w:rsid w:val="00C80ECF"/>
    <w:rsid w:val="00C80EED"/>
    <w:rsid w:val="00C80EF8"/>
    <w:rsid w:val="00C80F4D"/>
    <w:rsid w:val="00C81010"/>
    <w:rsid w:val="00C8105A"/>
    <w:rsid w:val="00C810AF"/>
    <w:rsid w:val="00C810E1"/>
    <w:rsid w:val="00C81252"/>
    <w:rsid w:val="00C81254"/>
    <w:rsid w:val="00C8128A"/>
    <w:rsid w:val="00C8134F"/>
    <w:rsid w:val="00C815AF"/>
    <w:rsid w:val="00C816D9"/>
    <w:rsid w:val="00C81703"/>
    <w:rsid w:val="00C81719"/>
    <w:rsid w:val="00C817D7"/>
    <w:rsid w:val="00C8189F"/>
    <w:rsid w:val="00C818E6"/>
    <w:rsid w:val="00C8198F"/>
    <w:rsid w:val="00C81B35"/>
    <w:rsid w:val="00C81C4B"/>
    <w:rsid w:val="00C81CE7"/>
    <w:rsid w:val="00C81E2F"/>
    <w:rsid w:val="00C81F28"/>
    <w:rsid w:val="00C82049"/>
    <w:rsid w:val="00C820A1"/>
    <w:rsid w:val="00C823C9"/>
    <w:rsid w:val="00C82597"/>
    <w:rsid w:val="00C82623"/>
    <w:rsid w:val="00C826AA"/>
    <w:rsid w:val="00C826B0"/>
    <w:rsid w:val="00C826DA"/>
    <w:rsid w:val="00C82916"/>
    <w:rsid w:val="00C82944"/>
    <w:rsid w:val="00C82B2F"/>
    <w:rsid w:val="00C82B94"/>
    <w:rsid w:val="00C82C74"/>
    <w:rsid w:val="00C82C87"/>
    <w:rsid w:val="00C82CA0"/>
    <w:rsid w:val="00C82DA7"/>
    <w:rsid w:val="00C82E3C"/>
    <w:rsid w:val="00C82F81"/>
    <w:rsid w:val="00C8301C"/>
    <w:rsid w:val="00C83029"/>
    <w:rsid w:val="00C83080"/>
    <w:rsid w:val="00C83132"/>
    <w:rsid w:val="00C831D2"/>
    <w:rsid w:val="00C8325A"/>
    <w:rsid w:val="00C8336E"/>
    <w:rsid w:val="00C833F9"/>
    <w:rsid w:val="00C83532"/>
    <w:rsid w:val="00C835A0"/>
    <w:rsid w:val="00C83625"/>
    <w:rsid w:val="00C8373F"/>
    <w:rsid w:val="00C8379E"/>
    <w:rsid w:val="00C83857"/>
    <w:rsid w:val="00C83A0B"/>
    <w:rsid w:val="00C83B86"/>
    <w:rsid w:val="00C83C74"/>
    <w:rsid w:val="00C83CA8"/>
    <w:rsid w:val="00C83DD3"/>
    <w:rsid w:val="00C83ECE"/>
    <w:rsid w:val="00C83FA3"/>
    <w:rsid w:val="00C83FD2"/>
    <w:rsid w:val="00C840B3"/>
    <w:rsid w:val="00C84285"/>
    <w:rsid w:val="00C842B0"/>
    <w:rsid w:val="00C843A6"/>
    <w:rsid w:val="00C844FB"/>
    <w:rsid w:val="00C84521"/>
    <w:rsid w:val="00C84530"/>
    <w:rsid w:val="00C84532"/>
    <w:rsid w:val="00C84569"/>
    <w:rsid w:val="00C84739"/>
    <w:rsid w:val="00C84772"/>
    <w:rsid w:val="00C847BD"/>
    <w:rsid w:val="00C84829"/>
    <w:rsid w:val="00C8494F"/>
    <w:rsid w:val="00C849DE"/>
    <w:rsid w:val="00C84BD4"/>
    <w:rsid w:val="00C84C6E"/>
    <w:rsid w:val="00C84C78"/>
    <w:rsid w:val="00C84D31"/>
    <w:rsid w:val="00C84E42"/>
    <w:rsid w:val="00C85125"/>
    <w:rsid w:val="00C851F4"/>
    <w:rsid w:val="00C852EB"/>
    <w:rsid w:val="00C8531D"/>
    <w:rsid w:val="00C85473"/>
    <w:rsid w:val="00C855D2"/>
    <w:rsid w:val="00C85694"/>
    <w:rsid w:val="00C856C0"/>
    <w:rsid w:val="00C856C3"/>
    <w:rsid w:val="00C856EF"/>
    <w:rsid w:val="00C85879"/>
    <w:rsid w:val="00C85885"/>
    <w:rsid w:val="00C85894"/>
    <w:rsid w:val="00C85994"/>
    <w:rsid w:val="00C859CC"/>
    <w:rsid w:val="00C859F6"/>
    <w:rsid w:val="00C85BA9"/>
    <w:rsid w:val="00C85CCC"/>
    <w:rsid w:val="00C85CD4"/>
    <w:rsid w:val="00C85CE0"/>
    <w:rsid w:val="00C85E46"/>
    <w:rsid w:val="00C85E81"/>
    <w:rsid w:val="00C85E88"/>
    <w:rsid w:val="00C85EA9"/>
    <w:rsid w:val="00C85F10"/>
    <w:rsid w:val="00C85F3A"/>
    <w:rsid w:val="00C85FD6"/>
    <w:rsid w:val="00C86095"/>
    <w:rsid w:val="00C86269"/>
    <w:rsid w:val="00C8626A"/>
    <w:rsid w:val="00C8632B"/>
    <w:rsid w:val="00C8639E"/>
    <w:rsid w:val="00C8646C"/>
    <w:rsid w:val="00C864C6"/>
    <w:rsid w:val="00C86559"/>
    <w:rsid w:val="00C866F8"/>
    <w:rsid w:val="00C86718"/>
    <w:rsid w:val="00C86832"/>
    <w:rsid w:val="00C86894"/>
    <w:rsid w:val="00C8696F"/>
    <w:rsid w:val="00C869AE"/>
    <w:rsid w:val="00C869FE"/>
    <w:rsid w:val="00C86A0D"/>
    <w:rsid w:val="00C86AB6"/>
    <w:rsid w:val="00C86AC8"/>
    <w:rsid w:val="00C86B3C"/>
    <w:rsid w:val="00C86C68"/>
    <w:rsid w:val="00C86D57"/>
    <w:rsid w:val="00C86ED5"/>
    <w:rsid w:val="00C86F84"/>
    <w:rsid w:val="00C86F87"/>
    <w:rsid w:val="00C8702E"/>
    <w:rsid w:val="00C87096"/>
    <w:rsid w:val="00C870E0"/>
    <w:rsid w:val="00C87237"/>
    <w:rsid w:val="00C87267"/>
    <w:rsid w:val="00C873EA"/>
    <w:rsid w:val="00C874EC"/>
    <w:rsid w:val="00C87535"/>
    <w:rsid w:val="00C87543"/>
    <w:rsid w:val="00C87545"/>
    <w:rsid w:val="00C875BC"/>
    <w:rsid w:val="00C87788"/>
    <w:rsid w:val="00C878A2"/>
    <w:rsid w:val="00C878D1"/>
    <w:rsid w:val="00C879CF"/>
    <w:rsid w:val="00C87A4E"/>
    <w:rsid w:val="00C87B97"/>
    <w:rsid w:val="00C87BA3"/>
    <w:rsid w:val="00C87BC5"/>
    <w:rsid w:val="00C87BE3"/>
    <w:rsid w:val="00C87CAF"/>
    <w:rsid w:val="00C87D17"/>
    <w:rsid w:val="00C87DA1"/>
    <w:rsid w:val="00C87E68"/>
    <w:rsid w:val="00C90025"/>
    <w:rsid w:val="00C900FC"/>
    <w:rsid w:val="00C9022B"/>
    <w:rsid w:val="00C902D0"/>
    <w:rsid w:val="00C9037B"/>
    <w:rsid w:val="00C90382"/>
    <w:rsid w:val="00C9038E"/>
    <w:rsid w:val="00C904E6"/>
    <w:rsid w:val="00C9062E"/>
    <w:rsid w:val="00C906CC"/>
    <w:rsid w:val="00C906F8"/>
    <w:rsid w:val="00C90769"/>
    <w:rsid w:val="00C90866"/>
    <w:rsid w:val="00C9096D"/>
    <w:rsid w:val="00C909C8"/>
    <w:rsid w:val="00C90B77"/>
    <w:rsid w:val="00C90F38"/>
    <w:rsid w:val="00C90F52"/>
    <w:rsid w:val="00C9110E"/>
    <w:rsid w:val="00C9118E"/>
    <w:rsid w:val="00C911D4"/>
    <w:rsid w:val="00C911EF"/>
    <w:rsid w:val="00C91259"/>
    <w:rsid w:val="00C91299"/>
    <w:rsid w:val="00C912B0"/>
    <w:rsid w:val="00C91306"/>
    <w:rsid w:val="00C914E2"/>
    <w:rsid w:val="00C91503"/>
    <w:rsid w:val="00C9154D"/>
    <w:rsid w:val="00C9161A"/>
    <w:rsid w:val="00C916DF"/>
    <w:rsid w:val="00C91792"/>
    <w:rsid w:val="00C917B0"/>
    <w:rsid w:val="00C91856"/>
    <w:rsid w:val="00C91AB3"/>
    <w:rsid w:val="00C91D9B"/>
    <w:rsid w:val="00C91F04"/>
    <w:rsid w:val="00C91F65"/>
    <w:rsid w:val="00C9225D"/>
    <w:rsid w:val="00C92344"/>
    <w:rsid w:val="00C923A6"/>
    <w:rsid w:val="00C924FE"/>
    <w:rsid w:val="00C92568"/>
    <w:rsid w:val="00C92635"/>
    <w:rsid w:val="00C92785"/>
    <w:rsid w:val="00C9285F"/>
    <w:rsid w:val="00C92889"/>
    <w:rsid w:val="00C928BE"/>
    <w:rsid w:val="00C92959"/>
    <w:rsid w:val="00C92BF9"/>
    <w:rsid w:val="00C92C94"/>
    <w:rsid w:val="00C92E4E"/>
    <w:rsid w:val="00C92F2B"/>
    <w:rsid w:val="00C92F7F"/>
    <w:rsid w:val="00C92FAC"/>
    <w:rsid w:val="00C9310D"/>
    <w:rsid w:val="00C93265"/>
    <w:rsid w:val="00C93284"/>
    <w:rsid w:val="00C9328F"/>
    <w:rsid w:val="00C9332B"/>
    <w:rsid w:val="00C93369"/>
    <w:rsid w:val="00C9355D"/>
    <w:rsid w:val="00C935F0"/>
    <w:rsid w:val="00C93655"/>
    <w:rsid w:val="00C93773"/>
    <w:rsid w:val="00C93776"/>
    <w:rsid w:val="00C9389F"/>
    <w:rsid w:val="00C939AC"/>
    <w:rsid w:val="00C93A23"/>
    <w:rsid w:val="00C93AD8"/>
    <w:rsid w:val="00C93B13"/>
    <w:rsid w:val="00C93C61"/>
    <w:rsid w:val="00C93D5F"/>
    <w:rsid w:val="00C93D6D"/>
    <w:rsid w:val="00C93DAD"/>
    <w:rsid w:val="00C93DD3"/>
    <w:rsid w:val="00C93EAF"/>
    <w:rsid w:val="00C93EE8"/>
    <w:rsid w:val="00C93F7E"/>
    <w:rsid w:val="00C94022"/>
    <w:rsid w:val="00C940CE"/>
    <w:rsid w:val="00C9410B"/>
    <w:rsid w:val="00C94342"/>
    <w:rsid w:val="00C94345"/>
    <w:rsid w:val="00C9434A"/>
    <w:rsid w:val="00C94369"/>
    <w:rsid w:val="00C94512"/>
    <w:rsid w:val="00C9457F"/>
    <w:rsid w:val="00C945AE"/>
    <w:rsid w:val="00C94673"/>
    <w:rsid w:val="00C9477B"/>
    <w:rsid w:val="00C947B6"/>
    <w:rsid w:val="00C94812"/>
    <w:rsid w:val="00C948A5"/>
    <w:rsid w:val="00C94976"/>
    <w:rsid w:val="00C94B8F"/>
    <w:rsid w:val="00C94BC0"/>
    <w:rsid w:val="00C94D80"/>
    <w:rsid w:val="00C94E09"/>
    <w:rsid w:val="00C94F89"/>
    <w:rsid w:val="00C94FA5"/>
    <w:rsid w:val="00C95026"/>
    <w:rsid w:val="00C95163"/>
    <w:rsid w:val="00C95324"/>
    <w:rsid w:val="00C953C9"/>
    <w:rsid w:val="00C954A9"/>
    <w:rsid w:val="00C955B7"/>
    <w:rsid w:val="00C95701"/>
    <w:rsid w:val="00C9578D"/>
    <w:rsid w:val="00C957C6"/>
    <w:rsid w:val="00C957E0"/>
    <w:rsid w:val="00C95844"/>
    <w:rsid w:val="00C95860"/>
    <w:rsid w:val="00C95880"/>
    <w:rsid w:val="00C958CA"/>
    <w:rsid w:val="00C95AE4"/>
    <w:rsid w:val="00C95AF0"/>
    <w:rsid w:val="00C95B6F"/>
    <w:rsid w:val="00C95C68"/>
    <w:rsid w:val="00C95C7E"/>
    <w:rsid w:val="00C95CF9"/>
    <w:rsid w:val="00C95D9D"/>
    <w:rsid w:val="00C95E3B"/>
    <w:rsid w:val="00C95EE9"/>
    <w:rsid w:val="00C95F4A"/>
    <w:rsid w:val="00C95F55"/>
    <w:rsid w:val="00C95FD7"/>
    <w:rsid w:val="00C95FFE"/>
    <w:rsid w:val="00C9603B"/>
    <w:rsid w:val="00C9615B"/>
    <w:rsid w:val="00C961B8"/>
    <w:rsid w:val="00C9621A"/>
    <w:rsid w:val="00C96220"/>
    <w:rsid w:val="00C963A3"/>
    <w:rsid w:val="00C96474"/>
    <w:rsid w:val="00C96541"/>
    <w:rsid w:val="00C96551"/>
    <w:rsid w:val="00C96560"/>
    <w:rsid w:val="00C9658C"/>
    <w:rsid w:val="00C965C2"/>
    <w:rsid w:val="00C966C0"/>
    <w:rsid w:val="00C9681B"/>
    <w:rsid w:val="00C96844"/>
    <w:rsid w:val="00C9694C"/>
    <w:rsid w:val="00C96983"/>
    <w:rsid w:val="00C96A48"/>
    <w:rsid w:val="00C96A54"/>
    <w:rsid w:val="00C96AC2"/>
    <w:rsid w:val="00C96B0F"/>
    <w:rsid w:val="00C96C43"/>
    <w:rsid w:val="00C96CDA"/>
    <w:rsid w:val="00C96CFF"/>
    <w:rsid w:val="00C96D48"/>
    <w:rsid w:val="00C96DE0"/>
    <w:rsid w:val="00C96E67"/>
    <w:rsid w:val="00C96E8C"/>
    <w:rsid w:val="00C96EFF"/>
    <w:rsid w:val="00C96FA7"/>
    <w:rsid w:val="00C970BA"/>
    <w:rsid w:val="00C970EC"/>
    <w:rsid w:val="00C97139"/>
    <w:rsid w:val="00C971FD"/>
    <w:rsid w:val="00C971FF"/>
    <w:rsid w:val="00C9723E"/>
    <w:rsid w:val="00C97292"/>
    <w:rsid w:val="00C97383"/>
    <w:rsid w:val="00C975C7"/>
    <w:rsid w:val="00C97797"/>
    <w:rsid w:val="00C977FB"/>
    <w:rsid w:val="00C978D9"/>
    <w:rsid w:val="00C97950"/>
    <w:rsid w:val="00C97A47"/>
    <w:rsid w:val="00C97A69"/>
    <w:rsid w:val="00C97B25"/>
    <w:rsid w:val="00C97BA2"/>
    <w:rsid w:val="00C97CDA"/>
    <w:rsid w:val="00C97F09"/>
    <w:rsid w:val="00C97F97"/>
    <w:rsid w:val="00C97FF5"/>
    <w:rsid w:val="00CA0095"/>
    <w:rsid w:val="00CA0264"/>
    <w:rsid w:val="00CA02F5"/>
    <w:rsid w:val="00CA0323"/>
    <w:rsid w:val="00CA04D5"/>
    <w:rsid w:val="00CA0561"/>
    <w:rsid w:val="00CA0608"/>
    <w:rsid w:val="00CA0613"/>
    <w:rsid w:val="00CA062D"/>
    <w:rsid w:val="00CA067B"/>
    <w:rsid w:val="00CA06A6"/>
    <w:rsid w:val="00CA07EF"/>
    <w:rsid w:val="00CA07F3"/>
    <w:rsid w:val="00CA0831"/>
    <w:rsid w:val="00CA087F"/>
    <w:rsid w:val="00CA0890"/>
    <w:rsid w:val="00CA08DC"/>
    <w:rsid w:val="00CA09E4"/>
    <w:rsid w:val="00CA0A05"/>
    <w:rsid w:val="00CA0B04"/>
    <w:rsid w:val="00CA0CB5"/>
    <w:rsid w:val="00CA0D55"/>
    <w:rsid w:val="00CA0DEC"/>
    <w:rsid w:val="00CA0E58"/>
    <w:rsid w:val="00CA0E7F"/>
    <w:rsid w:val="00CA0EC2"/>
    <w:rsid w:val="00CA0F26"/>
    <w:rsid w:val="00CA0F68"/>
    <w:rsid w:val="00CA0FE6"/>
    <w:rsid w:val="00CA1371"/>
    <w:rsid w:val="00CA13CA"/>
    <w:rsid w:val="00CA13CF"/>
    <w:rsid w:val="00CA13F0"/>
    <w:rsid w:val="00CA1572"/>
    <w:rsid w:val="00CA158D"/>
    <w:rsid w:val="00CA15D5"/>
    <w:rsid w:val="00CA1652"/>
    <w:rsid w:val="00CA17D1"/>
    <w:rsid w:val="00CA185B"/>
    <w:rsid w:val="00CA18DB"/>
    <w:rsid w:val="00CA1978"/>
    <w:rsid w:val="00CA1AF6"/>
    <w:rsid w:val="00CA1B75"/>
    <w:rsid w:val="00CA1B7B"/>
    <w:rsid w:val="00CA1B8C"/>
    <w:rsid w:val="00CA1BE3"/>
    <w:rsid w:val="00CA1CEF"/>
    <w:rsid w:val="00CA1DA2"/>
    <w:rsid w:val="00CA1E74"/>
    <w:rsid w:val="00CA1F7B"/>
    <w:rsid w:val="00CA20D5"/>
    <w:rsid w:val="00CA20EA"/>
    <w:rsid w:val="00CA21F1"/>
    <w:rsid w:val="00CA2373"/>
    <w:rsid w:val="00CA23B9"/>
    <w:rsid w:val="00CA249A"/>
    <w:rsid w:val="00CA25D5"/>
    <w:rsid w:val="00CA260A"/>
    <w:rsid w:val="00CA28B3"/>
    <w:rsid w:val="00CA28BB"/>
    <w:rsid w:val="00CA29DB"/>
    <w:rsid w:val="00CA2ACC"/>
    <w:rsid w:val="00CA2CCA"/>
    <w:rsid w:val="00CA2CEA"/>
    <w:rsid w:val="00CA2E3A"/>
    <w:rsid w:val="00CA2E41"/>
    <w:rsid w:val="00CA2E5B"/>
    <w:rsid w:val="00CA2FA2"/>
    <w:rsid w:val="00CA2FF3"/>
    <w:rsid w:val="00CA3093"/>
    <w:rsid w:val="00CA30AC"/>
    <w:rsid w:val="00CA3113"/>
    <w:rsid w:val="00CA311D"/>
    <w:rsid w:val="00CA3198"/>
    <w:rsid w:val="00CA31DA"/>
    <w:rsid w:val="00CA31FD"/>
    <w:rsid w:val="00CA325E"/>
    <w:rsid w:val="00CA32C2"/>
    <w:rsid w:val="00CA36B3"/>
    <w:rsid w:val="00CA3724"/>
    <w:rsid w:val="00CA377C"/>
    <w:rsid w:val="00CA38CA"/>
    <w:rsid w:val="00CA3A08"/>
    <w:rsid w:val="00CA3A24"/>
    <w:rsid w:val="00CA3ADD"/>
    <w:rsid w:val="00CA3B37"/>
    <w:rsid w:val="00CA3B78"/>
    <w:rsid w:val="00CA3BBC"/>
    <w:rsid w:val="00CA3DF5"/>
    <w:rsid w:val="00CA3E38"/>
    <w:rsid w:val="00CA3ECF"/>
    <w:rsid w:val="00CA3F07"/>
    <w:rsid w:val="00CA40BD"/>
    <w:rsid w:val="00CA40D5"/>
    <w:rsid w:val="00CA4187"/>
    <w:rsid w:val="00CA4381"/>
    <w:rsid w:val="00CA4434"/>
    <w:rsid w:val="00CA46A3"/>
    <w:rsid w:val="00CA46F7"/>
    <w:rsid w:val="00CA46FC"/>
    <w:rsid w:val="00CA4791"/>
    <w:rsid w:val="00CA47C3"/>
    <w:rsid w:val="00CA4801"/>
    <w:rsid w:val="00CA480B"/>
    <w:rsid w:val="00CA4834"/>
    <w:rsid w:val="00CA4958"/>
    <w:rsid w:val="00CA4A3D"/>
    <w:rsid w:val="00CA4BDF"/>
    <w:rsid w:val="00CA4C5F"/>
    <w:rsid w:val="00CA4D12"/>
    <w:rsid w:val="00CA4DB1"/>
    <w:rsid w:val="00CA4E8F"/>
    <w:rsid w:val="00CA4ED9"/>
    <w:rsid w:val="00CA4F34"/>
    <w:rsid w:val="00CA5196"/>
    <w:rsid w:val="00CA5380"/>
    <w:rsid w:val="00CA53A3"/>
    <w:rsid w:val="00CA5419"/>
    <w:rsid w:val="00CA5525"/>
    <w:rsid w:val="00CA56B3"/>
    <w:rsid w:val="00CA56B6"/>
    <w:rsid w:val="00CA56F7"/>
    <w:rsid w:val="00CA578A"/>
    <w:rsid w:val="00CA580A"/>
    <w:rsid w:val="00CA58D8"/>
    <w:rsid w:val="00CA5900"/>
    <w:rsid w:val="00CA59B2"/>
    <w:rsid w:val="00CA5A22"/>
    <w:rsid w:val="00CA5A38"/>
    <w:rsid w:val="00CA5AE2"/>
    <w:rsid w:val="00CA5BBD"/>
    <w:rsid w:val="00CA5C89"/>
    <w:rsid w:val="00CA5CBB"/>
    <w:rsid w:val="00CA5CC6"/>
    <w:rsid w:val="00CA5D25"/>
    <w:rsid w:val="00CA5D96"/>
    <w:rsid w:val="00CA5FB1"/>
    <w:rsid w:val="00CA60D3"/>
    <w:rsid w:val="00CA613C"/>
    <w:rsid w:val="00CA62AC"/>
    <w:rsid w:val="00CA62BB"/>
    <w:rsid w:val="00CA6337"/>
    <w:rsid w:val="00CA641F"/>
    <w:rsid w:val="00CA649E"/>
    <w:rsid w:val="00CA65CA"/>
    <w:rsid w:val="00CA65FC"/>
    <w:rsid w:val="00CA6638"/>
    <w:rsid w:val="00CA6663"/>
    <w:rsid w:val="00CA6693"/>
    <w:rsid w:val="00CA6A71"/>
    <w:rsid w:val="00CA6A78"/>
    <w:rsid w:val="00CA6B25"/>
    <w:rsid w:val="00CA6D73"/>
    <w:rsid w:val="00CA6DC7"/>
    <w:rsid w:val="00CA6DE0"/>
    <w:rsid w:val="00CA6DE4"/>
    <w:rsid w:val="00CA6DF5"/>
    <w:rsid w:val="00CA6E32"/>
    <w:rsid w:val="00CA6ED5"/>
    <w:rsid w:val="00CA6F2A"/>
    <w:rsid w:val="00CA6FF8"/>
    <w:rsid w:val="00CA7084"/>
    <w:rsid w:val="00CA71F5"/>
    <w:rsid w:val="00CA7275"/>
    <w:rsid w:val="00CA7285"/>
    <w:rsid w:val="00CA7343"/>
    <w:rsid w:val="00CA7376"/>
    <w:rsid w:val="00CA7425"/>
    <w:rsid w:val="00CA74F8"/>
    <w:rsid w:val="00CA7524"/>
    <w:rsid w:val="00CA7562"/>
    <w:rsid w:val="00CA75B7"/>
    <w:rsid w:val="00CA7627"/>
    <w:rsid w:val="00CA7702"/>
    <w:rsid w:val="00CA770D"/>
    <w:rsid w:val="00CA78A2"/>
    <w:rsid w:val="00CA78BC"/>
    <w:rsid w:val="00CA7942"/>
    <w:rsid w:val="00CA7978"/>
    <w:rsid w:val="00CA7AD0"/>
    <w:rsid w:val="00CA7E47"/>
    <w:rsid w:val="00CB000B"/>
    <w:rsid w:val="00CB007C"/>
    <w:rsid w:val="00CB00CA"/>
    <w:rsid w:val="00CB0146"/>
    <w:rsid w:val="00CB01FF"/>
    <w:rsid w:val="00CB0305"/>
    <w:rsid w:val="00CB035D"/>
    <w:rsid w:val="00CB0494"/>
    <w:rsid w:val="00CB0530"/>
    <w:rsid w:val="00CB06FD"/>
    <w:rsid w:val="00CB0749"/>
    <w:rsid w:val="00CB082E"/>
    <w:rsid w:val="00CB086C"/>
    <w:rsid w:val="00CB0A5A"/>
    <w:rsid w:val="00CB0A72"/>
    <w:rsid w:val="00CB0B39"/>
    <w:rsid w:val="00CB0BF3"/>
    <w:rsid w:val="00CB0C9F"/>
    <w:rsid w:val="00CB0CC3"/>
    <w:rsid w:val="00CB0E50"/>
    <w:rsid w:val="00CB0E6A"/>
    <w:rsid w:val="00CB0EC6"/>
    <w:rsid w:val="00CB0FC1"/>
    <w:rsid w:val="00CB1022"/>
    <w:rsid w:val="00CB1039"/>
    <w:rsid w:val="00CB10C6"/>
    <w:rsid w:val="00CB10D6"/>
    <w:rsid w:val="00CB1163"/>
    <w:rsid w:val="00CB117A"/>
    <w:rsid w:val="00CB1202"/>
    <w:rsid w:val="00CB1206"/>
    <w:rsid w:val="00CB1286"/>
    <w:rsid w:val="00CB133A"/>
    <w:rsid w:val="00CB13D7"/>
    <w:rsid w:val="00CB140F"/>
    <w:rsid w:val="00CB141B"/>
    <w:rsid w:val="00CB141E"/>
    <w:rsid w:val="00CB1502"/>
    <w:rsid w:val="00CB1584"/>
    <w:rsid w:val="00CB1619"/>
    <w:rsid w:val="00CB1651"/>
    <w:rsid w:val="00CB1699"/>
    <w:rsid w:val="00CB16AA"/>
    <w:rsid w:val="00CB171A"/>
    <w:rsid w:val="00CB191E"/>
    <w:rsid w:val="00CB19F0"/>
    <w:rsid w:val="00CB1A1D"/>
    <w:rsid w:val="00CB1B7F"/>
    <w:rsid w:val="00CB1C58"/>
    <w:rsid w:val="00CB1C84"/>
    <w:rsid w:val="00CB1DA4"/>
    <w:rsid w:val="00CB1DE6"/>
    <w:rsid w:val="00CB1E21"/>
    <w:rsid w:val="00CB1E90"/>
    <w:rsid w:val="00CB1E92"/>
    <w:rsid w:val="00CB1EB3"/>
    <w:rsid w:val="00CB1EB7"/>
    <w:rsid w:val="00CB1F1F"/>
    <w:rsid w:val="00CB1F3C"/>
    <w:rsid w:val="00CB1FE8"/>
    <w:rsid w:val="00CB20A6"/>
    <w:rsid w:val="00CB2103"/>
    <w:rsid w:val="00CB211F"/>
    <w:rsid w:val="00CB2124"/>
    <w:rsid w:val="00CB2247"/>
    <w:rsid w:val="00CB227B"/>
    <w:rsid w:val="00CB22A8"/>
    <w:rsid w:val="00CB2342"/>
    <w:rsid w:val="00CB23B1"/>
    <w:rsid w:val="00CB2405"/>
    <w:rsid w:val="00CB2437"/>
    <w:rsid w:val="00CB2518"/>
    <w:rsid w:val="00CB2547"/>
    <w:rsid w:val="00CB254F"/>
    <w:rsid w:val="00CB2574"/>
    <w:rsid w:val="00CB2634"/>
    <w:rsid w:val="00CB2725"/>
    <w:rsid w:val="00CB27C0"/>
    <w:rsid w:val="00CB288E"/>
    <w:rsid w:val="00CB29A7"/>
    <w:rsid w:val="00CB2A05"/>
    <w:rsid w:val="00CB2A89"/>
    <w:rsid w:val="00CB2A8B"/>
    <w:rsid w:val="00CB2B8C"/>
    <w:rsid w:val="00CB2C3E"/>
    <w:rsid w:val="00CB2CB0"/>
    <w:rsid w:val="00CB2D09"/>
    <w:rsid w:val="00CB2D13"/>
    <w:rsid w:val="00CB2D1B"/>
    <w:rsid w:val="00CB2EF6"/>
    <w:rsid w:val="00CB2F29"/>
    <w:rsid w:val="00CB2F9A"/>
    <w:rsid w:val="00CB2FB5"/>
    <w:rsid w:val="00CB3161"/>
    <w:rsid w:val="00CB3238"/>
    <w:rsid w:val="00CB329D"/>
    <w:rsid w:val="00CB3587"/>
    <w:rsid w:val="00CB3649"/>
    <w:rsid w:val="00CB3693"/>
    <w:rsid w:val="00CB36D3"/>
    <w:rsid w:val="00CB374A"/>
    <w:rsid w:val="00CB37B4"/>
    <w:rsid w:val="00CB38D9"/>
    <w:rsid w:val="00CB390E"/>
    <w:rsid w:val="00CB3A99"/>
    <w:rsid w:val="00CB3B17"/>
    <w:rsid w:val="00CB3B27"/>
    <w:rsid w:val="00CB3B81"/>
    <w:rsid w:val="00CB3EC0"/>
    <w:rsid w:val="00CB3ECD"/>
    <w:rsid w:val="00CB3F1A"/>
    <w:rsid w:val="00CB3F2A"/>
    <w:rsid w:val="00CB40E1"/>
    <w:rsid w:val="00CB41FE"/>
    <w:rsid w:val="00CB44EA"/>
    <w:rsid w:val="00CB4537"/>
    <w:rsid w:val="00CB458D"/>
    <w:rsid w:val="00CB45F8"/>
    <w:rsid w:val="00CB469A"/>
    <w:rsid w:val="00CB48A3"/>
    <w:rsid w:val="00CB48B1"/>
    <w:rsid w:val="00CB493E"/>
    <w:rsid w:val="00CB4AC8"/>
    <w:rsid w:val="00CB4B41"/>
    <w:rsid w:val="00CB4CBD"/>
    <w:rsid w:val="00CB4D5B"/>
    <w:rsid w:val="00CB4E2B"/>
    <w:rsid w:val="00CB4EA6"/>
    <w:rsid w:val="00CB4EA9"/>
    <w:rsid w:val="00CB50CB"/>
    <w:rsid w:val="00CB5106"/>
    <w:rsid w:val="00CB5359"/>
    <w:rsid w:val="00CB5448"/>
    <w:rsid w:val="00CB546F"/>
    <w:rsid w:val="00CB54A5"/>
    <w:rsid w:val="00CB55AD"/>
    <w:rsid w:val="00CB55D4"/>
    <w:rsid w:val="00CB55DD"/>
    <w:rsid w:val="00CB57B2"/>
    <w:rsid w:val="00CB58AD"/>
    <w:rsid w:val="00CB5933"/>
    <w:rsid w:val="00CB5ACA"/>
    <w:rsid w:val="00CB5B2C"/>
    <w:rsid w:val="00CB5D1E"/>
    <w:rsid w:val="00CB5D21"/>
    <w:rsid w:val="00CB5D4B"/>
    <w:rsid w:val="00CB6025"/>
    <w:rsid w:val="00CB6044"/>
    <w:rsid w:val="00CB6068"/>
    <w:rsid w:val="00CB60E0"/>
    <w:rsid w:val="00CB60F1"/>
    <w:rsid w:val="00CB6197"/>
    <w:rsid w:val="00CB62A3"/>
    <w:rsid w:val="00CB62FF"/>
    <w:rsid w:val="00CB6305"/>
    <w:rsid w:val="00CB648C"/>
    <w:rsid w:val="00CB654C"/>
    <w:rsid w:val="00CB65DF"/>
    <w:rsid w:val="00CB65F1"/>
    <w:rsid w:val="00CB668D"/>
    <w:rsid w:val="00CB66ED"/>
    <w:rsid w:val="00CB6768"/>
    <w:rsid w:val="00CB680B"/>
    <w:rsid w:val="00CB6842"/>
    <w:rsid w:val="00CB69B5"/>
    <w:rsid w:val="00CB6C15"/>
    <w:rsid w:val="00CB6CE0"/>
    <w:rsid w:val="00CB6DB3"/>
    <w:rsid w:val="00CB6E8A"/>
    <w:rsid w:val="00CB6F05"/>
    <w:rsid w:val="00CB6F07"/>
    <w:rsid w:val="00CB6F21"/>
    <w:rsid w:val="00CB6F2B"/>
    <w:rsid w:val="00CB6F5A"/>
    <w:rsid w:val="00CB70B2"/>
    <w:rsid w:val="00CB70BA"/>
    <w:rsid w:val="00CB70C1"/>
    <w:rsid w:val="00CB70CC"/>
    <w:rsid w:val="00CB712A"/>
    <w:rsid w:val="00CB7143"/>
    <w:rsid w:val="00CB717C"/>
    <w:rsid w:val="00CB7225"/>
    <w:rsid w:val="00CB73CC"/>
    <w:rsid w:val="00CB741F"/>
    <w:rsid w:val="00CB743C"/>
    <w:rsid w:val="00CB7476"/>
    <w:rsid w:val="00CB75E0"/>
    <w:rsid w:val="00CB7676"/>
    <w:rsid w:val="00CB770E"/>
    <w:rsid w:val="00CB77AA"/>
    <w:rsid w:val="00CB78C3"/>
    <w:rsid w:val="00CB7903"/>
    <w:rsid w:val="00CB7932"/>
    <w:rsid w:val="00CB79A0"/>
    <w:rsid w:val="00CB7A2D"/>
    <w:rsid w:val="00CB7AD8"/>
    <w:rsid w:val="00CB7C71"/>
    <w:rsid w:val="00CB7E91"/>
    <w:rsid w:val="00CB7FCC"/>
    <w:rsid w:val="00CC0115"/>
    <w:rsid w:val="00CC01A5"/>
    <w:rsid w:val="00CC0219"/>
    <w:rsid w:val="00CC0447"/>
    <w:rsid w:val="00CC0512"/>
    <w:rsid w:val="00CC0570"/>
    <w:rsid w:val="00CC0764"/>
    <w:rsid w:val="00CC07AA"/>
    <w:rsid w:val="00CC0988"/>
    <w:rsid w:val="00CC0C0A"/>
    <w:rsid w:val="00CC0D68"/>
    <w:rsid w:val="00CC0D6D"/>
    <w:rsid w:val="00CC0EA4"/>
    <w:rsid w:val="00CC0EFC"/>
    <w:rsid w:val="00CC0F4B"/>
    <w:rsid w:val="00CC1014"/>
    <w:rsid w:val="00CC101A"/>
    <w:rsid w:val="00CC1061"/>
    <w:rsid w:val="00CC12EE"/>
    <w:rsid w:val="00CC1405"/>
    <w:rsid w:val="00CC14F7"/>
    <w:rsid w:val="00CC151F"/>
    <w:rsid w:val="00CC15F7"/>
    <w:rsid w:val="00CC166A"/>
    <w:rsid w:val="00CC1681"/>
    <w:rsid w:val="00CC16FB"/>
    <w:rsid w:val="00CC1898"/>
    <w:rsid w:val="00CC1A32"/>
    <w:rsid w:val="00CC1A52"/>
    <w:rsid w:val="00CC1A8F"/>
    <w:rsid w:val="00CC1AC1"/>
    <w:rsid w:val="00CC1B11"/>
    <w:rsid w:val="00CC1B1D"/>
    <w:rsid w:val="00CC1B3A"/>
    <w:rsid w:val="00CC1B9D"/>
    <w:rsid w:val="00CC1C42"/>
    <w:rsid w:val="00CC1DB3"/>
    <w:rsid w:val="00CC1E2D"/>
    <w:rsid w:val="00CC1F2D"/>
    <w:rsid w:val="00CC1F71"/>
    <w:rsid w:val="00CC1F8F"/>
    <w:rsid w:val="00CC21A9"/>
    <w:rsid w:val="00CC21FA"/>
    <w:rsid w:val="00CC2251"/>
    <w:rsid w:val="00CC2352"/>
    <w:rsid w:val="00CC2398"/>
    <w:rsid w:val="00CC25CC"/>
    <w:rsid w:val="00CC25EE"/>
    <w:rsid w:val="00CC260D"/>
    <w:rsid w:val="00CC261B"/>
    <w:rsid w:val="00CC26C5"/>
    <w:rsid w:val="00CC2940"/>
    <w:rsid w:val="00CC298C"/>
    <w:rsid w:val="00CC2997"/>
    <w:rsid w:val="00CC2A26"/>
    <w:rsid w:val="00CC2A4B"/>
    <w:rsid w:val="00CC2AC8"/>
    <w:rsid w:val="00CC2ACB"/>
    <w:rsid w:val="00CC2C4E"/>
    <w:rsid w:val="00CC2D01"/>
    <w:rsid w:val="00CC2D49"/>
    <w:rsid w:val="00CC2E6E"/>
    <w:rsid w:val="00CC2EEB"/>
    <w:rsid w:val="00CC2F04"/>
    <w:rsid w:val="00CC2F37"/>
    <w:rsid w:val="00CC2F5E"/>
    <w:rsid w:val="00CC3092"/>
    <w:rsid w:val="00CC32F5"/>
    <w:rsid w:val="00CC347A"/>
    <w:rsid w:val="00CC34EA"/>
    <w:rsid w:val="00CC3609"/>
    <w:rsid w:val="00CC37EE"/>
    <w:rsid w:val="00CC386E"/>
    <w:rsid w:val="00CC398D"/>
    <w:rsid w:val="00CC3A82"/>
    <w:rsid w:val="00CC3A93"/>
    <w:rsid w:val="00CC3AA1"/>
    <w:rsid w:val="00CC3B56"/>
    <w:rsid w:val="00CC3BA3"/>
    <w:rsid w:val="00CC3BEB"/>
    <w:rsid w:val="00CC3C19"/>
    <w:rsid w:val="00CC3C60"/>
    <w:rsid w:val="00CC3D82"/>
    <w:rsid w:val="00CC3DBB"/>
    <w:rsid w:val="00CC3DC7"/>
    <w:rsid w:val="00CC3DFB"/>
    <w:rsid w:val="00CC3E01"/>
    <w:rsid w:val="00CC3E92"/>
    <w:rsid w:val="00CC419A"/>
    <w:rsid w:val="00CC41DC"/>
    <w:rsid w:val="00CC42E3"/>
    <w:rsid w:val="00CC42F5"/>
    <w:rsid w:val="00CC42F9"/>
    <w:rsid w:val="00CC4333"/>
    <w:rsid w:val="00CC43CC"/>
    <w:rsid w:val="00CC4439"/>
    <w:rsid w:val="00CC443A"/>
    <w:rsid w:val="00CC44EB"/>
    <w:rsid w:val="00CC47D8"/>
    <w:rsid w:val="00CC47EA"/>
    <w:rsid w:val="00CC4883"/>
    <w:rsid w:val="00CC4931"/>
    <w:rsid w:val="00CC4A0C"/>
    <w:rsid w:val="00CC4AEA"/>
    <w:rsid w:val="00CC4B54"/>
    <w:rsid w:val="00CC4B6B"/>
    <w:rsid w:val="00CC4BEF"/>
    <w:rsid w:val="00CC4CCE"/>
    <w:rsid w:val="00CC4E97"/>
    <w:rsid w:val="00CC4F82"/>
    <w:rsid w:val="00CC505D"/>
    <w:rsid w:val="00CC50B4"/>
    <w:rsid w:val="00CC50BF"/>
    <w:rsid w:val="00CC5172"/>
    <w:rsid w:val="00CC51E7"/>
    <w:rsid w:val="00CC5297"/>
    <w:rsid w:val="00CC52B6"/>
    <w:rsid w:val="00CC52BC"/>
    <w:rsid w:val="00CC52D7"/>
    <w:rsid w:val="00CC557A"/>
    <w:rsid w:val="00CC5631"/>
    <w:rsid w:val="00CC5706"/>
    <w:rsid w:val="00CC5715"/>
    <w:rsid w:val="00CC58C0"/>
    <w:rsid w:val="00CC5ABB"/>
    <w:rsid w:val="00CC5B7E"/>
    <w:rsid w:val="00CC5C2A"/>
    <w:rsid w:val="00CC5C30"/>
    <w:rsid w:val="00CC5CEB"/>
    <w:rsid w:val="00CC5DB7"/>
    <w:rsid w:val="00CC5E9A"/>
    <w:rsid w:val="00CC5EFD"/>
    <w:rsid w:val="00CC5FDA"/>
    <w:rsid w:val="00CC6021"/>
    <w:rsid w:val="00CC6028"/>
    <w:rsid w:val="00CC60CE"/>
    <w:rsid w:val="00CC6170"/>
    <w:rsid w:val="00CC6180"/>
    <w:rsid w:val="00CC61B6"/>
    <w:rsid w:val="00CC61F6"/>
    <w:rsid w:val="00CC62AC"/>
    <w:rsid w:val="00CC6305"/>
    <w:rsid w:val="00CC634F"/>
    <w:rsid w:val="00CC63C1"/>
    <w:rsid w:val="00CC6448"/>
    <w:rsid w:val="00CC6457"/>
    <w:rsid w:val="00CC6462"/>
    <w:rsid w:val="00CC64F7"/>
    <w:rsid w:val="00CC65F0"/>
    <w:rsid w:val="00CC65F4"/>
    <w:rsid w:val="00CC667C"/>
    <w:rsid w:val="00CC66BC"/>
    <w:rsid w:val="00CC6701"/>
    <w:rsid w:val="00CC674B"/>
    <w:rsid w:val="00CC67DE"/>
    <w:rsid w:val="00CC685A"/>
    <w:rsid w:val="00CC68E9"/>
    <w:rsid w:val="00CC6981"/>
    <w:rsid w:val="00CC6B22"/>
    <w:rsid w:val="00CC6B9F"/>
    <w:rsid w:val="00CC6BF8"/>
    <w:rsid w:val="00CC6C80"/>
    <w:rsid w:val="00CC6CC6"/>
    <w:rsid w:val="00CC6CFA"/>
    <w:rsid w:val="00CC6DCE"/>
    <w:rsid w:val="00CC6E6C"/>
    <w:rsid w:val="00CC6F2E"/>
    <w:rsid w:val="00CC70F4"/>
    <w:rsid w:val="00CC717D"/>
    <w:rsid w:val="00CC719E"/>
    <w:rsid w:val="00CC71D4"/>
    <w:rsid w:val="00CC72A4"/>
    <w:rsid w:val="00CC739C"/>
    <w:rsid w:val="00CC73B9"/>
    <w:rsid w:val="00CC7455"/>
    <w:rsid w:val="00CC745F"/>
    <w:rsid w:val="00CC7460"/>
    <w:rsid w:val="00CC76AD"/>
    <w:rsid w:val="00CC7723"/>
    <w:rsid w:val="00CC7726"/>
    <w:rsid w:val="00CC7851"/>
    <w:rsid w:val="00CC7862"/>
    <w:rsid w:val="00CC78C7"/>
    <w:rsid w:val="00CC78C8"/>
    <w:rsid w:val="00CC78CC"/>
    <w:rsid w:val="00CC7902"/>
    <w:rsid w:val="00CC7991"/>
    <w:rsid w:val="00CC7AC3"/>
    <w:rsid w:val="00CC7B97"/>
    <w:rsid w:val="00CC7C09"/>
    <w:rsid w:val="00CC7C3F"/>
    <w:rsid w:val="00CC7C58"/>
    <w:rsid w:val="00CC7CFD"/>
    <w:rsid w:val="00CC7D11"/>
    <w:rsid w:val="00CC7D58"/>
    <w:rsid w:val="00CC7E21"/>
    <w:rsid w:val="00CC7EFF"/>
    <w:rsid w:val="00CC7F76"/>
    <w:rsid w:val="00CC7FA2"/>
    <w:rsid w:val="00CD0004"/>
    <w:rsid w:val="00CD002D"/>
    <w:rsid w:val="00CD014A"/>
    <w:rsid w:val="00CD015F"/>
    <w:rsid w:val="00CD032F"/>
    <w:rsid w:val="00CD036F"/>
    <w:rsid w:val="00CD0478"/>
    <w:rsid w:val="00CD0554"/>
    <w:rsid w:val="00CD063E"/>
    <w:rsid w:val="00CD07A0"/>
    <w:rsid w:val="00CD0801"/>
    <w:rsid w:val="00CD0811"/>
    <w:rsid w:val="00CD0869"/>
    <w:rsid w:val="00CD08A7"/>
    <w:rsid w:val="00CD08EC"/>
    <w:rsid w:val="00CD09CC"/>
    <w:rsid w:val="00CD0AE1"/>
    <w:rsid w:val="00CD0CC0"/>
    <w:rsid w:val="00CD0CDC"/>
    <w:rsid w:val="00CD0E81"/>
    <w:rsid w:val="00CD0FA9"/>
    <w:rsid w:val="00CD10C9"/>
    <w:rsid w:val="00CD1103"/>
    <w:rsid w:val="00CD110F"/>
    <w:rsid w:val="00CD115E"/>
    <w:rsid w:val="00CD1273"/>
    <w:rsid w:val="00CD12BD"/>
    <w:rsid w:val="00CD133E"/>
    <w:rsid w:val="00CD1376"/>
    <w:rsid w:val="00CD13CA"/>
    <w:rsid w:val="00CD1435"/>
    <w:rsid w:val="00CD1445"/>
    <w:rsid w:val="00CD146D"/>
    <w:rsid w:val="00CD1534"/>
    <w:rsid w:val="00CD1A58"/>
    <w:rsid w:val="00CD1BFF"/>
    <w:rsid w:val="00CD1C2A"/>
    <w:rsid w:val="00CD1CF8"/>
    <w:rsid w:val="00CD1E4F"/>
    <w:rsid w:val="00CD1F8C"/>
    <w:rsid w:val="00CD20AE"/>
    <w:rsid w:val="00CD20DD"/>
    <w:rsid w:val="00CD2155"/>
    <w:rsid w:val="00CD219F"/>
    <w:rsid w:val="00CD21E9"/>
    <w:rsid w:val="00CD229F"/>
    <w:rsid w:val="00CD2383"/>
    <w:rsid w:val="00CD239B"/>
    <w:rsid w:val="00CD24D9"/>
    <w:rsid w:val="00CD2535"/>
    <w:rsid w:val="00CD257E"/>
    <w:rsid w:val="00CD25B7"/>
    <w:rsid w:val="00CD26CD"/>
    <w:rsid w:val="00CD26DB"/>
    <w:rsid w:val="00CD27AB"/>
    <w:rsid w:val="00CD280D"/>
    <w:rsid w:val="00CD2A9E"/>
    <w:rsid w:val="00CD2CF6"/>
    <w:rsid w:val="00CD2D3E"/>
    <w:rsid w:val="00CD2D43"/>
    <w:rsid w:val="00CD2DF1"/>
    <w:rsid w:val="00CD2E39"/>
    <w:rsid w:val="00CD30DA"/>
    <w:rsid w:val="00CD310A"/>
    <w:rsid w:val="00CD315C"/>
    <w:rsid w:val="00CD31B7"/>
    <w:rsid w:val="00CD3223"/>
    <w:rsid w:val="00CD32AB"/>
    <w:rsid w:val="00CD335A"/>
    <w:rsid w:val="00CD338B"/>
    <w:rsid w:val="00CD33C1"/>
    <w:rsid w:val="00CD33C2"/>
    <w:rsid w:val="00CD346D"/>
    <w:rsid w:val="00CD3517"/>
    <w:rsid w:val="00CD3728"/>
    <w:rsid w:val="00CD3747"/>
    <w:rsid w:val="00CD376E"/>
    <w:rsid w:val="00CD3770"/>
    <w:rsid w:val="00CD37E8"/>
    <w:rsid w:val="00CD37FD"/>
    <w:rsid w:val="00CD3878"/>
    <w:rsid w:val="00CD3A2E"/>
    <w:rsid w:val="00CD3AE6"/>
    <w:rsid w:val="00CD3D0D"/>
    <w:rsid w:val="00CD3DC6"/>
    <w:rsid w:val="00CD3E3C"/>
    <w:rsid w:val="00CD3E75"/>
    <w:rsid w:val="00CD3F14"/>
    <w:rsid w:val="00CD405F"/>
    <w:rsid w:val="00CD408D"/>
    <w:rsid w:val="00CD4117"/>
    <w:rsid w:val="00CD41EA"/>
    <w:rsid w:val="00CD4250"/>
    <w:rsid w:val="00CD42BB"/>
    <w:rsid w:val="00CD4317"/>
    <w:rsid w:val="00CD431F"/>
    <w:rsid w:val="00CD4435"/>
    <w:rsid w:val="00CD4466"/>
    <w:rsid w:val="00CD4481"/>
    <w:rsid w:val="00CD4548"/>
    <w:rsid w:val="00CD4572"/>
    <w:rsid w:val="00CD4659"/>
    <w:rsid w:val="00CD46D9"/>
    <w:rsid w:val="00CD47D0"/>
    <w:rsid w:val="00CD4862"/>
    <w:rsid w:val="00CD4863"/>
    <w:rsid w:val="00CD48CA"/>
    <w:rsid w:val="00CD48D9"/>
    <w:rsid w:val="00CD4955"/>
    <w:rsid w:val="00CD4A75"/>
    <w:rsid w:val="00CD4B52"/>
    <w:rsid w:val="00CD4B54"/>
    <w:rsid w:val="00CD4BEC"/>
    <w:rsid w:val="00CD4C1B"/>
    <w:rsid w:val="00CD4CFC"/>
    <w:rsid w:val="00CD4D0A"/>
    <w:rsid w:val="00CD4D8F"/>
    <w:rsid w:val="00CD4E69"/>
    <w:rsid w:val="00CD4EA9"/>
    <w:rsid w:val="00CD50C3"/>
    <w:rsid w:val="00CD527B"/>
    <w:rsid w:val="00CD52D7"/>
    <w:rsid w:val="00CD5585"/>
    <w:rsid w:val="00CD5800"/>
    <w:rsid w:val="00CD596F"/>
    <w:rsid w:val="00CD5ACA"/>
    <w:rsid w:val="00CD5B5D"/>
    <w:rsid w:val="00CD5B6A"/>
    <w:rsid w:val="00CD5BC7"/>
    <w:rsid w:val="00CD5CAF"/>
    <w:rsid w:val="00CD5DFE"/>
    <w:rsid w:val="00CD5EB2"/>
    <w:rsid w:val="00CD5EE8"/>
    <w:rsid w:val="00CD5FBF"/>
    <w:rsid w:val="00CD6022"/>
    <w:rsid w:val="00CD603C"/>
    <w:rsid w:val="00CD62D7"/>
    <w:rsid w:val="00CD6358"/>
    <w:rsid w:val="00CD6488"/>
    <w:rsid w:val="00CD6516"/>
    <w:rsid w:val="00CD6554"/>
    <w:rsid w:val="00CD6563"/>
    <w:rsid w:val="00CD6564"/>
    <w:rsid w:val="00CD657E"/>
    <w:rsid w:val="00CD660F"/>
    <w:rsid w:val="00CD662E"/>
    <w:rsid w:val="00CD6702"/>
    <w:rsid w:val="00CD6729"/>
    <w:rsid w:val="00CD6954"/>
    <w:rsid w:val="00CD6999"/>
    <w:rsid w:val="00CD69F3"/>
    <w:rsid w:val="00CD6B54"/>
    <w:rsid w:val="00CD6B69"/>
    <w:rsid w:val="00CD6BCC"/>
    <w:rsid w:val="00CD6BF6"/>
    <w:rsid w:val="00CD6D35"/>
    <w:rsid w:val="00CD6D7B"/>
    <w:rsid w:val="00CD6DE5"/>
    <w:rsid w:val="00CD6EE9"/>
    <w:rsid w:val="00CD6FC8"/>
    <w:rsid w:val="00CD7039"/>
    <w:rsid w:val="00CD7371"/>
    <w:rsid w:val="00CD737D"/>
    <w:rsid w:val="00CD73E2"/>
    <w:rsid w:val="00CD740C"/>
    <w:rsid w:val="00CD7497"/>
    <w:rsid w:val="00CD74A8"/>
    <w:rsid w:val="00CD754F"/>
    <w:rsid w:val="00CD7583"/>
    <w:rsid w:val="00CD7590"/>
    <w:rsid w:val="00CD76FA"/>
    <w:rsid w:val="00CD7713"/>
    <w:rsid w:val="00CD77FF"/>
    <w:rsid w:val="00CD78BB"/>
    <w:rsid w:val="00CD78CB"/>
    <w:rsid w:val="00CD78E2"/>
    <w:rsid w:val="00CD7A9E"/>
    <w:rsid w:val="00CD7C56"/>
    <w:rsid w:val="00CD7C77"/>
    <w:rsid w:val="00CD7E34"/>
    <w:rsid w:val="00CD7E6C"/>
    <w:rsid w:val="00CD7EC0"/>
    <w:rsid w:val="00CD7F69"/>
    <w:rsid w:val="00CD7F9A"/>
    <w:rsid w:val="00CE0094"/>
    <w:rsid w:val="00CE00A3"/>
    <w:rsid w:val="00CE01FF"/>
    <w:rsid w:val="00CE022B"/>
    <w:rsid w:val="00CE02C6"/>
    <w:rsid w:val="00CE0307"/>
    <w:rsid w:val="00CE0326"/>
    <w:rsid w:val="00CE032C"/>
    <w:rsid w:val="00CE039E"/>
    <w:rsid w:val="00CE0487"/>
    <w:rsid w:val="00CE04DC"/>
    <w:rsid w:val="00CE04E0"/>
    <w:rsid w:val="00CE05A2"/>
    <w:rsid w:val="00CE069F"/>
    <w:rsid w:val="00CE074E"/>
    <w:rsid w:val="00CE0801"/>
    <w:rsid w:val="00CE0884"/>
    <w:rsid w:val="00CE08C8"/>
    <w:rsid w:val="00CE0AEA"/>
    <w:rsid w:val="00CE0C0C"/>
    <w:rsid w:val="00CE0C85"/>
    <w:rsid w:val="00CE0D9A"/>
    <w:rsid w:val="00CE0E5E"/>
    <w:rsid w:val="00CE10F6"/>
    <w:rsid w:val="00CE1160"/>
    <w:rsid w:val="00CE1197"/>
    <w:rsid w:val="00CE1229"/>
    <w:rsid w:val="00CE1282"/>
    <w:rsid w:val="00CE1288"/>
    <w:rsid w:val="00CE1354"/>
    <w:rsid w:val="00CE137F"/>
    <w:rsid w:val="00CE14FB"/>
    <w:rsid w:val="00CE1609"/>
    <w:rsid w:val="00CE1776"/>
    <w:rsid w:val="00CE1892"/>
    <w:rsid w:val="00CE193D"/>
    <w:rsid w:val="00CE19AA"/>
    <w:rsid w:val="00CE19EE"/>
    <w:rsid w:val="00CE1A30"/>
    <w:rsid w:val="00CE1C3D"/>
    <w:rsid w:val="00CE1C88"/>
    <w:rsid w:val="00CE1C94"/>
    <w:rsid w:val="00CE1D04"/>
    <w:rsid w:val="00CE1D99"/>
    <w:rsid w:val="00CE1DAC"/>
    <w:rsid w:val="00CE1ECC"/>
    <w:rsid w:val="00CE2051"/>
    <w:rsid w:val="00CE21CE"/>
    <w:rsid w:val="00CE22E8"/>
    <w:rsid w:val="00CE23CE"/>
    <w:rsid w:val="00CE23F6"/>
    <w:rsid w:val="00CE2506"/>
    <w:rsid w:val="00CE25F1"/>
    <w:rsid w:val="00CE2819"/>
    <w:rsid w:val="00CE2888"/>
    <w:rsid w:val="00CE288F"/>
    <w:rsid w:val="00CE28F2"/>
    <w:rsid w:val="00CE28F6"/>
    <w:rsid w:val="00CE2AEF"/>
    <w:rsid w:val="00CE2AFF"/>
    <w:rsid w:val="00CE2B59"/>
    <w:rsid w:val="00CE2B6D"/>
    <w:rsid w:val="00CE2BA8"/>
    <w:rsid w:val="00CE2BB3"/>
    <w:rsid w:val="00CE2BDF"/>
    <w:rsid w:val="00CE2D64"/>
    <w:rsid w:val="00CE2E76"/>
    <w:rsid w:val="00CE2F7C"/>
    <w:rsid w:val="00CE3003"/>
    <w:rsid w:val="00CE3274"/>
    <w:rsid w:val="00CE3442"/>
    <w:rsid w:val="00CE364C"/>
    <w:rsid w:val="00CE3759"/>
    <w:rsid w:val="00CE376E"/>
    <w:rsid w:val="00CE380F"/>
    <w:rsid w:val="00CE3834"/>
    <w:rsid w:val="00CE38E4"/>
    <w:rsid w:val="00CE3A1E"/>
    <w:rsid w:val="00CE3B5C"/>
    <w:rsid w:val="00CE3CA8"/>
    <w:rsid w:val="00CE3DC0"/>
    <w:rsid w:val="00CE3EDA"/>
    <w:rsid w:val="00CE3FA1"/>
    <w:rsid w:val="00CE4025"/>
    <w:rsid w:val="00CE412E"/>
    <w:rsid w:val="00CE41A7"/>
    <w:rsid w:val="00CE427E"/>
    <w:rsid w:val="00CE42E6"/>
    <w:rsid w:val="00CE454B"/>
    <w:rsid w:val="00CE4585"/>
    <w:rsid w:val="00CE4907"/>
    <w:rsid w:val="00CE49E7"/>
    <w:rsid w:val="00CE4A72"/>
    <w:rsid w:val="00CE4B41"/>
    <w:rsid w:val="00CE4C31"/>
    <w:rsid w:val="00CE4CF2"/>
    <w:rsid w:val="00CE4EE4"/>
    <w:rsid w:val="00CE5011"/>
    <w:rsid w:val="00CE5127"/>
    <w:rsid w:val="00CE51C1"/>
    <w:rsid w:val="00CE5219"/>
    <w:rsid w:val="00CE5254"/>
    <w:rsid w:val="00CE5517"/>
    <w:rsid w:val="00CE5539"/>
    <w:rsid w:val="00CE556D"/>
    <w:rsid w:val="00CE560B"/>
    <w:rsid w:val="00CE5730"/>
    <w:rsid w:val="00CE58AA"/>
    <w:rsid w:val="00CE5ADB"/>
    <w:rsid w:val="00CE5B50"/>
    <w:rsid w:val="00CE5BB6"/>
    <w:rsid w:val="00CE5C5E"/>
    <w:rsid w:val="00CE5C7A"/>
    <w:rsid w:val="00CE5CE8"/>
    <w:rsid w:val="00CE5DF0"/>
    <w:rsid w:val="00CE5DF4"/>
    <w:rsid w:val="00CE5E1F"/>
    <w:rsid w:val="00CE5E34"/>
    <w:rsid w:val="00CE5F61"/>
    <w:rsid w:val="00CE5FBD"/>
    <w:rsid w:val="00CE6000"/>
    <w:rsid w:val="00CE60A2"/>
    <w:rsid w:val="00CE617B"/>
    <w:rsid w:val="00CE6185"/>
    <w:rsid w:val="00CE6267"/>
    <w:rsid w:val="00CE6278"/>
    <w:rsid w:val="00CE6386"/>
    <w:rsid w:val="00CE6501"/>
    <w:rsid w:val="00CE6590"/>
    <w:rsid w:val="00CE65ED"/>
    <w:rsid w:val="00CE6648"/>
    <w:rsid w:val="00CE6723"/>
    <w:rsid w:val="00CE6841"/>
    <w:rsid w:val="00CE6886"/>
    <w:rsid w:val="00CE6919"/>
    <w:rsid w:val="00CE6B9A"/>
    <w:rsid w:val="00CE6BCE"/>
    <w:rsid w:val="00CE6CB8"/>
    <w:rsid w:val="00CE6F21"/>
    <w:rsid w:val="00CE6F76"/>
    <w:rsid w:val="00CE6F83"/>
    <w:rsid w:val="00CE704B"/>
    <w:rsid w:val="00CE7095"/>
    <w:rsid w:val="00CE70A9"/>
    <w:rsid w:val="00CE7184"/>
    <w:rsid w:val="00CE7248"/>
    <w:rsid w:val="00CE738E"/>
    <w:rsid w:val="00CE73B2"/>
    <w:rsid w:val="00CE7440"/>
    <w:rsid w:val="00CE74B3"/>
    <w:rsid w:val="00CE74E9"/>
    <w:rsid w:val="00CE74F3"/>
    <w:rsid w:val="00CE7528"/>
    <w:rsid w:val="00CE75B4"/>
    <w:rsid w:val="00CE762F"/>
    <w:rsid w:val="00CE770C"/>
    <w:rsid w:val="00CE7748"/>
    <w:rsid w:val="00CE7A16"/>
    <w:rsid w:val="00CE7A4A"/>
    <w:rsid w:val="00CE7AFB"/>
    <w:rsid w:val="00CE7B98"/>
    <w:rsid w:val="00CE7C51"/>
    <w:rsid w:val="00CE7D09"/>
    <w:rsid w:val="00CE7D10"/>
    <w:rsid w:val="00CE7ECB"/>
    <w:rsid w:val="00CE7F4F"/>
    <w:rsid w:val="00CE7FCD"/>
    <w:rsid w:val="00CF0033"/>
    <w:rsid w:val="00CF00FB"/>
    <w:rsid w:val="00CF0258"/>
    <w:rsid w:val="00CF0317"/>
    <w:rsid w:val="00CF03F4"/>
    <w:rsid w:val="00CF0430"/>
    <w:rsid w:val="00CF0516"/>
    <w:rsid w:val="00CF05A9"/>
    <w:rsid w:val="00CF0608"/>
    <w:rsid w:val="00CF063A"/>
    <w:rsid w:val="00CF06AB"/>
    <w:rsid w:val="00CF06C7"/>
    <w:rsid w:val="00CF0773"/>
    <w:rsid w:val="00CF079E"/>
    <w:rsid w:val="00CF07CB"/>
    <w:rsid w:val="00CF07E2"/>
    <w:rsid w:val="00CF089F"/>
    <w:rsid w:val="00CF09B5"/>
    <w:rsid w:val="00CF0A63"/>
    <w:rsid w:val="00CF0BCC"/>
    <w:rsid w:val="00CF0C13"/>
    <w:rsid w:val="00CF0D96"/>
    <w:rsid w:val="00CF0DDE"/>
    <w:rsid w:val="00CF0F20"/>
    <w:rsid w:val="00CF0FBA"/>
    <w:rsid w:val="00CF0FE4"/>
    <w:rsid w:val="00CF10D7"/>
    <w:rsid w:val="00CF1162"/>
    <w:rsid w:val="00CF11D3"/>
    <w:rsid w:val="00CF121C"/>
    <w:rsid w:val="00CF1247"/>
    <w:rsid w:val="00CF128E"/>
    <w:rsid w:val="00CF1305"/>
    <w:rsid w:val="00CF1345"/>
    <w:rsid w:val="00CF1509"/>
    <w:rsid w:val="00CF15E1"/>
    <w:rsid w:val="00CF1710"/>
    <w:rsid w:val="00CF1740"/>
    <w:rsid w:val="00CF1802"/>
    <w:rsid w:val="00CF18C0"/>
    <w:rsid w:val="00CF194D"/>
    <w:rsid w:val="00CF1957"/>
    <w:rsid w:val="00CF1A44"/>
    <w:rsid w:val="00CF1AF2"/>
    <w:rsid w:val="00CF1B1D"/>
    <w:rsid w:val="00CF1C7D"/>
    <w:rsid w:val="00CF1C7E"/>
    <w:rsid w:val="00CF1CBD"/>
    <w:rsid w:val="00CF1CC3"/>
    <w:rsid w:val="00CF1CDF"/>
    <w:rsid w:val="00CF1CE4"/>
    <w:rsid w:val="00CF1F85"/>
    <w:rsid w:val="00CF1FB1"/>
    <w:rsid w:val="00CF1FCE"/>
    <w:rsid w:val="00CF2007"/>
    <w:rsid w:val="00CF20B3"/>
    <w:rsid w:val="00CF20CC"/>
    <w:rsid w:val="00CF2129"/>
    <w:rsid w:val="00CF218B"/>
    <w:rsid w:val="00CF2215"/>
    <w:rsid w:val="00CF2236"/>
    <w:rsid w:val="00CF2244"/>
    <w:rsid w:val="00CF23EF"/>
    <w:rsid w:val="00CF246B"/>
    <w:rsid w:val="00CF2480"/>
    <w:rsid w:val="00CF24D4"/>
    <w:rsid w:val="00CF24D8"/>
    <w:rsid w:val="00CF25D5"/>
    <w:rsid w:val="00CF25F7"/>
    <w:rsid w:val="00CF276A"/>
    <w:rsid w:val="00CF27C8"/>
    <w:rsid w:val="00CF29E2"/>
    <w:rsid w:val="00CF2AD1"/>
    <w:rsid w:val="00CF2B58"/>
    <w:rsid w:val="00CF2DAA"/>
    <w:rsid w:val="00CF2DE0"/>
    <w:rsid w:val="00CF2EB0"/>
    <w:rsid w:val="00CF2ED8"/>
    <w:rsid w:val="00CF2EF2"/>
    <w:rsid w:val="00CF3014"/>
    <w:rsid w:val="00CF30BC"/>
    <w:rsid w:val="00CF30BE"/>
    <w:rsid w:val="00CF3118"/>
    <w:rsid w:val="00CF317B"/>
    <w:rsid w:val="00CF32BC"/>
    <w:rsid w:val="00CF33CF"/>
    <w:rsid w:val="00CF34FC"/>
    <w:rsid w:val="00CF357D"/>
    <w:rsid w:val="00CF3649"/>
    <w:rsid w:val="00CF37D2"/>
    <w:rsid w:val="00CF38A7"/>
    <w:rsid w:val="00CF394C"/>
    <w:rsid w:val="00CF39D4"/>
    <w:rsid w:val="00CF3A59"/>
    <w:rsid w:val="00CF3A96"/>
    <w:rsid w:val="00CF3AF2"/>
    <w:rsid w:val="00CF3B96"/>
    <w:rsid w:val="00CF3BF5"/>
    <w:rsid w:val="00CF3C81"/>
    <w:rsid w:val="00CF3C8D"/>
    <w:rsid w:val="00CF3E31"/>
    <w:rsid w:val="00CF3E39"/>
    <w:rsid w:val="00CF3E88"/>
    <w:rsid w:val="00CF3EF5"/>
    <w:rsid w:val="00CF3F02"/>
    <w:rsid w:val="00CF3FE7"/>
    <w:rsid w:val="00CF40AA"/>
    <w:rsid w:val="00CF4118"/>
    <w:rsid w:val="00CF417C"/>
    <w:rsid w:val="00CF4185"/>
    <w:rsid w:val="00CF41C5"/>
    <w:rsid w:val="00CF41F7"/>
    <w:rsid w:val="00CF42F1"/>
    <w:rsid w:val="00CF42FD"/>
    <w:rsid w:val="00CF44C8"/>
    <w:rsid w:val="00CF4508"/>
    <w:rsid w:val="00CF4517"/>
    <w:rsid w:val="00CF45D5"/>
    <w:rsid w:val="00CF469B"/>
    <w:rsid w:val="00CF46C2"/>
    <w:rsid w:val="00CF4743"/>
    <w:rsid w:val="00CF4A7B"/>
    <w:rsid w:val="00CF4ADB"/>
    <w:rsid w:val="00CF4DE0"/>
    <w:rsid w:val="00CF4F99"/>
    <w:rsid w:val="00CF4F9B"/>
    <w:rsid w:val="00CF5085"/>
    <w:rsid w:val="00CF50B0"/>
    <w:rsid w:val="00CF5150"/>
    <w:rsid w:val="00CF5178"/>
    <w:rsid w:val="00CF5386"/>
    <w:rsid w:val="00CF544E"/>
    <w:rsid w:val="00CF560F"/>
    <w:rsid w:val="00CF576F"/>
    <w:rsid w:val="00CF57CC"/>
    <w:rsid w:val="00CF57D3"/>
    <w:rsid w:val="00CF589C"/>
    <w:rsid w:val="00CF593D"/>
    <w:rsid w:val="00CF59C5"/>
    <w:rsid w:val="00CF5A68"/>
    <w:rsid w:val="00CF5A76"/>
    <w:rsid w:val="00CF5A8A"/>
    <w:rsid w:val="00CF5B24"/>
    <w:rsid w:val="00CF5C21"/>
    <w:rsid w:val="00CF5C70"/>
    <w:rsid w:val="00CF5CBB"/>
    <w:rsid w:val="00CF5CC4"/>
    <w:rsid w:val="00CF5D64"/>
    <w:rsid w:val="00CF5ED2"/>
    <w:rsid w:val="00CF5EED"/>
    <w:rsid w:val="00CF6172"/>
    <w:rsid w:val="00CF619D"/>
    <w:rsid w:val="00CF625B"/>
    <w:rsid w:val="00CF6268"/>
    <w:rsid w:val="00CF63AE"/>
    <w:rsid w:val="00CF6457"/>
    <w:rsid w:val="00CF6463"/>
    <w:rsid w:val="00CF64C5"/>
    <w:rsid w:val="00CF6627"/>
    <w:rsid w:val="00CF666E"/>
    <w:rsid w:val="00CF6692"/>
    <w:rsid w:val="00CF669A"/>
    <w:rsid w:val="00CF66C6"/>
    <w:rsid w:val="00CF6727"/>
    <w:rsid w:val="00CF6780"/>
    <w:rsid w:val="00CF67E0"/>
    <w:rsid w:val="00CF684C"/>
    <w:rsid w:val="00CF688B"/>
    <w:rsid w:val="00CF6935"/>
    <w:rsid w:val="00CF6949"/>
    <w:rsid w:val="00CF6A9F"/>
    <w:rsid w:val="00CF6BF3"/>
    <w:rsid w:val="00CF6C1A"/>
    <w:rsid w:val="00CF6C4F"/>
    <w:rsid w:val="00CF6CFD"/>
    <w:rsid w:val="00CF6D43"/>
    <w:rsid w:val="00CF6E89"/>
    <w:rsid w:val="00CF6F36"/>
    <w:rsid w:val="00CF70C1"/>
    <w:rsid w:val="00CF7228"/>
    <w:rsid w:val="00CF7395"/>
    <w:rsid w:val="00CF73A9"/>
    <w:rsid w:val="00CF7590"/>
    <w:rsid w:val="00CF7763"/>
    <w:rsid w:val="00CF77A6"/>
    <w:rsid w:val="00CF77E5"/>
    <w:rsid w:val="00CF7856"/>
    <w:rsid w:val="00CF7867"/>
    <w:rsid w:val="00CF7871"/>
    <w:rsid w:val="00CF7A94"/>
    <w:rsid w:val="00CF7A9C"/>
    <w:rsid w:val="00CF7AC7"/>
    <w:rsid w:val="00CF7B22"/>
    <w:rsid w:val="00CF7C8A"/>
    <w:rsid w:val="00CF7CBE"/>
    <w:rsid w:val="00CF7F04"/>
    <w:rsid w:val="00CF7FAD"/>
    <w:rsid w:val="00D0011B"/>
    <w:rsid w:val="00D00123"/>
    <w:rsid w:val="00D0025A"/>
    <w:rsid w:val="00D0025D"/>
    <w:rsid w:val="00D00398"/>
    <w:rsid w:val="00D003B7"/>
    <w:rsid w:val="00D00424"/>
    <w:rsid w:val="00D00458"/>
    <w:rsid w:val="00D005B1"/>
    <w:rsid w:val="00D0064F"/>
    <w:rsid w:val="00D006AE"/>
    <w:rsid w:val="00D008C0"/>
    <w:rsid w:val="00D00903"/>
    <w:rsid w:val="00D00936"/>
    <w:rsid w:val="00D009ED"/>
    <w:rsid w:val="00D00AFD"/>
    <w:rsid w:val="00D00B64"/>
    <w:rsid w:val="00D00CD2"/>
    <w:rsid w:val="00D00D41"/>
    <w:rsid w:val="00D00EDD"/>
    <w:rsid w:val="00D00F88"/>
    <w:rsid w:val="00D01034"/>
    <w:rsid w:val="00D0104A"/>
    <w:rsid w:val="00D0136D"/>
    <w:rsid w:val="00D014D7"/>
    <w:rsid w:val="00D01559"/>
    <w:rsid w:val="00D01616"/>
    <w:rsid w:val="00D016AA"/>
    <w:rsid w:val="00D01715"/>
    <w:rsid w:val="00D017B0"/>
    <w:rsid w:val="00D01991"/>
    <w:rsid w:val="00D019AF"/>
    <w:rsid w:val="00D01AC2"/>
    <w:rsid w:val="00D01B52"/>
    <w:rsid w:val="00D01B63"/>
    <w:rsid w:val="00D01DC3"/>
    <w:rsid w:val="00D01E44"/>
    <w:rsid w:val="00D01E5E"/>
    <w:rsid w:val="00D01ED7"/>
    <w:rsid w:val="00D01FBF"/>
    <w:rsid w:val="00D020F3"/>
    <w:rsid w:val="00D02102"/>
    <w:rsid w:val="00D0210B"/>
    <w:rsid w:val="00D02119"/>
    <w:rsid w:val="00D021B0"/>
    <w:rsid w:val="00D02204"/>
    <w:rsid w:val="00D02299"/>
    <w:rsid w:val="00D022C8"/>
    <w:rsid w:val="00D022E9"/>
    <w:rsid w:val="00D02478"/>
    <w:rsid w:val="00D02482"/>
    <w:rsid w:val="00D02568"/>
    <w:rsid w:val="00D02647"/>
    <w:rsid w:val="00D02680"/>
    <w:rsid w:val="00D0280E"/>
    <w:rsid w:val="00D028EE"/>
    <w:rsid w:val="00D02931"/>
    <w:rsid w:val="00D02AD2"/>
    <w:rsid w:val="00D02B95"/>
    <w:rsid w:val="00D02D5B"/>
    <w:rsid w:val="00D02D64"/>
    <w:rsid w:val="00D02DD7"/>
    <w:rsid w:val="00D02EBE"/>
    <w:rsid w:val="00D030E4"/>
    <w:rsid w:val="00D0327E"/>
    <w:rsid w:val="00D0329C"/>
    <w:rsid w:val="00D03461"/>
    <w:rsid w:val="00D03600"/>
    <w:rsid w:val="00D03637"/>
    <w:rsid w:val="00D036ED"/>
    <w:rsid w:val="00D036F7"/>
    <w:rsid w:val="00D037D8"/>
    <w:rsid w:val="00D03878"/>
    <w:rsid w:val="00D03883"/>
    <w:rsid w:val="00D03921"/>
    <w:rsid w:val="00D03A47"/>
    <w:rsid w:val="00D03A4E"/>
    <w:rsid w:val="00D03A8C"/>
    <w:rsid w:val="00D03AE3"/>
    <w:rsid w:val="00D03BD8"/>
    <w:rsid w:val="00D03BE9"/>
    <w:rsid w:val="00D03D39"/>
    <w:rsid w:val="00D03D63"/>
    <w:rsid w:val="00D03F18"/>
    <w:rsid w:val="00D04092"/>
    <w:rsid w:val="00D040EE"/>
    <w:rsid w:val="00D04160"/>
    <w:rsid w:val="00D04211"/>
    <w:rsid w:val="00D04335"/>
    <w:rsid w:val="00D04338"/>
    <w:rsid w:val="00D0434D"/>
    <w:rsid w:val="00D04446"/>
    <w:rsid w:val="00D044B9"/>
    <w:rsid w:val="00D0455F"/>
    <w:rsid w:val="00D045E5"/>
    <w:rsid w:val="00D04711"/>
    <w:rsid w:val="00D047F2"/>
    <w:rsid w:val="00D0485C"/>
    <w:rsid w:val="00D04869"/>
    <w:rsid w:val="00D048C9"/>
    <w:rsid w:val="00D04978"/>
    <w:rsid w:val="00D0499A"/>
    <w:rsid w:val="00D049B5"/>
    <w:rsid w:val="00D04AB2"/>
    <w:rsid w:val="00D04B65"/>
    <w:rsid w:val="00D04C70"/>
    <w:rsid w:val="00D04CB6"/>
    <w:rsid w:val="00D04D24"/>
    <w:rsid w:val="00D04DCA"/>
    <w:rsid w:val="00D04E1B"/>
    <w:rsid w:val="00D04E2E"/>
    <w:rsid w:val="00D04F68"/>
    <w:rsid w:val="00D04F7A"/>
    <w:rsid w:val="00D04FB4"/>
    <w:rsid w:val="00D05007"/>
    <w:rsid w:val="00D05067"/>
    <w:rsid w:val="00D051A4"/>
    <w:rsid w:val="00D05265"/>
    <w:rsid w:val="00D052FC"/>
    <w:rsid w:val="00D05365"/>
    <w:rsid w:val="00D053BD"/>
    <w:rsid w:val="00D054A0"/>
    <w:rsid w:val="00D054B7"/>
    <w:rsid w:val="00D055A8"/>
    <w:rsid w:val="00D055AD"/>
    <w:rsid w:val="00D05617"/>
    <w:rsid w:val="00D05633"/>
    <w:rsid w:val="00D05832"/>
    <w:rsid w:val="00D05915"/>
    <w:rsid w:val="00D0596D"/>
    <w:rsid w:val="00D059A3"/>
    <w:rsid w:val="00D059F7"/>
    <w:rsid w:val="00D05B58"/>
    <w:rsid w:val="00D05C0A"/>
    <w:rsid w:val="00D05C73"/>
    <w:rsid w:val="00D05CD5"/>
    <w:rsid w:val="00D05D79"/>
    <w:rsid w:val="00D05D98"/>
    <w:rsid w:val="00D05D9C"/>
    <w:rsid w:val="00D05E1C"/>
    <w:rsid w:val="00D05E64"/>
    <w:rsid w:val="00D05F63"/>
    <w:rsid w:val="00D05F78"/>
    <w:rsid w:val="00D060F6"/>
    <w:rsid w:val="00D0613F"/>
    <w:rsid w:val="00D06141"/>
    <w:rsid w:val="00D061AB"/>
    <w:rsid w:val="00D0633B"/>
    <w:rsid w:val="00D06366"/>
    <w:rsid w:val="00D0649B"/>
    <w:rsid w:val="00D064A3"/>
    <w:rsid w:val="00D065B0"/>
    <w:rsid w:val="00D066BE"/>
    <w:rsid w:val="00D067A5"/>
    <w:rsid w:val="00D0680F"/>
    <w:rsid w:val="00D0689A"/>
    <w:rsid w:val="00D06A02"/>
    <w:rsid w:val="00D06A8C"/>
    <w:rsid w:val="00D06BB8"/>
    <w:rsid w:val="00D06BF0"/>
    <w:rsid w:val="00D06CF7"/>
    <w:rsid w:val="00D06D88"/>
    <w:rsid w:val="00D06DB3"/>
    <w:rsid w:val="00D06DCB"/>
    <w:rsid w:val="00D06E2B"/>
    <w:rsid w:val="00D06E2C"/>
    <w:rsid w:val="00D06E7E"/>
    <w:rsid w:val="00D06E9C"/>
    <w:rsid w:val="00D06EA2"/>
    <w:rsid w:val="00D06FD1"/>
    <w:rsid w:val="00D0700F"/>
    <w:rsid w:val="00D07087"/>
    <w:rsid w:val="00D071D6"/>
    <w:rsid w:val="00D0724C"/>
    <w:rsid w:val="00D0727F"/>
    <w:rsid w:val="00D073A7"/>
    <w:rsid w:val="00D074D9"/>
    <w:rsid w:val="00D0754C"/>
    <w:rsid w:val="00D075D0"/>
    <w:rsid w:val="00D07686"/>
    <w:rsid w:val="00D076E9"/>
    <w:rsid w:val="00D07771"/>
    <w:rsid w:val="00D07777"/>
    <w:rsid w:val="00D07800"/>
    <w:rsid w:val="00D078AE"/>
    <w:rsid w:val="00D07ADC"/>
    <w:rsid w:val="00D07AE0"/>
    <w:rsid w:val="00D07B7B"/>
    <w:rsid w:val="00D07C37"/>
    <w:rsid w:val="00D07C49"/>
    <w:rsid w:val="00D07CD8"/>
    <w:rsid w:val="00D07D0F"/>
    <w:rsid w:val="00D07E4F"/>
    <w:rsid w:val="00D07E68"/>
    <w:rsid w:val="00D07ED1"/>
    <w:rsid w:val="00D07F53"/>
    <w:rsid w:val="00D07F79"/>
    <w:rsid w:val="00D07F7C"/>
    <w:rsid w:val="00D07FC9"/>
    <w:rsid w:val="00D10174"/>
    <w:rsid w:val="00D102A7"/>
    <w:rsid w:val="00D10382"/>
    <w:rsid w:val="00D103CB"/>
    <w:rsid w:val="00D10433"/>
    <w:rsid w:val="00D10525"/>
    <w:rsid w:val="00D10541"/>
    <w:rsid w:val="00D10567"/>
    <w:rsid w:val="00D10899"/>
    <w:rsid w:val="00D108F3"/>
    <w:rsid w:val="00D108F5"/>
    <w:rsid w:val="00D1096B"/>
    <w:rsid w:val="00D10AAB"/>
    <w:rsid w:val="00D10BC2"/>
    <w:rsid w:val="00D10BEC"/>
    <w:rsid w:val="00D10C88"/>
    <w:rsid w:val="00D10D71"/>
    <w:rsid w:val="00D10E55"/>
    <w:rsid w:val="00D10F1E"/>
    <w:rsid w:val="00D10F41"/>
    <w:rsid w:val="00D10FD3"/>
    <w:rsid w:val="00D1103C"/>
    <w:rsid w:val="00D1118D"/>
    <w:rsid w:val="00D111CB"/>
    <w:rsid w:val="00D111FF"/>
    <w:rsid w:val="00D11229"/>
    <w:rsid w:val="00D1127A"/>
    <w:rsid w:val="00D11297"/>
    <w:rsid w:val="00D112C6"/>
    <w:rsid w:val="00D11391"/>
    <w:rsid w:val="00D1143C"/>
    <w:rsid w:val="00D11532"/>
    <w:rsid w:val="00D115D9"/>
    <w:rsid w:val="00D11724"/>
    <w:rsid w:val="00D1177D"/>
    <w:rsid w:val="00D11810"/>
    <w:rsid w:val="00D11879"/>
    <w:rsid w:val="00D11AED"/>
    <w:rsid w:val="00D11B5D"/>
    <w:rsid w:val="00D11C2D"/>
    <w:rsid w:val="00D11CD2"/>
    <w:rsid w:val="00D11CF7"/>
    <w:rsid w:val="00D11D17"/>
    <w:rsid w:val="00D11F05"/>
    <w:rsid w:val="00D11F35"/>
    <w:rsid w:val="00D11F56"/>
    <w:rsid w:val="00D11FEE"/>
    <w:rsid w:val="00D12021"/>
    <w:rsid w:val="00D12248"/>
    <w:rsid w:val="00D1224F"/>
    <w:rsid w:val="00D12280"/>
    <w:rsid w:val="00D12281"/>
    <w:rsid w:val="00D12344"/>
    <w:rsid w:val="00D124A9"/>
    <w:rsid w:val="00D125A5"/>
    <w:rsid w:val="00D125DF"/>
    <w:rsid w:val="00D12621"/>
    <w:rsid w:val="00D12644"/>
    <w:rsid w:val="00D12676"/>
    <w:rsid w:val="00D126A4"/>
    <w:rsid w:val="00D12823"/>
    <w:rsid w:val="00D12952"/>
    <w:rsid w:val="00D12A99"/>
    <w:rsid w:val="00D12ACB"/>
    <w:rsid w:val="00D12C57"/>
    <w:rsid w:val="00D12D2A"/>
    <w:rsid w:val="00D12D41"/>
    <w:rsid w:val="00D12D4F"/>
    <w:rsid w:val="00D12D7A"/>
    <w:rsid w:val="00D12E2C"/>
    <w:rsid w:val="00D12F01"/>
    <w:rsid w:val="00D13030"/>
    <w:rsid w:val="00D133C5"/>
    <w:rsid w:val="00D134F1"/>
    <w:rsid w:val="00D1354C"/>
    <w:rsid w:val="00D135D1"/>
    <w:rsid w:val="00D1369F"/>
    <w:rsid w:val="00D13959"/>
    <w:rsid w:val="00D13985"/>
    <w:rsid w:val="00D13ADA"/>
    <w:rsid w:val="00D13B30"/>
    <w:rsid w:val="00D13BA5"/>
    <w:rsid w:val="00D13C45"/>
    <w:rsid w:val="00D13C60"/>
    <w:rsid w:val="00D13C61"/>
    <w:rsid w:val="00D13D0C"/>
    <w:rsid w:val="00D13D1F"/>
    <w:rsid w:val="00D13E89"/>
    <w:rsid w:val="00D13F66"/>
    <w:rsid w:val="00D13F8C"/>
    <w:rsid w:val="00D13F92"/>
    <w:rsid w:val="00D13FDD"/>
    <w:rsid w:val="00D14018"/>
    <w:rsid w:val="00D140D4"/>
    <w:rsid w:val="00D14120"/>
    <w:rsid w:val="00D14162"/>
    <w:rsid w:val="00D141B7"/>
    <w:rsid w:val="00D14468"/>
    <w:rsid w:val="00D1447C"/>
    <w:rsid w:val="00D144F1"/>
    <w:rsid w:val="00D14757"/>
    <w:rsid w:val="00D14891"/>
    <w:rsid w:val="00D14A33"/>
    <w:rsid w:val="00D14A3E"/>
    <w:rsid w:val="00D14AF4"/>
    <w:rsid w:val="00D14AFE"/>
    <w:rsid w:val="00D14C76"/>
    <w:rsid w:val="00D14CC1"/>
    <w:rsid w:val="00D14CC6"/>
    <w:rsid w:val="00D14D57"/>
    <w:rsid w:val="00D14DC1"/>
    <w:rsid w:val="00D14E3E"/>
    <w:rsid w:val="00D14FC6"/>
    <w:rsid w:val="00D15074"/>
    <w:rsid w:val="00D15091"/>
    <w:rsid w:val="00D1509C"/>
    <w:rsid w:val="00D150C7"/>
    <w:rsid w:val="00D150F6"/>
    <w:rsid w:val="00D15103"/>
    <w:rsid w:val="00D15124"/>
    <w:rsid w:val="00D151CB"/>
    <w:rsid w:val="00D152D4"/>
    <w:rsid w:val="00D15342"/>
    <w:rsid w:val="00D153F9"/>
    <w:rsid w:val="00D1547C"/>
    <w:rsid w:val="00D154AA"/>
    <w:rsid w:val="00D154DA"/>
    <w:rsid w:val="00D15592"/>
    <w:rsid w:val="00D155A0"/>
    <w:rsid w:val="00D156A7"/>
    <w:rsid w:val="00D156B4"/>
    <w:rsid w:val="00D1575C"/>
    <w:rsid w:val="00D15808"/>
    <w:rsid w:val="00D1584C"/>
    <w:rsid w:val="00D158BC"/>
    <w:rsid w:val="00D158FE"/>
    <w:rsid w:val="00D1592A"/>
    <w:rsid w:val="00D1595C"/>
    <w:rsid w:val="00D159A6"/>
    <w:rsid w:val="00D159CD"/>
    <w:rsid w:val="00D159EA"/>
    <w:rsid w:val="00D15A13"/>
    <w:rsid w:val="00D15A9F"/>
    <w:rsid w:val="00D15BE2"/>
    <w:rsid w:val="00D15DAA"/>
    <w:rsid w:val="00D15E9B"/>
    <w:rsid w:val="00D15F32"/>
    <w:rsid w:val="00D16023"/>
    <w:rsid w:val="00D16167"/>
    <w:rsid w:val="00D1620E"/>
    <w:rsid w:val="00D1621B"/>
    <w:rsid w:val="00D1623C"/>
    <w:rsid w:val="00D1627A"/>
    <w:rsid w:val="00D163DE"/>
    <w:rsid w:val="00D16486"/>
    <w:rsid w:val="00D1656F"/>
    <w:rsid w:val="00D165AC"/>
    <w:rsid w:val="00D1665F"/>
    <w:rsid w:val="00D16678"/>
    <w:rsid w:val="00D166D3"/>
    <w:rsid w:val="00D167C7"/>
    <w:rsid w:val="00D168B6"/>
    <w:rsid w:val="00D168CF"/>
    <w:rsid w:val="00D16929"/>
    <w:rsid w:val="00D169AA"/>
    <w:rsid w:val="00D16B5B"/>
    <w:rsid w:val="00D16B9B"/>
    <w:rsid w:val="00D16BDF"/>
    <w:rsid w:val="00D16C1E"/>
    <w:rsid w:val="00D16C24"/>
    <w:rsid w:val="00D16C72"/>
    <w:rsid w:val="00D16E92"/>
    <w:rsid w:val="00D16F8F"/>
    <w:rsid w:val="00D16F91"/>
    <w:rsid w:val="00D1708E"/>
    <w:rsid w:val="00D17141"/>
    <w:rsid w:val="00D1715D"/>
    <w:rsid w:val="00D171BF"/>
    <w:rsid w:val="00D17330"/>
    <w:rsid w:val="00D174BA"/>
    <w:rsid w:val="00D176F4"/>
    <w:rsid w:val="00D177DA"/>
    <w:rsid w:val="00D17822"/>
    <w:rsid w:val="00D178A0"/>
    <w:rsid w:val="00D17925"/>
    <w:rsid w:val="00D17A62"/>
    <w:rsid w:val="00D17A76"/>
    <w:rsid w:val="00D17ADF"/>
    <w:rsid w:val="00D17AFA"/>
    <w:rsid w:val="00D17B02"/>
    <w:rsid w:val="00D17B73"/>
    <w:rsid w:val="00D17C33"/>
    <w:rsid w:val="00D17C4E"/>
    <w:rsid w:val="00D17C95"/>
    <w:rsid w:val="00D17D85"/>
    <w:rsid w:val="00D17DCB"/>
    <w:rsid w:val="00D17DD5"/>
    <w:rsid w:val="00D17E10"/>
    <w:rsid w:val="00D17E74"/>
    <w:rsid w:val="00D20079"/>
    <w:rsid w:val="00D20084"/>
    <w:rsid w:val="00D2009D"/>
    <w:rsid w:val="00D200B3"/>
    <w:rsid w:val="00D202A9"/>
    <w:rsid w:val="00D203A3"/>
    <w:rsid w:val="00D2047B"/>
    <w:rsid w:val="00D2066A"/>
    <w:rsid w:val="00D20696"/>
    <w:rsid w:val="00D206B1"/>
    <w:rsid w:val="00D206D2"/>
    <w:rsid w:val="00D2082F"/>
    <w:rsid w:val="00D208CD"/>
    <w:rsid w:val="00D20922"/>
    <w:rsid w:val="00D20944"/>
    <w:rsid w:val="00D20970"/>
    <w:rsid w:val="00D20990"/>
    <w:rsid w:val="00D20A1A"/>
    <w:rsid w:val="00D20A31"/>
    <w:rsid w:val="00D20AB9"/>
    <w:rsid w:val="00D20B6F"/>
    <w:rsid w:val="00D20D29"/>
    <w:rsid w:val="00D20D5C"/>
    <w:rsid w:val="00D20E2B"/>
    <w:rsid w:val="00D20F3C"/>
    <w:rsid w:val="00D20F3F"/>
    <w:rsid w:val="00D20F41"/>
    <w:rsid w:val="00D20F9A"/>
    <w:rsid w:val="00D20FA6"/>
    <w:rsid w:val="00D21026"/>
    <w:rsid w:val="00D21081"/>
    <w:rsid w:val="00D2113D"/>
    <w:rsid w:val="00D21148"/>
    <w:rsid w:val="00D211C4"/>
    <w:rsid w:val="00D21234"/>
    <w:rsid w:val="00D212D2"/>
    <w:rsid w:val="00D21300"/>
    <w:rsid w:val="00D21402"/>
    <w:rsid w:val="00D214BE"/>
    <w:rsid w:val="00D215EF"/>
    <w:rsid w:val="00D21658"/>
    <w:rsid w:val="00D21675"/>
    <w:rsid w:val="00D217D7"/>
    <w:rsid w:val="00D21A98"/>
    <w:rsid w:val="00D21B2C"/>
    <w:rsid w:val="00D21C3B"/>
    <w:rsid w:val="00D21C4D"/>
    <w:rsid w:val="00D21E84"/>
    <w:rsid w:val="00D21E9B"/>
    <w:rsid w:val="00D21EE3"/>
    <w:rsid w:val="00D21EEC"/>
    <w:rsid w:val="00D2201C"/>
    <w:rsid w:val="00D2207C"/>
    <w:rsid w:val="00D2207E"/>
    <w:rsid w:val="00D22087"/>
    <w:rsid w:val="00D2210F"/>
    <w:rsid w:val="00D221C6"/>
    <w:rsid w:val="00D222FE"/>
    <w:rsid w:val="00D223B5"/>
    <w:rsid w:val="00D2254D"/>
    <w:rsid w:val="00D225C9"/>
    <w:rsid w:val="00D2269A"/>
    <w:rsid w:val="00D22799"/>
    <w:rsid w:val="00D22855"/>
    <w:rsid w:val="00D22936"/>
    <w:rsid w:val="00D22D64"/>
    <w:rsid w:val="00D22E32"/>
    <w:rsid w:val="00D22FF4"/>
    <w:rsid w:val="00D23014"/>
    <w:rsid w:val="00D2304D"/>
    <w:rsid w:val="00D230E3"/>
    <w:rsid w:val="00D23213"/>
    <w:rsid w:val="00D23309"/>
    <w:rsid w:val="00D23318"/>
    <w:rsid w:val="00D23439"/>
    <w:rsid w:val="00D2343F"/>
    <w:rsid w:val="00D2346C"/>
    <w:rsid w:val="00D234AB"/>
    <w:rsid w:val="00D234CF"/>
    <w:rsid w:val="00D23564"/>
    <w:rsid w:val="00D2366B"/>
    <w:rsid w:val="00D236D4"/>
    <w:rsid w:val="00D23815"/>
    <w:rsid w:val="00D23820"/>
    <w:rsid w:val="00D23A69"/>
    <w:rsid w:val="00D23B13"/>
    <w:rsid w:val="00D23C66"/>
    <w:rsid w:val="00D23D14"/>
    <w:rsid w:val="00D23D6E"/>
    <w:rsid w:val="00D23D8C"/>
    <w:rsid w:val="00D23F21"/>
    <w:rsid w:val="00D2405E"/>
    <w:rsid w:val="00D2411F"/>
    <w:rsid w:val="00D2412C"/>
    <w:rsid w:val="00D24245"/>
    <w:rsid w:val="00D242DA"/>
    <w:rsid w:val="00D244A9"/>
    <w:rsid w:val="00D244BA"/>
    <w:rsid w:val="00D244C8"/>
    <w:rsid w:val="00D246FC"/>
    <w:rsid w:val="00D24738"/>
    <w:rsid w:val="00D24775"/>
    <w:rsid w:val="00D24834"/>
    <w:rsid w:val="00D248B7"/>
    <w:rsid w:val="00D2495D"/>
    <w:rsid w:val="00D24AC3"/>
    <w:rsid w:val="00D24C39"/>
    <w:rsid w:val="00D24CBC"/>
    <w:rsid w:val="00D24CFD"/>
    <w:rsid w:val="00D24DC6"/>
    <w:rsid w:val="00D24E6C"/>
    <w:rsid w:val="00D24F60"/>
    <w:rsid w:val="00D25096"/>
    <w:rsid w:val="00D250C9"/>
    <w:rsid w:val="00D250D1"/>
    <w:rsid w:val="00D25199"/>
    <w:rsid w:val="00D25271"/>
    <w:rsid w:val="00D252DE"/>
    <w:rsid w:val="00D25375"/>
    <w:rsid w:val="00D253FC"/>
    <w:rsid w:val="00D25496"/>
    <w:rsid w:val="00D254E8"/>
    <w:rsid w:val="00D25584"/>
    <w:rsid w:val="00D2560C"/>
    <w:rsid w:val="00D25780"/>
    <w:rsid w:val="00D2591D"/>
    <w:rsid w:val="00D2591F"/>
    <w:rsid w:val="00D25963"/>
    <w:rsid w:val="00D2596B"/>
    <w:rsid w:val="00D259DB"/>
    <w:rsid w:val="00D25A08"/>
    <w:rsid w:val="00D25A62"/>
    <w:rsid w:val="00D25AE9"/>
    <w:rsid w:val="00D25AF6"/>
    <w:rsid w:val="00D25B76"/>
    <w:rsid w:val="00D25B78"/>
    <w:rsid w:val="00D25BC7"/>
    <w:rsid w:val="00D25C10"/>
    <w:rsid w:val="00D25C36"/>
    <w:rsid w:val="00D25DF5"/>
    <w:rsid w:val="00D25F56"/>
    <w:rsid w:val="00D25FE1"/>
    <w:rsid w:val="00D260F9"/>
    <w:rsid w:val="00D26169"/>
    <w:rsid w:val="00D261D7"/>
    <w:rsid w:val="00D264AC"/>
    <w:rsid w:val="00D264DF"/>
    <w:rsid w:val="00D2654D"/>
    <w:rsid w:val="00D26550"/>
    <w:rsid w:val="00D26726"/>
    <w:rsid w:val="00D267C9"/>
    <w:rsid w:val="00D26836"/>
    <w:rsid w:val="00D26935"/>
    <w:rsid w:val="00D26A05"/>
    <w:rsid w:val="00D26A09"/>
    <w:rsid w:val="00D26A3D"/>
    <w:rsid w:val="00D26A48"/>
    <w:rsid w:val="00D26D65"/>
    <w:rsid w:val="00D26EF3"/>
    <w:rsid w:val="00D26FF1"/>
    <w:rsid w:val="00D27040"/>
    <w:rsid w:val="00D2708D"/>
    <w:rsid w:val="00D2710B"/>
    <w:rsid w:val="00D2722A"/>
    <w:rsid w:val="00D27250"/>
    <w:rsid w:val="00D27336"/>
    <w:rsid w:val="00D27375"/>
    <w:rsid w:val="00D273D4"/>
    <w:rsid w:val="00D27487"/>
    <w:rsid w:val="00D27529"/>
    <w:rsid w:val="00D275D8"/>
    <w:rsid w:val="00D27657"/>
    <w:rsid w:val="00D27830"/>
    <w:rsid w:val="00D27883"/>
    <w:rsid w:val="00D278F8"/>
    <w:rsid w:val="00D27911"/>
    <w:rsid w:val="00D27A1C"/>
    <w:rsid w:val="00D27A2E"/>
    <w:rsid w:val="00D27AC5"/>
    <w:rsid w:val="00D27CBC"/>
    <w:rsid w:val="00D27DCF"/>
    <w:rsid w:val="00D27DF1"/>
    <w:rsid w:val="00D27EED"/>
    <w:rsid w:val="00D300AC"/>
    <w:rsid w:val="00D30148"/>
    <w:rsid w:val="00D3016E"/>
    <w:rsid w:val="00D3019F"/>
    <w:rsid w:val="00D301C5"/>
    <w:rsid w:val="00D30224"/>
    <w:rsid w:val="00D30269"/>
    <w:rsid w:val="00D3028B"/>
    <w:rsid w:val="00D30414"/>
    <w:rsid w:val="00D30463"/>
    <w:rsid w:val="00D3047D"/>
    <w:rsid w:val="00D304C6"/>
    <w:rsid w:val="00D3055D"/>
    <w:rsid w:val="00D30689"/>
    <w:rsid w:val="00D3068E"/>
    <w:rsid w:val="00D30791"/>
    <w:rsid w:val="00D30815"/>
    <w:rsid w:val="00D3085E"/>
    <w:rsid w:val="00D30900"/>
    <w:rsid w:val="00D309B9"/>
    <w:rsid w:val="00D30A62"/>
    <w:rsid w:val="00D30B74"/>
    <w:rsid w:val="00D30E08"/>
    <w:rsid w:val="00D30ECE"/>
    <w:rsid w:val="00D30EE3"/>
    <w:rsid w:val="00D3105C"/>
    <w:rsid w:val="00D3107B"/>
    <w:rsid w:val="00D310A2"/>
    <w:rsid w:val="00D31127"/>
    <w:rsid w:val="00D3127C"/>
    <w:rsid w:val="00D312F3"/>
    <w:rsid w:val="00D31386"/>
    <w:rsid w:val="00D314DE"/>
    <w:rsid w:val="00D315F9"/>
    <w:rsid w:val="00D31744"/>
    <w:rsid w:val="00D31860"/>
    <w:rsid w:val="00D318F0"/>
    <w:rsid w:val="00D31920"/>
    <w:rsid w:val="00D3194A"/>
    <w:rsid w:val="00D31AB9"/>
    <w:rsid w:val="00D31AD7"/>
    <w:rsid w:val="00D31BC3"/>
    <w:rsid w:val="00D31C18"/>
    <w:rsid w:val="00D31CEC"/>
    <w:rsid w:val="00D31D1C"/>
    <w:rsid w:val="00D31DFE"/>
    <w:rsid w:val="00D31E9A"/>
    <w:rsid w:val="00D31EBC"/>
    <w:rsid w:val="00D320B8"/>
    <w:rsid w:val="00D32112"/>
    <w:rsid w:val="00D324DF"/>
    <w:rsid w:val="00D324EF"/>
    <w:rsid w:val="00D32668"/>
    <w:rsid w:val="00D3274C"/>
    <w:rsid w:val="00D327C7"/>
    <w:rsid w:val="00D3287D"/>
    <w:rsid w:val="00D328C6"/>
    <w:rsid w:val="00D3293B"/>
    <w:rsid w:val="00D32969"/>
    <w:rsid w:val="00D329D3"/>
    <w:rsid w:val="00D329DC"/>
    <w:rsid w:val="00D32A5F"/>
    <w:rsid w:val="00D32C3F"/>
    <w:rsid w:val="00D32CBE"/>
    <w:rsid w:val="00D32E15"/>
    <w:rsid w:val="00D32EC7"/>
    <w:rsid w:val="00D32FB3"/>
    <w:rsid w:val="00D3304C"/>
    <w:rsid w:val="00D33054"/>
    <w:rsid w:val="00D330AE"/>
    <w:rsid w:val="00D3317B"/>
    <w:rsid w:val="00D331F4"/>
    <w:rsid w:val="00D33235"/>
    <w:rsid w:val="00D33241"/>
    <w:rsid w:val="00D3325F"/>
    <w:rsid w:val="00D3329C"/>
    <w:rsid w:val="00D332A4"/>
    <w:rsid w:val="00D33301"/>
    <w:rsid w:val="00D334CD"/>
    <w:rsid w:val="00D3381F"/>
    <w:rsid w:val="00D338F3"/>
    <w:rsid w:val="00D33B7C"/>
    <w:rsid w:val="00D33BA4"/>
    <w:rsid w:val="00D33C74"/>
    <w:rsid w:val="00D33C8C"/>
    <w:rsid w:val="00D33DEE"/>
    <w:rsid w:val="00D33E01"/>
    <w:rsid w:val="00D33E31"/>
    <w:rsid w:val="00D33EF0"/>
    <w:rsid w:val="00D33F7B"/>
    <w:rsid w:val="00D34018"/>
    <w:rsid w:val="00D34020"/>
    <w:rsid w:val="00D34080"/>
    <w:rsid w:val="00D34118"/>
    <w:rsid w:val="00D34153"/>
    <w:rsid w:val="00D343B3"/>
    <w:rsid w:val="00D34644"/>
    <w:rsid w:val="00D3474D"/>
    <w:rsid w:val="00D3481A"/>
    <w:rsid w:val="00D34870"/>
    <w:rsid w:val="00D3488B"/>
    <w:rsid w:val="00D348FB"/>
    <w:rsid w:val="00D3495E"/>
    <w:rsid w:val="00D349D5"/>
    <w:rsid w:val="00D34A09"/>
    <w:rsid w:val="00D34D87"/>
    <w:rsid w:val="00D34DE3"/>
    <w:rsid w:val="00D34F1F"/>
    <w:rsid w:val="00D350A9"/>
    <w:rsid w:val="00D351C0"/>
    <w:rsid w:val="00D351D1"/>
    <w:rsid w:val="00D35239"/>
    <w:rsid w:val="00D35357"/>
    <w:rsid w:val="00D35718"/>
    <w:rsid w:val="00D357AD"/>
    <w:rsid w:val="00D35A72"/>
    <w:rsid w:val="00D35ACC"/>
    <w:rsid w:val="00D35BDF"/>
    <w:rsid w:val="00D35D78"/>
    <w:rsid w:val="00D35E4F"/>
    <w:rsid w:val="00D35EB1"/>
    <w:rsid w:val="00D35F71"/>
    <w:rsid w:val="00D35FA9"/>
    <w:rsid w:val="00D35FF9"/>
    <w:rsid w:val="00D3634B"/>
    <w:rsid w:val="00D36397"/>
    <w:rsid w:val="00D363EC"/>
    <w:rsid w:val="00D36515"/>
    <w:rsid w:val="00D367D4"/>
    <w:rsid w:val="00D368EB"/>
    <w:rsid w:val="00D36ACF"/>
    <w:rsid w:val="00D36AD3"/>
    <w:rsid w:val="00D36C2F"/>
    <w:rsid w:val="00D36C45"/>
    <w:rsid w:val="00D36C83"/>
    <w:rsid w:val="00D36CCE"/>
    <w:rsid w:val="00D36CF0"/>
    <w:rsid w:val="00D36D35"/>
    <w:rsid w:val="00D36D53"/>
    <w:rsid w:val="00D36E8E"/>
    <w:rsid w:val="00D36F71"/>
    <w:rsid w:val="00D36FEA"/>
    <w:rsid w:val="00D36FF7"/>
    <w:rsid w:val="00D370A1"/>
    <w:rsid w:val="00D370EC"/>
    <w:rsid w:val="00D370FB"/>
    <w:rsid w:val="00D372BF"/>
    <w:rsid w:val="00D372CB"/>
    <w:rsid w:val="00D374DF"/>
    <w:rsid w:val="00D37514"/>
    <w:rsid w:val="00D3753D"/>
    <w:rsid w:val="00D37684"/>
    <w:rsid w:val="00D377D3"/>
    <w:rsid w:val="00D3786E"/>
    <w:rsid w:val="00D3790B"/>
    <w:rsid w:val="00D379F4"/>
    <w:rsid w:val="00D37AAD"/>
    <w:rsid w:val="00D37B26"/>
    <w:rsid w:val="00D37D5E"/>
    <w:rsid w:val="00D37DD0"/>
    <w:rsid w:val="00D37F1A"/>
    <w:rsid w:val="00D40076"/>
    <w:rsid w:val="00D4026B"/>
    <w:rsid w:val="00D402B6"/>
    <w:rsid w:val="00D40357"/>
    <w:rsid w:val="00D40364"/>
    <w:rsid w:val="00D40446"/>
    <w:rsid w:val="00D404B2"/>
    <w:rsid w:val="00D40554"/>
    <w:rsid w:val="00D40684"/>
    <w:rsid w:val="00D406A5"/>
    <w:rsid w:val="00D4074F"/>
    <w:rsid w:val="00D40759"/>
    <w:rsid w:val="00D407C3"/>
    <w:rsid w:val="00D40B1A"/>
    <w:rsid w:val="00D40B23"/>
    <w:rsid w:val="00D40C61"/>
    <w:rsid w:val="00D40C95"/>
    <w:rsid w:val="00D40D2C"/>
    <w:rsid w:val="00D40DF0"/>
    <w:rsid w:val="00D40EFA"/>
    <w:rsid w:val="00D40F1D"/>
    <w:rsid w:val="00D41021"/>
    <w:rsid w:val="00D4102E"/>
    <w:rsid w:val="00D41068"/>
    <w:rsid w:val="00D4106C"/>
    <w:rsid w:val="00D413C3"/>
    <w:rsid w:val="00D413C8"/>
    <w:rsid w:val="00D41430"/>
    <w:rsid w:val="00D414F1"/>
    <w:rsid w:val="00D4150F"/>
    <w:rsid w:val="00D41557"/>
    <w:rsid w:val="00D4156D"/>
    <w:rsid w:val="00D41606"/>
    <w:rsid w:val="00D41716"/>
    <w:rsid w:val="00D4172A"/>
    <w:rsid w:val="00D417A4"/>
    <w:rsid w:val="00D417D2"/>
    <w:rsid w:val="00D4184C"/>
    <w:rsid w:val="00D418FE"/>
    <w:rsid w:val="00D419CA"/>
    <w:rsid w:val="00D41A01"/>
    <w:rsid w:val="00D41B0F"/>
    <w:rsid w:val="00D41C07"/>
    <w:rsid w:val="00D41C39"/>
    <w:rsid w:val="00D41C98"/>
    <w:rsid w:val="00D41CE8"/>
    <w:rsid w:val="00D41D7B"/>
    <w:rsid w:val="00D41D8F"/>
    <w:rsid w:val="00D41DEF"/>
    <w:rsid w:val="00D41E0C"/>
    <w:rsid w:val="00D41E5F"/>
    <w:rsid w:val="00D41EEC"/>
    <w:rsid w:val="00D4216B"/>
    <w:rsid w:val="00D421B4"/>
    <w:rsid w:val="00D42262"/>
    <w:rsid w:val="00D4235B"/>
    <w:rsid w:val="00D4238A"/>
    <w:rsid w:val="00D4238B"/>
    <w:rsid w:val="00D423C4"/>
    <w:rsid w:val="00D423FA"/>
    <w:rsid w:val="00D425C4"/>
    <w:rsid w:val="00D4264C"/>
    <w:rsid w:val="00D426A3"/>
    <w:rsid w:val="00D4278F"/>
    <w:rsid w:val="00D427A5"/>
    <w:rsid w:val="00D4281A"/>
    <w:rsid w:val="00D42949"/>
    <w:rsid w:val="00D429A0"/>
    <w:rsid w:val="00D42A16"/>
    <w:rsid w:val="00D42A2F"/>
    <w:rsid w:val="00D42A6D"/>
    <w:rsid w:val="00D42B2E"/>
    <w:rsid w:val="00D42BCF"/>
    <w:rsid w:val="00D42BDE"/>
    <w:rsid w:val="00D42BF8"/>
    <w:rsid w:val="00D42EBE"/>
    <w:rsid w:val="00D4309A"/>
    <w:rsid w:val="00D43201"/>
    <w:rsid w:val="00D43277"/>
    <w:rsid w:val="00D432C0"/>
    <w:rsid w:val="00D4341C"/>
    <w:rsid w:val="00D4349A"/>
    <w:rsid w:val="00D434B7"/>
    <w:rsid w:val="00D4350A"/>
    <w:rsid w:val="00D43579"/>
    <w:rsid w:val="00D435F1"/>
    <w:rsid w:val="00D43600"/>
    <w:rsid w:val="00D43628"/>
    <w:rsid w:val="00D43631"/>
    <w:rsid w:val="00D43638"/>
    <w:rsid w:val="00D43761"/>
    <w:rsid w:val="00D4378F"/>
    <w:rsid w:val="00D437CB"/>
    <w:rsid w:val="00D437EA"/>
    <w:rsid w:val="00D437FC"/>
    <w:rsid w:val="00D43876"/>
    <w:rsid w:val="00D43A13"/>
    <w:rsid w:val="00D43A2F"/>
    <w:rsid w:val="00D43AAE"/>
    <w:rsid w:val="00D43AB5"/>
    <w:rsid w:val="00D43AC1"/>
    <w:rsid w:val="00D43AF2"/>
    <w:rsid w:val="00D43D5C"/>
    <w:rsid w:val="00D43E8C"/>
    <w:rsid w:val="00D4414B"/>
    <w:rsid w:val="00D441BD"/>
    <w:rsid w:val="00D441C9"/>
    <w:rsid w:val="00D44288"/>
    <w:rsid w:val="00D442E1"/>
    <w:rsid w:val="00D44361"/>
    <w:rsid w:val="00D44516"/>
    <w:rsid w:val="00D445B5"/>
    <w:rsid w:val="00D4464C"/>
    <w:rsid w:val="00D4492E"/>
    <w:rsid w:val="00D4494B"/>
    <w:rsid w:val="00D449D0"/>
    <w:rsid w:val="00D44AD2"/>
    <w:rsid w:val="00D44E00"/>
    <w:rsid w:val="00D44FFB"/>
    <w:rsid w:val="00D45119"/>
    <w:rsid w:val="00D4516B"/>
    <w:rsid w:val="00D452BE"/>
    <w:rsid w:val="00D4533D"/>
    <w:rsid w:val="00D453DB"/>
    <w:rsid w:val="00D45458"/>
    <w:rsid w:val="00D454B1"/>
    <w:rsid w:val="00D45534"/>
    <w:rsid w:val="00D455BD"/>
    <w:rsid w:val="00D456BB"/>
    <w:rsid w:val="00D45853"/>
    <w:rsid w:val="00D45896"/>
    <w:rsid w:val="00D45AD0"/>
    <w:rsid w:val="00D45C62"/>
    <w:rsid w:val="00D45D49"/>
    <w:rsid w:val="00D45DF9"/>
    <w:rsid w:val="00D45E26"/>
    <w:rsid w:val="00D45F0B"/>
    <w:rsid w:val="00D45FA2"/>
    <w:rsid w:val="00D45FDF"/>
    <w:rsid w:val="00D46019"/>
    <w:rsid w:val="00D4617E"/>
    <w:rsid w:val="00D462C5"/>
    <w:rsid w:val="00D463BB"/>
    <w:rsid w:val="00D463C1"/>
    <w:rsid w:val="00D464A6"/>
    <w:rsid w:val="00D464D1"/>
    <w:rsid w:val="00D4655F"/>
    <w:rsid w:val="00D465D9"/>
    <w:rsid w:val="00D4670C"/>
    <w:rsid w:val="00D4683F"/>
    <w:rsid w:val="00D4689E"/>
    <w:rsid w:val="00D468CE"/>
    <w:rsid w:val="00D46A3E"/>
    <w:rsid w:val="00D46A72"/>
    <w:rsid w:val="00D46AA4"/>
    <w:rsid w:val="00D46AD5"/>
    <w:rsid w:val="00D46C6B"/>
    <w:rsid w:val="00D46C89"/>
    <w:rsid w:val="00D46C90"/>
    <w:rsid w:val="00D46E1B"/>
    <w:rsid w:val="00D46F48"/>
    <w:rsid w:val="00D46F55"/>
    <w:rsid w:val="00D4708E"/>
    <w:rsid w:val="00D47104"/>
    <w:rsid w:val="00D47128"/>
    <w:rsid w:val="00D47176"/>
    <w:rsid w:val="00D4731A"/>
    <w:rsid w:val="00D4736B"/>
    <w:rsid w:val="00D47370"/>
    <w:rsid w:val="00D473DF"/>
    <w:rsid w:val="00D473E2"/>
    <w:rsid w:val="00D47499"/>
    <w:rsid w:val="00D47643"/>
    <w:rsid w:val="00D476B6"/>
    <w:rsid w:val="00D47755"/>
    <w:rsid w:val="00D477E1"/>
    <w:rsid w:val="00D47885"/>
    <w:rsid w:val="00D478B9"/>
    <w:rsid w:val="00D47923"/>
    <w:rsid w:val="00D47963"/>
    <w:rsid w:val="00D47A09"/>
    <w:rsid w:val="00D47A48"/>
    <w:rsid w:val="00D47A93"/>
    <w:rsid w:val="00D47AC8"/>
    <w:rsid w:val="00D47B01"/>
    <w:rsid w:val="00D47BF8"/>
    <w:rsid w:val="00D47C1A"/>
    <w:rsid w:val="00D47E0F"/>
    <w:rsid w:val="00D47E3B"/>
    <w:rsid w:val="00D47EE2"/>
    <w:rsid w:val="00D47F17"/>
    <w:rsid w:val="00D5005D"/>
    <w:rsid w:val="00D500CB"/>
    <w:rsid w:val="00D50146"/>
    <w:rsid w:val="00D5032A"/>
    <w:rsid w:val="00D50344"/>
    <w:rsid w:val="00D50375"/>
    <w:rsid w:val="00D50387"/>
    <w:rsid w:val="00D50406"/>
    <w:rsid w:val="00D504F4"/>
    <w:rsid w:val="00D5083B"/>
    <w:rsid w:val="00D50854"/>
    <w:rsid w:val="00D5094A"/>
    <w:rsid w:val="00D50A3F"/>
    <w:rsid w:val="00D50A9A"/>
    <w:rsid w:val="00D50B3E"/>
    <w:rsid w:val="00D50BB9"/>
    <w:rsid w:val="00D50C63"/>
    <w:rsid w:val="00D50E73"/>
    <w:rsid w:val="00D50F6D"/>
    <w:rsid w:val="00D50F85"/>
    <w:rsid w:val="00D50FC3"/>
    <w:rsid w:val="00D5119B"/>
    <w:rsid w:val="00D51211"/>
    <w:rsid w:val="00D5121D"/>
    <w:rsid w:val="00D51235"/>
    <w:rsid w:val="00D51381"/>
    <w:rsid w:val="00D51486"/>
    <w:rsid w:val="00D514B3"/>
    <w:rsid w:val="00D51568"/>
    <w:rsid w:val="00D5173E"/>
    <w:rsid w:val="00D51923"/>
    <w:rsid w:val="00D5192F"/>
    <w:rsid w:val="00D519BC"/>
    <w:rsid w:val="00D51A3A"/>
    <w:rsid w:val="00D51A62"/>
    <w:rsid w:val="00D51C42"/>
    <w:rsid w:val="00D51D4C"/>
    <w:rsid w:val="00D51D7D"/>
    <w:rsid w:val="00D51DC3"/>
    <w:rsid w:val="00D51EE9"/>
    <w:rsid w:val="00D52049"/>
    <w:rsid w:val="00D52086"/>
    <w:rsid w:val="00D522D6"/>
    <w:rsid w:val="00D522DD"/>
    <w:rsid w:val="00D52302"/>
    <w:rsid w:val="00D52320"/>
    <w:rsid w:val="00D52337"/>
    <w:rsid w:val="00D523DC"/>
    <w:rsid w:val="00D524DC"/>
    <w:rsid w:val="00D5257E"/>
    <w:rsid w:val="00D526EB"/>
    <w:rsid w:val="00D52828"/>
    <w:rsid w:val="00D5282D"/>
    <w:rsid w:val="00D52971"/>
    <w:rsid w:val="00D52993"/>
    <w:rsid w:val="00D52A3C"/>
    <w:rsid w:val="00D52BA5"/>
    <w:rsid w:val="00D52BC8"/>
    <w:rsid w:val="00D52BF8"/>
    <w:rsid w:val="00D52C4E"/>
    <w:rsid w:val="00D52C64"/>
    <w:rsid w:val="00D52C8A"/>
    <w:rsid w:val="00D52C99"/>
    <w:rsid w:val="00D52DE7"/>
    <w:rsid w:val="00D52E6D"/>
    <w:rsid w:val="00D52E79"/>
    <w:rsid w:val="00D52EE8"/>
    <w:rsid w:val="00D52F5C"/>
    <w:rsid w:val="00D52F5F"/>
    <w:rsid w:val="00D530E7"/>
    <w:rsid w:val="00D53103"/>
    <w:rsid w:val="00D53126"/>
    <w:rsid w:val="00D5324F"/>
    <w:rsid w:val="00D53258"/>
    <w:rsid w:val="00D53406"/>
    <w:rsid w:val="00D53408"/>
    <w:rsid w:val="00D53503"/>
    <w:rsid w:val="00D5357F"/>
    <w:rsid w:val="00D535AC"/>
    <w:rsid w:val="00D53714"/>
    <w:rsid w:val="00D5377B"/>
    <w:rsid w:val="00D53902"/>
    <w:rsid w:val="00D5393E"/>
    <w:rsid w:val="00D53AD0"/>
    <w:rsid w:val="00D53B06"/>
    <w:rsid w:val="00D53BA1"/>
    <w:rsid w:val="00D53C29"/>
    <w:rsid w:val="00D53C9A"/>
    <w:rsid w:val="00D53D8F"/>
    <w:rsid w:val="00D53DB6"/>
    <w:rsid w:val="00D53DED"/>
    <w:rsid w:val="00D53F51"/>
    <w:rsid w:val="00D53F94"/>
    <w:rsid w:val="00D53F9A"/>
    <w:rsid w:val="00D540EB"/>
    <w:rsid w:val="00D5435B"/>
    <w:rsid w:val="00D543A4"/>
    <w:rsid w:val="00D543B8"/>
    <w:rsid w:val="00D543DA"/>
    <w:rsid w:val="00D5447C"/>
    <w:rsid w:val="00D5448F"/>
    <w:rsid w:val="00D544B4"/>
    <w:rsid w:val="00D54661"/>
    <w:rsid w:val="00D546D7"/>
    <w:rsid w:val="00D5473B"/>
    <w:rsid w:val="00D5479D"/>
    <w:rsid w:val="00D54812"/>
    <w:rsid w:val="00D54948"/>
    <w:rsid w:val="00D54B2E"/>
    <w:rsid w:val="00D54B97"/>
    <w:rsid w:val="00D54C17"/>
    <w:rsid w:val="00D54C31"/>
    <w:rsid w:val="00D54D95"/>
    <w:rsid w:val="00D54E3C"/>
    <w:rsid w:val="00D55044"/>
    <w:rsid w:val="00D5506C"/>
    <w:rsid w:val="00D550D6"/>
    <w:rsid w:val="00D5520B"/>
    <w:rsid w:val="00D5522A"/>
    <w:rsid w:val="00D55232"/>
    <w:rsid w:val="00D55258"/>
    <w:rsid w:val="00D55272"/>
    <w:rsid w:val="00D5538B"/>
    <w:rsid w:val="00D553BB"/>
    <w:rsid w:val="00D553F0"/>
    <w:rsid w:val="00D55403"/>
    <w:rsid w:val="00D55424"/>
    <w:rsid w:val="00D5544E"/>
    <w:rsid w:val="00D554C5"/>
    <w:rsid w:val="00D556D6"/>
    <w:rsid w:val="00D556DF"/>
    <w:rsid w:val="00D55787"/>
    <w:rsid w:val="00D557D5"/>
    <w:rsid w:val="00D557F1"/>
    <w:rsid w:val="00D557F5"/>
    <w:rsid w:val="00D5584A"/>
    <w:rsid w:val="00D5595B"/>
    <w:rsid w:val="00D55A7C"/>
    <w:rsid w:val="00D55A9B"/>
    <w:rsid w:val="00D55BCA"/>
    <w:rsid w:val="00D55CA6"/>
    <w:rsid w:val="00D55EAE"/>
    <w:rsid w:val="00D55FEE"/>
    <w:rsid w:val="00D56047"/>
    <w:rsid w:val="00D5604B"/>
    <w:rsid w:val="00D56337"/>
    <w:rsid w:val="00D56553"/>
    <w:rsid w:val="00D56575"/>
    <w:rsid w:val="00D566BB"/>
    <w:rsid w:val="00D5673D"/>
    <w:rsid w:val="00D56841"/>
    <w:rsid w:val="00D56961"/>
    <w:rsid w:val="00D56999"/>
    <w:rsid w:val="00D56BE5"/>
    <w:rsid w:val="00D56CC4"/>
    <w:rsid w:val="00D56D6A"/>
    <w:rsid w:val="00D56DCE"/>
    <w:rsid w:val="00D56DFF"/>
    <w:rsid w:val="00D56E5A"/>
    <w:rsid w:val="00D56E5C"/>
    <w:rsid w:val="00D56E95"/>
    <w:rsid w:val="00D57034"/>
    <w:rsid w:val="00D571EE"/>
    <w:rsid w:val="00D571F8"/>
    <w:rsid w:val="00D57218"/>
    <w:rsid w:val="00D5727D"/>
    <w:rsid w:val="00D572D6"/>
    <w:rsid w:val="00D572DF"/>
    <w:rsid w:val="00D57339"/>
    <w:rsid w:val="00D57356"/>
    <w:rsid w:val="00D5737E"/>
    <w:rsid w:val="00D57406"/>
    <w:rsid w:val="00D574BB"/>
    <w:rsid w:val="00D57545"/>
    <w:rsid w:val="00D5765C"/>
    <w:rsid w:val="00D576BA"/>
    <w:rsid w:val="00D57752"/>
    <w:rsid w:val="00D577D1"/>
    <w:rsid w:val="00D5797C"/>
    <w:rsid w:val="00D579EB"/>
    <w:rsid w:val="00D57A15"/>
    <w:rsid w:val="00D57B27"/>
    <w:rsid w:val="00D57BBE"/>
    <w:rsid w:val="00D57C28"/>
    <w:rsid w:val="00D57D6B"/>
    <w:rsid w:val="00D57D6E"/>
    <w:rsid w:val="00D57DAD"/>
    <w:rsid w:val="00D57F0C"/>
    <w:rsid w:val="00D60021"/>
    <w:rsid w:val="00D60046"/>
    <w:rsid w:val="00D60178"/>
    <w:rsid w:val="00D60392"/>
    <w:rsid w:val="00D603D4"/>
    <w:rsid w:val="00D6042A"/>
    <w:rsid w:val="00D60546"/>
    <w:rsid w:val="00D60552"/>
    <w:rsid w:val="00D605B1"/>
    <w:rsid w:val="00D60692"/>
    <w:rsid w:val="00D60719"/>
    <w:rsid w:val="00D60742"/>
    <w:rsid w:val="00D60754"/>
    <w:rsid w:val="00D607E8"/>
    <w:rsid w:val="00D60922"/>
    <w:rsid w:val="00D60A24"/>
    <w:rsid w:val="00D60A85"/>
    <w:rsid w:val="00D60A93"/>
    <w:rsid w:val="00D60AB8"/>
    <w:rsid w:val="00D60AC6"/>
    <w:rsid w:val="00D60AD7"/>
    <w:rsid w:val="00D60B58"/>
    <w:rsid w:val="00D60CCC"/>
    <w:rsid w:val="00D60CEA"/>
    <w:rsid w:val="00D60D78"/>
    <w:rsid w:val="00D60EDB"/>
    <w:rsid w:val="00D6123A"/>
    <w:rsid w:val="00D6127A"/>
    <w:rsid w:val="00D6141B"/>
    <w:rsid w:val="00D61556"/>
    <w:rsid w:val="00D61743"/>
    <w:rsid w:val="00D61773"/>
    <w:rsid w:val="00D61B46"/>
    <w:rsid w:val="00D61B65"/>
    <w:rsid w:val="00D61BF2"/>
    <w:rsid w:val="00D61C12"/>
    <w:rsid w:val="00D61C35"/>
    <w:rsid w:val="00D61C94"/>
    <w:rsid w:val="00D61D93"/>
    <w:rsid w:val="00D61F4C"/>
    <w:rsid w:val="00D62068"/>
    <w:rsid w:val="00D62091"/>
    <w:rsid w:val="00D62153"/>
    <w:rsid w:val="00D621EC"/>
    <w:rsid w:val="00D623B4"/>
    <w:rsid w:val="00D623C4"/>
    <w:rsid w:val="00D6246C"/>
    <w:rsid w:val="00D6249E"/>
    <w:rsid w:val="00D624AD"/>
    <w:rsid w:val="00D62590"/>
    <w:rsid w:val="00D629CE"/>
    <w:rsid w:val="00D62A36"/>
    <w:rsid w:val="00D62A57"/>
    <w:rsid w:val="00D62B49"/>
    <w:rsid w:val="00D62CFC"/>
    <w:rsid w:val="00D62D61"/>
    <w:rsid w:val="00D62E9F"/>
    <w:rsid w:val="00D631D5"/>
    <w:rsid w:val="00D63202"/>
    <w:rsid w:val="00D6339E"/>
    <w:rsid w:val="00D633B8"/>
    <w:rsid w:val="00D634E0"/>
    <w:rsid w:val="00D63527"/>
    <w:rsid w:val="00D635DE"/>
    <w:rsid w:val="00D6375A"/>
    <w:rsid w:val="00D63862"/>
    <w:rsid w:val="00D63891"/>
    <w:rsid w:val="00D63A26"/>
    <w:rsid w:val="00D63A41"/>
    <w:rsid w:val="00D63A71"/>
    <w:rsid w:val="00D63AA6"/>
    <w:rsid w:val="00D63B68"/>
    <w:rsid w:val="00D63C51"/>
    <w:rsid w:val="00D63CE3"/>
    <w:rsid w:val="00D63D61"/>
    <w:rsid w:val="00D63FC3"/>
    <w:rsid w:val="00D63FDF"/>
    <w:rsid w:val="00D6401C"/>
    <w:rsid w:val="00D64051"/>
    <w:rsid w:val="00D640D0"/>
    <w:rsid w:val="00D640ED"/>
    <w:rsid w:val="00D64184"/>
    <w:rsid w:val="00D641AD"/>
    <w:rsid w:val="00D6436E"/>
    <w:rsid w:val="00D6437F"/>
    <w:rsid w:val="00D643DC"/>
    <w:rsid w:val="00D6442C"/>
    <w:rsid w:val="00D64513"/>
    <w:rsid w:val="00D6454E"/>
    <w:rsid w:val="00D64662"/>
    <w:rsid w:val="00D6471A"/>
    <w:rsid w:val="00D64892"/>
    <w:rsid w:val="00D648B8"/>
    <w:rsid w:val="00D648D1"/>
    <w:rsid w:val="00D648F8"/>
    <w:rsid w:val="00D64935"/>
    <w:rsid w:val="00D64968"/>
    <w:rsid w:val="00D64AC5"/>
    <w:rsid w:val="00D64B84"/>
    <w:rsid w:val="00D64BDE"/>
    <w:rsid w:val="00D64C2F"/>
    <w:rsid w:val="00D64C9B"/>
    <w:rsid w:val="00D64CB2"/>
    <w:rsid w:val="00D64E79"/>
    <w:rsid w:val="00D64F28"/>
    <w:rsid w:val="00D64FA5"/>
    <w:rsid w:val="00D64FF1"/>
    <w:rsid w:val="00D6503E"/>
    <w:rsid w:val="00D65206"/>
    <w:rsid w:val="00D65226"/>
    <w:rsid w:val="00D6523B"/>
    <w:rsid w:val="00D652EE"/>
    <w:rsid w:val="00D65371"/>
    <w:rsid w:val="00D653C4"/>
    <w:rsid w:val="00D654EB"/>
    <w:rsid w:val="00D655AB"/>
    <w:rsid w:val="00D656B2"/>
    <w:rsid w:val="00D657CC"/>
    <w:rsid w:val="00D657D2"/>
    <w:rsid w:val="00D657EB"/>
    <w:rsid w:val="00D658E9"/>
    <w:rsid w:val="00D6591D"/>
    <w:rsid w:val="00D65964"/>
    <w:rsid w:val="00D659D0"/>
    <w:rsid w:val="00D65B38"/>
    <w:rsid w:val="00D65BB7"/>
    <w:rsid w:val="00D65C3A"/>
    <w:rsid w:val="00D65C8A"/>
    <w:rsid w:val="00D65CBC"/>
    <w:rsid w:val="00D65E14"/>
    <w:rsid w:val="00D65E2F"/>
    <w:rsid w:val="00D65F99"/>
    <w:rsid w:val="00D66407"/>
    <w:rsid w:val="00D664FD"/>
    <w:rsid w:val="00D66505"/>
    <w:rsid w:val="00D6659D"/>
    <w:rsid w:val="00D665C5"/>
    <w:rsid w:val="00D66604"/>
    <w:rsid w:val="00D66693"/>
    <w:rsid w:val="00D6673B"/>
    <w:rsid w:val="00D6684E"/>
    <w:rsid w:val="00D669FF"/>
    <w:rsid w:val="00D66A05"/>
    <w:rsid w:val="00D66B99"/>
    <w:rsid w:val="00D66C5D"/>
    <w:rsid w:val="00D66CA3"/>
    <w:rsid w:val="00D66CBC"/>
    <w:rsid w:val="00D66ED3"/>
    <w:rsid w:val="00D66FA8"/>
    <w:rsid w:val="00D67009"/>
    <w:rsid w:val="00D67122"/>
    <w:rsid w:val="00D67148"/>
    <w:rsid w:val="00D671CC"/>
    <w:rsid w:val="00D671FF"/>
    <w:rsid w:val="00D6723C"/>
    <w:rsid w:val="00D6729B"/>
    <w:rsid w:val="00D672B9"/>
    <w:rsid w:val="00D674C5"/>
    <w:rsid w:val="00D674CF"/>
    <w:rsid w:val="00D6751E"/>
    <w:rsid w:val="00D676BE"/>
    <w:rsid w:val="00D678B2"/>
    <w:rsid w:val="00D678B6"/>
    <w:rsid w:val="00D6799A"/>
    <w:rsid w:val="00D67C86"/>
    <w:rsid w:val="00D67D10"/>
    <w:rsid w:val="00D67D58"/>
    <w:rsid w:val="00D67D62"/>
    <w:rsid w:val="00D67DF5"/>
    <w:rsid w:val="00D67E65"/>
    <w:rsid w:val="00D67FB5"/>
    <w:rsid w:val="00D70067"/>
    <w:rsid w:val="00D700D8"/>
    <w:rsid w:val="00D70260"/>
    <w:rsid w:val="00D7050E"/>
    <w:rsid w:val="00D7068D"/>
    <w:rsid w:val="00D7082F"/>
    <w:rsid w:val="00D7086D"/>
    <w:rsid w:val="00D7090C"/>
    <w:rsid w:val="00D70AC1"/>
    <w:rsid w:val="00D70AEC"/>
    <w:rsid w:val="00D70BA0"/>
    <w:rsid w:val="00D70CBC"/>
    <w:rsid w:val="00D70E37"/>
    <w:rsid w:val="00D70EC9"/>
    <w:rsid w:val="00D711AC"/>
    <w:rsid w:val="00D71235"/>
    <w:rsid w:val="00D7124A"/>
    <w:rsid w:val="00D7125F"/>
    <w:rsid w:val="00D712EB"/>
    <w:rsid w:val="00D713CF"/>
    <w:rsid w:val="00D7151A"/>
    <w:rsid w:val="00D715B6"/>
    <w:rsid w:val="00D71661"/>
    <w:rsid w:val="00D7166C"/>
    <w:rsid w:val="00D717AD"/>
    <w:rsid w:val="00D717D2"/>
    <w:rsid w:val="00D71812"/>
    <w:rsid w:val="00D7198D"/>
    <w:rsid w:val="00D71998"/>
    <w:rsid w:val="00D719F1"/>
    <w:rsid w:val="00D71B3C"/>
    <w:rsid w:val="00D71B6A"/>
    <w:rsid w:val="00D71B99"/>
    <w:rsid w:val="00D71B9A"/>
    <w:rsid w:val="00D71BFD"/>
    <w:rsid w:val="00D71C47"/>
    <w:rsid w:val="00D71CA1"/>
    <w:rsid w:val="00D71DBD"/>
    <w:rsid w:val="00D71DE2"/>
    <w:rsid w:val="00D71EB3"/>
    <w:rsid w:val="00D71ED0"/>
    <w:rsid w:val="00D71EF4"/>
    <w:rsid w:val="00D71FB8"/>
    <w:rsid w:val="00D71FC7"/>
    <w:rsid w:val="00D720F0"/>
    <w:rsid w:val="00D7211D"/>
    <w:rsid w:val="00D72189"/>
    <w:rsid w:val="00D7226E"/>
    <w:rsid w:val="00D7231F"/>
    <w:rsid w:val="00D72441"/>
    <w:rsid w:val="00D72455"/>
    <w:rsid w:val="00D724CD"/>
    <w:rsid w:val="00D727E6"/>
    <w:rsid w:val="00D728C8"/>
    <w:rsid w:val="00D72A11"/>
    <w:rsid w:val="00D72A45"/>
    <w:rsid w:val="00D72A76"/>
    <w:rsid w:val="00D72AE3"/>
    <w:rsid w:val="00D72AEC"/>
    <w:rsid w:val="00D72B21"/>
    <w:rsid w:val="00D72B6D"/>
    <w:rsid w:val="00D72BDB"/>
    <w:rsid w:val="00D72BFE"/>
    <w:rsid w:val="00D72C8E"/>
    <w:rsid w:val="00D72CB3"/>
    <w:rsid w:val="00D72E1D"/>
    <w:rsid w:val="00D72E65"/>
    <w:rsid w:val="00D72E6A"/>
    <w:rsid w:val="00D72FA5"/>
    <w:rsid w:val="00D73004"/>
    <w:rsid w:val="00D7301D"/>
    <w:rsid w:val="00D7302E"/>
    <w:rsid w:val="00D7303A"/>
    <w:rsid w:val="00D73192"/>
    <w:rsid w:val="00D731D9"/>
    <w:rsid w:val="00D7331A"/>
    <w:rsid w:val="00D733CE"/>
    <w:rsid w:val="00D73423"/>
    <w:rsid w:val="00D734D2"/>
    <w:rsid w:val="00D7352D"/>
    <w:rsid w:val="00D736C2"/>
    <w:rsid w:val="00D73715"/>
    <w:rsid w:val="00D737A9"/>
    <w:rsid w:val="00D7393B"/>
    <w:rsid w:val="00D739CB"/>
    <w:rsid w:val="00D73A10"/>
    <w:rsid w:val="00D73A78"/>
    <w:rsid w:val="00D73AED"/>
    <w:rsid w:val="00D73BD5"/>
    <w:rsid w:val="00D73C5E"/>
    <w:rsid w:val="00D73CB3"/>
    <w:rsid w:val="00D73D4B"/>
    <w:rsid w:val="00D73D4F"/>
    <w:rsid w:val="00D73ECB"/>
    <w:rsid w:val="00D73ECD"/>
    <w:rsid w:val="00D73F63"/>
    <w:rsid w:val="00D73F64"/>
    <w:rsid w:val="00D73F81"/>
    <w:rsid w:val="00D7408C"/>
    <w:rsid w:val="00D740B9"/>
    <w:rsid w:val="00D7411C"/>
    <w:rsid w:val="00D74152"/>
    <w:rsid w:val="00D741F0"/>
    <w:rsid w:val="00D7424F"/>
    <w:rsid w:val="00D74415"/>
    <w:rsid w:val="00D74455"/>
    <w:rsid w:val="00D746AA"/>
    <w:rsid w:val="00D74883"/>
    <w:rsid w:val="00D74B3A"/>
    <w:rsid w:val="00D74B41"/>
    <w:rsid w:val="00D74BD0"/>
    <w:rsid w:val="00D74C53"/>
    <w:rsid w:val="00D74CF3"/>
    <w:rsid w:val="00D74E38"/>
    <w:rsid w:val="00D74F1A"/>
    <w:rsid w:val="00D74FD7"/>
    <w:rsid w:val="00D75262"/>
    <w:rsid w:val="00D75263"/>
    <w:rsid w:val="00D75278"/>
    <w:rsid w:val="00D753A3"/>
    <w:rsid w:val="00D75484"/>
    <w:rsid w:val="00D75603"/>
    <w:rsid w:val="00D75642"/>
    <w:rsid w:val="00D7564A"/>
    <w:rsid w:val="00D75745"/>
    <w:rsid w:val="00D757E5"/>
    <w:rsid w:val="00D75881"/>
    <w:rsid w:val="00D7592E"/>
    <w:rsid w:val="00D75A7D"/>
    <w:rsid w:val="00D75AF5"/>
    <w:rsid w:val="00D75BE9"/>
    <w:rsid w:val="00D75C5D"/>
    <w:rsid w:val="00D75E46"/>
    <w:rsid w:val="00D75ECA"/>
    <w:rsid w:val="00D75EE6"/>
    <w:rsid w:val="00D75F21"/>
    <w:rsid w:val="00D75F32"/>
    <w:rsid w:val="00D75F5B"/>
    <w:rsid w:val="00D75FCF"/>
    <w:rsid w:val="00D75FD7"/>
    <w:rsid w:val="00D760A4"/>
    <w:rsid w:val="00D7613F"/>
    <w:rsid w:val="00D762B5"/>
    <w:rsid w:val="00D7635C"/>
    <w:rsid w:val="00D76378"/>
    <w:rsid w:val="00D76432"/>
    <w:rsid w:val="00D76472"/>
    <w:rsid w:val="00D7655D"/>
    <w:rsid w:val="00D7669F"/>
    <w:rsid w:val="00D766D6"/>
    <w:rsid w:val="00D76785"/>
    <w:rsid w:val="00D7678A"/>
    <w:rsid w:val="00D7678C"/>
    <w:rsid w:val="00D7679A"/>
    <w:rsid w:val="00D767B7"/>
    <w:rsid w:val="00D76893"/>
    <w:rsid w:val="00D769C4"/>
    <w:rsid w:val="00D769D1"/>
    <w:rsid w:val="00D769EA"/>
    <w:rsid w:val="00D769F4"/>
    <w:rsid w:val="00D76BFA"/>
    <w:rsid w:val="00D76C58"/>
    <w:rsid w:val="00D76CCF"/>
    <w:rsid w:val="00D76E74"/>
    <w:rsid w:val="00D76E8F"/>
    <w:rsid w:val="00D76ED3"/>
    <w:rsid w:val="00D76FF0"/>
    <w:rsid w:val="00D7701A"/>
    <w:rsid w:val="00D77133"/>
    <w:rsid w:val="00D77175"/>
    <w:rsid w:val="00D77206"/>
    <w:rsid w:val="00D772F2"/>
    <w:rsid w:val="00D773BA"/>
    <w:rsid w:val="00D77494"/>
    <w:rsid w:val="00D7757C"/>
    <w:rsid w:val="00D775E4"/>
    <w:rsid w:val="00D77603"/>
    <w:rsid w:val="00D7760F"/>
    <w:rsid w:val="00D77688"/>
    <w:rsid w:val="00D777DB"/>
    <w:rsid w:val="00D7782C"/>
    <w:rsid w:val="00D778CB"/>
    <w:rsid w:val="00D77986"/>
    <w:rsid w:val="00D779C3"/>
    <w:rsid w:val="00D77A01"/>
    <w:rsid w:val="00D77A16"/>
    <w:rsid w:val="00D77A4A"/>
    <w:rsid w:val="00D77B45"/>
    <w:rsid w:val="00D77C16"/>
    <w:rsid w:val="00D77D0A"/>
    <w:rsid w:val="00D77D6E"/>
    <w:rsid w:val="00D77DFC"/>
    <w:rsid w:val="00D77F3A"/>
    <w:rsid w:val="00D77F72"/>
    <w:rsid w:val="00D80272"/>
    <w:rsid w:val="00D8036C"/>
    <w:rsid w:val="00D804D1"/>
    <w:rsid w:val="00D80507"/>
    <w:rsid w:val="00D80529"/>
    <w:rsid w:val="00D807D0"/>
    <w:rsid w:val="00D808AF"/>
    <w:rsid w:val="00D80999"/>
    <w:rsid w:val="00D809AE"/>
    <w:rsid w:val="00D80A2B"/>
    <w:rsid w:val="00D80BED"/>
    <w:rsid w:val="00D80C7C"/>
    <w:rsid w:val="00D80D90"/>
    <w:rsid w:val="00D80E65"/>
    <w:rsid w:val="00D80F08"/>
    <w:rsid w:val="00D81088"/>
    <w:rsid w:val="00D81155"/>
    <w:rsid w:val="00D8115A"/>
    <w:rsid w:val="00D811AB"/>
    <w:rsid w:val="00D811AF"/>
    <w:rsid w:val="00D8123D"/>
    <w:rsid w:val="00D812C9"/>
    <w:rsid w:val="00D8142D"/>
    <w:rsid w:val="00D815A0"/>
    <w:rsid w:val="00D81689"/>
    <w:rsid w:val="00D817A2"/>
    <w:rsid w:val="00D817F7"/>
    <w:rsid w:val="00D81965"/>
    <w:rsid w:val="00D81A38"/>
    <w:rsid w:val="00D81AED"/>
    <w:rsid w:val="00D81C7A"/>
    <w:rsid w:val="00D81CAC"/>
    <w:rsid w:val="00D81D34"/>
    <w:rsid w:val="00D81DFF"/>
    <w:rsid w:val="00D81E82"/>
    <w:rsid w:val="00D81FAA"/>
    <w:rsid w:val="00D820DE"/>
    <w:rsid w:val="00D822E6"/>
    <w:rsid w:val="00D82314"/>
    <w:rsid w:val="00D823AB"/>
    <w:rsid w:val="00D82408"/>
    <w:rsid w:val="00D82479"/>
    <w:rsid w:val="00D824BF"/>
    <w:rsid w:val="00D82575"/>
    <w:rsid w:val="00D82682"/>
    <w:rsid w:val="00D826A1"/>
    <w:rsid w:val="00D826CB"/>
    <w:rsid w:val="00D8271C"/>
    <w:rsid w:val="00D827BA"/>
    <w:rsid w:val="00D82809"/>
    <w:rsid w:val="00D82816"/>
    <w:rsid w:val="00D828D5"/>
    <w:rsid w:val="00D82DD5"/>
    <w:rsid w:val="00D82E60"/>
    <w:rsid w:val="00D83073"/>
    <w:rsid w:val="00D83091"/>
    <w:rsid w:val="00D830AC"/>
    <w:rsid w:val="00D831D7"/>
    <w:rsid w:val="00D831E1"/>
    <w:rsid w:val="00D8321B"/>
    <w:rsid w:val="00D832B7"/>
    <w:rsid w:val="00D83559"/>
    <w:rsid w:val="00D835C5"/>
    <w:rsid w:val="00D8367D"/>
    <w:rsid w:val="00D8379B"/>
    <w:rsid w:val="00D837F2"/>
    <w:rsid w:val="00D83850"/>
    <w:rsid w:val="00D83871"/>
    <w:rsid w:val="00D8389F"/>
    <w:rsid w:val="00D83976"/>
    <w:rsid w:val="00D83A41"/>
    <w:rsid w:val="00D83A48"/>
    <w:rsid w:val="00D83AA1"/>
    <w:rsid w:val="00D83C21"/>
    <w:rsid w:val="00D83C3F"/>
    <w:rsid w:val="00D83CD4"/>
    <w:rsid w:val="00D83D82"/>
    <w:rsid w:val="00D83E14"/>
    <w:rsid w:val="00D83E5C"/>
    <w:rsid w:val="00D83EBC"/>
    <w:rsid w:val="00D83F0D"/>
    <w:rsid w:val="00D83FCA"/>
    <w:rsid w:val="00D83FEF"/>
    <w:rsid w:val="00D83FFC"/>
    <w:rsid w:val="00D8404A"/>
    <w:rsid w:val="00D843FE"/>
    <w:rsid w:val="00D8442C"/>
    <w:rsid w:val="00D84461"/>
    <w:rsid w:val="00D8454E"/>
    <w:rsid w:val="00D845FE"/>
    <w:rsid w:val="00D846BE"/>
    <w:rsid w:val="00D846F4"/>
    <w:rsid w:val="00D84797"/>
    <w:rsid w:val="00D847AF"/>
    <w:rsid w:val="00D848FB"/>
    <w:rsid w:val="00D84985"/>
    <w:rsid w:val="00D849F5"/>
    <w:rsid w:val="00D84ADE"/>
    <w:rsid w:val="00D84AE0"/>
    <w:rsid w:val="00D84BD8"/>
    <w:rsid w:val="00D84BFE"/>
    <w:rsid w:val="00D84D15"/>
    <w:rsid w:val="00D84F41"/>
    <w:rsid w:val="00D84F7B"/>
    <w:rsid w:val="00D84FAB"/>
    <w:rsid w:val="00D85089"/>
    <w:rsid w:val="00D850FA"/>
    <w:rsid w:val="00D85107"/>
    <w:rsid w:val="00D85141"/>
    <w:rsid w:val="00D85253"/>
    <w:rsid w:val="00D8526E"/>
    <w:rsid w:val="00D852F9"/>
    <w:rsid w:val="00D8539B"/>
    <w:rsid w:val="00D8547E"/>
    <w:rsid w:val="00D854D7"/>
    <w:rsid w:val="00D854F8"/>
    <w:rsid w:val="00D8550C"/>
    <w:rsid w:val="00D856CB"/>
    <w:rsid w:val="00D8579C"/>
    <w:rsid w:val="00D857B1"/>
    <w:rsid w:val="00D857DA"/>
    <w:rsid w:val="00D857DE"/>
    <w:rsid w:val="00D857E3"/>
    <w:rsid w:val="00D857F5"/>
    <w:rsid w:val="00D85807"/>
    <w:rsid w:val="00D858BA"/>
    <w:rsid w:val="00D8597C"/>
    <w:rsid w:val="00D85A2C"/>
    <w:rsid w:val="00D85AAF"/>
    <w:rsid w:val="00D85AF8"/>
    <w:rsid w:val="00D85B06"/>
    <w:rsid w:val="00D85BD9"/>
    <w:rsid w:val="00D85BF1"/>
    <w:rsid w:val="00D85CE6"/>
    <w:rsid w:val="00D85E42"/>
    <w:rsid w:val="00D86044"/>
    <w:rsid w:val="00D8607E"/>
    <w:rsid w:val="00D860CA"/>
    <w:rsid w:val="00D8618E"/>
    <w:rsid w:val="00D86221"/>
    <w:rsid w:val="00D86259"/>
    <w:rsid w:val="00D8625B"/>
    <w:rsid w:val="00D86315"/>
    <w:rsid w:val="00D86375"/>
    <w:rsid w:val="00D86401"/>
    <w:rsid w:val="00D86468"/>
    <w:rsid w:val="00D8656F"/>
    <w:rsid w:val="00D86706"/>
    <w:rsid w:val="00D86929"/>
    <w:rsid w:val="00D86AA0"/>
    <w:rsid w:val="00D86B0E"/>
    <w:rsid w:val="00D86C99"/>
    <w:rsid w:val="00D86DBA"/>
    <w:rsid w:val="00D86E0D"/>
    <w:rsid w:val="00D86E6E"/>
    <w:rsid w:val="00D86E86"/>
    <w:rsid w:val="00D87022"/>
    <w:rsid w:val="00D87042"/>
    <w:rsid w:val="00D87047"/>
    <w:rsid w:val="00D870A9"/>
    <w:rsid w:val="00D8713A"/>
    <w:rsid w:val="00D872BE"/>
    <w:rsid w:val="00D872F4"/>
    <w:rsid w:val="00D87330"/>
    <w:rsid w:val="00D8752F"/>
    <w:rsid w:val="00D875C4"/>
    <w:rsid w:val="00D876B9"/>
    <w:rsid w:val="00D876C6"/>
    <w:rsid w:val="00D87810"/>
    <w:rsid w:val="00D87AAB"/>
    <w:rsid w:val="00D87B4C"/>
    <w:rsid w:val="00D87B68"/>
    <w:rsid w:val="00D87BE5"/>
    <w:rsid w:val="00D87C68"/>
    <w:rsid w:val="00D87DEA"/>
    <w:rsid w:val="00D87E47"/>
    <w:rsid w:val="00D87EEB"/>
    <w:rsid w:val="00D87F35"/>
    <w:rsid w:val="00D9003F"/>
    <w:rsid w:val="00D90049"/>
    <w:rsid w:val="00D90076"/>
    <w:rsid w:val="00D90214"/>
    <w:rsid w:val="00D902BC"/>
    <w:rsid w:val="00D902EA"/>
    <w:rsid w:val="00D90425"/>
    <w:rsid w:val="00D904A3"/>
    <w:rsid w:val="00D904B2"/>
    <w:rsid w:val="00D904C1"/>
    <w:rsid w:val="00D904DE"/>
    <w:rsid w:val="00D9052C"/>
    <w:rsid w:val="00D905DE"/>
    <w:rsid w:val="00D905E9"/>
    <w:rsid w:val="00D90638"/>
    <w:rsid w:val="00D90713"/>
    <w:rsid w:val="00D90755"/>
    <w:rsid w:val="00D90775"/>
    <w:rsid w:val="00D907B4"/>
    <w:rsid w:val="00D908C0"/>
    <w:rsid w:val="00D90967"/>
    <w:rsid w:val="00D909AB"/>
    <w:rsid w:val="00D909FA"/>
    <w:rsid w:val="00D90A36"/>
    <w:rsid w:val="00D90B00"/>
    <w:rsid w:val="00D90BC0"/>
    <w:rsid w:val="00D90CB2"/>
    <w:rsid w:val="00D90D54"/>
    <w:rsid w:val="00D90FB3"/>
    <w:rsid w:val="00D90FBE"/>
    <w:rsid w:val="00D9101E"/>
    <w:rsid w:val="00D91120"/>
    <w:rsid w:val="00D911BE"/>
    <w:rsid w:val="00D91309"/>
    <w:rsid w:val="00D91352"/>
    <w:rsid w:val="00D914B5"/>
    <w:rsid w:val="00D91516"/>
    <w:rsid w:val="00D91632"/>
    <w:rsid w:val="00D9178D"/>
    <w:rsid w:val="00D917B9"/>
    <w:rsid w:val="00D91825"/>
    <w:rsid w:val="00D91847"/>
    <w:rsid w:val="00D918F8"/>
    <w:rsid w:val="00D919AB"/>
    <w:rsid w:val="00D919E2"/>
    <w:rsid w:val="00D91A11"/>
    <w:rsid w:val="00D91BB2"/>
    <w:rsid w:val="00D91BCF"/>
    <w:rsid w:val="00D91CF1"/>
    <w:rsid w:val="00D91D54"/>
    <w:rsid w:val="00D91E84"/>
    <w:rsid w:val="00D91F46"/>
    <w:rsid w:val="00D91FBF"/>
    <w:rsid w:val="00D91FC8"/>
    <w:rsid w:val="00D92005"/>
    <w:rsid w:val="00D92112"/>
    <w:rsid w:val="00D921B4"/>
    <w:rsid w:val="00D921D8"/>
    <w:rsid w:val="00D92296"/>
    <w:rsid w:val="00D923FE"/>
    <w:rsid w:val="00D925FD"/>
    <w:rsid w:val="00D92694"/>
    <w:rsid w:val="00D926F2"/>
    <w:rsid w:val="00D92709"/>
    <w:rsid w:val="00D92712"/>
    <w:rsid w:val="00D92977"/>
    <w:rsid w:val="00D92A68"/>
    <w:rsid w:val="00D92B85"/>
    <w:rsid w:val="00D92C02"/>
    <w:rsid w:val="00D92CFF"/>
    <w:rsid w:val="00D92E7A"/>
    <w:rsid w:val="00D92F5E"/>
    <w:rsid w:val="00D92FB7"/>
    <w:rsid w:val="00D92FC5"/>
    <w:rsid w:val="00D9305E"/>
    <w:rsid w:val="00D9324D"/>
    <w:rsid w:val="00D9324F"/>
    <w:rsid w:val="00D93430"/>
    <w:rsid w:val="00D934D6"/>
    <w:rsid w:val="00D934EE"/>
    <w:rsid w:val="00D9354B"/>
    <w:rsid w:val="00D9358D"/>
    <w:rsid w:val="00D935B8"/>
    <w:rsid w:val="00D93739"/>
    <w:rsid w:val="00D93783"/>
    <w:rsid w:val="00D93814"/>
    <w:rsid w:val="00D93A61"/>
    <w:rsid w:val="00D93A90"/>
    <w:rsid w:val="00D93BAC"/>
    <w:rsid w:val="00D93D2D"/>
    <w:rsid w:val="00D93D46"/>
    <w:rsid w:val="00D93DA9"/>
    <w:rsid w:val="00D93DEB"/>
    <w:rsid w:val="00D93E18"/>
    <w:rsid w:val="00D93E30"/>
    <w:rsid w:val="00D93E3D"/>
    <w:rsid w:val="00D93EC0"/>
    <w:rsid w:val="00D93F26"/>
    <w:rsid w:val="00D93F88"/>
    <w:rsid w:val="00D94049"/>
    <w:rsid w:val="00D94148"/>
    <w:rsid w:val="00D94160"/>
    <w:rsid w:val="00D941E9"/>
    <w:rsid w:val="00D942DC"/>
    <w:rsid w:val="00D94323"/>
    <w:rsid w:val="00D9439D"/>
    <w:rsid w:val="00D94430"/>
    <w:rsid w:val="00D9449A"/>
    <w:rsid w:val="00D944B8"/>
    <w:rsid w:val="00D94549"/>
    <w:rsid w:val="00D945C0"/>
    <w:rsid w:val="00D945CE"/>
    <w:rsid w:val="00D9467E"/>
    <w:rsid w:val="00D94800"/>
    <w:rsid w:val="00D948E1"/>
    <w:rsid w:val="00D9494C"/>
    <w:rsid w:val="00D9499E"/>
    <w:rsid w:val="00D94B08"/>
    <w:rsid w:val="00D94BA7"/>
    <w:rsid w:val="00D94C35"/>
    <w:rsid w:val="00D94C6F"/>
    <w:rsid w:val="00D94F7F"/>
    <w:rsid w:val="00D94FD0"/>
    <w:rsid w:val="00D94FF5"/>
    <w:rsid w:val="00D950D7"/>
    <w:rsid w:val="00D9513D"/>
    <w:rsid w:val="00D9521B"/>
    <w:rsid w:val="00D95507"/>
    <w:rsid w:val="00D956E1"/>
    <w:rsid w:val="00D957D2"/>
    <w:rsid w:val="00D95801"/>
    <w:rsid w:val="00D95804"/>
    <w:rsid w:val="00D9585C"/>
    <w:rsid w:val="00D959BE"/>
    <w:rsid w:val="00D95AD5"/>
    <w:rsid w:val="00D95B50"/>
    <w:rsid w:val="00D95B5B"/>
    <w:rsid w:val="00D95BD4"/>
    <w:rsid w:val="00D95C4D"/>
    <w:rsid w:val="00D95C6D"/>
    <w:rsid w:val="00D95D10"/>
    <w:rsid w:val="00D95D9E"/>
    <w:rsid w:val="00D95DEE"/>
    <w:rsid w:val="00D95E59"/>
    <w:rsid w:val="00D9606F"/>
    <w:rsid w:val="00D96086"/>
    <w:rsid w:val="00D9615A"/>
    <w:rsid w:val="00D9626C"/>
    <w:rsid w:val="00D962BD"/>
    <w:rsid w:val="00D96455"/>
    <w:rsid w:val="00D964E7"/>
    <w:rsid w:val="00D965A7"/>
    <w:rsid w:val="00D96634"/>
    <w:rsid w:val="00D966E6"/>
    <w:rsid w:val="00D96757"/>
    <w:rsid w:val="00D967B8"/>
    <w:rsid w:val="00D9685E"/>
    <w:rsid w:val="00D9689F"/>
    <w:rsid w:val="00D96949"/>
    <w:rsid w:val="00D96981"/>
    <w:rsid w:val="00D96982"/>
    <w:rsid w:val="00D969C3"/>
    <w:rsid w:val="00D96A54"/>
    <w:rsid w:val="00D96B14"/>
    <w:rsid w:val="00D96BC4"/>
    <w:rsid w:val="00D96C99"/>
    <w:rsid w:val="00D96DC2"/>
    <w:rsid w:val="00D96E0A"/>
    <w:rsid w:val="00D96EA5"/>
    <w:rsid w:val="00D96F0A"/>
    <w:rsid w:val="00D96F6F"/>
    <w:rsid w:val="00D97002"/>
    <w:rsid w:val="00D97025"/>
    <w:rsid w:val="00D97094"/>
    <w:rsid w:val="00D97185"/>
    <w:rsid w:val="00D972EA"/>
    <w:rsid w:val="00D97303"/>
    <w:rsid w:val="00D9735A"/>
    <w:rsid w:val="00D97393"/>
    <w:rsid w:val="00D97582"/>
    <w:rsid w:val="00D976AC"/>
    <w:rsid w:val="00D9790B"/>
    <w:rsid w:val="00D979CB"/>
    <w:rsid w:val="00D979E3"/>
    <w:rsid w:val="00D97ACA"/>
    <w:rsid w:val="00D97BA8"/>
    <w:rsid w:val="00D97C00"/>
    <w:rsid w:val="00D97CE0"/>
    <w:rsid w:val="00D97DCB"/>
    <w:rsid w:val="00D97E40"/>
    <w:rsid w:val="00D97F46"/>
    <w:rsid w:val="00DA00AC"/>
    <w:rsid w:val="00DA00E5"/>
    <w:rsid w:val="00DA0112"/>
    <w:rsid w:val="00DA0193"/>
    <w:rsid w:val="00DA022C"/>
    <w:rsid w:val="00DA0312"/>
    <w:rsid w:val="00DA0339"/>
    <w:rsid w:val="00DA034F"/>
    <w:rsid w:val="00DA043B"/>
    <w:rsid w:val="00DA0449"/>
    <w:rsid w:val="00DA04B5"/>
    <w:rsid w:val="00DA052B"/>
    <w:rsid w:val="00DA0699"/>
    <w:rsid w:val="00DA0724"/>
    <w:rsid w:val="00DA074E"/>
    <w:rsid w:val="00DA074F"/>
    <w:rsid w:val="00DA07C8"/>
    <w:rsid w:val="00DA086F"/>
    <w:rsid w:val="00DA091D"/>
    <w:rsid w:val="00DA09F7"/>
    <w:rsid w:val="00DA0A24"/>
    <w:rsid w:val="00DA0A40"/>
    <w:rsid w:val="00DA0A5F"/>
    <w:rsid w:val="00DA0A72"/>
    <w:rsid w:val="00DA0BA8"/>
    <w:rsid w:val="00DA0C03"/>
    <w:rsid w:val="00DA0C54"/>
    <w:rsid w:val="00DA0CEE"/>
    <w:rsid w:val="00DA0DEB"/>
    <w:rsid w:val="00DA0E66"/>
    <w:rsid w:val="00DA0F0B"/>
    <w:rsid w:val="00DA0F3B"/>
    <w:rsid w:val="00DA1213"/>
    <w:rsid w:val="00DA1232"/>
    <w:rsid w:val="00DA1466"/>
    <w:rsid w:val="00DA146E"/>
    <w:rsid w:val="00DA1502"/>
    <w:rsid w:val="00DA1642"/>
    <w:rsid w:val="00DA167F"/>
    <w:rsid w:val="00DA1680"/>
    <w:rsid w:val="00DA176B"/>
    <w:rsid w:val="00DA17AA"/>
    <w:rsid w:val="00DA17B2"/>
    <w:rsid w:val="00DA1912"/>
    <w:rsid w:val="00DA19DF"/>
    <w:rsid w:val="00DA1AE8"/>
    <w:rsid w:val="00DA1B06"/>
    <w:rsid w:val="00DA1B20"/>
    <w:rsid w:val="00DA1C03"/>
    <w:rsid w:val="00DA1C3F"/>
    <w:rsid w:val="00DA1C7B"/>
    <w:rsid w:val="00DA1CE0"/>
    <w:rsid w:val="00DA1D01"/>
    <w:rsid w:val="00DA1D2D"/>
    <w:rsid w:val="00DA1D79"/>
    <w:rsid w:val="00DA1E4F"/>
    <w:rsid w:val="00DA1EF8"/>
    <w:rsid w:val="00DA1F45"/>
    <w:rsid w:val="00DA1F63"/>
    <w:rsid w:val="00DA1FD4"/>
    <w:rsid w:val="00DA200F"/>
    <w:rsid w:val="00DA20A5"/>
    <w:rsid w:val="00DA20F8"/>
    <w:rsid w:val="00DA21D1"/>
    <w:rsid w:val="00DA21FF"/>
    <w:rsid w:val="00DA2241"/>
    <w:rsid w:val="00DA2329"/>
    <w:rsid w:val="00DA23B8"/>
    <w:rsid w:val="00DA242F"/>
    <w:rsid w:val="00DA261F"/>
    <w:rsid w:val="00DA273D"/>
    <w:rsid w:val="00DA284A"/>
    <w:rsid w:val="00DA285C"/>
    <w:rsid w:val="00DA28D2"/>
    <w:rsid w:val="00DA2ABA"/>
    <w:rsid w:val="00DA2B1E"/>
    <w:rsid w:val="00DA2B51"/>
    <w:rsid w:val="00DA2CFD"/>
    <w:rsid w:val="00DA2E1F"/>
    <w:rsid w:val="00DA2E56"/>
    <w:rsid w:val="00DA2F03"/>
    <w:rsid w:val="00DA3004"/>
    <w:rsid w:val="00DA3086"/>
    <w:rsid w:val="00DA3092"/>
    <w:rsid w:val="00DA3135"/>
    <w:rsid w:val="00DA324B"/>
    <w:rsid w:val="00DA3255"/>
    <w:rsid w:val="00DA3259"/>
    <w:rsid w:val="00DA32F3"/>
    <w:rsid w:val="00DA330F"/>
    <w:rsid w:val="00DA335D"/>
    <w:rsid w:val="00DA34B5"/>
    <w:rsid w:val="00DA357C"/>
    <w:rsid w:val="00DA3644"/>
    <w:rsid w:val="00DA3763"/>
    <w:rsid w:val="00DA383B"/>
    <w:rsid w:val="00DA394B"/>
    <w:rsid w:val="00DA39CF"/>
    <w:rsid w:val="00DA3A4C"/>
    <w:rsid w:val="00DA3B07"/>
    <w:rsid w:val="00DA3B91"/>
    <w:rsid w:val="00DA3C8E"/>
    <w:rsid w:val="00DA3D4D"/>
    <w:rsid w:val="00DA3D58"/>
    <w:rsid w:val="00DA3E86"/>
    <w:rsid w:val="00DA3EEA"/>
    <w:rsid w:val="00DA3F46"/>
    <w:rsid w:val="00DA3F49"/>
    <w:rsid w:val="00DA4013"/>
    <w:rsid w:val="00DA403B"/>
    <w:rsid w:val="00DA408A"/>
    <w:rsid w:val="00DA40C1"/>
    <w:rsid w:val="00DA41C0"/>
    <w:rsid w:val="00DA43A9"/>
    <w:rsid w:val="00DA448F"/>
    <w:rsid w:val="00DA4498"/>
    <w:rsid w:val="00DA4558"/>
    <w:rsid w:val="00DA4652"/>
    <w:rsid w:val="00DA4748"/>
    <w:rsid w:val="00DA480F"/>
    <w:rsid w:val="00DA488E"/>
    <w:rsid w:val="00DA48BC"/>
    <w:rsid w:val="00DA48C2"/>
    <w:rsid w:val="00DA494C"/>
    <w:rsid w:val="00DA4983"/>
    <w:rsid w:val="00DA4B2C"/>
    <w:rsid w:val="00DA4B4A"/>
    <w:rsid w:val="00DA4B5A"/>
    <w:rsid w:val="00DA4BEE"/>
    <w:rsid w:val="00DA4D4B"/>
    <w:rsid w:val="00DA4E40"/>
    <w:rsid w:val="00DA5015"/>
    <w:rsid w:val="00DA503B"/>
    <w:rsid w:val="00DA512B"/>
    <w:rsid w:val="00DA516E"/>
    <w:rsid w:val="00DA51BF"/>
    <w:rsid w:val="00DA52CA"/>
    <w:rsid w:val="00DA5386"/>
    <w:rsid w:val="00DA5474"/>
    <w:rsid w:val="00DA5504"/>
    <w:rsid w:val="00DA5573"/>
    <w:rsid w:val="00DA561C"/>
    <w:rsid w:val="00DA593F"/>
    <w:rsid w:val="00DA59BD"/>
    <w:rsid w:val="00DA5A33"/>
    <w:rsid w:val="00DA5B53"/>
    <w:rsid w:val="00DA5BE7"/>
    <w:rsid w:val="00DA5BEA"/>
    <w:rsid w:val="00DA5C62"/>
    <w:rsid w:val="00DA5DE3"/>
    <w:rsid w:val="00DA5E37"/>
    <w:rsid w:val="00DA5ED9"/>
    <w:rsid w:val="00DA5EDF"/>
    <w:rsid w:val="00DA6116"/>
    <w:rsid w:val="00DA61F7"/>
    <w:rsid w:val="00DA6202"/>
    <w:rsid w:val="00DA629A"/>
    <w:rsid w:val="00DA62FA"/>
    <w:rsid w:val="00DA632C"/>
    <w:rsid w:val="00DA6365"/>
    <w:rsid w:val="00DA65C0"/>
    <w:rsid w:val="00DA669E"/>
    <w:rsid w:val="00DA67F9"/>
    <w:rsid w:val="00DA6818"/>
    <w:rsid w:val="00DA681A"/>
    <w:rsid w:val="00DA682F"/>
    <w:rsid w:val="00DA68C1"/>
    <w:rsid w:val="00DA690D"/>
    <w:rsid w:val="00DA694D"/>
    <w:rsid w:val="00DA69C6"/>
    <w:rsid w:val="00DA6B11"/>
    <w:rsid w:val="00DA6B5E"/>
    <w:rsid w:val="00DA6B64"/>
    <w:rsid w:val="00DA6C28"/>
    <w:rsid w:val="00DA6C42"/>
    <w:rsid w:val="00DA6C71"/>
    <w:rsid w:val="00DA6C80"/>
    <w:rsid w:val="00DA6CD8"/>
    <w:rsid w:val="00DA6DCC"/>
    <w:rsid w:val="00DA6DEE"/>
    <w:rsid w:val="00DA6E22"/>
    <w:rsid w:val="00DA6E31"/>
    <w:rsid w:val="00DA6E4C"/>
    <w:rsid w:val="00DA7055"/>
    <w:rsid w:val="00DA7115"/>
    <w:rsid w:val="00DA7141"/>
    <w:rsid w:val="00DA714D"/>
    <w:rsid w:val="00DA717D"/>
    <w:rsid w:val="00DA726B"/>
    <w:rsid w:val="00DA7337"/>
    <w:rsid w:val="00DA73FC"/>
    <w:rsid w:val="00DA7568"/>
    <w:rsid w:val="00DA7634"/>
    <w:rsid w:val="00DA7675"/>
    <w:rsid w:val="00DA7774"/>
    <w:rsid w:val="00DA77C7"/>
    <w:rsid w:val="00DA77D8"/>
    <w:rsid w:val="00DA78B0"/>
    <w:rsid w:val="00DA798A"/>
    <w:rsid w:val="00DA7A37"/>
    <w:rsid w:val="00DA7AB9"/>
    <w:rsid w:val="00DA7B77"/>
    <w:rsid w:val="00DA7BBE"/>
    <w:rsid w:val="00DA7C08"/>
    <w:rsid w:val="00DA7CD9"/>
    <w:rsid w:val="00DA7D85"/>
    <w:rsid w:val="00DA7D94"/>
    <w:rsid w:val="00DA7E0B"/>
    <w:rsid w:val="00DA7E2F"/>
    <w:rsid w:val="00DA7F1F"/>
    <w:rsid w:val="00DA7FF8"/>
    <w:rsid w:val="00DB001E"/>
    <w:rsid w:val="00DB0051"/>
    <w:rsid w:val="00DB008E"/>
    <w:rsid w:val="00DB0144"/>
    <w:rsid w:val="00DB016B"/>
    <w:rsid w:val="00DB018F"/>
    <w:rsid w:val="00DB025E"/>
    <w:rsid w:val="00DB02DE"/>
    <w:rsid w:val="00DB0311"/>
    <w:rsid w:val="00DB0508"/>
    <w:rsid w:val="00DB0559"/>
    <w:rsid w:val="00DB0729"/>
    <w:rsid w:val="00DB07D4"/>
    <w:rsid w:val="00DB08E0"/>
    <w:rsid w:val="00DB0C05"/>
    <w:rsid w:val="00DB0C36"/>
    <w:rsid w:val="00DB0E0E"/>
    <w:rsid w:val="00DB0E25"/>
    <w:rsid w:val="00DB0ED4"/>
    <w:rsid w:val="00DB0FA9"/>
    <w:rsid w:val="00DB1006"/>
    <w:rsid w:val="00DB10E1"/>
    <w:rsid w:val="00DB1290"/>
    <w:rsid w:val="00DB12B5"/>
    <w:rsid w:val="00DB15C0"/>
    <w:rsid w:val="00DB16BB"/>
    <w:rsid w:val="00DB1776"/>
    <w:rsid w:val="00DB17F9"/>
    <w:rsid w:val="00DB1858"/>
    <w:rsid w:val="00DB18A7"/>
    <w:rsid w:val="00DB18C1"/>
    <w:rsid w:val="00DB1945"/>
    <w:rsid w:val="00DB1B28"/>
    <w:rsid w:val="00DB1B32"/>
    <w:rsid w:val="00DB1B70"/>
    <w:rsid w:val="00DB1BDE"/>
    <w:rsid w:val="00DB1C49"/>
    <w:rsid w:val="00DB1CF6"/>
    <w:rsid w:val="00DB1D8B"/>
    <w:rsid w:val="00DB1E5E"/>
    <w:rsid w:val="00DB1E81"/>
    <w:rsid w:val="00DB1EAB"/>
    <w:rsid w:val="00DB1EDB"/>
    <w:rsid w:val="00DB1EF3"/>
    <w:rsid w:val="00DB1F71"/>
    <w:rsid w:val="00DB1FA6"/>
    <w:rsid w:val="00DB2150"/>
    <w:rsid w:val="00DB21D4"/>
    <w:rsid w:val="00DB2264"/>
    <w:rsid w:val="00DB2271"/>
    <w:rsid w:val="00DB2273"/>
    <w:rsid w:val="00DB2302"/>
    <w:rsid w:val="00DB265B"/>
    <w:rsid w:val="00DB2828"/>
    <w:rsid w:val="00DB28D3"/>
    <w:rsid w:val="00DB28E7"/>
    <w:rsid w:val="00DB2C0D"/>
    <w:rsid w:val="00DB2CCB"/>
    <w:rsid w:val="00DB2DD5"/>
    <w:rsid w:val="00DB2DF3"/>
    <w:rsid w:val="00DB2E00"/>
    <w:rsid w:val="00DB2E16"/>
    <w:rsid w:val="00DB2E2E"/>
    <w:rsid w:val="00DB2E4E"/>
    <w:rsid w:val="00DB2EF1"/>
    <w:rsid w:val="00DB2FC3"/>
    <w:rsid w:val="00DB2FDC"/>
    <w:rsid w:val="00DB304D"/>
    <w:rsid w:val="00DB307D"/>
    <w:rsid w:val="00DB3093"/>
    <w:rsid w:val="00DB320A"/>
    <w:rsid w:val="00DB323F"/>
    <w:rsid w:val="00DB3418"/>
    <w:rsid w:val="00DB3485"/>
    <w:rsid w:val="00DB3523"/>
    <w:rsid w:val="00DB3559"/>
    <w:rsid w:val="00DB357E"/>
    <w:rsid w:val="00DB3705"/>
    <w:rsid w:val="00DB38F0"/>
    <w:rsid w:val="00DB3959"/>
    <w:rsid w:val="00DB399A"/>
    <w:rsid w:val="00DB3A84"/>
    <w:rsid w:val="00DB3C4C"/>
    <w:rsid w:val="00DB3CBB"/>
    <w:rsid w:val="00DB3CEA"/>
    <w:rsid w:val="00DB3D81"/>
    <w:rsid w:val="00DB3FCC"/>
    <w:rsid w:val="00DB3FE4"/>
    <w:rsid w:val="00DB3FF2"/>
    <w:rsid w:val="00DB40E2"/>
    <w:rsid w:val="00DB4186"/>
    <w:rsid w:val="00DB430B"/>
    <w:rsid w:val="00DB43B2"/>
    <w:rsid w:val="00DB4556"/>
    <w:rsid w:val="00DB4583"/>
    <w:rsid w:val="00DB4629"/>
    <w:rsid w:val="00DB4696"/>
    <w:rsid w:val="00DB46E8"/>
    <w:rsid w:val="00DB4760"/>
    <w:rsid w:val="00DB4A50"/>
    <w:rsid w:val="00DB4AA5"/>
    <w:rsid w:val="00DB4AB2"/>
    <w:rsid w:val="00DB4AC5"/>
    <w:rsid w:val="00DB4AF8"/>
    <w:rsid w:val="00DB4B6D"/>
    <w:rsid w:val="00DB4C3D"/>
    <w:rsid w:val="00DB4CA7"/>
    <w:rsid w:val="00DB4D15"/>
    <w:rsid w:val="00DB4D21"/>
    <w:rsid w:val="00DB4EAF"/>
    <w:rsid w:val="00DB4FB1"/>
    <w:rsid w:val="00DB505B"/>
    <w:rsid w:val="00DB5203"/>
    <w:rsid w:val="00DB5238"/>
    <w:rsid w:val="00DB52DF"/>
    <w:rsid w:val="00DB53D8"/>
    <w:rsid w:val="00DB5427"/>
    <w:rsid w:val="00DB549B"/>
    <w:rsid w:val="00DB57A1"/>
    <w:rsid w:val="00DB57B4"/>
    <w:rsid w:val="00DB58A6"/>
    <w:rsid w:val="00DB5960"/>
    <w:rsid w:val="00DB5A29"/>
    <w:rsid w:val="00DB5A53"/>
    <w:rsid w:val="00DB5B95"/>
    <w:rsid w:val="00DB5B96"/>
    <w:rsid w:val="00DB5BB4"/>
    <w:rsid w:val="00DB5C17"/>
    <w:rsid w:val="00DB5C35"/>
    <w:rsid w:val="00DB5C72"/>
    <w:rsid w:val="00DB5C82"/>
    <w:rsid w:val="00DB5D1D"/>
    <w:rsid w:val="00DB5D66"/>
    <w:rsid w:val="00DB5D98"/>
    <w:rsid w:val="00DB5F1A"/>
    <w:rsid w:val="00DB5F39"/>
    <w:rsid w:val="00DB60C0"/>
    <w:rsid w:val="00DB6107"/>
    <w:rsid w:val="00DB624D"/>
    <w:rsid w:val="00DB628D"/>
    <w:rsid w:val="00DB6310"/>
    <w:rsid w:val="00DB65FA"/>
    <w:rsid w:val="00DB6631"/>
    <w:rsid w:val="00DB6702"/>
    <w:rsid w:val="00DB67B7"/>
    <w:rsid w:val="00DB67E9"/>
    <w:rsid w:val="00DB6827"/>
    <w:rsid w:val="00DB684C"/>
    <w:rsid w:val="00DB68B5"/>
    <w:rsid w:val="00DB68FC"/>
    <w:rsid w:val="00DB697C"/>
    <w:rsid w:val="00DB6B17"/>
    <w:rsid w:val="00DB6B23"/>
    <w:rsid w:val="00DB6B39"/>
    <w:rsid w:val="00DB6BBD"/>
    <w:rsid w:val="00DB6BFF"/>
    <w:rsid w:val="00DB6DC7"/>
    <w:rsid w:val="00DB6E84"/>
    <w:rsid w:val="00DB6EDD"/>
    <w:rsid w:val="00DB70F6"/>
    <w:rsid w:val="00DB720D"/>
    <w:rsid w:val="00DB7375"/>
    <w:rsid w:val="00DB7377"/>
    <w:rsid w:val="00DB73A0"/>
    <w:rsid w:val="00DB7447"/>
    <w:rsid w:val="00DB74EA"/>
    <w:rsid w:val="00DB74FB"/>
    <w:rsid w:val="00DB750B"/>
    <w:rsid w:val="00DB75AB"/>
    <w:rsid w:val="00DB75FA"/>
    <w:rsid w:val="00DB7644"/>
    <w:rsid w:val="00DB7938"/>
    <w:rsid w:val="00DB796B"/>
    <w:rsid w:val="00DB79BD"/>
    <w:rsid w:val="00DB79F1"/>
    <w:rsid w:val="00DB7A82"/>
    <w:rsid w:val="00DB7AA9"/>
    <w:rsid w:val="00DB7BD0"/>
    <w:rsid w:val="00DB7BD6"/>
    <w:rsid w:val="00DB7C0F"/>
    <w:rsid w:val="00DB7CEA"/>
    <w:rsid w:val="00DB7D1C"/>
    <w:rsid w:val="00DB7DEC"/>
    <w:rsid w:val="00DB7E17"/>
    <w:rsid w:val="00DC0066"/>
    <w:rsid w:val="00DC0095"/>
    <w:rsid w:val="00DC0212"/>
    <w:rsid w:val="00DC0221"/>
    <w:rsid w:val="00DC027B"/>
    <w:rsid w:val="00DC02E2"/>
    <w:rsid w:val="00DC03E9"/>
    <w:rsid w:val="00DC05D6"/>
    <w:rsid w:val="00DC06D3"/>
    <w:rsid w:val="00DC06FC"/>
    <w:rsid w:val="00DC073F"/>
    <w:rsid w:val="00DC0791"/>
    <w:rsid w:val="00DC0839"/>
    <w:rsid w:val="00DC0840"/>
    <w:rsid w:val="00DC08BA"/>
    <w:rsid w:val="00DC0A21"/>
    <w:rsid w:val="00DC0ABE"/>
    <w:rsid w:val="00DC0B3F"/>
    <w:rsid w:val="00DC0B6F"/>
    <w:rsid w:val="00DC0C93"/>
    <w:rsid w:val="00DC0D9A"/>
    <w:rsid w:val="00DC0DC7"/>
    <w:rsid w:val="00DC0F06"/>
    <w:rsid w:val="00DC0FF5"/>
    <w:rsid w:val="00DC1030"/>
    <w:rsid w:val="00DC10AE"/>
    <w:rsid w:val="00DC12A9"/>
    <w:rsid w:val="00DC1350"/>
    <w:rsid w:val="00DC151E"/>
    <w:rsid w:val="00DC1587"/>
    <w:rsid w:val="00DC15DB"/>
    <w:rsid w:val="00DC1663"/>
    <w:rsid w:val="00DC16E1"/>
    <w:rsid w:val="00DC16EE"/>
    <w:rsid w:val="00DC1752"/>
    <w:rsid w:val="00DC18CB"/>
    <w:rsid w:val="00DC1A21"/>
    <w:rsid w:val="00DC1B5A"/>
    <w:rsid w:val="00DC1C90"/>
    <w:rsid w:val="00DC1CCB"/>
    <w:rsid w:val="00DC1D20"/>
    <w:rsid w:val="00DC1FD3"/>
    <w:rsid w:val="00DC2023"/>
    <w:rsid w:val="00DC2039"/>
    <w:rsid w:val="00DC2081"/>
    <w:rsid w:val="00DC2202"/>
    <w:rsid w:val="00DC222E"/>
    <w:rsid w:val="00DC226A"/>
    <w:rsid w:val="00DC22D0"/>
    <w:rsid w:val="00DC2325"/>
    <w:rsid w:val="00DC2339"/>
    <w:rsid w:val="00DC2380"/>
    <w:rsid w:val="00DC23D1"/>
    <w:rsid w:val="00DC23E8"/>
    <w:rsid w:val="00DC2482"/>
    <w:rsid w:val="00DC248D"/>
    <w:rsid w:val="00DC2529"/>
    <w:rsid w:val="00DC25DC"/>
    <w:rsid w:val="00DC2690"/>
    <w:rsid w:val="00DC2857"/>
    <w:rsid w:val="00DC2A47"/>
    <w:rsid w:val="00DC2AB9"/>
    <w:rsid w:val="00DC2AEC"/>
    <w:rsid w:val="00DC2C8C"/>
    <w:rsid w:val="00DC2CA9"/>
    <w:rsid w:val="00DC2CDA"/>
    <w:rsid w:val="00DC2D0B"/>
    <w:rsid w:val="00DC2D0E"/>
    <w:rsid w:val="00DC2D51"/>
    <w:rsid w:val="00DC2E0E"/>
    <w:rsid w:val="00DC2E23"/>
    <w:rsid w:val="00DC2EF0"/>
    <w:rsid w:val="00DC2F2E"/>
    <w:rsid w:val="00DC2F3B"/>
    <w:rsid w:val="00DC3028"/>
    <w:rsid w:val="00DC3063"/>
    <w:rsid w:val="00DC3078"/>
    <w:rsid w:val="00DC309B"/>
    <w:rsid w:val="00DC309F"/>
    <w:rsid w:val="00DC30B2"/>
    <w:rsid w:val="00DC30F2"/>
    <w:rsid w:val="00DC313D"/>
    <w:rsid w:val="00DC32FA"/>
    <w:rsid w:val="00DC334A"/>
    <w:rsid w:val="00DC3356"/>
    <w:rsid w:val="00DC3385"/>
    <w:rsid w:val="00DC3388"/>
    <w:rsid w:val="00DC339C"/>
    <w:rsid w:val="00DC33EA"/>
    <w:rsid w:val="00DC340B"/>
    <w:rsid w:val="00DC3426"/>
    <w:rsid w:val="00DC3455"/>
    <w:rsid w:val="00DC34AC"/>
    <w:rsid w:val="00DC3536"/>
    <w:rsid w:val="00DC3708"/>
    <w:rsid w:val="00DC370D"/>
    <w:rsid w:val="00DC3802"/>
    <w:rsid w:val="00DC3826"/>
    <w:rsid w:val="00DC3941"/>
    <w:rsid w:val="00DC395F"/>
    <w:rsid w:val="00DC3961"/>
    <w:rsid w:val="00DC3A62"/>
    <w:rsid w:val="00DC3A9B"/>
    <w:rsid w:val="00DC3D22"/>
    <w:rsid w:val="00DC3D60"/>
    <w:rsid w:val="00DC3DED"/>
    <w:rsid w:val="00DC3F30"/>
    <w:rsid w:val="00DC3F65"/>
    <w:rsid w:val="00DC3F8A"/>
    <w:rsid w:val="00DC42D4"/>
    <w:rsid w:val="00DC4462"/>
    <w:rsid w:val="00DC452E"/>
    <w:rsid w:val="00DC4666"/>
    <w:rsid w:val="00DC4713"/>
    <w:rsid w:val="00DC487D"/>
    <w:rsid w:val="00DC489E"/>
    <w:rsid w:val="00DC498F"/>
    <w:rsid w:val="00DC4CAF"/>
    <w:rsid w:val="00DC4DA7"/>
    <w:rsid w:val="00DC50CB"/>
    <w:rsid w:val="00DC5224"/>
    <w:rsid w:val="00DC52F5"/>
    <w:rsid w:val="00DC52FC"/>
    <w:rsid w:val="00DC5527"/>
    <w:rsid w:val="00DC55A8"/>
    <w:rsid w:val="00DC55DB"/>
    <w:rsid w:val="00DC57B1"/>
    <w:rsid w:val="00DC57EF"/>
    <w:rsid w:val="00DC583C"/>
    <w:rsid w:val="00DC59C2"/>
    <w:rsid w:val="00DC5CD5"/>
    <w:rsid w:val="00DC5DE8"/>
    <w:rsid w:val="00DC5E6B"/>
    <w:rsid w:val="00DC5E6E"/>
    <w:rsid w:val="00DC5FC6"/>
    <w:rsid w:val="00DC60BF"/>
    <w:rsid w:val="00DC62FF"/>
    <w:rsid w:val="00DC6354"/>
    <w:rsid w:val="00DC63BC"/>
    <w:rsid w:val="00DC643B"/>
    <w:rsid w:val="00DC6598"/>
    <w:rsid w:val="00DC66F8"/>
    <w:rsid w:val="00DC6A13"/>
    <w:rsid w:val="00DC6AC0"/>
    <w:rsid w:val="00DC6BCB"/>
    <w:rsid w:val="00DC6C4A"/>
    <w:rsid w:val="00DC6EF7"/>
    <w:rsid w:val="00DC7039"/>
    <w:rsid w:val="00DC7103"/>
    <w:rsid w:val="00DC72D5"/>
    <w:rsid w:val="00DC7367"/>
    <w:rsid w:val="00DC748F"/>
    <w:rsid w:val="00DC7581"/>
    <w:rsid w:val="00DC75A8"/>
    <w:rsid w:val="00DC7609"/>
    <w:rsid w:val="00DC76BD"/>
    <w:rsid w:val="00DC773C"/>
    <w:rsid w:val="00DC7AB4"/>
    <w:rsid w:val="00DC7B2D"/>
    <w:rsid w:val="00DC7B51"/>
    <w:rsid w:val="00DC7C1E"/>
    <w:rsid w:val="00DC7C5D"/>
    <w:rsid w:val="00DC7CDD"/>
    <w:rsid w:val="00DC7FC1"/>
    <w:rsid w:val="00DD013E"/>
    <w:rsid w:val="00DD0199"/>
    <w:rsid w:val="00DD036D"/>
    <w:rsid w:val="00DD040E"/>
    <w:rsid w:val="00DD041E"/>
    <w:rsid w:val="00DD0484"/>
    <w:rsid w:val="00DD04EE"/>
    <w:rsid w:val="00DD05F9"/>
    <w:rsid w:val="00DD064B"/>
    <w:rsid w:val="00DD0755"/>
    <w:rsid w:val="00DD096D"/>
    <w:rsid w:val="00DD0972"/>
    <w:rsid w:val="00DD09A0"/>
    <w:rsid w:val="00DD0A54"/>
    <w:rsid w:val="00DD0B7F"/>
    <w:rsid w:val="00DD0BC1"/>
    <w:rsid w:val="00DD0BF6"/>
    <w:rsid w:val="00DD0C75"/>
    <w:rsid w:val="00DD0E76"/>
    <w:rsid w:val="00DD0E8D"/>
    <w:rsid w:val="00DD0EF1"/>
    <w:rsid w:val="00DD0F1D"/>
    <w:rsid w:val="00DD0FA4"/>
    <w:rsid w:val="00DD0FAE"/>
    <w:rsid w:val="00DD0FC4"/>
    <w:rsid w:val="00DD1053"/>
    <w:rsid w:val="00DD105C"/>
    <w:rsid w:val="00DD110F"/>
    <w:rsid w:val="00DD119D"/>
    <w:rsid w:val="00DD124B"/>
    <w:rsid w:val="00DD1368"/>
    <w:rsid w:val="00DD143A"/>
    <w:rsid w:val="00DD145B"/>
    <w:rsid w:val="00DD155C"/>
    <w:rsid w:val="00DD1602"/>
    <w:rsid w:val="00DD1647"/>
    <w:rsid w:val="00DD1906"/>
    <w:rsid w:val="00DD197F"/>
    <w:rsid w:val="00DD19E7"/>
    <w:rsid w:val="00DD1C09"/>
    <w:rsid w:val="00DD1ED9"/>
    <w:rsid w:val="00DD1F16"/>
    <w:rsid w:val="00DD1F42"/>
    <w:rsid w:val="00DD20E1"/>
    <w:rsid w:val="00DD21CA"/>
    <w:rsid w:val="00DD221D"/>
    <w:rsid w:val="00DD2521"/>
    <w:rsid w:val="00DD264C"/>
    <w:rsid w:val="00DD27A3"/>
    <w:rsid w:val="00DD2846"/>
    <w:rsid w:val="00DD2A91"/>
    <w:rsid w:val="00DD2AD5"/>
    <w:rsid w:val="00DD2AE7"/>
    <w:rsid w:val="00DD2BE7"/>
    <w:rsid w:val="00DD2C02"/>
    <w:rsid w:val="00DD2C75"/>
    <w:rsid w:val="00DD2C7E"/>
    <w:rsid w:val="00DD2C9B"/>
    <w:rsid w:val="00DD2CAA"/>
    <w:rsid w:val="00DD2D53"/>
    <w:rsid w:val="00DD2E12"/>
    <w:rsid w:val="00DD2E33"/>
    <w:rsid w:val="00DD2F7F"/>
    <w:rsid w:val="00DD314C"/>
    <w:rsid w:val="00DD329F"/>
    <w:rsid w:val="00DD3338"/>
    <w:rsid w:val="00DD339D"/>
    <w:rsid w:val="00DD33E4"/>
    <w:rsid w:val="00DD3560"/>
    <w:rsid w:val="00DD3581"/>
    <w:rsid w:val="00DD35F4"/>
    <w:rsid w:val="00DD3728"/>
    <w:rsid w:val="00DD38CA"/>
    <w:rsid w:val="00DD3929"/>
    <w:rsid w:val="00DD3974"/>
    <w:rsid w:val="00DD39A4"/>
    <w:rsid w:val="00DD39CB"/>
    <w:rsid w:val="00DD3A93"/>
    <w:rsid w:val="00DD3AA4"/>
    <w:rsid w:val="00DD3C54"/>
    <w:rsid w:val="00DD3C5E"/>
    <w:rsid w:val="00DD3EDF"/>
    <w:rsid w:val="00DD3F4A"/>
    <w:rsid w:val="00DD3F82"/>
    <w:rsid w:val="00DD3FE3"/>
    <w:rsid w:val="00DD4042"/>
    <w:rsid w:val="00DD40DB"/>
    <w:rsid w:val="00DD40E6"/>
    <w:rsid w:val="00DD4200"/>
    <w:rsid w:val="00DD4220"/>
    <w:rsid w:val="00DD4341"/>
    <w:rsid w:val="00DD4469"/>
    <w:rsid w:val="00DD4536"/>
    <w:rsid w:val="00DD4564"/>
    <w:rsid w:val="00DD45EB"/>
    <w:rsid w:val="00DD46C4"/>
    <w:rsid w:val="00DD46F4"/>
    <w:rsid w:val="00DD46F8"/>
    <w:rsid w:val="00DD4800"/>
    <w:rsid w:val="00DD488C"/>
    <w:rsid w:val="00DD48B9"/>
    <w:rsid w:val="00DD4904"/>
    <w:rsid w:val="00DD49EB"/>
    <w:rsid w:val="00DD4A7F"/>
    <w:rsid w:val="00DD4BA2"/>
    <w:rsid w:val="00DD4BC6"/>
    <w:rsid w:val="00DD4BEB"/>
    <w:rsid w:val="00DD4DB1"/>
    <w:rsid w:val="00DD4DD6"/>
    <w:rsid w:val="00DD4E78"/>
    <w:rsid w:val="00DD4EC6"/>
    <w:rsid w:val="00DD4ED7"/>
    <w:rsid w:val="00DD4FC7"/>
    <w:rsid w:val="00DD4FF9"/>
    <w:rsid w:val="00DD500D"/>
    <w:rsid w:val="00DD5085"/>
    <w:rsid w:val="00DD5182"/>
    <w:rsid w:val="00DD52DC"/>
    <w:rsid w:val="00DD52EB"/>
    <w:rsid w:val="00DD54DD"/>
    <w:rsid w:val="00DD5528"/>
    <w:rsid w:val="00DD5628"/>
    <w:rsid w:val="00DD5694"/>
    <w:rsid w:val="00DD56BC"/>
    <w:rsid w:val="00DD57C6"/>
    <w:rsid w:val="00DD5970"/>
    <w:rsid w:val="00DD59D8"/>
    <w:rsid w:val="00DD5A10"/>
    <w:rsid w:val="00DD5B93"/>
    <w:rsid w:val="00DD5C04"/>
    <w:rsid w:val="00DD5C23"/>
    <w:rsid w:val="00DD5C40"/>
    <w:rsid w:val="00DD5D8A"/>
    <w:rsid w:val="00DD5E91"/>
    <w:rsid w:val="00DD5E9D"/>
    <w:rsid w:val="00DD5F73"/>
    <w:rsid w:val="00DD5FA8"/>
    <w:rsid w:val="00DD5FED"/>
    <w:rsid w:val="00DD5FF2"/>
    <w:rsid w:val="00DD6051"/>
    <w:rsid w:val="00DD6059"/>
    <w:rsid w:val="00DD6094"/>
    <w:rsid w:val="00DD60B2"/>
    <w:rsid w:val="00DD60F0"/>
    <w:rsid w:val="00DD61C1"/>
    <w:rsid w:val="00DD6252"/>
    <w:rsid w:val="00DD62BF"/>
    <w:rsid w:val="00DD62D3"/>
    <w:rsid w:val="00DD631F"/>
    <w:rsid w:val="00DD63A1"/>
    <w:rsid w:val="00DD63B4"/>
    <w:rsid w:val="00DD63EF"/>
    <w:rsid w:val="00DD644A"/>
    <w:rsid w:val="00DD6485"/>
    <w:rsid w:val="00DD64C3"/>
    <w:rsid w:val="00DD65E4"/>
    <w:rsid w:val="00DD66AD"/>
    <w:rsid w:val="00DD6817"/>
    <w:rsid w:val="00DD686F"/>
    <w:rsid w:val="00DD6956"/>
    <w:rsid w:val="00DD69A3"/>
    <w:rsid w:val="00DD69C2"/>
    <w:rsid w:val="00DD6A06"/>
    <w:rsid w:val="00DD6AD5"/>
    <w:rsid w:val="00DD6BFC"/>
    <w:rsid w:val="00DD6C12"/>
    <w:rsid w:val="00DD6D6A"/>
    <w:rsid w:val="00DD6E93"/>
    <w:rsid w:val="00DD6F25"/>
    <w:rsid w:val="00DD6FF5"/>
    <w:rsid w:val="00DD704B"/>
    <w:rsid w:val="00DD70B2"/>
    <w:rsid w:val="00DD7262"/>
    <w:rsid w:val="00DD72A8"/>
    <w:rsid w:val="00DD72AF"/>
    <w:rsid w:val="00DD72BC"/>
    <w:rsid w:val="00DD74D0"/>
    <w:rsid w:val="00DD74D2"/>
    <w:rsid w:val="00DD7687"/>
    <w:rsid w:val="00DD76C8"/>
    <w:rsid w:val="00DD76F5"/>
    <w:rsid w:val="00DD7983"/>
    <w:rsid w:val="00DD79F9"/>
    <w:rsid w:val="00DD7A46"/>
    <w:rsid w:val="00DD7A91"/>
    <w:rsid w:val="00DD7AC2"/>
    <w:rsid w:val="00DD7AD4"/>
    <w:rsid w:val="00DD7B63"/>
    <w:rsid w:val="00DD7B66"/>
    <w:rsid w:val="00DD7BF9"/>
    <w:rsid w:val="00DD7C66"/>
    <w:rsid w:val="00DD7CB9"/>
    <w:rsid w:val="00DD7CF3"/>
    <w:rsid w:val="00DD7D95"/>
    <w:rsid w:val="00DD7DBD"/>
    <w:rsid w:val="00DD7DD7"/>
    <w:rsid w:val="00DD7E4A"/>
    <w:rsid w:val="00DD7F52"/>
    <w:rsid w:val="00DE0034"/>
    <w:rsid w:val="00DE00AE"/>
    <w:rsid w:val="00DE00D3"/>
    <w:rsid w:val="00DE00DC"/>
    <w:rsid w:val="00DE00F7"/>
    <w:rsid w:val="00DE019B"/>
    <w:rsid w:val="00DE025E"/>
    <w:rsid w:val="00DE02D0"/>
    <w:rsid w:val="00DE0366"/>
    <w:rsid w:val="00DE04C2"/>
    <w:rsid w:val="00DE04C9"/>
    <w:rsid w:val="00DE05B1"/>
    <w:rsid w:val="00DE0650"/>
    <w:rsid w:val="00DE0A05"/>
    <w:rsid w:val="00DE0C5E"/>
    <w:rsid w:val="00DE0C5F"/>
    <w:rsid w:val="00DE0DBA"/>
    <w:rsid w:val="00DE0EC6"/>
    <w:rsid w:val="00DE0F57"/>
    <w:rsid w:val="00DE108B"/>
    <w:rsid w:val="00DE114D"/>
    <w:rsid w:val="00DE11A8"/>
    <w:rsid w:val="00DE129F"/>
    <w:rsid w:val="00DE1331"/>
    <w:rsid w:val="00DE1342"/>
    <w:rsid w:val="00DE13B5"/>
    <w:rsid w:val="00DE13C8"/>
    <w:rsid w:val="00DE13DF"/>
    <w:rsid w:val="00DE1474"/>
    <w:rsid w:val="00DE1502"/>
    <w:rsid w:val="00DE15BD"/>
    <w:rsid w:val="00DE15E8"/>
    <w:rsid w:val="00DE172E"/>
    <w:rsid w:val="00DE1812"/>
    <w:rsid w:val="00DE186D"/>
    <w:rsid w:val="00DE1899"/>
    <w:rsid w:val="00DE1A1C"/>
    <w:rsid w:val="00DE1A2F"/>
    <w:rsid w:val="00DE1A58"/>
    <w:rsid w:val="00DE1AEB"/>
    <w:rsid w:val="00DE1BB0"/>
    <w:rsid w:val="00DE1C08"/>
    <w:rsid w:val="00DE1CB1"/>
    <w:rsid w:val="00DE1DDA"/>
    <w:rsid w:val="00DE1E5C"/>
    <w:rsid w:val="00DE1E71"/>
    <w:rsid w:val="00DE1F77"/>
    <w:rsid w:val="00DE20A0"/>
    <w:rsid w:val="00DE20D6"/>
    <w:rsid w:val="00DE2170"/>
    <w:rsid w:val="00DE21A3"/>
    <w:rsid w:val="00DE21C7"/>
    <w:rsid w:val="00DE2242"/>
    <w:rsid w:val="00DE2404"/>
    <w:rsid w:val="00DE24C0"/>
    <w:rsid w:val="00DE25DD"/>
    <w:rsid w:val="00DE2630"/>
    <w:rsid w:val="00DE2640"/>
    <w:rsid w:val="00DE266E"/>
    <w:rsid w:val="00DE267A"/>
    <w:rsid w:val="00DE26A9"/>
    <w:rsid w:val="00DE26EF"/>
    <w:rsid w:val="00DE2740"/>
    <w:rsid w:val="00DE2772"/>
    <w:rsid w:val="00DE284D"/>
    <w:rsid w:val="00DE2852"/>
    <w:rsid w:val="00DE2856"/>
    <w:rsid w:val="00DE2974"/>
    <w:rsid w:val="00DE29CD"/>
    <w:rsid w:val="00DE29FE"/>
    <w:rsid w:val="00DE2A3A"/>
    <w:rsid w:val="00DE2AF3"/>
    <w:rsid w:val="00DE2CDB"/>
    <w:rsid w:val="00DE2CE7"/>
    <w:rsid w:val="00DE2D8D"/>
    <w:rsid w:val="00DE2FFE"/>
    <w:rsid w:val="00DE3011"/>
    <w:rsid w:val="00DE3138"/>
    <w:rsid w:val="00DE3188"/>
    <w:rsid w:val="00DE325F"/>
    <w:rsid w:val="00DE3344"/>
    <w:rsid w:val="00DE369E"/>
    <w:rsid w:val="00DE3859"/>
    <w:rsid w:val="00DE3895"/>
    <w:rsid w:val="00DE3916"/>
    <w:rsid w:val="00DE3957"/>
    <w:rsid w:val="00DE3982"/>
    <w:rsid w:val="00DE39C9"/>
    <w:rsid w:val="00DE3C5D"/>
    <w:rsid w:val="00DE3CB3"/>
    <w:rsid w:val="00DE3D3D"/>
    <w:rsid w:val="00DE3D79"/>
    <w:rsid w:val="00DE3DA1"/>
    <w:rsid w:val="00DE3E71"/>
    <w:rsid w:val="00DE3FA9"/>
    <w:rsid w:val="00DE4006"/>
    <w:rsid w:val="00DE40D4"/>
    <w:rsid w:val="00DE4100"/>
    <w:rsid w:val="00DE4116"/>
    <w:rsid w:val="00DE411A"/>
    <w:rsid w:val="00DE437D"/>
    <w:rsid w:val="00DE43DB"/>
    <w:rsid w:val="00DE446A"/>
    <w:rsid w:val="00DE44C2"/>
    <w:rsid w:val="00DE450D"/>
    <w:rsid w:val="00DE452A"/>
    <w:rsid w:val="00DE4556"/>
    <w:rsid w:val="00DE457C"/>
    <w:rsid w:val="00DE466C"/>
    <w:rsid w:val="00DE4A05"/>
    <w:rsid w:val="00DE4ADF"/>
    <w:rsid w:val="00DE4B0B"/>
    <w:rsid w:val="00DE4BAB"/>
    <w:rsid w:val="00DE4BE8"/>
    <w:rsid w:val="00DE4C10"/>
    <w:rsid w:val="00DE4C59"/>
    <w:rsid w:val="00DE4C89"/>
    <w:rsid w:val="00DE4D31"/>
    <w:rsid w:val="00DE4D8B"/>
    <w:rsid w:val="00DE4DCA"/>
    <w:rsid w:val="00DE4E03"/>
    <w:rsid w:val="00DE4E74"/>
    <w:rsid w:val="00DE4F71"/>
    <w:rsid w:val="00DE4FE4"/>
    <w:rsid w:val="00DE50C4"/>
    <w:rsid w:val="00DE50D4"/>
    <w:rsid w:val="00DE517D"/>
    <w:rsid w:val="00DE51BC"/>
    <w:rsid w:val="00DE5212"/>
    <w:rsid w:val="00DE5306"/>
    <w:rsid w:val="00DE538A"/>
    <w:rsid w:val="00DE545C"/>
    <w:rsid w:val="00DE5471"/>
    <w:rsid w:val="00DE54C4"/>
    <w:rsid w:val="00DE5535"/>
    <w:rsid w:val="00DE563E"/>
    <w:rsid w:val="00DE5648"/>
    <w:rsid w:val="00DE57B2"/>
    <w:rsid w:val="00DE57D7"/>
    <w:rsid w:val="00DE580A"/>
    <w:rsid w:val="00DE5827"/>
    <w:rsid w:val="00DE5863"/>
    <w:rsid w:val="00DE58ED"/>
    <w:rsid w:val="00DE5958"/>
    <w:rsid w:val="00DE59E6"/>
    <w:rsid w:val="00DE59E7"/>
    <w:rsid w:val="00DE5B40"/>
    <w:rsid w:val="00DE5B8B"/>
    <w:rsid w:val="00DE5C1A"/>
    <w:rsid w:val="00DE5EC7"/>
    <w:rsid w:val="00DE5FA3"/>
    <w:rsid w:val="00DE605D"/>
    <w:rsid w:val="00DE6062"/>
    <w:rsid w:val="00DE6073"/>
    <w:rsid w:val="00DE613F"/>
    <w:rsid w:val="00DE6162"/>
    <w:rsid w:val="00DE617D"/>
    <w:rsid w:val="00DE619B"/>
    <w:rsid w:val="00DE61CF"/>
    <w:rsid w:val="00DE61E3"/>
    <w:rsid w:val="00DE61ED"/>
    <w:rsid w:val="00DE625C"/>
    <w:rsid w:val="00DE626C"/>
    <w:rsid w:val="00DE6273"/>
    <w:rsid w:val="00DE6292"/>
    <w:rsid w:val="00DE62FA"/>
    <w:rsid w:val="00DE6328"/>
    <w:rsid w:val="00DE6361"/>
    <w:rsid w:val="00DE63AF"/>
    <w:rsid w:val="00DE64E2"/>
    <w:rsid w:val="00DE657A"/>
    <w:rsid w:val="00DE681D"/>
    <w:rsid w:val="00DE6862"/>
    <w:rsid w:val="00DE68FC"/>
    <w:rsid w:val="00DE6949"/>
    <w:rsid w:val="00DE697D"/>
    <w:rsid w:val="00DE6A2B"/>
    <w:rsid w:val="00DE6B58"/>
    <w:rsid w:val="00DE6D30"/>
    <w:rsid w:val="00DE6D6C"/>
    <w:rsid w:val="00DE6E56"/>
    <w:rsid w:val="00DE6E8A"/>
    <w:rsid w:val="00DE6FD4"/>
    <w:rsid w:val="00DE7209"/>
    <w:rsid w:val="00DE7263"/>
    <w:rsid w:val="00DE728C"/>
    <w:rsid w:val="00DE72F7"/>
    <w:rsid w:val="00DE7546"/>
    <w:rsid w:val="00DE7548"/>
    <w:rsid w:val="00DE76A5"/>
    <w:rsid w:val="00DE76F8"/>
    <w:rsid w:val="00DE7715"/>
    <w:rsid w:val="00DE772B"/>
    <w:rsid w:val="00DE778D"/>
    <w:rsid w:val="00DE7806"/>
    <w:rsid w:val="00DE78B5"/>
    <w:rsid w:val="00DE78BF"/>
    <w:rsid w:val="00DE78D1"/>
    <w:rsid w:val="00DE7943"/>
    <w:rsid w:val="00DE79EF"/>
    <w:rsid w:val="00DE7A3A"/>
    <w:rsid w:val="00DE7A77"/>
    <w:rsid w:val="00DE7AE9"/>
    <w:rsid w:val="00DE7B9B"/>
    <w:rsid w:val="00DE7BB2"/>
    <w:rsid w:val="00DE7BF5"/>
    <w:rsid w:val="00DE7CD6"/>
    <w:rsid w:val="00DE7F01"/>
    <w:rsid w:val="00DE7F0F"/>
    <w:rsid w:val="00DE7F1E"/>
    <w:rsid w:val="00DE7FE5"/>
    <w:rsid w:val="00DF01AE"/>
    <w:rsid w:val="00DF04C7"/>
    <w:rsid w:val="00DF0568"/>
    <w:rsid w:val="00DF0736"/>
    <w:rsid w:val="00DF077F"/>
    <w:rsid w:val="00DF07D7"/>
    <w:rsid w:val="00DF07E5"/>
    <w:rsid w:val="00DF080D"/>
    <w:rsid w:val="00DF08A3"/>
    <w:rsid w:val="00DF0A29"/>
    <w:rsid w:val="00DF0B27"/>
    <w:rsid w:val="00DF0D29"/>
    <w:rsid w:val="00DF0E28"/>
    <w:rsid w:val="00DF0EB9"/>
    <w:rsid w:val="00DF10CB"/>
    <w:rsid w:val="00DF123D"/>
    <w:rsid w:val="00DF1361"/>
    <w:rsid w:val="00DF13E6"/>
    <w:rsid w:val="00DF13F2"/>
    <w:rsid w:val="00DF1539"/>
    <w:rsid w:val="00DF17C2"/>
    <w:rsid w:val="00DF1867"/>
    <w:rsid w:val="00DF18C7"/>
    <w:rsid w:val="00DF1912"/>
    <w:rsid w:val="00DF19AF"/>
    <w:rsid w:val="00DF1A10"/>
    <w:rsid w:val="00DF1B77"/>
    <w:rsid w:val="00DF1B8B"/>
    <w:rsid w:val="00DF1CD6"/>
    <w:rsid w:val="00DF1D06"/>
    <w:rsid w:val="00DF1DC0"/>
    <w:rsid w:val="00DF1DC1"/>
    <w:rsid w:val="00DF1F1D"/>
    <w:rsid w:val="00DF20AD"/>
    <w:rsid w:val="00DF2144"/>
    <w:rsid w:val="00DF21C4"/>
    <w:rsid w:val="00DF2256"/>
    <w:rsid w:val="00DF2262"/>
    <w:rsid w:val="00DF23AC"/>
    <w:rsid w:val="00DF247D"/>
    <w:rsid w:val="00DF2518"/>
    <w:rsid w:val="00DF268B"/>
    <w:rsid w:val="00DF26A9"/>
    <w:rsid w:val="00DF26B6"/>
    <w:rsid w:val="00DF280A"/>
    <w:rsid w:val="00DF2BA4"/>
    <w:rsid w:val="00DF2BD1"/>
    <w:rsid w:val="00DF2C68"/>
    <w:rsid w:val="00DF2CE1"/>
    <w:rsid w:val="00DF2CED"/>
    <w:rsid w:val="00DF2D15"/>
    <w:rsid w:val="00DF2D82"/>
    <w:rsid w:val="00DF2DCC"/>
    <w:rsid w:val="00DF2E41"/>
    <w:rsid w:val="00DF2ECF"/>
    <w:rsid w:val="00DF3098"/>
    <w:rsid w:val="00DF311D"/>
    <w:rsid w:val="00DF32BC"/>
    <w:rsid w:val="00DF338C"/>
    <w:rsid w:val="00DF3404"/>
    <w:rsid w:val="00DF3633"/>
    <w:rsid w:val="00DF36F2"/>
    <w:rsid w:val="00DF3702"/>
    <w:rsid w:val="00DF3762"/>
    <w:rsid w:val="00DF3860"/>
    <w:rsid w:val="00DF3883"/>
    <w:rsid w:val="00DF38D4"/>
    <w:rsid w:val="00DF3986"/>
    <w:rsid w:val="00DF3988"/>
    <w:rsid w:val="00DF39EF"/>
    <w:rsid w:val="00DF3BC0"/>
    <w:rsid w:val="00DF3C25"/>
    <w:rsid w:val="00DF3D55"/>
    <w:rsid w:val="00DF3DD5"/>
    <w:rsid w:val="00DF3F1F"/>
    <w:rsid w:val="00DF40B7"/>
    <w:rsid w:val="00DF4203"/>
    <w:rsid w:val="00DF429C"/>
    <w:rsid w:val="00DF42ED"/>
    <w:rsid w:val="00DF4308"/>
    <w:rsid w:val="00DF4313"/>
    <w:rsid w:val="00DF4386"/>
    <w:rsid w:val="00DF45C6"/>
    <w:rsid w:val="00DF4696"/>
    <w:rsid w:val="00DF46DD"/>
    <w:rsid w:val="00DF46FD"/>
    <w:rsid w:val="00DF4742"/>
    <w:rsid w:val="00DF4788"/>
    <w:rsid w:val="00DF47E6"/>
    <w:rsid w:val="00DF4847"/>
    <w:rsid w:val="00DF48B4"/>
    <w:rsid w:val="00DF4933"/>
    <w:rsid w:val="00DF49C8"/>
    <w:rsid w:val="00DF49F4"/>
    <w:rsid w:val="00DF4B94"/>
    <w:rsid w:val="00DF4CB1"/>
    <w:rsid w:val="00DF4D38"/>
    <w:rsid w:val="00DF4DCA"/>
    <w:rsid w:val="00DF4E16"/>
    <w:rsid w:val="00DF4E62"/>
    <w:rsid w:val="00DF4EAF"/>
    <w:rsid w:val="00DF4F0C"/>
    <w:rsid w:val="00DF4FF6"/>
    <w:rsid w:val="00DF50F6"/>
    <w:rsid w:val="00DF5140"/>
    <w:rsid w:val="00DF5629"/>
    <w:rsid w:val="00DF56E4"/>
    <w:rsid w:val="00DF56FA"/>
    <w:rsid w:val="00DF5763"/>
    <w:rsid w:val="00DF59A8"/>
    <w:rsid w:val="00DF5A31"/>
    <w:rsid w:val="00DF5A7C"/>
    <w:rsid w:val="00DF5AE6"/>
    <w:rsid w:val="00DF5C1B"/>
    <w:rsid w:val="00DF5CDB"/>
    <w:rsid w:val="00DF5CE7"/>
    <w:rsid w:val="00DF5D79"/>
    <w:rsid w:val="00DF5D93"/>
    <w:rsid w:val="00DF5DE1"/>
    <w:rsid w:val="00DF5E0F"/>
    <w:rsid w:val="00DF5E3B"/>
    <w:rsid w:val="00DF5EEC"/>
    <w:rsid w:val="00DF5F88"/>
    <w:rsid w:val="00DF5FAF"/>
    <w:rsid w:val="00DF6027"/>
    <w:rsid w:val="00DF607E"/>
    <w:rsid w:val="00DF60D8"/>
    <w:rsid w:val="00DF6274"/>
    <w:rsid w:val="00DF6381"/>
    <w:rsid w:val="00DF6391"/>
    <w:rsid w:val="00DF6415"/>
    <w:rsid w:val="00DF6439"/>
    <w:rsid w:val="00DF64B6"/>
    <w:rsid w:val="00DF657E"/>
    <w:rsid w:val="00DF662A"/>
    <w:rsid w:val="00DF674D"/>
    <w:rsid w:val="00DF6844"/>
    <w:rsid w:val="00DF694E"/>
    <w:rsid w:val="00DF6A25"/>
    <w:rsid w:val="00DF6A91"/>
    <w:rsid w:val="00DF6ADA"/>
    <w:rsid w:val="00DF6B2F"/>
    <w:rsid w:val="00DF6C12"/>
    <w:rsid w:val="00DF6C49"/>
    <w:rsid w:val="00DF6C5E"/>
    <w:rsid w:val="00DF6C90"/>
    <w:rsid w:val="00DF6D2A"/>
    <w:rsid w:val="00DF6D92"/>
    <w:rsid w:val="00DF6DAF"/>
    <w:rsid w:val="00DF6DD9"/>
    <w:rsid w:val="00DF6E70"/>
    <w:rsid w:val="00DF6F0C"/>
    <w:rsid w:val="00DF6F45"/>
    <w:rsid w:val="00DF6F69"/>
    <w:rsid w:val="00DF700A"/>
    <w:rsid w:val="00DF7022"/>
    <w:rsid w:val="00DF71EE"/>
    <w:rsid w:val="00DF72AB"/>
    <w:rsid w:val="00DF747F"/>
    <w:rsid w:val="00DF7560"/>
    <w:rsid w:val="00DF766B"/>
    <w:rsid w:val="00DF768E"/>
    <w:rsid w:val="00DF78CC"/>
    <w:rsid w:val="00DF78E3"/>
    <w:rsid w:val="00DF7953"/>
    <w:rsid w:val="00DF796A"/>
    <w:rsid w:val="00DF79F2"/>
    <w:rsid w:val="00DF7A3C"/>
    <w:rsid w:val="00DF7A42"/>
    <w:rsid w:val="00DF7BB1"/>
    <w:rsid w:val="00DF7BBE"/>
    <w:rsid w:val="00DF7CE5"/>
    <w:rsid w:val="00DF7E72"/>
    <w:rsid w:val="00DF7EF2"/>
    <w:rsid w:val="00E00025"/>
    <w:rsid w:val="00E00081"/>
    <w:rsid w:val="00E0008E"/>
    <w:rsid w:val="00E004CC"/>
    <w:rsid w:val="00E004DF"/>
    <w:rsid w:val="00E006BA"/>
    <w:rsid w:val="00E00788"/>
    <w:rsid w:val="00E00C59"/>
    <w:rsid w:val="00E00C6F"/>
    <w:rsid w:val="00E00E12"/>
    <w:rsid w:val="00E00F29"/>
    <w:rsid w:val="00E00F68"/>
    <w:rsid w:val="00E00F72"/>
    <w:rsid w:val="00E010B9"/>
    <w:rsid w:val="00E01155"/>
    <w:rsid w:val="00E0115C"/>
    <w:rsid w:val="00E0117D"/>
    <w:rsid w:val="00E0118F"/>
    <w:rsid w:val="00E011B9"/>
    <w:rsid w:val="00E01286"/>
    <w:rsid w:val="00E0146E"/>
    <w:rsid w:val="00E014B5"/>
    <w:rsid w:val="00E014C7"/>
    <w:rsid w:val="00E014D4"/>
    <w:rsid w:val="00E015EC"/>
    <w:rsid w:val="00E01657"/>
    <w:rsid w:val="00E01659"/>
    <w:rsid w:val="00E0188F"/>
    <w:rsid w:val="00E01A0F"/>
    <w:rsid w:val="00E01A9F"/>
    <w:rsid w:val="00E01AEC"/>
    <w:rsid w:val="00E01C53"/>
    <w:rsid w:val="00E01CC9"/>
    <w:rsid w:val="00E01F4E"/>
    <w:rsid w:val="00E01FDD"/>
    <w:rsid w:val="00E02008"/>
    <w:rsid w:val="00E0200A"/>
    <w:rsid w:val="00E0201B"/>
    <w:rsid w:val="00E020AF"/>
    <w:rsid w:val="00E0217D"/>
    <w:rsid w:val="00E0221C"/>
    <w:rsid w:val="00E0230C"/>
    <w:rsid w:val="00E02426"/>
    <w:rsid w:val="00E0242A"/>
    <w:rsid w:val="00E0266D"/>
    <w:rsid w:val="00E026A6"/>
    <w:rsid w:val="00E026D0"/>
    <w:rsid w:val="00E027F3"/>
    <w:rsid w:val="00E02A27"/>
    <w:rsid w:val="00E02A28"/>
    <w:rsid w:val="00E02A3F"/>
    <w:rsid w:val="00E02AD1"/>
    <w:rsid w:val="00E02B19"/>
    <w:rsid w:val="00E02BCC"/>
    <w:rsid w:val="00E02CAC"/>
    <w:rsid w:val="00E02CFE"/>
    <w:rsid w:val="00E02D69"/>
    <w:rsid w:val="00E02E13"/>
    <w:rsid w:val="00E02E1C"/>
    <w:rsid w:val="00E02E3F"/>
    <w:rsid w:val="00E02E8E"/>
    <w:rsid w:val="00E02E9B"/>
    <w:rsid w:val="00E02F06"/>
    <w:rsid w:val="00E02F15"/>
    <w:rsid w:val="00E02F40"/>
    <w:rsid w:val="00E02FB5"/>
    <w:rsid w:val="00E0307C"/>
    <w:rsid w:val="00E031FD"/>
    <w:rsid w:val="00E03208"/>
    <w:rsid w:val="00E032D2"/>
    <w:rsid w:val="00E03395"/>
    <w:rsid w:val="00E034E9"/>
    <w:rsid w:val="00E03524"/>
    <w:rsid w:val="00E035B2"/>
    <w:rsid w:val="00E03708"/>
    <w:rsid w:val="00E03712"/>
    <w:rsid w:val="00E038B9"/>
    <w:rsid w:val="00E039C4"/>
    <w:rsid w:val="00E03AB7"/>
    <w:rsid w:val="00E03AF2"/>
    <w:rsid w:val="00E03D7D"/>
    <w:rsid w:val="00E03E13"/>
    <w:rsid w:val="00E03E61"/>
    <w:rsid w:val="00E03EFC"/>
    <w:rsid w:val="00E0403C"/>
    <w:rsid w:val="00E0404D"/>
    <w:rsid w:val="00E040C3"/>
    <w:rsid w:val="00E0422B"/>
    <w:rsid w:val="00E0432F"/>
    <w:rsid w:val="00E043DD"/>
    <w:rsid w:val="00E04512"/>
    <w:rsid w:val="00E04540"/>
    <w:rsid w:val="00E0455F"/>
    <w:rsid w:val="00E045C0"/>
    <w:rsid w:val="00E04636"/>
    <w:rsid w:val="00E0478C"/>
    <w:rsid w:val="00E04811"/>
    <w:rsid w:val="00E04876"/>
    <w:rsid w:val="00E048E1"/>
    <w:rsid w:val="00E04A40"/>
    <w:rsid w:val="00E04ADA"/>
    <w:rsid w:val="00E04AE5"/>
    <w:rsid w:val="00E04AFB"/>
    <w:rsid w:val="00E04B4F"/>
    <w:rsid w:val="00E04DD8"/>
    <w:rsid w:val="00E04E3C"/>
    <w:rsid w:val="00E04EDB"/>
    <w:rsid w:val="00E04EEB"/>
    <w:rsid w:val="00E0504C"/>
    <w:rsid w:val="00E0509D"/>
    <w:rsid w:val="00E05206"/>
    <w:rsid w:val="00E0524B"/>
    <w:rsid w:val="00E05261"/>
    <w:rsid w:val="00E052D1"/>
    <w:rsid w:val="00E0533F"/>
    <w:rsid w:val="00E053C7"/>
    <w:rsid w:val="00E054F2"/>
    <w:rsid w:val="00E05681"/>
    <w:rsid w:val="00E057CD"/>
    <w:rsid w:val="00E05817"/>
    <w:rsid w:val="00E05858"/>
    <w:rsid w:val="00E0590D"/>
    <w:rsid w:val="00E0598D"/>
    <w:rsid w:val="00E05B22"/>
    <w:rsid w:val="00E05BAF"/>
    <w:rsid w:val="00E05C34"/>
    <w:rsid w:val="00E05C8B"/>
    <w:rsid w:val="00E05C98"/>
    <w:rsid w:val="00E05DB5"/>
    <w:rsid w:val="00E05E88"/>
    <w:rsid w:val="00E05FBB"/>
    <w:rsid w:val="00E060A7"/>
    <w:rsid w:val="00E062EF"/>
    <w:rsid w:val="00E063A5"/>
    <w:rsid w:val="00E063EC"/>
    <w:rsid w:val="00E064D3"/>
    <w:rsid w:val="00E064D9"/>
    <w:rsid w:val="00E0657C"/>
    <w:rsid w:val="00E0658C"/>
    <w:rsid w:val="00E06655"/>
    <w:rsid w:val="00E067E6"/>
    <w:rsid w:val="00E06800"/>
    <w:rsid w:val="00E06946"/>
    <w:rsid w:val="00E06997"/>
    <w:rsid w:val="00E069A6"/>
    <w:rsid w:val="00E06BA4"/>
    <w:rsid w:val="00E06BE6"/>
    <w:rsid w:val="00E06C17"/>
    <w:rsid w:val="00E06E31"/>
    <w:rsid w:val="00E06F1A"/>
    <w:rsid w:val="00E06FC6"/>
    <w:rsid w:val="00E0709D"/>
    <w:rsid w:val="00E070E8"/>
    <w:rsid w:val="00E07196"/>
    <w:rsid w:val="00E071C5"/>
    <w:rsid w:val="00E07211"/>
    <w:rsid w:val="00E07236"/>
    <w:rsid w:val="00E0725B"/>
    <w:rsid w:val="00E073C1"/>
    <w:rsid w:val="00E073DD"/>
    <w:rsid w:val="00E074AA"/>
    <w:rsid w:val="00E0752F"/>
    <w:rsid w:val="00E07578"/>
    <w:rsid w:val="00E07590"/>
    <w:rsid w:val="00E076DC"/>
    <w:rsid w:val="00E07781"/>
    <w:rsid w:val="00E077D9"/>
    <w:rsid w:val="00E07888"/>
    <w:rsid w:val="00E07914"/>
    <w:rsid w:val="00E07A41"/>
    <w:rsid w:val="00E07A5E"/>
    <w:rsid w:val="00E07A74"/>
    <w:rsid w:val="00E07A8A"/>
    <w:rsid w:val="00E07ACF"/>
    <w:rsid w:val="00E07B78"/>
    <w:rsid w:val="00E07BF1"/>
    <w:rsid w:val="00E07CAC"/>
    <w:rsid w:val="00E10029"/>
    <w:rsid w:val="00E1021B"/>
    <w:rsid w:val="00E10328"/>
    <w:rsid w:val="00E1033A"/>
    <w:rsid w:val="00E10473"/>
    <w:rsid w:val="00E104C3"/>
    <w:rsid w:val="00E10545"/>
    <w:rsid w:val="00E10550"/>
    <w:rsid w:val="00E1060F"/>
    <w:rsid w:val="00E10634"/>
    <w:rsid w:val="00E1076B"/>
    <w:rsid w:val="00E107BC"/>
    <w:rsid w:val="00E10833"/>
    <w:rsid w:val="00E1088A"/>
    <w:rsid w:val="00E10A3D"/>
    <w:rsid w:val="00E10A73"/>
    <w:rsid w:val="00E10B54"/>
    <w:rsid w:val="00E10B8A"/>
    <w:rsid w:val="00E10B9A"/>
    <w:rsid w:val="00E10BDD"/>
    <w:rsid w:val="00E10C92"/>
    <w:rsid w:val="00E10DBA"/>
    <w:rsid w:val="00E10EF6"/>
    <w:rsid w:val="00E10F56"/>
    <w:rsid w:val="00E10FC0"/>
    <w:rsid w:val="00E11262"/>
    <w:rsid w:val="00E113CA"/>
    <w:rsid w:val="00E114C0"/>
    <w:rsid w:val="00E11536"/>
    <w:rsid w:val="00E115FF"/>
    <w:rsid w:val="00E116C6"/>
    <w:rsid w:val="00E11717"/>
    <w:rsid w:val="00E117CF"/>
    <w:rsid w:val="00E1185B"/>
    <w:rsid w:val="00E118AD"/>
    <w:rsid w:val="00E11A92"/>
    <w:rsid w:val="00E11B12"/>
    <w:rsid w:val="00E11B64"/>
    <w:rsid w:val="00E11B86"/>
    <w:rsid w:val="00E11C72"/>
    <w:rsid w:val="00E11CA2"/>
    <w:rsid w:val="00E11DF6"/>
    <w:rsid w:val="00E11DF8"/>
    <w:rsid w:val="00E11E0C"/>
    <w:rsid w:val="00E12045"/>
    <w:rsid w:val="00E1221C"/>
    <w:rsid w:val="00E123FB"/>
    <w:rsid w:val="00E12443"/>
    <w:rsid w:val="00E1244D"/>
    <w:rsid w:val="00E1249F"/>
    <w:rsid w:val="00E125DC"/>
    <w:rsid w:val="00E12766"/>
    <w:rsid w:val="00E127CF"/>
    <w:rsid w:val="00E127E7"/>
    <w:rsid w:val="00E12889"/>
    <w:rsid w:val="00E12898"/>
    <w:rsid w:val="00E12C36"/>
    <w:rsid w:val="00E12DFE"/>
    <w:rsid w:val="00E12F5F"/>
    <w:rsid w:val="00E12F86"/>
    <w:rsid w:val="00E12FD3"/>
    <w:rsid w:val="00E12FE2"/>
    <w:rsid w:val="00E130A5"/>
    <w:rsid w:val="00E130FA"/>
    <w:rsid w:val="00E1323B"/>
    <w:rsid w:val="00E132B8"/>
    <w:rsid w:val="00E13353"/>
    <w:rsid w:val="00E1339A"/>
    <w:rsid w:val="00E133EE"/>
    <w:rsid w:val="00E13546"/>
    <w:rsid w:val="00E1357C"/>
    <w:rsid w:val="00E135FF"/>
    <w:rsid w:val="00E1363F"/>
    <w:rsid w:val="00E13652"/>
    <w:rsid w:val="00E1370F"/>
    <w:rsid w:val="00E137FD"/>
    <w:rsid w:val="00E13851"/>
    <w:rsid w:val="00E1393C"/>
    <w:rsid w:val="00E139E1"/>
    <w:rsid w:val="00E13A08"/>
    <w:rsid w:val="00E13BD2"/>
    <w:rsid w:val="00E13C89"/>
    <w:rsid w:val="00E13CA8"/>
    <w:rsid w:val="00E13D28"/>
    <w:rsid w:val="00E13D4D"/>
    <w:rsid w:val="00E13E20"/>
    <w:rsid w:val="00E13F03"/>
    <w:rsid w:val="00E13FC7"/>
    <w:rsid w:val="00E140FD"/>
    <w:rsid w:val="00E14162"/>
    <w:rsid w:val="00E14174"/>
    <w:rsid w:val="00E1427F"/>
    <w:rsid w:val="00E14281"/>
    <w:rsid w:val="00E14282"/>
    <w:rsid w:val="00E142C2"/>
    <w:rsid w:val="00E14325"/>
    <w:rsid w:val="00E1436F"/>
    <w:rsid w:val="00E14464"/>
    <w:rsid w:val="00E14624"/>
    <w:rsid w:val="00E14674"/>
    <w:rsid w:val="00E14708"/>
    <w:rsid w:val="00E147B1"/>
    <w:rsid w:val="00E1481D"/>
    <w:rsid w:val="00E14874"/>
    <w:rsid w:val="00E1487E"/>
    <w:rsid w:val="00E149A2"/>
    <w:rsid w:val="00E14AC2"/>
    <w:rsid w:val="00E14AFC"/>
    <w:rsid w:val="00E14BFD"/>
    <w:rsid w:val="00E14C0A"/>
    <w:rsid w:val="00E1503C"/>
    <w:rsid w:val="00E15047"/>
    <w:rsid w:val="00E1505F"/>
    <w:rsid w:val="00E15073"/>
    <w:rsid w:val="00E15097"/>
    <w:rsid w:val="00E150B4"/>
    <w:rsid w:val="00E152D7"/>
    <w:rsid w:val="00E15321"/>
    <w:rsid w:val="00E154AD"/>
    <w:rsid w:val="00E15507"/>
    <w:rsid w:val="00E15617"/>
    <w:rsid w:val="00E15687"/>
    <w:rsid w:val="00E15807"/>
    <w:rsid w:val="00E1580B"/>
    <w:rsid w:val="00E15856"/>
    <w:rsid w:val="00E158AF"/>
    <w:rsid w:val="00E15B1F"/>
    <w:rsid w:val="00E15C57"/>
    <w:rsid w:val="00E15CCB"/>
    <w:rsid w:val="00E15D4F"/>
    <w:rsid w:val="00E15D7E"/>
    <w:rsid w:val="00E15E03"/>
    <w:rsid w:val="00E15E1B"/>
    <w:rsid w:val="00E15EBD"/>
    <w:rsid w:val="00E15F3E"/>
    <w:rsid w:val="00E15FDE"/>
    <w:rsid w:val="00E15FF7"/>
    <w:rsid w:val="00E160AF"/>
    <w:rsid w:val="00E1619F"/>
    <w:rsid w:val="00E161A8"/>
    <w:rsid w:val="00E1629D"/>
    <w:rsid w:val="00E16353"/>
    <w:rsid w:val="00E163E8"/>
    <w:rsid w:val="00E1656F"/>
    <w:rsid w:val="00E165B6"/>
    <w:rsid w:val="00E1676A"/>
    <w:rsid w:val="00E167AC"/>
    <w:rsid w:val="00E167B2"/>
    <w:rsid w:val="00E16811"/>
    <w:rsid w:val="00E1689E"/>
    <w:rsid w:val="00E168A3"/>
    <w:rsid w:val="00E168B3"/>
    <w:rsid w:val="00E16987"/>
    <w:rsid w:val="00E16992"/>
    <w:rsid w:val="00E169A3"/>
    <w:rsid w:val="00E16A56"/>
    <w:rsid w:val="00E16A61"/>
    <w:rsid w:val="00E16B3C"/>
    <w:rsid w:val="00E16CC9"/>
    <w:rsid w:val="00E16CCE"/>
    <w:rsid w:val="00E16CD6"/>
    <w:rsid w:val="00E16DD1"/>
    <w:rsid w:val="00E16F03"/>
    <w:rsid w:val="00E16FE7"/>
    <w:rsid w:val="00E1711C"/>
    <w:rsid w:val="00E171DA"/>
    <w:rsid w:val="00E171F5"/>
    <w:rsid w:val="00E172B5"/>
    <w:rsid w:val="00E172B9"/>
    <w:rsid w:val="00E172C6"/>
    <w:rsid w:val="00E173A5"/>
    <w:rsid w:val="00E173ED"/>
    <w:rsid w:val="00E17426"/>
    <w:rsid w:val="00E1754C"/>
    <w:rsid w:val="00E1776D"/>
    <w:rsid w:val="00E17886"/>
    <w:rsid w:val="00E17933"/>
    <w:rsid w:val="00E1796B"/>
    <w:rsid w:val="00E1799E"/>
    <w:rsid w:val="00E17A2D"/>
    <w:rsid w:val="00E17AA7"/>
    <w:rsid w:val="00E17C97"/>
    <w:rsid w:val="00E17D37"/>
    <w:rsid w:val="00E17D58"/>
    <w:rsid w:val="00E17E94"/>
    <w:rsid w:val="00E17F61"/>
    <w:rsid w:val="00E2013B"/>
    <w:rsid w:val="00E20290"/>
    <w:rsid w:val="00E2029C"/>
    <w:rsid w:val="00E2049C"/>
    <w:rsid w:val="00E204BE"/>
    <w:rsid w:val="00E206E6"/>
    <w:rsid w:val="00E206EC"/>
    <w:rsid w:val="00E2085C"/>
    <w:rsid w:val="00E208EA"/>
    <w:rsid w:val="00E2095B"/>
    <w:rsid w:val="00E20970"/>
    <w:rsid w:val="00E20AC6"/>
    <w:rsid w:val="00E20AD7"/>
    <w:rsid w:val="00E20B2A"/>
    <w:rsid w:val="00E20CBC"/>
    <w:rsid w:val="00E20CC8"/>
    <w:rsid w:val="00E20DB4"/>
    <w:rsid w:val="00E20E13"/>
    <w:rsid w:val="00E20F12"/>
    <w:rsid w:val="00E20F1E"/>
    <w:rsid w:val="00E20F3F"/>
    <w:rsid w:val="00E20F54"/>
    <w:rsid w:val="00E20FB3"/>
    <w:rsid w:val="00E210EB"/>
    <w:rsid w:val="00E21143"/>
    <w:rsid w:val="00E211A2"/>
    <w:rsid w:val="00E211BF"/>
    <w:rsid w:val="00E211EA"/>
    <w:rsid w:val="00E213E2"/>
    <w:rsid w:val="00E21437"/>
    <w:rsid w:val="00E214CB"/>
    <w:rsid w:val="00E21538"/>
    <w:rsid w:val="00E215F5"/>
    <w:rsid w:val="00E216A6"/>
    <w:rsid w:val="00E21806"/>
    <w:rsid w:val="00E21936"/>
    <w:rsid w:val="00E21976"/>
    <w:rsid w:val="00E21982"/>
    <w:rsid w:val="00E21A6B"/>
    <w:rsid w:val="00E21A6D"/>
    <w:rsid w:val="00E21A9D"/>
    <w:rsid w:val="00E21C96"/>
    <w:rsid w:val="00E21CF5"/>
    <w:rsid w:val="00E21EE1"/>
    <w:rsid w:val="00E21EE7"/>
    <w:rsid w:val="00E21F63"/>
    <w:rsid w:val="00E21FA5"/>
    <w:rsid w:val="00E21FD0"/>
    <w:rsid w:val="00E2205F"/>
    <w:rsid w:val="00E220D6"/>
    <w:rsid w:val="00E2210D"/>
    <w:rsid w:val="00E221BC"/>
    <w:rsid w:val="00E221E4"/>
    <w:rsid w:val="00E2224D"/>
    <w:rsid w:val="00E2225F"/>
    <w:rsid w:val="00E22261"/>
    <w:rsid w:val="00E22272"/>
    <w:rsid w:val="00E22337"/>
    <w:rsid w:val="00E223D4"/>
    <w:rsid w:val="00E224F3"/>
    <w:rsid w:val="00E22525"/>
    <w:rsid w:val="00E22618"/>
    <w:rsid w:val="00E2266C"/>
    <w:rsid w:val="00E2274A"/>
    <w:rsid w:val="00E2291F"/>
    <w:rsid w:val="00E22951"/>
    <w:rsid w:val="00E22ACE"/>
    <w:rsid w:val="00E22B5F"/>
    <w:rsid w:val="00E22BBD"/>
    <w:rsid w:val="00E22BC1"/>
    <w:rsid w:val="00E22C3D"/>
    <w:rsid w:val="00E22CA1"/>
    <w:rsid w:val="00E22DE4"/>
    <w:rsid w:val="00E22EE5"/>
    <w:rsid w:val="00E230EC"/>
    <w:rsid w:val="00E23117"/>
    <w:rsid w:val="00E23144"/>
    <w:rsid w:val="00E2316E"/>
    <w:rsid w:val="00E2323A"/>
    <w:rsid w:val="00E23270"/>
    <w:rsid w:val="00E232A6"/>
    <w:rsid w:val="00E232AF"/>
    <w:rsid w:val="00E2330A"/>
    <w:rsid w:val="00E233AA"/>
    <w:rsid w:val="00E23557"/>
    <w:rsid w:val="00E23627"/>
    <w:rsid w:val="00E2366B"/>
    <w:rsid w:val="00E237A0"/>
    <w:rsid w:val="00E23868"/>
    <w:rsid w:val="00E2392F"/>
    <w:rsid w:val="00E23997"/>
    <w:rsid w:val="00E23A94"/>
    <w:rsid w:val="00E23B06"/>
    <w:rsid w:val="00E23B87"/>
    <w:rsid w:val="00E23B93"/>
    <w:rsid w:val="00E23B9F"/>
    <w:rsid w:val="00E23C0F"/>
    <w:rsid w:val="00E23CA9"/>
    <w:rsid w:val="00E23D1A"/>
    <w:rsid w:val="00E23DBE"/>
    <w:rsid w:val="00E23E23"/>
    <w:rsid w:val="00E23EF2"/>
    <w:rsid w:val="00E24080"/>
    <w:rsid w:val="00E240DE"/>
    <w:rsid w:val="00E240EF"/>
    <w:rsid w:val="00E2413C"/>
    <w:rsid w:val="00E241AF"/>
    <w:rsid w:val="00E2424C"/>
    <w:rsid w:val="00E24271"/>
    <w:rsid w:val="00E242E2"/>
    <w:rsid w:val="00E242E9"/>
    <w:rsid w:val="00E2435F"/>
    <w:rsid w:val="00E2437F"/>
    <w:rsid w:val="00E24455"/>
    <w:rsid w:val="00E24458"/>
    <w:rsid w:val="00E24465"/>
    <w:rsid w:val="00E24540"/>
    <w:rsid w:val="00E246CB"/>
    <w:rsid w:val="00E24719"/>
    <w:rsid w:val="00E24775"/>
    <w:rsid w:val="00E24817"/>
    <w:rsid w:val="00E24BEB"/>
    <w:rsid w:val="00E24DC8"/>
    <w:rsid w:val="00E24DF7"/>
    <w:rsid w:val="00E24F74"/>
    <w:rsid w:val="00E25060"/>
    <w:rsid w:val="00E25093"/>
    <w:rsid w:val="00E250A8"/>
    <w:rsid w:val="00E25149"/>
    <w:rsid w:val="00E2525F"/>
    <w:rsid w:val="00E253AE"/>
    <w:rsid w:val="00E2545D"/>
    <w:rsid w:val="00E2551A"/>
    <w:rsid w:val="00E255BA"/>
    <w:rsid w:val="00E255C0"/>
    <w:rsid w:val="00E25610"/>
    <w:rsid w:val="00E2571B"/>
    <w:rsid w:val="00E25760"/>
    <w:rsid w:val="00E257A2"/>
    <w:rsid w:val="00E25869"/>
    <w:rsid w:val="00E2588F"/>
    <w:rsid w:val="00E258E7"/>
    <w:rsid w:val="00E25919"/>
    <w:rsid w:val="00E259B8"/>
    <w:rsid w:val="00E259BE"/>
    <w:rsid w:val="00E259C0"/>
    <w:rsid w:val="00E25A74"/>
    <w:rsid w:val="00E25B17"/>
    <w:rsid w:val="00E25B33"/>
    <w:rsid w:val="00E25C0F"/>
    <w:rsid w:val="00E25C5B"/>
    <w:rsid w:val="00E25D85"/>
    <w:rsid w:val="00E25D97"/>
    <w:rsid w:val="00E25E41"/>
    <w:rsid w:val="00E25E42"/>
    <w:rsid w:val="00E25F0F"/>
    <w:rsid w:val="00E2616D"/>
    <w:rsid w:val="00E26208"/>
    <w:rsid w:val="00E2624F"/>
    <w:rsid w:val="00E26401"/>
    <w:rsid w:val="00E26457"/>
    <w:rsid w:val="00E26504"/>
    <w:rsid w:val="00E2651A"/>
    <w:rsid w:val="00E26561"/>
    <w:rsid w:val="00E2656E"/>
    <w:rsid w:val="00E26667"/>
    <w:rsid w:val="00E2668B"/>
    <w:rsid w:val="00E26809"/>
    <w:rsid w:val="00E26953"/>
    <w:rsid w:val="00E26995"/>
    <w:rsid w:val="00E26B62"/>
    <w:rsid w:val="00E26D3B"/>
    <w:rsid w:val="00E26D44"/>
    <w:rsid w:val="00E26D59"/>
    <w:rsid w:val="00E26E0D"/>
    <w:rsid w:val="00E26E73"/>
    <w:rsid w:val="00E26E7A"/>
    <w:rsid w:val="00E26E81"/>
    <w:rsid w:val="00E26FCD"/>
    <w:rsid w:val="00E27010"/>
    <w:rsid w:val="00E272BB"/>
    <w:rsid w:val="00E274E0"/>
    <w:rsid w:val="00E27649"/>
    <w:rsid w:val="00E276F3"/>
    <w:rsid w:val="00E277D4"/>
    <w:rsid w:val="00E27859"/>
    <w:rsid w:val="00E27924"/>
    <w:rsid w:val="00E27BCF"/>
    <w:rsid w:val="00E27CA4"/>
    <w:rsid w:val="00E27CC6"/>
    <w:rsid w:val="00E27EF7"/>
    <w:rsid w:val="00E30033"/>
    <w:rsid w:val="00E30098"/>
    <w:rsid w:val="00E300D5"/>
    <w:rsid w:val="00E301BB"/>
    <w:rsid w:val="00E301C7"/>
    <w:rsid w:val="00E30254"/>
    <w:rsid w:val="00E303AD"/>
    <w:rsid w:val="00E3046F"/>
    <w:rsid w:val="00E304A8"/>
    <w:rsid w:val="00E3053B"/>
    <w:rsid w:val="00E305BC"/>
    <w:rsid w:val="00E305D5"/>
    <w:rsid w:val="00E30758"/>
    <w:rsid w:val="00E307A7"/>
    <w:rsid w:val="00E307F7"/>
    <w:rsid w:val="00E309C9"/>
    <w:rsid w:val="00E30B84"/>
    <w:rsid w:val="00E30C4F"/>
    <w:rsid w:val="00E30C99"/>
    <w:rsid w:val="00E30C9F"/>
    <w:rsid w:val="00E30CAA"/>
    <w:rsid w:val="00E30D19"/>
    <w:rsid w:val="00E31169"/>
    <w:rsid w:val="00E31230"/>
    <w:rsid w:val="00E31244"/>
    <w:rsid w:val="00E31285"/>
    <w:rsid w:val="00E312FC"/>
    <w:rsid w:val="00E3130C"/>
    <w:rsid w:val="00E31328"/>
    <w:rsid w:val="00E31397"/>
    <w:rsid w:val="00E313ED"/>
    <w:rsid w:val="00E31476"/>
    <w:rsid w:val="00E31483"/>
    <w:rsid w:val="00E31815"/>
    <w:rsid w:val="00E318FC"/>
    <w:rsid w:val="00E3190D"/>
    <w:rsid w:val="00E319F1"/>
    <w:rsid w:val="00E31A8B"/>
    <w:rsid w:val="00E31A9F"/>
    <w:rsid w:val="00E31AAD"/>
    <w:rsid w:val="00E31B1D"/>
    <w:rsid w:val="00E31B4B"/>
    <w:rsid w:val="00E31B98"/>
    <w:rsid w:val="00E31BF5"/>
    <w:rsid w:val="00E31C3D"/>
    <w:rsid w:val="00E31DFF"/>
    <w:rsid w:val="00E31EDB"/>
    <w:rsid w:val="00E31F0A"/>
    <w:rsid w:val="00E31F7F"/>
    <w:rsid w:val="00E32163"/>
    <w:rsid w:val="00E321F6"/>
    <w:rsid w:val="00E32225"/>
    <w:rsid w:val="00E322A3"/>
    <w:rsid w:val="00E3243C"/>
    <w:rsid w:val="00E32449"/>
    <w:rsid w:val="00E32452"/>
    <w:rsid w:val="00E32484"/>
    <w:rsid w:val="00E32509"/>
    <w:rsid w:val="00E32686"/>
    <w:rsid w:val="00E326E4"/>
    <w:rsid w:val="00E32751"/>
    <w:rsid w:val="00E32753"/>
    <w:rsid w:val="00E32799"/>
    <w:rsid w:val="00E32873"/>
    <w:rsid w:val="00E32958"/>
    <w:rsid w:val="00E329F3"/>
    <w:rsid w:val="00E32A43"/>
    <w:rsid w:val="00E32A82"/>
    <w:rsid w:val="00E32CA1"/>
    <w:rsid w:val="00E32CBD"/>
    <w:rsid w:val="00E32D05"/>
    <w:rsid w:val="00E32D24"/>
    <w:rsid w:val="00E32E07"/>
    <w:rsid w:val="00E32E10"/>
    <w:rsid w:val="00E32F75"/>
    <w:rsid w:val="00E3314D"/>
    <w:rsid w:val="00E33373"/>
    <w:rsid w:val="00E33571"/>
    <w:rsid w:val="00E3358F"/>
    <w:rsid w:val="00E336AE"/>
    <w:rsid w:val="00E33796"/>
    <w:rsid w:val="00E33915"/>
    <w:rsid w:val="00E33975"/>
    <w:rsid w:val="00E33979"/>
    <w:rsid w:val="00E339A6"/>
    <w:rsid w:val="00E339E5"/>
    <w:rsid w:val="00E339EE"/>
    <w:rsid w:val="00E33A30"/>
    <w:rsid w:val="00E33A35"/>
    <w:rsid w:val="00E33A5E"/>
    <w:rsid w:val="00E33B76"/>
    <w:rsid w:val="00E33C38"/>
    <w:rsid w:val="00E33DB8"/>
    <w:rsid w:val="00E33E60"/>
    <w:rsid w:val="00E33F19"/>
    <w:rsid w:val="00E33F94"/>
    <w:rsid w:val="00E34026"/>
    <w:rsid w:val="00E34037"/>
    <w:rsid w:val="00E340AF"/>
    <w:rsid w:val="00E34165"/>
    <w:rsid w:val="00E34245"/>
    <w:rsid w:val="00E342EE"/>
    <w:rsid w:val="00E34457"/>
    <w:rsid w:val="00E34795"/>
    <w:rsid w:val="00E3483A"/>
    <w:rsid w:val="00E34A23"/>
    <w:rsid w:val="00E34ABB"/>
    <w:rsid w:val="00E34AC3"/>
    <w:rsid w:val="00E34AE7"/>
    <w:rsid w:val="00E34BDA"/>
    <w:rsid w:val="00E34C8B"/>
    <w:rsid w:val="00E34D80"/>
    <w:rsid w:val="00E34DCC"/>
    <w:rsid w:val="00E34F83"/>
    <w:rsid w:val="00E34F8E"/>
    <w:rsid w:val="00E35018"/>
    <w:rsid w:val="00E3505A"/>
    <w:rsid w:val="00E350FD"/>
    <w:rsid w:val="00E35159"/>
    <w:rsid w:val="00E3530B"/>
    <w:rsid w:val="00E35395"/>
    <w:rsid w:val="00E353C8"/>
    <w:rsid w:val="00E354D8"/>
    <w:rsid w:val="00E3551B"/>
    <w:rsid w:val="00E355D5"/>
    <w:rsid w:val="00E35616"/>
    <w:rsid w:val="00E356DB"/>
    <w:rsid w:val="00E358BE"/>
    <w:rsid w:val="00E35B03"/>
    <w:rsid w:val="00E35B11"/>
    <w:rsid w:val="00E35BDE"/>
    <w:rsid w:val="00E35D04"/>
    <w:rsid w:val="00E35D59"/>
    <w:rsid w:val="00E35DE8"/>
    <w:rsid w:val="00E35E4B"/>
    <w:rsid w:val="00E35E4D"/>
    <w:rsid w:val="00E36052"/>
    <w:rsid w:val="00E36086"/>
    <w:rsid w:val="00E3609E"/>
    <w:rsid w:val="00E3615A"/>
    <w:rsid w:val="00E363E8"/>
    <w:rsid w:val="00E36436"/>
    <w:rsid w:val="00E3649E"/>
    <w:rsid w:val="00E364E5"/>
    <w:rsid w:val="00E365B9"/>
    <w:rsid w:val="00E365BF"/>
    <w:rsid w:val="00E3669D"/>
    <w:rsid w:val="00E366A6"/>
    <w:rsid w:val="00E366B3"/>
    <w:rsid w:val="00E36707"/>
    <w:rsid w:val="00E36736"/>
    <w:rsid w:val="00E367F1"/>
    <w:rsid w:val="00E36A3C"/>
    <w:rsid w:val="00E36A55"/>
    <w:rsid w:val="00E36A7F"/>
    <w:rsid w:val="00E36AFC"/>
    <w:rsid w:val="00E36B5E"/>
    <w:rsid w:val="00E36B94"/>
    <w:rsid w:val="00E36C41"/>
    <w:rsid w:val="00E36CB5"/>
    <w:rsid w:val="00E36CBA"/>
    <w:rsid w:val="00E36CE1"/>
    <w:rsid w:val="00E36E3C"/>
    <w:rsid w:val="00E36E3D"/>
    <w:rsid w:val="00E36F4F"/>
    <w:rsid w:val="00E371B4"/>
    <w:rsid w:val="00E372B2"/>
    <w:rsid w:val="00E37385"/>
    <w:rsid w:val="00E373D4"/>
    <w:rsid w:val="00E3744E"/>
    <w:rsid w:val="00E374B9"/>
    <w:rsid w:val="00E3763A"/>
    <w:rsid w:val="00E3774B"/>
    <w:rsid w:val="00E37773"/>
    <w:rsid w:val="00E378D0"/>
    <w:rsid w:val="00E3793A"/>
    <w:rsid w:val="00E37A24"/>
    <w:rsid w:val="00E37B66"/>
    <w:rsid w:val="00E37BD9"/>
    <w:rsid w:val="00E37D2F"/>
    <w:rsid w:val="00E37EFF"/>
    <w:rsid w:val="00E37F76"/>
    <w:rsid w:val="00E40006"/>
    <w:rsid w:val="00E4005B"/>
    <w:rsid w:val="00E400FD"/>
    <w:rsid w:val="00E4026C"/>
    <w:rsid w:val="00E4049C"/>
    <w:rsid w:val="00E40592"/>
    <w:rsid w:val="00E405B7"/>
    <w:rsid w:val="00E408EF"/>
    <w:rsid w:val="00E4091D"/>
    <w:rsid w:val="00E4097B"/>
    <w:rsid w:val="00E40ACD"/>
    <w:rsid w:val="00E40ACF"/>
    <w:rsid w:val="00E40AED"/>
    <w:rsid w:val="00E40B96"/>
    <w:rsid w:val="00E40C01"/>
    <w:rsid w:val="00E40C8A"/>
    <w:rsid w:val="00E40C8E"/>
    <w:rsid w:val="00E40CA7"/>
    <w:rsid w:val="00E40D49"/>
    <w:rsid w:val="00E40EE9"/>
    <w:rsid w:val="00E41067"/>
    <w:rsid w:val="00E411DF"/>
    <w:rsid w:val="00E4149F"/>
    <w:rsid w:val="00E4159A"/>
    <w:rsid w:val="00E415BB"/>
    <w:rsid w:val="00E41698"/>
    <w:rsid w:val="00E41888"/>
    <w:rsid w:val="00E418DB"/>
    <w:rsid w:val="00E41AC2"/>
    <w:rsid w:val="00E41B45"/>
    <w:rsid w:val="00E41C57"/>
    <w:rsid w:val="00E41E6B"/>
    <w:rsid w:val="00E41EFF"/>
    <w:rsid w:val="00E420BB"/>
    <w:rsid w:val="00E42139"/>
    <w:rsid w:val="00E421C6"/>
    <w:rsid w:val="00E42347"/>
    <w:rsid w:val="00E4234D"/>
    <w:rsid w:val="00E423D9"/>
    <w:rsid w:val="00E4241E"/>
    <w:rsid w:val="00E4263C"/>
    <w:rsid w:val="00E427C7"/>
    <w:rsid w:val="00E427D4"/>
    <w:rsid w:val="00E42834"/>
    <w:rsid w:val="00E42A0D"/>
    <w:rsid w:val="00E42A18"/>
    <w:rsid w:val="00E42A2D"/>
    <w:rsid w:val="00E42A81"/>
    <w:rsid w:val="00E42C60"/>
    <w:rsid w:val="00E42C6E"/>
    <w:rsid w:val="00E42EE3"/>
    <w:rsid w:val="00E42F2B"/>
    <w:rsid w:val="00E42F5E"/>
    <w:rsid w:val="00E42F9D"/>
    <w:rsid w:val="00E43008"/>
    <w:rsid w:val="00E4306D"/>
    <w:rsid w:val="00E430CC"/>
    <w:rsid w:val="00E431BF"/>
    <w:rsid w:val="00E4328B"/>
    <w:rsid w:val="00E43305"/>
    <w:rsid w:val="00E43325"/>
    <w:rsid w:val="00E43393"/>
    <w:rsid w:val="00E433E7"/>
    <w:rsid w:val="00E43406"/>
    <w:rsid w:val="00E43582"/>
    <w:rsid w:val="00E435F9"/>
    <w:rsid w:val="00E43781"/>
    <w:rsid w:val="00E43783"/>
    <w:rsid w:val="00E437B4"/>
    <w:rsid w:val="00E43900"/>
    <w:rsid w:val="00E4397F"/>
    <w:rsid w:val="00E439CE"/>
    <w:rsid w:val="00E439EB"/>
    <w:rsid w:val="00E43A66"/>
    <w:rsid w:val="00E43B44"/>
    <w:rsid w:val="00E43C55"/>
    <w:rsid w:val="00E43DA6"/>
    <w:rsid w:val="00E43E6E"/>
    <w:rsid w:val="00E43E90"/>
    <w:rsid w:val="00E43F06"/>
    <w:rsid w:val="00E43F59"/>
    <w:rsid w:val="00E43FD2"/>
    <w:rsid w:val="00E43FF4"/>
    <w:rsid w:val="00E44051"/>
    <w:rsid w:val="00E4405C"/>
    <w:rsid w:val="00E44096"/>
    <w:rsid w:val="00E440C0"/>
    <w:rsid w:val="00E441B7"/>
    <w:rsid w:val="00E44384"/>
    <w:rsid w:val="00E444C9"/>
    <w:rsid w:val="00E444CE"/>
    <w:rsid w:val="00E445CC"/>
    <w:rsid w:val="00E447DD"/>
    <w:rsid w:val="00E44806"/>
    <w:rsid w:val="00E44881"/>
    <w:rsid w:val="00E448E9"/>
    <w:rsid w:val="00E4492C"/>
    <w:rsid w:val="00E44966"/>
    <w:rsid w:val="00E44984"/>
    <w:rsid w:val="00E44A26"/>
    <w:rsid w:val="00E44C0F"/>
    <w:rsid w:val="00E44D60"/>
    <w:rsid w:val="00E44DD9"/>
    <w:rsid w:val="00E44DDE"/>
    <w:rsid w:val="00E44E55"/>
    <w:rsid w:val="00E44E5F"/>
    <w:rsid w:val="00E44EC3"/>
    <w:rsid w:val="00E44F81"/>
    <w:rsid w:val="00E44FC1"/>
    <w:rsid w:val="00E450B6"/>
    <w:rsid w:val="00E452B2"/>
    <w:rsid w:val="00E452FA"/>
    <w:rsid w:val="00E45769"/>
    <w:rsid w:val="00E45821"/>
    <w:rsid w:val="00E45863"/>
    <w:rsid w:val="00E45AF0"/>
    <w:rsid w:val="00E45BCE"/>
    <w:rsid w:val="00E45C57"/>
    <w:rsid w:val="00E45DE2"/>
    <w:rsid w:val="00E4602C"/>
    <w:rsid w:val="00E461D3"/>
    <w:rsid w:val="00E46362"/>
    <w:rsid w:val="00E463AB"/>
    <w:rsid w:val="00E46415"/>
    <w:rsid w:val="00E46420"/>
    <w:rsid w:val="00E46477"/>
    <w:rsid w:val="00E464CB"/>
    <w:rsid w:val="00E46538"/>
    <w:rsid w:val="00E465DA"/>
    <w:rsid w:val="00E4660B"/>
    <w:rsid w:val="00E46691"/>
    <w:rsid w:val="00E46703"/>
    <w:rsid w:val="00E46848"/>
    <w:rsid w:val="00E469F6"/>
    <w:rsid w:val="00E46A84"/>
    <w:rsid w:val="00E46B47"/>
    <w:rsid w:val="00E46B49"/>
    <w:rsid w:val="00E46B64"/>
    <w:rsid w:val="00E46B7A"/>
    <w:rsid w:val="00E46B9A"/>
    <w:rsid w:val="00E46C13"/>
    <w:rsid w:val="00E46C5C"/>
    <w:rsid w:val="00E46C5F"/>
    <w:rsid w:val="00E46CE0"/>
    <w:rsid w:val="00E46D22"/>
    <w:rsid w:val="00E46D53"/>
    <w:rsid w:val="00E46DD2"/>
    <w:rsid w:val="00E46F0A"/>
    <w:rsid w:val="00E46FA7"/>
    <w:rsid w:val="00E4700B"/>
    <w:rsid w:val="00E470BE"/>
    <w:rsid w:val="00E47248"/>
    <w:rsid w:val="00E473D1"/>
    <w:rsid w:val="00E47426"/>
    <w:rsid w:val="00E47432"/>
    <w:rsid w:val="00E4747F"/>
    <w:rsid w:val="00E474F4"/>
    <w:rsid w:val="00E475CB"/>
    <w:rsid w:val="00E47659"/>
    <w:rsid w:val="00E47706"/>
    <w:rsid w:val="00E477C9"/>
    <w:rsid w:val="00E47808"/>
    <w:rsid w:val="00E478B0"/>
    <w:rsid w:val="00E47980"/>
    <w:rsid w:val="00E47995"/>
    <w:rsid w:val="00E479A3"/>
    <w:rsid w:val="00E479D6"/>
    <w:rsid w:val="00E47A4E"/>
    <w:rsid w:val="00E47AAC"/>
    <w:rsid w:val="00E47AE1"/>
    <w:rsid w:val="00E47B63"/>
    <w:rsid w:val="00E47B8A"/>
    <w:rsid w:val="00E47BC2"/>
    <w:rsid w:val="00E47BF6"/>
    <w:rsid w:val="00E47C32"/>
    <w:rsid w:val="00E47C85"/>
    <w:rsid w:val="00E47DE7"/>
    <w:rsid w:val="00E47F98"/>
    <w:rsid w:val="00E5000F"/>
    <w:rsid w:val="00E5001A"/>
    <w:rsid w:val="00E5002F"/>
    <w:rsid w:val="00E500B4"/>
    <w:rsid w:val="00E501E8"/>
    <w:rsid w:val="00E50319"/>
    <w:rsid w:val="00E5041E"/>
    <w:rsid w:val="00E50429"/>
    <w:rsid w:val="00E5046C"/>
    <w:rsid w:val="00E504B8"/>
    <w:rsid w:val="00E504FE"/>
    <w:rsid w:val="00E50558"/>
    <w:rsid w:val="00E50581"/>
    <w:rsid w:val="00E505D8"/>
    <w:rsid w:val="00E50651"/>
    <w:rsid w:val="00E506FB"/>
    <w:rsid w:val="00E5071B"/>
    <w:rsid w:val="00E507EB"/>
    <w:rsid w:val="00E50898"/>
    <w:rsid w:val="00E509C0"/>
    <w:rsid w:val="00E50A79"/>
    <w:rsid w:val="00E50AB7"/>
    <w:rsid w:val="00E50AE4"/>
    <w:rsid w:val="00E50B44"/>
    <w:rsid w:val="00E50BBC"/>
    <w:rsid w:val="00E50C45"/>
    <w:rsid w:val="00E50C50"/>
    <w:rsid w:val="00E50CAF"/>
    <w:rsid w:val="00E50CE6"/>
    <w:rsid w:val="00E50D56"/>
    <w:rsid w:val="00E50DA7"/>
    <w:rsid w:val="00E50F17"/>
    <w:rsid w:val="00E50FD1"/>
    <w:rsid w:val="00E51017"/>
    <w:rsid w:val="00E51186"/>
    <w:rsid w:val="00E51187"/>
    <w:rsid w:val="00E511B3"/>
    <w:rsid w:val="00E511EE"/>
    <w:rsid w:val="00E51219"/>
    <w:rsid w:val="00E51268"/>
    <w:rsid w:val="00E512C4"/>
    <w:rsid w:val="00E512D7"/>
    <w:rsid w:val="00E513B2"/>
    <w:rsid w:val="00E513D3"/>
    <w:rsid w:val="00E51424"/>
    <w:rsid w:val="00E51444"/>
    <w:rsid w:val="00E51755"/>
    <w:rsid w:val="00E5178C"/>
    <w:rsid w:val="00E5178F"/>
    <w:rsid w:val="00E51968"/>
    <w:rsid w:val="00E51C95"/>
    <w:rsid w:val="00E51CB9"/>
    <w:rsid w:val="00E51DA2"/>
    <w:rsid w:val="00E51F2E"/>
    <w:rsid w:val="00E51F2F"/>
    <w:rsid w:val="00E51F61"/>
    <w:rsid w:val="00E5205A"/>
    <w:rsid w:val="00E52064"/>
    <w:rsid w:val="00E520B6"/>
    <w:rsid w:val="00E521F4"/>
    <w:rsid w:val="00E522DD"/>
    <w:rsid w:val="00E522DF"/>
    <w:rsid w:val="00E523F8"/>
    <w:rsid w:val="00E524FF"/>
    <w:rsid w:val="00E52644"/>
    <w:rsid w:val="00E52696"/>
    <w:rsid w:val="00E526C4"/>
    <w:rsid w:val="00E5275E"/>
    <w:rsid w:val="00E5279D"/>
    <w:rsid w:val="00E527AF"/>
    <w:rsid w:val="00E5286F"/>
    <w:rsid w:val="00E5290B"/>
    <w:rsid w:val="00E52977"/>
    <w:rsid w:val="00E52B5A"/>
    <w:rsid w:val="00E52EBA"/>
    <w:rsid w:val="00E530E9"/>
    <w:rsid w:val="00E530F9"/>
    <w:rsid w:val="00E53286"/>
    <w:rsid w:val="00E53586"/>
    <w:rsid w:val="00E53647"/>
    <w:rsid w:val="00E53678"/>
    <w:rsid w:val="00E5368B"/>
    <w:rsid w:val="00E53722"/>
    <w:rsid w:val="00E53750"/>
    <w:rsid w:val="00E53763"/>
    <w:rsid w:val="00E537A7"/>
    <w:rsid w:val="00E53880"/>
    <w:rsid w:val="00E53957"/>
    <w:rsid w:val="00E53D71"/>
    <w:rsid w:val="00E53E5D"/>
    <w:rsid w:val="00E53E84"/>
    <w:rsid w:val="00E53EE0"/>
    <w:rsid w:val="00E53EF4"/>
    <w:rsid w:val="00E53FB8"/>
    <w:rsid w:val="00E54068"/>
    <w:rsid w:val="00E540B1"/>
    <w:rsid w:val="00E54157"/>
    <w:rsid w:val="00E54300"/>
    <w:rsid w:val="00E54302"/>
    <w:rsid w:val="00E54334"/>
    <w:rsid w:val="00E5435B"/>
    <w:rsid w:val="00E54369"/>
    <w:rsid w:val="00E54414"/>
    <w:rsid w:val="00E5449F"/>
    <w:rsid w:val="00E544EB"/>
    <w:rsid w:val="00E5477B"/>
    <w:rsid w:val="00E548CD"/>
    <w:rsid w:val="00E548F0"/>
    <w:rsid w:val="00E549F0"/>
    <w:rsid w:val="00E54BF9"/>
    <w:rsid w:val="00E54C8B"/>
    <w:rsid w:val="00E54CBE"/>
    <w:rsid w:val="00E54D33"/>
    <w:rsid w:val="00E54D8D"/>
    <w:rsid w:val="00E54DB7"/>
    <w:rsid w:val="00E54E0A"/>
    <w:rsid w:val="00E54EC8"/>
    <w:rsid w:val="00E54F56"/>
    <w:rsid w:val="00E54F84"/>
    <w:rsid w:val="00E55087"/>
    <w:rsid w:val="00E55175"/>
    <w:rsid w:val="00E55319"/>
    <w:rsid w:val="00E554B3"/>
    <w:rsid w:val="00E55729"/>
    <w:rsid w:val="00E557BC"/>
    <w:rsid w:val="00E558CC"/>
    <w:rsid w:val="00E558E9"/>
    <w:rsid w:val="00E55927"/>
    <w:rsid w:val="00E559F6"/>
    <w:rsid w:val="00E55A38"/>
    <w:rsid w:val="00E55A42"/>
    <w:rsid w:val="00E55B81"/>
    <w:rsid w:val="00E55BCC"/>
    <w:rsid w:val="00E55CCB"/>
    <w:rsid w:val="00E55E21"/>
    <w:rsid w:val="00E55E41"/>
    <w:rsid w:val="00E55F18"/>
    <w:rsid w:val="00E56049"/>
    <w:rsid w:val="00E56174"/>
    <w:rsid w:val="00E56213"/>
    <w:rsid w:val="00E562BD"/>
    <w:rsid w:val="00E562FC"/>
    <w:rsid w:val="00E56320"/>
    <w:rsid w:val="00E563CC"/>
    <w:rsid w:val="00E56403"/>
    <w:rsid w:val="00E56480"/>
    <w:rsid w:val="00E565A0"/>
    <w:rsid w:val="00E565DA"/>
    <w:rsid w:val="00E566D5"/>
    <w:rsid w:val="00E56769"/>
    <w:rsid w:val="00E56942"/>
    <w:rsid w:val="00E569F4"/>
    <w:rsid w:val="00E56A78"/>
    <w:rsid w:val="00E56AB2"/>
    <w:rsid w:val="00E56C8F"/>
    <w:rsid w:val="00E56E66"/>
    <w:rsid w:val="00E56EE8"/>
    <w:rsid w:val="00E56EFC"/>
    <w:rsid w:val="00E5710D"/>
    <w:rsid w:val="00E57126"/>
    <w:rsid w:val="00E57359"/>
    <w:rsid w:val="00E57389"/>
    <w:rsid w:val="00E573E9"/>
    <w:rsid w:val="00E57469"/>
    <w:rsid w:val="00E574BF"/>
    <w:rsid w:val="00E5764D"/>
    <w:rsid w:val="00E577FD"/>
    <w:rsid w:val="00E579B8"/>
    <w:rsid w:val="00E57A88"/>
    <w:rsid w:val="00E57B7E"/>
    <w:rsid w:val="00E57B97"/>
    <w:rsid w:val="00E57C85"/>
    <w:rsid w:val="00E57CC0"/>
    <w:rsid w:val="00E57E3C"/>
    <w:rsid w:val="00E57E6F"/>
    <w:rsid w:val="00E57E71"/>
    <w:rsid w:val="00E57F90"/>
    <w:rsid w:val="00E6003D"/>
    <w:rsid w:val="00E6007B"/>
    <w:rsid w:val="00E600A6"/>
    <w:rsid w:val="00E6015F"/>
    <w:rsid w:val="00E60191"/>
    <w:rsid w:val="00E601EA"/>
    <w:rsid w:val="00E6020C"/>
    <w:rsid w:val="00E60326"/>
    <w:rsid w:val="00E60428"/>
    <w:rsid w:val="00E60489"/>
    <w:rsid w:val="00E60870"/>
    <w:rsid w:val="00E60A10"/>
    <w:rsid w:val="00E60A9F"/>
    <w:rsid w:val="00E60AA6"/>
    <w:rsid w:val="00E60BB2"/>
    <w:rsid w:val="00E60BBD"/>
    <w:rsid w:val="00E60BE9"/>
    <w:rsid w:val="00E60C71"/>
    <w:rsid w:val="00E60D3B"/>
    <w:rsid w:val="00E60D3E"/>
    <w:rsid w:val="00E60E51"/>
    <w:rsid w:val="00E61190"/>
    <w:rsid w:val="00E6125D"/>
    <w:rsid w:val="00E61274"/>
    <w:rsid w:val="00E61377"/>
    <w:rsid w:val="00E61389"/>
    <w:rsid w:val="00E61482"/>
    <w:rsid w:val="00E6148A"/>
    <w:rsid w:val="00E614D4"/>
    <w:rsid w:val="00E6159A"/>
    <w:rsid w:val="00E61621"/>
    <w:rsid w:val="00E61628"/>
    <w:rsid w:val="00E617B2"/>
    <w:rsid w:val="00E6194C"/>
    <w:rsid w:val="00E61B90"/>
    <w:rsid w:val="00E61BE1"/>
    <w:rsid w:val="00E61C21"/>
    <w:rsid w:val="00E61C8E"/>
    <w:rsid w:val="00E61CDC"/>
    <w:rsid w:val="00E61DE0"/>
    <w:rsid w:val="00E61DEC"/>
    <w:rsid w:val="00E61E59"/>
    <w:rsid w:val="00E61EDC"/>
    <w:rsid w:val="00E61F26"/>
    <w:rsid w:val="00E61FEE"/>
    <w:rsid w:val="00E62033"/>
    <w:rsid w:val="00E620E5"/>
    <w:rsid w:val="00E62361"/>
    <w:rsid w:val="00E62483"/>
    <w:rsid w:val="00E62496"/>
    <w:rsid w:val="00E624AB"/>
    <w:rsid w:val="00E624F3"/>
    <w:rsid w:val="00E6255E"/>
    <w:rsid w:val="00E62604"/>
    <w:rsid w:val="00E6269A"/>
    <w:rsid w:val="00E626DE"/>
    <w:rsid w:val="00E62709"/>
    <w:rsid w:val="00E6289D"/>
    <w:rsid w:val="00E628C1"/>
    <w:rsid w:val="00E6296E"/>
    <w:rsid w:val="00E629D9"/>
    <w:rsid w:val="00E62A1D"/>
    <w:rsid w:val="00E62A62"/>
    <w:rsid w:val="00E62AF9"/>
    <w:rsid w:val="00E62BC7"/>
    <w:rsid w:val="00E62C8D"/>
    <w:rsid w:val="00E62C9B"/>
    <w:rsid w:val="00E62D76"/>
    <w:rsid w:val="00E62E9F"/>
    <w:rsid w:val="00E62EBD"/>
    <w:rsid w:val="00E62F61"/>
    <w:rsid w:val="00E62FF3"/>
    <w:rsid w:val="00E6304F"/>
    <w:rsid w:val="00E630A2"/>
    <w:rsid w:val="00E630CE"/>
    <w:rsid w:val="00E63210"/>
    <w:rsid w:val="00E632F6"/>
    <w:rsid w:val="00E63302"/>
    <w:rsid w:val="00E63514"/>
    <w:rsid w:val="00E635E1"/>
    <w:rsid w:val="00E636FE"/>
    <w:rsid w:val="00E63749"/>
    <w:rsid w:val="00E6382A"/>
    <w:rsid w:val="00E63872"/>
    <w:rsid w:val="00E63A9A"/>
    <w:rsid w:val="00E63C50"/>
    <w:rsid w:val="00E63CC7"/>
    <w:rsid w:val="00E63D92"/>
    <w:rsid w:val="00E63DCB"/>
    <w:rsid w:val="00E63E11"/>
    <w:rsid w:val="00E63EAD"/>
    <w:rsid w:val="00E64029"/>
    <w:rsid w:val="00E6413C"/>
    <w:rsid w:val="00E6426D"/>
    <w:rsid w:val="00E64270"/>
    <w:rsid w:val="00E642B0"/>
    <w:rsid w:val="00E642F5"/>
    <w:rsid w:val="00E64302"/>
    <w:rsid w:val="00E644CA"/>
    <w:rsid w:val="00E6453C"/>
    <w:rsid w:val="00E64642"/>
    <w:rsid w:val="00E6467B"/>
    <w:rsid w:val="00E6467C"/>
    <w:rsid w:val="00E6474A"/>
    <w:rsid w:val="00E647F8"/>
    <w:rsid w:val="00E6483C"/>
    <w:rsid w:val="00E648E1"/>
    <w:rsid w:val="00E64A0A"/>
    <w:rsid w:val="00E64B13"/>
    <w:rsid w:val="00E64B84"/>
    <w:rsid w:val="00E64CA8"/>
    <w:rsid w:val="00E64D65"/>
    <w:rsid w:val="00E64ED6"/>
    <w:rsid w:val="00E64F40"/>
    <w:rsid w:val="00E65074"/>
    <w:rsid w:val="00E650F4"/>
    <w:rsid w:val="00E65124"/>
    <w:rsid w:val="00E6534C"/>
    <w:rsid w:val="00E6535B"/>
    <w:rsid w:val="00E6537B"/>
    <w:rsid w:val="00E65384"/>
    <w:rsid w:val="00E6538F"/>
    <w:rsid w:val="00E654E6"/>
    <w:rsid w:val="00E65567"/>
    <w:rsid w:val="00E65610"/>
    <w:rsid w:val="00E65612"/>
    <w:rsid w:val="00E6579C"/>
    <w:rsid w:val="00E657E3"/>
    <w:rsid w:val="00E65826"/>
    <w:rsid w:val="00E65B03"/>
    <w:rsid w:val="00E65B0A"/>
    <w:rsid w:val="00E65B36"/>
    <w:rsid w:val="00E65C6C"/>
    <w:rsid w:val="00E65E64"/>
    <w:rsid w:val="00E65F4A"/>
    <w:rsid w:val="00E65F8D"/>
    <w:rsid w:val="00E660C0"/>
    <w:rsid w:val="00E66195"/>
    <w:rsid w:val="00E66205"/>
    <w:rsid w:val="00E6634A"/>
    <w:rsid w:val="00E663DE"/>
    <w:rsid w:val="00E665B6"/>
    <w:rsid w:val="00E668A2"/>
    <w:rsid w:val="00E668E3"/>
    <w:rsid w:val="00E668F3"/>
    <w:rsid w:val="00E6691D"/>
    <w:rsid w:val="00E6695F"/>
    <w:rsid w:val="00E66A46"/>
    <w:rsid w:val="00E66A62"/>
    <w:rsid w:val="00E66B66"/>
    <w:rsid w:val="00E66B94"/>
    <w:rsid w:val="00E66B98"/>
    <w:rsid w:val="00E66D7A"/>
    <w:rsid w:val="00E66E06"/>
    <w:rsid w:val="00E66EB6"/>
    <w:rsid w:val="00E670A2"/>
    <w:rsid w:val="00E670C0"/>
    <w:rsid w:val="00E670C6"/>
    <w:rsid w:val="00E670E5"/>
    <w:rsid w:val="00E6721F"/>
    <w:rsid w:val="00E672CE"/>
    <w:rsid w:val="00E6739C"/>
    <w:rsid w:val="00E673B9"/>
    <w:rsid w:val="00E673D7"/>
    <w:rsid w:val="00E673E9"/>
    <w:rsid w:val="00E67565"/>
    <w:rsid w:val="00E6757F"/>
    <w:rsid w:val="00E67643"/>
    <w:rsid w:val="00E67754"/>
    <w:rsid w:val="00E678D5"/>
    <w:rsid w:val="00E67948"/>
    <w:rsid w:val="00E679EE"/>
    <w:rsid w:val="00E67AEE"/>
    <w:rsid w:val="00E67C5D"/>
    <w:rsid w:val="00E67C80"/>
    <w:rsid w:val="00E67CEF"/>
    <w:rsid w:val="00E67D78"/>
    <w:rsid w:val="00E67E44"/>
    <w:rsid w:val="00E67FA3"/>
    <w:rsid w:val="00E70125"/>
    <w:rsid w:val="00E70267"/>
    <w:rsid w:val="00E7038F"/>
    <w:rsid w:val="00E70674"/>
    <w:rsid w:val="00E708B6"/>
    <w:rsid w:val="00E709CB"/>
    <w:rsid w:val="00E709ED"/>
    <w:rsid w:val="00E70AE9"/>
    <w:rsid w:val="00E70C67"/>
    <w:rsid w:val="00E70CC7"/>
    <w:rsid w:val="00E70E09"/>
    <w:rsid w:val="00E70F22"/>
    <w:rsid w:val="00E70FB8"/>
    <w:rsid w:val="00E7113B"/>
    <w:rsid w:val="00E71142"/>
    <w:rsid w:val="00E712FC"/>
    <w:rsid w:val="00E715AF"/>
    <w:rsid w:val="00E715D7"/>
    <w:rsid w:val="00E715F0"/>
    <w:rsid w:val="00E715F7"/>
    <w:rsid w:val="00E7170E"/>
    <w:rsid w:val="00E71867"/>
    <w:rsid w:val="00E718F0"/>
    <w:rsid w:val="00E7196B"/>
    <w:rsid w:val="00E7197D"/>
    <w:rsid w:val="00E71B8F"/>
    <w:rsid w:val="00E71C06"/>
    <w:rsid w:val="00E71DA0"/>
    <w:rsid w:val="00E71DBA"/>
    <w:rsid w:val="00E71F1C"/>
    <w:rsid w:val="00E71F69"/>
    <w:rsid w:val="00E7213A"/>
    <w:rsid w:val="00E722B5"/>
    <w:rsid w:val="00E722EA"/>
    <w:rsid w:val="00E72387"/>
    <w:rsid w:val="00E72394"/>
    <w:rsid w:val="00E72426"/>
    <w:rsid w:val="00E7258B"/>
    <w:rsid w:val="00E72678"/>
    <w:rsid w:val="00E727BA"/>
    <w:rsid w:val="00E727CB"/>
    <w:rsid w:val="00E72AD1"/>
    <w:rsid w:val="00E72CA6"/>
    <w:rsid w:val="00E72D6E"/>
    <w:rsid w:val="00E72D74"/>
    <w:rsid w:val="00E72DD8"/>
    <w:rsid w:val="00E72DE4"/>
    <w:rsid w:val="00E72E01"/>
    <w:rsid w:val="00E72EC5"/>
    <w:rsid w:val="00E72F9D"/>
    <w:rsid w:val="00E73113"/>
    <w:rsid w:val="00E73134"/>
    <w:rsid w:val="00E73213"/>
    <w:rsid w:val="00E73302"/>
    <w:rsid w:val="00E73392"/>
    <w:rsid w:val="00E733C7"/>
    <w:rsid w:val="00E73476"/>
    <w:rsid w:val="00E734BB"/>
    <w:rsid w:val="00E734D2"/>
    <w:rsid w:val="00E73500"/>
    <w:rsid w:val="00E7357D"/>
    <w:rsid w:val="00E735E6"/>
    <w:rsid w:val="00E735F8"/>
    <w:rsid w:val="00E73787"/>
    <w:rsid w:val="00E737C3"/>
    <w:rsid w:val="00E7380D"/>
    <w:rsid w:val="00E739BC"/>
    <w:rsid w:val="00E739D4"/>
    <w:rsid w:val="00E73A34"/>
    <w:rsid w:val="00E73CAC"/>
    <w:rsid w:val="00E73CC1"/>
    <w:rsid w:val="00E73D5F"/>
    <w:rsid w:val="00E73E41"/>
    <w:rsid w:val="00E7406E"/>
    <w:rsid w:val="00E74097"/>
    <w:rsid w:val="00E740E1"/>
    <w:rsid w:val="00E7410B"/>
    <w:rsid w:val="00E74112"/>
    <w:rsid w:val="00E74120"/>
    <w:rsid w:val="00E7417F"/>
    <w:rsid w:val="00E742A6"/>
    <w:rsid w:val="00E7434E"/>
    <w:rsid w:val="00E7450B"/>
    <w:rsid w:val="00E74513"/>
    <w:rsid w:val="00E745C5"/>
    <w:rsid w:val="00E74691"/>
    <w:rsid w:val="00E74731"/>
    <w:rsid w:val="00E7486C"/>
    <w:rsid w:val="00E748FD"/>
    <w:rsid w:val="00E74912"/>
    <w:rsid w:val="00E749BB"/>
    <w:rsid w:val="00E74B3C"/>
    <w:rsid w:val="00E74BA2"/>
    <w:rsid w:val="00E74BE9"/>
    <w:rsid w:val="00E74CBC"/>
    <w:rsid w:val="00E74CCF"/>
    <w:rsid w:val="00E74CDF"/>
    <w:rsid w:val="00E74D8B"/>
    <w:rsid w:val="00E74DE0"/>
    <w:rsid w:val="00E74FF0"/>
    <w:rsid w:val="00E75055"/>
    <w:rsid w:val="00E7526A"/>
    <w:rsid w:val="00E75465"/>
    <w:rsid w:val="00E754F9"/>
    <w:rsid w:val="00E7574A"/>
    <w:rsid w:val="00E75968"/>
    <w:rsid w:val="00E75A5B"/>
    <w:rsid w:val="00E75B11"/>
    <w:rsid w:val="00E75B43"/>
    <w:rsid w:val="00E75B82"/>
    <w:rsid w:val="00E75C17"/>
    <w:rsid w:val="00E75C41"/>
    <w:rsid w:val="00E75C94"/>
    <w:rsid w:val="00E75DA8"/>
    <w:rsid w:val="00E75E45"/>
    <w:rsid w:val="00E75FDA"/>
    <w:rsid w:val="00E7607A"/>
    <w:rsid w:val="00E76128"/>
    <w:rsid w:val="00E76247"/>
    <w:rsid w:val="00E76286"/>
    <w:rsid w:val="00E762DD"/>
    <w:rsid w:val="00E76343"/>
    <w:rsid w:val="00E7638C"/>
    <w:rsid w:val="00E7639B"/>
    <w:rsid w:val="00E763FF"/>
    <w:rsid w:val="00E7650F"/>
    <w:rsid w:val="00E76520"/>
    <w:rsid w:val="00E765FD"/>
    <w:rsid w:val="00E76604"/>
    <w:rsid w:val="00E766FA"/>
    <w:rsid w:val="00E76767"/>
    <w:rsid w:val="00E76808"/>
    <w:rsid w:val="00E76958"/>
    <w:rsid w:val="00E7695C"/>
    <w:rsid w:val="00E76ACB"/>
    <w:rsid w:val="00E76C0B"/>
    <w:rsid w:val="00E76C58"/>
    <w:rsid w:val="00E76CBF"/>
    <w:rsid w:val="00E76D74"/>
    <w:rsid w:val="00E76D92"/>
    <w:rsid w:val="00E76D9F"/>
    <w:rsid w:val="00E76E85"/>
    <w:rsid w:val="00E77019"/>
    <w:rsid w:val="00E77023"/>
    <w:rsid w:val="00E770F9"/>
    <w:rsid w:val="00E77262"/>
    <w:rsid w:val="00E772D8"/>
    <w:rsid w:val="00E77380"/>
    <w:rsid w:val="00E7767D"/>
    <w:rsid w:val="00E77755"/>
    <w:rsid w:val="00E7784F"/>
    <w:rsid w:val="00E77867"/>
    <w:rsid w:val="00E77882"/>
    <w:rsid w:val="00E778BF"/>
    <w:rsid w:val="00E77971"/>
    <w:rsid w:val="00E77A56"/>
    <w:rsid w:val="00E77A68"/>
    <w:rsid w:val="00E77A79"/>
    <w:rsid w:val="00E77AAC"/>
    <w:rsid w:val="00E77AE2"/>
    <w:rsid w:val="00E77B46"/>
    <w:rsid w:val="00E77E0E"/>
    <w:rsid w:val="00E77E90"/>
    <w:rsid w:val="00E77F79"/>
    <w:rsid w:val="00E800A1"/>
    <w:rsid w:val="00E80160"/>
    <w:rsid w:val="00E80282"/>
    <w:rsid w:val="00E8028C"/>
    <w:rsid w:val="00E80299"/>
    <w:rsid w:val="00E8035E"/>
    <w:rsid w:val="00E80386"/>
    <w:rsid w:val="00E804D8"/>
    <w:rsid w:val="00E804F0"/>
    <w:rsid w:val="00E8072E"/>
    <w:rsid w:val="00E80751"/>
    <w:rsid w:val="00E808CD"/>
    <w:rsid w:val="00E80B36"/>
    <w:rsid w:val="00E80DC9"/>
    <w:rsid w:val="00E80E01"/>
    <w:rsid w:val="00E80E40"/>
    <w:rsid w:val="00E80E4B"/>
    <w:rsid w:val="00E80FA0"/>
    <w:rsid w:val="00E8110F"/>
    <w:rsid w:val="00E81150"/>
    <w:rsid w:val="00E812E4"/>
    <w:rsid w:val="00E813E0"/>
    <w:rsid w:val="00E813EB"/>
    <w:rsid w:val="00E813F6"/>
    <w:rsid w:val="00E81461"/>
    <w:rsid w:val="00E81639"/>
    <w:rsid w:val="00E8168B"/>
    <w:rsid w:val="00E8173E"/>
    <w:rsid w:val="00E8179D"/>
    <w:rsid w:val="00E81832"/>
    <w:rsid w:val="00E81845"/>
    <w:rsid w:val="00E818A4"/>
    <w:rsid w:val="00E81940"/>
    <w:rsid w:val="00E81A2D"/>
    <w:rsid w:val="00E81B44"/>
    <w:rsid w:val="00E81B8E"/>
    <w:rsid w:val="00E81BDC"/>
    <w:rsid w:val="00E81C2F"/>
    <w:rsid w:val="00E81DAE"/>
    <w:rsid w:val="00E81DCF"/>
    <w:rsid w:val="00E81E70"/>
    <w:rsid w:val="00E81EAB"/>
    <w:rsid w:val="00E81EB1"/>
    <w:rsid w:val="00E81F54"/>
    <w:rsid w:val="00E81F59"/>
    <w:rsid w:val="00E81FD4"/>
    <w:rsid w:val="00E820C3"/>
    <w:rsid w:val="00E821BA"/>
    <w:rsid w:val="00E822A1"/>
    <w:rsid w:val="00E823F5"/>
    <w:rsid w:val="00E824D3"/>
    <w:rsid w:val="00E82581"/>
    <w:rsid w:val="00E8260D"/>
    <w:rsid w:val="00E82647"/>
    <w:rsid w:val="00E8269B"/>
    <w:rsid w:val="00E827DC"/>
    <w:rsid w:val="00E82851"/>
    <w:rsid w:val="00E82879"/>
    <w:rsid w:val="00E828F0"/>
    <w:rsid w:val="00E8291C"/>
    <w:rsid w:val="00E82AC6"/>
    <w:rsid w:val="00E82C9C"/>
    <w:rsid w:val="00E82DD6"/>
    <w:rsid w:val="00E82E89"/>
    <w:rsid w:val="00E82F2C"/>
    <w:rsid w:val="00E82F95"/>
    <w:rsid w:val="00E82F9C"/>
    <w:rsid w:val="00E82FCE"/>
    <w:rsid w:val="00E8300D"/>
    <w:rsid w:val="00E8301C"/>
    <w:rsid w:val="00E8311E"/>
    <w:rsid w:val="00E83248"/>
    <w:rsid w:val="00E8330A"/>
    <w:rsid w:val="00E8333C"/>
    <w:rsid w:val="00E8337E"/>
    <w:rsid w:val="00E833A8"/>
    <w:rsid w:val="00E833E5"/>
    <w:rsid w:val="00E834BE"/>
    <w:rsid w:val="00E83540"/>
    <w:rsid w:val="00E8369A"/>
    <w:rsid w:val="00E837B5"/>
    <w:rsid w:val="00E838B6"/>
    <w:rsid w:val="00E83AE9"/>
    <w:rsid w:val="00E83B12"/>
    <w:rsid w:val="00E83BAD"/>
    <w:rsid w:val="00E83BC2"/>
    <w:rsid w:val="00E83D3B"/>
    <w:rsid w:val="00E83D64"/>
    <w:rsid w:val="00E83D7B"/>
    <w:rsid w:val="00E83E38"/>
    <w:rsid w:val="00E83E5E"/>
    <w:rsid w:val="00E83EC6"/>
    <w:rsid w:val="00E83F3F"/>
    <w:rsid w:val="00E83F80"/>
    <w:rsid w:val="00E8404D"/>
    <w:rsid w:val="00E840C3"/>
    <w:rsid w:val="00E840CE"/>
    <w:rsid w:val="00E841B9"/>
    <w:rsid w:val="00E8425A"/>
    <w:rsid w:val="00E84293"/>
    <w:rsid w:val="00E842B3"/>
    <w:rsid w:val="00E84515"/>
    <w:rsid w:val="00E8454D"/>
    <w:rsid w:val="00E847A3"/>
    <w:rsid w:val="00E847A9"/>
    <w:rsid w:val="00E8484D"/>
    <w:rsid w:val="00E848E3"/>
    <w:rsid w:val="00E848F9"/>
    <w:rsid w:val="00E849EC"/>
    <w:rsid w:val="00E84A5E"/>
    <w:rsid w:val="00E84C14"/>
    <w:rsid w:val="00E84C39"/>
    <w:rsid w:val="00E84CA7"/>
    <w:rsid w:val="00E84D47"/>
    <w:rsid w:val="00E8503B"/>
    <w:rsid w:val="00E850EC"/>
    <w:rsid w:val="00E852DA"/>
    <w:rsid w:val="00E8535F"/>
    <w:rsid w:val="00E85370"/>
    <w:rsid w:val="00E85416"/>
    <w:rsid w:val="00E85422"/>
    <w:rsid w:val="00E85579"/>
    <w:rsid w:val="00E85634"/>
    <w:rsid w:val="00E85787"/>
    <w:rsid w:val="00E857E8"/>
    <w:rsid w:val="00E857F1"/>
    <w:rsid w:val="00E858C0"/>
    <w:rsid w:val="00E85A6C"/>
    <w:rsid w:val="00E85AEC"/>
    <w:rsid w:val="00E85AF0"/>
    <w:rsid w:val="00E85CAD"/>
    <w:rsid w:val="00E85CB1"/>
    <w:rsid w:val="00E85FD6"/>
    <w:rsid w:val="00E8601B"/>
    <w:rsid w:val="00E860EF"/>
    <w:rsid w:val="00E8619E"/>
    <w:rsid w:val="00E861C3"/>
    <w:rsid w:val="00E86282"/>
    <w:rsid w:val="00E862BD"/>
    <w:rsid w:val="00E8633C"/>
    <w:rsid w:val="00E86405"/>
    <w:rsid w:val="00E86460"/>
    <w:rsid w:val="00E8654D"/>
    <w:rsid w:val="00E8658D"/>
    <w:rsid w:val="00E8675B"/>
    <w:rsid w:val="00E867C9"/>
    <w:rsid w:val="00E867D5"/>
    <w:rsid w:val="00E86AE0"/>
    <w:rsid w:val="00E86BFF"/>
    <w:rsid w:val="00E86DB7"/>
    <w:rsid w:val="00E86E7C"/>
    <w:rsid w:val="00E86FFE"/>
    <w:rsid w:val="00E8704C"/>
    <w:rsid w:val="00E8704E"/>
    <w:rsid w:val="00E87168"/>
    <w:rsid w:val="00E87239"/>
    <w:rsid w:val="00E872A3"/>
    <w:rsid w:val="00E872DB"/>
    <w:rsid w:val="00E872F9"/>
    <w:rsid w:val="00E8739A"/>
    <w:rsid w:val="00E873FC"/>
    <w:rsid w:val="00E87524"/>
    <w:rsid w:val="00E875E2"/>
    <w:rsid w:val="00E8767E"/>
    <w:rsid w:val="00E8772F"/>
    <w:rsid w:val="00E877C7"/>
    <w:rsid w:val="00E87810"/>
    <w:rsid w:val="00E878C9"/>
    <w:rsid w:val="00E87CE2"/>
    <w:rsid w:val="00E87EB8"/>
    <w:rsid w:val="00E87EF9"/>
    <w:rsid w:val="00E87FC0"/>
    <w:rsid w:val="00E90034"/>
    <w:rsid w:val="00E900C4"/>
    <w:rsid w:val="00E90145"/>
    <w:rsid w:val="00E902A3"/>
    <w:rsid w:val="00E90522"/>
    <w:rsid w:val="00E905F2"/>
    <w:rsid w:val="00E90623"/>
    <w:rsid w:val="00E907A7"/>
    <w:rsid w:val="00E907BF"/>
    <w:rsid w:val="00E907E6"/>
    <w:rsid w:val="00E908FC"/>
    <w:rsid w:val="00E908FF"/>
    <w:rsid w:val="00E9094B"/>
    <w:rsid w:val="00E90968"/>
    <w:rsid w:val="00E90995"/>
    <w:rsid w:val="00E90AB7"/>
    <w:rsid w:val="00E90B08"/>
    <w:rsid w:val="00E90B4B"/>
    <w:rsid w:val="00E90B7A"/>
    <w:rsid w:val="00E90BAD"/>
    <w:rsid w:val="00E90C46"/>
    <w:rsid w:val="00E90C51"/>
    <w:rsid w:val="00E90C61"/>
    <w:rsid w:val="00E90E73"/>
    <w:rsid w:val="00E90EFE"/>
    <w:rsid w:val="00E90F23"/>
    <w:rsid w:val="00E9116A"/>
    <w:rsid w:val="00E91195"/>
    <w:rsid w:val="00E9119D"/>
    <w:rsid w:val="00E911FB"/>
    <w:rsid w:val="00E91398"/>
    <w:rsid w:val="00E91439"/>
    <w:rsid w:val="00E9146D"/>
    <w:rsid w:val="00E915D7"/>
    <w:rsid w:val="00E91602"/>
    <w:rsid w:val="00E91640"/>
    <w:rsid w:val="00E91699"/>
    <w:rsid w:val="00E91773"/>
    <w:rsid w:val="00E9187B"/>
    <w:rsid w:val="00E918BB"/>
    <w:rsid w:val="00E9191A"/>
    <w:rsid w:val="00E91A2A"/>
    <w:rsid w:val="00E91C49"/>
    <w:rsid w:val="00E91CF7"/>
    <w:rsid w:val="00E91D57"/>
    <w:rsid w:val="00E91D63"/>
    <w:rsid w:val="00E91E11"/>
    <w:rsid w:val="00E91E82"/>
    <w:rsid w:val="00E91EE1"/>
    <w:rsid w:val="00E91EED"/>
    <w:rsid w:val="00E91F67"/>
    <w:rsid w:val="00E92054"/>
    <w:rsid w:val="00E9208E"/>
    <w:rsid w:val="00E9234C"/>
    <w:rsid w:val="00E923A8"/>
    <w:rsid w:val="00E924C1"/>
    <w:rsid w:val="00E92515"/>
    <w:rsid w:val="00E926F9"/>
    <w:rsid w:val="00E92834"/>
    <w:rsid w:val="00E92860"/>
    <w:rsid w:val="00E92890"/>
    <w:rsid w:val="00E929A9"/>
    <w:rsid w:val="00E92A12"/>
    <w:rsid w:val="00E92BC4"/>
    <w:rsid w:val="00E92C3C"/>
    <w:rsid w:val="00E92C99"/>
    <w:rsid w:val="00E92CE3"/>
    <w:rsid w:val="00E92E2F"/>
    <w:rsid w:val="00E92E3C"/>
    <w:rsid w:val="00E92EA2"/>
    <w:rsid w:val="00E92EA5"/>
    <w:rsid w:val="00E92F0C"/>
    <w:rsid w:val="00E92F75"/>
    <w:rsid w:val="00E9321F"/>
    <w:rsid w:val="00E932BD"/>
    <w:rsid w:val="00E93330"/>
    <w:rsid w:val="00E9333E"/>
    <w:rsid w:val="00E93469"/>
    <w:rsid w:val="00E934FC"/>
    <w:rsid w:val="00E93514"/>
    <w:rsid w:val="00E9364B"/>
    <w:rsid w:val="00E936D2"/>
    <w:rsid w:val="00E936FE"/>
    <w:rsid w:val="00E937D8"/>
    <w:rsid w:val="00E938B4"/>
    <w:rsid w:val="00E9396C"/>
    <w:rsid w:val="00E93973"/>
    <w:rsid w:val="00E939BB"/>
    <w:rsid w:val="00E93B0C"/>
    <w:rsid w:val="00E93BCF"/>
    <w:rsid w:val="00E93D86"/>
    <w:rsid w:val="00E93E14"/>
    <w:rsid w:val="00E93EBC"/>
    <w:rsid w:val="00E93F17"/>
    <w:rsid w:val="00E9401E"/>
    <w:rsid w:val="00E94120"/>
    <w:rsid w:val="00E94190"/>
    <w:rsid w:val="00E9424A"/>
    <w:rsid w:val="00E9433E"/>
    <w:rsid w:val="00E943D8"/>
    <w:rsid w:val="00E9443F"/>
    <w:rsid w:val="00E94616"/>
    <w:rsid w:val="00E94677"/>
    <w:rsid w:val="00E9469C"/>
    <w:rsid w:val="00E94760"/>
    <w:rsid w:val="00E94922"/>
    <w:rsid w:val="00E94A0C"/>
    <w:rsid w:val="00E94B83"/>
    <w:rsid w:val="00E94BB6"/>
    <w:rsid w:val="00E94BCD"/>
    <w:rsid w:val="00E94E5F"/>
    <w:rsid w:val="00E94F99"/>
    <w:rsid w:val="00E94FA6"/>
    <w:rsid w:val="00E95081"/>
    <w:rsid w:val="00E95083"/>
    <w:rsid w:val="00E95132"/>
    <w:rsid w:val="00E95198"/>
    <w:rsid w:val="00E952A3"/>
    <w:rsid w:val="00E95415"/>
    <w:rsid w:val="00E954F1"/>
    <w:rsid w:val="00E9550A"/>
    <w:rsid w:val="00E955AF"/>
    <w:rsid w:val="00E957EC"/>
    <w:rsid w:val="00E95A71"/>
    <w:rsid w:val="00E95AB9"/>
    <w:rsid w:val="00E95C4B"/>
    <w:rsid w:val="00E95DE2"/>
    <w:rsid w:val="00E95F0C"/>
    <w:rsid w:val="00E960CC"/>
    <w:rsid w:val="00E9610B"/>
    <w:rsid w:val="00E96206"/>
    <w:rsid w:val="00E96336"/>
    <w:rsid w:val="00E96390"/>
    <w:rsid w:val="00E963B3"/>
    <w:rsid w:val="00E96432"/>
    <w:rsid w:val="00E964B9"/>
    <w:rsid w:val="00E965E7"/>
    <w:rsid w:val="00E965ED"/>
    <w:rsid w:val="00E96615"/>
    <w:rsid w:val="00E966A0"/>
    <w:rsid w:val="00E966AA"/>
    <w:rsid w:val="00E9677F"/>
    <w:rsid w:val="00E9684C"/>
    <w:rsid w:val="00E968EF"/>
    <w:rsid w:val="00E9698E"/>
    <w:rsid w:val="00E96A89"/>
    <w:rsid w:val="00E96BBB"/>
    <w:rsid w:val="00E96C67"/>
    <w:rsid w:val="00E96CE7"/>
    <w:rsid w:val="00E96CF5"/>
    <w:rsid w:val="00E96DFA"/>
    <w:rsid w:val="00E96ED3"/>
    <w:rsid w:val="00E96FF2"/>
    <w:rsid w:val="00E97024"/>
    <w:rsid w:val="00E9721A"/>
    <w:rsid w:val="00E97221"/>
    <w:rsid w:val="00E97243"/>
    <w:rsid w:val="00E97290"/>
    <w:rsid w:val="00E97325"/>
    <w:rsid w:val="00E9737B"/>
    <w:rsid w:val="00E97391"/>
    <w:rsid w:val="00E973E3"/>
    <w:rsid w:val="00E97449"/>
    <w:rsid w:val="00E974EF"/>
    <w:rsid w:val="00E97695"/>
    <w:rsid w:val="00E977FC"/>
    <w:rsid w:val="00E97800"/>
    <w:rsid w:val="00E97890"/>
    <w:rsid w:val="00E97A44"/>
    <w:rsid w:val="00E97A4E"/>
    <w:rsid w:val="00E97A69"/>
    <w:rsid w:val="00E97A8F"/>
    <w:rsid w:val="00E97AA6"/>
    <w:rsid w:val="00E97E87"/>
    <w:rsid w:val="00E97EBC"/>
    <w:rsid w:val="00E97F2C"/>
    <w:rsid w:val="00EA0072"/>
    <w:rsid w:val="00EA0291"/>
    <w:rsid w:val="00EA035E"/>
    <w:rsid w:val="00EA040F"/>
    <w:rsid w:val="00EA0474"/>
    <w:rsid w:val="00EA04B8"/>
    <w:rsid w:val="00EA0577"/>
    <w:rsid w:val="00EA0921"/>
    <w:rsid w:val="00EA09B0"/>
    <w:rsid w:val="00EA0A13"/>
    <w:rsid w:val="00EA0B9B"/>
    <w:rsid w:val="00EA0BA4"/>
    <w:rsid w:val="00EA0BA5"/>
    <w:rsid w:val="00EA0C02"/>
    <w:rsid w:val="00EA0D00"/>
    <w:rsid w:val="00EA0DBB"/>
    <w:rsid w:val="00EA0E1C"/>
    <w:rsid w:val="00EA0E21"/>
    <w:rsid w:val="00EA0E81"/>
    <w:rsid w:val="00EA0ED3"/>
    <w:rsid w:val="00EA100E"/>
    <w:rsid w:val="00EA10CA"/>
    <w:rsid w:val="00EA1106"/>
    <w:rsid w:val="00EA1312"/>
    <w:rsid w:val="00EA1352"/>
    <w:rsid w:val="00EA147D"/>
    <w:rsid w:val="00EA14BF"/>
    <w:rsid w:val="00EA156F"/>
    <w:rsid w:val="00EA159D"/>
    <w:rsid w:val="00EA1764"/>
    <w:rsid w:val="00EA185E"/>
    <w:rsid w:val="00EA1887"/>
    <w:rsid w:val="00EA18CD"/>
    <w:rsid w:val="00EA1A24"/>
    <w:rsid w:val="00EA1A3A"/>
    <w:rsid w:val="00EA1A7D"/>
    <w:rsid w:val="00EA1AC9"/>
    <w:rsid w:val="00EA1C4D"/>
    <w:rsid w:val="00EA1C83"/>
    <w:rsid w:val="00EA1CAA"/>
    <w:rsid w:val="00EA1CDD"/>
    <w:rsid w:val="00EA1D29"/>
    <w:rsid w:val="00EA1D65"/>
    <w:rsid w:val="00EA1DB2"/>
    <w:rsid w:val="00EA1E0B"/>
    <w:rsid w:val="00EA1F6B"/>
    <w:rsid w:val="00EA2054"/>
    <w:rsid w:val="00EA2248"/>
    <w:rsid w:val="00EA236E"/>
    <w:rsid w:val="00EA2486"/>
    <w:rsid w:val="00EA24A5"/>
    <w:rsid w:val="00EA25AA"/>
    <w:rsid w:val="00EA264A"/>
    <w:rsid w:val="00EA2770"/>
    <w:rsid w:val="00EA289E"/>
    <w:rsid w:val="00EA28D1"/>
    <w:rsid w:val="00EA294E"/>
    <w:rsid w:val="00EA2A7A"/>
    <w:rsid w:val="00EA2B1B"/>
    <w:rsid w:val="00EA2BDA"/>
    <w:rsid w:val="00EA2DB6"/>
    <w:rsid w:val="00EA2E2B"/>
    <w:rsid w:val="00EA2EB0"/>
    <w:rsid w:val="00EA2F11"/>
    <w:rsid w:val="00EA2F4F"/>
    <w:rsid w:val="00EA2FD7"/>
    <w:rsid w:val="00EA3062"/>
    <w:rsid w:val="00EA3136"/>
    <w:rsid w:val="00EA3226"/>
    <w:rsid w:val="00EA331C"/>
    <w:rsid w:val="00EA335C"/>
    <w:rsid w:val="00EA3360"/>
    <w:rsid w:val="00EA33A2"/>
    <w:rsid w:val="00EA358D"/>
    <w:rsid w:val="00EA35AC"/>
    <w:rsid w:val="00EA3644"/>
    <w:rsid w:val="00EA38FB"/>
    <w:rsid w:val="00EA3945"/>
    <w:rsid w:val="00EA39A7"/>
    <w:rsid w:val="00EA39EF"/>
    <w:rsid w:val="00EA3A1C"/>
    <w:rsid w:val="00EA3AB3"/>
    <w:rsid w:val="00EA3B4D"/>
    <w:rsid w:val="00EA3B8E"/>
    <w:rsid w:val="00EA3BCE"/>
    <w:rsid w:val="00EA3CC5"/>
    <w:rsid w:val="00EA400F"/>
    <w:rsid w:val="00EA4024"/>
    <w:rsid w:val="00EA4039"/>
    <w:rsid w:val="00EA4142"/>
    <w:rsid w:val="00EA420C"/>
    <w:rsid w:val="00EA4298"/>
    <w:rsid w:val="00EA43E6"/>
    <w:rsid w:val="00EA44C0"/>
    <w:rsid w:val="00EA459C"/>
    <w:rsid w:val="00EA46B2"/>
    <w:rsid w:val="00EA46C8"/>
    <w:rsid w:val="00EA47B6"/>
    <w:rsid w:val="00EA47E6"/>
    <w:rsid w:val="00EA48D1"/>
    <w:rsid w:val="00EA4914"/>
    <w:rsid w:val="00EA492B"/>
    <w:rsid w:val="00EA4B99"/>
    <w:rsid w:val="00EA4BC0"/>
    <w:rsid w:val="00EA4C84"/>
    <w:rsid w:val="00EA4CBD"/>
    <w:rsid w:val="00EA4D05"/>
    <w:rsid w:val="00EA4D3B"/>
    <w:rsid w:val="00EA4DA5"/>
    <w:rsid w:val="00EA4E1A"/>
    <w:rsid w:val="00EA4E71"/>
    <w:rsid w:val="00EA4EA8"/>
    <w:rsid w:val="00EA4ED2"/>
    <w:rsid w:val="00EA4F19"/>
    <w:rsid w:val="00EA4F9D"/>
    <w:rsid w:val="00EA4FEF"/>
    <w:rsid w:val="00EA51AC"/>
    <w:rsid w:val="00EA5244"/>
    <w:rsid w:val="00EA5249"/>
    <w:rsid w:val="00EA5260"/>
    <w:rsid w:val="00EA52AD"/>
    <w:rsid w:val="00EA52E2"/>
    <w:rsid w:val="00EA531B"/>
    <w:rsid w:val="00EA5323"/>
    <w:rsid w:val="00EA5366"/>
    <w:rsid w:val="00EA53F1"/>
    <w:rsid w:val="00EA5429"/>
    <w:rsid w:val="00EA543F"/>
    <w:rsid w:val="00EA545A"/>
    <w:rsid w:val="00EA552A"/>
    <w:rsid w:val="00EA574C"/>
    <w:rsid w:val="00EA5832"/>
    <w:rsid w:val="00EA586A"/>
    <w:rsid w:val="00EA59D3"/>
    <w:rsid w:val="00EA5A00"/>
    <w:rsid w:val="00EA5AA9"/>
    <w:rsid w:val="00EA5BFB"/>
    <w:rsid w:val="00EA5C0F"/>
    <w:rsid w:val="00EA5C41"/>
    <w:rsid w:val="00EA5CC9"/>
    <w:rsid w:val="00EA5CCA"/>
    <w:rsid w:val="00EA5D18"/>
    <w:rsid w:val="00EA5E70"/>
    <w:rsid w:val="00EA5E7F"/>
    <w:rsid w:val="00EA5FC6"/>
    <w:rsid w:val="00EA60AC"/>
    <w:rsid w:val="00EA629E"/>
    <w:rsid w:val="00EA6359"/>
    <w:rsid w:val="00EA6546"/>
    <w:rsid w:val="00EA67ED"/>
    <w:rsid w:val="00EA688B"/>
    <w:rsid w:val="00EA69CE"/>
    <w:rsid w:val="00EA6A7B"/>
    <w:rsid w:val="00EA6BCD"/>
    <w:rsid w:val="00EA6BEB"/>
    <w:rsid w:val="00EA6C08"/>
    <w:rsid w:val="00EA6C77"/>
    <w:rsid w:val="00EA6C80"/>
    <w:rsid w:val="00EA6CF2"/>
    <w:rsid w:val="00EA6D35"/>
    <w:rsid w:val="00EA6D52"/>
    <w:rsid w:val="00EA6D6E"/>
    <w:rsid w:val="00EA6DBD"/>
    <w:rsid w:val="00EA6DD6"/>
    <w:rsid w:val="00EA6ED2"/>
    <w:rsid w:val="00EA6F9D"/>
    <w:rsid w:val="00EA708F"/>
    <w:rsid w:val="00EA7124"/>
    <w:rsid w:val="00EA724E"/>
    <w:rsid w:val="00EA7299"/>
    <w:rsid w:val="00EA738F"/>
    <w:rsid w:val="00EA73B1"/>
    <w:rsid w:val="00EA73ED"/>
    <w:rsid w:val="00EA7423"/>
    <w:rsid w:val="00EA745C"/>
    <w:rsid w:val="00EA7460"/>
    <w:rsid w:val="00EA777C"/>
    <w:rsid w:val="00EA7861"/>
    <w:rsid w:val="00EA7884"/>
    <w:rsid w:val="00EA794B"/>
    <w:rsid w:val="00EA79B1"/>
    <w:rsid w:val="00EA79C6"/>
    <w:rsid w:val="00EA7A68"/>
    <w:rsid w:val="00EA7AAA"/>
    <w:rsid w:val="00EA7AB2"/>
    <w:rsid w:val="00EA7AFD"/>
    <w:rsid w:val="00EA7B93"/>
    <w:rsid w:val="00EA7BA8"/>
    <w:rsid w:val="00EA7C4C"/>
    <w:rsid w:val="00EA7CED"/>
    <w:rsid w:val="00EA7D3C"/>
    <w:rsid w:val="00EA7DFD"/>
    <w:rsid w:val="00EA7E9C"/>
    <w:rsid w:val="00EB0032"/>
    <w:rsid w:val="00EB01EC"/>
    <w:rsid w:val="00EB02D1"/>
    <w:rsid w:val="00EB0384"/>
    <w:rsid w:val="00EB0421"/>
    <w:rsid w:val="00EB0440"/>
    <w:rsid w:val="00EB04BF"/>
    <w:rsid w:val="00EB05AC"/>
    <w:rsid w:val="00EB05D6"/>
    <w:rsid w:val="00EB067C"/>
    <w:rsid w:val="00EB073B"/>
    <w:rsid w:val="00EB0869"/>
    <w:rsid w:val="00EB0A14"/>
    <w:rsid w:val="00EB0B1F"/>
    <w:rsid w:val="00EB0B4B"/>
    <w:rsid w:val="00EB0BAD"/>
    <w:rsid w:val="00EB0D32"/>
    <w:rsid w:val="00EB0D8C"/>
    <w:rsid w:val="00EB119B"/>
    <w:rsid w:val="00EB121F"/>
    <w:rsid w:val="00EB1493"/>
    <w:rsid w:val="00EB1675"/>
    <w:rsid w:val="00EB1676"/>
    <w:rsid w:val="00EB170C"/>
    <w:rsid w:val="00EB18C4"/>
    <w:rsid w:val="00EB1934"/>
    <w:rsid w:val="00EB1A7B"/>
    <w:rsid w:val="00EB1ACC"/>
    <w:rsid w:val="00EB1B1A"/>
    <w:rsid w:val="00EB1B40"/>
    <w:rsid w:val="00EB1BA6"/>
    <w:rsid w:val="00EB1BC6"/>
    <w:rsid w:val="00EB1BFA"/>
    <w:rsid w:val="00EB1C02"/>
    <w:rsid w:val="00EB1C0F"/>
    <w:rsid w:val="00EB1C87"/>
    <w:rsid w:val="00EB1D8F"/>
    <w:rsid w:val="00EB1E83"/>
    <w:rsid w:val="00EB1F23"/>
    <w:rsid w:val="00EB1F77"/>
    <w:rsid w:val="00EB1FF4"/>
    <w:rsid w:val="00EB2110"/>
    <w:rsid w:val="00EB217D"/>
    <w:rsid w:val="00EB21B9"/>
    <w:rsid w:val="00EB21C6"/>
    <w:rsid w:val="00EB22FA"/>
    <w:rsid w:val="00EB23A8"/>
    <w:rsid w:val="00EB2407"/>
    <w:rsid w:val="00EB2414"/>
    <w:rsid w:val="00EB245A"/>
    <w:rsid w:val="00EB2665"/>
    <w:rsid w:val="00EB26FF"/>
    <w:rsid w:val="00EB27FA"/>
    <w:rsid w:val="00EB2894"/>
    <w:rsid w:val="00EB292B"/>
    <w:rsid w:val="00EB2AD3"/>
    <w:rsid w:val="00EB2B84"/>
    <w:rsid w:val="00EB2D6B"/>
    <w:rsid w:val="00EB2D9B"/>
    <w:rsid w:val="00EB2EA2"/>
    <w:rsid w:val="00EB2F0D"/>
    <w:rsid w:val="00EB2FCE"/>
    <w:rsid w:val="00EB300C"/>
    <w:rsid w:val="00EB305A"/>
    <w:rsid w:val="00EB3098"/>
    <w:rsid w:val="00EB32C7"/>
    <w:rsid w:val="00EB342F"/>
    <w:rsid w:val="00EB351F"/>
    <w:rsid w:val="00EB354F"/>
    <w:rsid w:val="00EB3563"/>
    <w:rsid w:val="00EB360F"/>
    <w:rsid w:val="00EB3728"/>
    <w:rsid w:val="00EB381F"/>
    <w:rsid w:val="00EB3869"/>
    <w:rsid w:val="00EB3897"/>
    <w:rsid w:val="00EB3945"/>
    <w:rsid w:val="00EB39C4"/>
    <w:rsid w:val="00EB39E1"/>
    <w:rsid w:val="00EB3BC9"/>
    <w:rsid w:val="00EB3C11"/>
    <w:rsid w:val="00EB3C33"/>
    <w:rsid w:val="00EB3C47"/>
    <w:rsid w:val="00EB3C8F"/>
    <w:rsid w:val="00EB3D6D"/>
    <w:rsid w:val="00EB3DE5"/>
    <w:rsid w:val="00EB3FB3"/>
    <w:rsid w:val="00EB4062"/>
    <w:rsid w:val="00EB4138"/>
    <w:rsid w:val="00EB415E"/>
    <w:rsid w:val="00EB420D"/>
    <w:rsid w:val="00EB42F1"/>
    <w:rsid w:val="00EB4502"/>
    <w:rsid w:val="00EB45B1"/>
    <w:rsid w:val="00EB46B2"/>
    <w:rsid w:val="00EB473C"/>
    <w:rsid w:val="00EB4855"/>
    <w:rsid w:val="00EB4866"/>
    <w:rsid w:val="00EB48E9"/>
    <w:rsid w:val="00EB4950"/>
    <w:rsid w:val="00EB4A4B"/>
    <w:rsid w:val="00EB4AD0"/>
    <w:rsid w:val="00EB4B23"/>
    <w:rsid w:val="00EB4B7E"/>
    <w:rsid w:val="00EB4B93"/>
    <w:rsid w:val="00EB4BD7"/>
    <w:rsid w:val="00EB4C18"/>
    <w:rsid w:val="00EB4E11"/>
    <w:rsid w:val="00EB4E45"/>
    <w:rsid w:val="00EB4E92"/>
    <w:rsid w:val="00EB4ECB"/>
    <w:rsid w:val="00EB4F4E"/>
    <w:rsid w:val="00EB5011"/>
    <w:rsid w:val="00EB5115"/>
    <w:rsid w:val="00EB5162"/>
    <w:rsid w:val="00EB5397"/>
    <w:rsid w:val="00EB53A0"/>
    <w:rsid w:val="00EB53A3"/>
    <w:rsid w:val="00EB5429"/>
    <w:rsid w:val="00EB54F0"/>
    <w:rsid w:val="00EB55CB"/>
    <w:rsid w:val="00EB562A"/>
    <w:rsid w:val="00EB5721"/>
    <w:rsid w:val="00EB57EE"/>
    <w:rsid w:val="00EB5952"/>
    <w:rsid w:val="00EB5976"/>
    <w:rsid w:val="00EB5A01"/>
    <w:rsid w:val="00EB5A7B"/>
    <w:rsid w:val="00EB5A9F"/>
    <w:rsid w:val="00EB5ADF"/>
    <w:rsid w:val="00EB5B2E"/>
    <w:rsid w:val="00EB5B88"/>
    <w:rsid w:val="00EB5C49"/>
    <w:rsid w:val="00EB5C4C"/>
    <w:rsid w:val="00EB5CDA"/>
    <w:rsid w:val="00EB5DAC"/>
    <w:rsid w:val="00EB5EF2"/>
    <w:rsid w:val="00EB6015"/>
    <w:rsid w:val="00EB605A"/>
    <w:rsid w:val="00EB609F"/>
    <w:rsid w:val="00EB627D"/>
    <w:rsid w:val="00EB62A5"/>
    <w:rsid w:val="00EB62AC"/>
    <w:rsid w:val="00EB62D5"/>
    <w:rsid w:val="00EB6300"/>
    <w:rsid w:val="00EB64C3"/>
    <w:rsid w:val="00EB6589"/>
    <w:rsid w:val="00EB6611"/>
    <w:rsid w:val="00EB6637"/>
    <w:rsid w:val="00EB663C"/>
    <w:rsid w:val="00EB66E0"/>
    <w:rsid w:val="00EB67D2"/>
    <w:rsid w:val="00EB67F7"/>
    <w:rsid w:val="00EB69DB"/>
    <w:rsid w:val="00EB69E3"/>
    <w:rsid w:val="00EB6A1C"/>
    <w:rsid w:val="00EB6A64"/>
    <w:rsid w:val="00EB6AEB"/>
    <w:rsid w:val="00EB6B54"/>
    <w:rsid w:val="00EB6B9D"/>
    <w:rsid w:val="00EB6C1F"/>
    <w:rsid w:val="00EB6C8B"/>
    <w:rsid w:val="00EB6D07"/>
    <w:rsid w:val="00EB6D9F"/>
    <w:rsid w:val="00EB6DCA"/>
    <w:rsid w:val="00EB6E3A"/>
    <w:rsid w:val="00EB6F1C"/>
    <w:rsid w:val="00EB6F1E"/>
    <w:rsid w:val="00EB7191"/>
    <w:rsid w:val="00EB72EA"/>
    <w:rsid w:val="00EB745E"/>
    <w:rsid w:val="00EB74A9"/>
    <w:rsid w:val="00EB74EE"/>
    <w:rsid w:val="00EB7500"/>
    <w:rsid w:val="00EB75B3"/>
    <w:rsid w:val="00EB75C0"/>
    <w:rsid w:val="00EB7622"/>
    <w:rsid w:val="00EB7660"/>
    <w:rsid w:val="00EB76C3"/>
    <w:rsid w:val="00EB77E9"/>
    <w:rsid w:val="00EB78FD"/>
    <w:rsid w:val="00EB7996"/>
    <w:rsid w:val="00EB79F9"/>
    <w:rsid w:val="00EB7AB3"/>
    <w:rsid w:val="00EB7ADD"/>
    <w:rsid w:val="00EB7B0D"/>
    <w:rsid w:val="00EB7CFE"/>
    <w:rsid w:val="00EB7DDF"/>
    <w:rsid w:val="00EB7E80"/>
    <w:rsid w:val="00EB7ECE"/>
    <w:rsid w:val="00EB7FC1"/>
    <w:rsid w:val="00EC01E0"/>
    <w:rsid w:val="00EC022A"/>
    <w:rsid w:val="00EC033C"/>
    <w:rsid w:val="00EC051E"/>
    <w:rsid w:val="00EC070C"/>
    <w:rsid w:val="00EC0732"/>
    <w:rsid w:val="00EC0749"/>
    <w:rsid w:val="00EC07C6"/>
    <w:rsid w:val="00EC081E"/>
    <w:rsid w:val="00EC0827"/>
    <w:rsid w:val="00EC08FA"/>
    <w:rsid w:val="00EC09BB"/>
    <w:rsid w:val="00EC09D3"/>
    <w:rsid w:val="00EC0C73"/>
    <w:rsid w:val="00EC0CFD"/>
    <w:rsid w:val="00EC0D06"/>
    <w:rsid w:val="00EC0D78"/>
    <w:rsid w:val="00EC0DA9"/>
    <w:rsid w:val="00EC0EBF"/>
    <w:rsid w:val="00EC0ECB"/>
    <w:rsid w:val="00EC0F5F"/>
    <w:rsid w:val="00EC0F7C"/>
    <w:rsid w:val="00EC0FE9"/>
    <w:rsid w:val="00EC11FD"/>
    <w:rsid w:val="00EC125B"/>
    <w:rsid w:val="00EC12DE"/>
    <w:rsid w:val="00EC140C"/>
    <w:rsid w:val="00EC1435"/>
    <w:rsid w:val="00EC188A"/>
    <w:rsid w:val="00EC189F"/>
    <w:rsid w:val="00EC18FB"/>
    <w:rsid w:val="00EC19FD"/>
    <w:rsid w:val="00EC1C5F"/>
    <w:rsid w:val="00EC1C90"/>
    <w:rsid w:val="00EC1E00"/>
    <w:rsid w:val="00EC1EE8"/>
    <w:rsid w:val="00EC1F95"/>
    <w:rsid w:val="00EC1FD2"/>
    <w:rsid w:val="00EC1FE0"/>
    <w:rsid w:val="00EC2045"/>
    <w:rsid w:val="00EC2069"/>
    <w:rsid w:val="00EC2095"/>
    <w:rsid w:val="00EC2199"/>
    <w:rsid w:val="00EC21E0"/>
    <w:rsid w:val="00EC2313"/>
    <w:rsid w:val="00EC23EB"/>
    <w:rsid w:val="00EC2441"/>
    <w:rsid w:val="00EC2563"/>
    <w:rsid w:val="00EC2647"/>
    <w:rsid w:val="00EC266F"/>
    <w:rsid w:val="00EC26E7"/>
    <w:rsid w:val="00EC26E8"/>
    <w:rsid w:val="00EC2714"/>
    <w:rsid w:val="00EC273C"/>
    <w:rsid w:val="00EC2798"/>
    <w:rsid w:val="00EC2874"/>
    <w:rsid w:val="00EC28B1"/>
    <w:rsid w:val="00EC2917"/>
    <w:rsid w:val="00EC298E"/>
    <w:rsid w:val="00EC29D4"/>
    <w:rsid w:val="00EC29F7"/>
    <w:rsid w:val="00EC2A0A"/>
    <w:rsid w:val="00EC2A6E"/>
    <w:rsid w:val="00EC2AD9"/>
    <w:rsid w:val="00EC2AF4"/>
    <w:rsid w:val="00EC2B0B"/>
    <w:rsid w:val="00EC2B5E"/>
    <w:rsid w:val="00EC2C95"/>
    <w:rsid w:val="00EC2D13"/>
    <w:rsid w:val="00EC2E19"/>
    <w:rsid w:val="00EC2E28"/>
    <w:rsid w:val="00EC2E86"/>
    <w:rsid w:val="00EC2F1A"/>
    <w:rsid w:val="00EC303A"/>
    <w:rsid w:val="00EC31F4"/>
    <w:rsid w:val="00EC3278"/>
    <w:rsid w:val="00EC32A2"/>
    <w:rsid w:val="00EC3332"/>
    <w:rsid w:val="00EC3356"/>
    <w:rsid w:val="00EC3392"/>
    <w:rsid w:val="00EC343E"/>
    <w:rsid w:val="00EC369E"/>
    <w:rsid w:val="00EC36CB"/>
    <w:rsid w:val="00EC39FE"/>
    <w:rsid w:val="00EC3B77"/>
    <w:rsid w:val="00EC3CB3"/>
    <w:rsid w:val="00EC3E59"/>
    <w:rsid w:val="00EC3E88"/>
    <w:rsid w:val="00EC3EE6"/>
    <w:rsid w:val="00EC4013"/>
    <w:rsid w:val="00EC40CE"/>
    <w:rsid w:val="00EC41EA"/>
    <w:rsid w:val="00EC4227"/>
    <w:rsid w:val="00EC42F2"/>
    <w:rsid w:val="00EC440A"/>
    <w:rsid w:val="00EC4480"/>
    <w:rsid w:val="00EC44FF"/>
    <w:rsid w:val="00EC459A"/>
    <w:rsid w:val="00EC45C3"/>
    <w:rsid w:val="00EC4646"/>
    <w:rsid w:val="00EC469C"/>
    <w:rsid w:val="00EC4740"/>
    <w:rsid w:val="00EC47F3"/>
    <w:rsid w:val="00EC48F2"/>
    <w:rsid w:val="00EC4A46"/>
    <w:rsid w:val="00EC4A70"/>
    <w:rsid w:val="00EC4A83"/>
    <w:rsid w:val="00EC4A97"/>
    <w:rsid w:val="00EC4B77"/>
    <w:rsid w:val="00EC4BF1"/>
    <w:rsid w:val="00EC4C4F"/>
    <w:rsid w:val="00EC4DA1"/>
    <w:rsid w:val="00EC4DD6"/>
    <w:rsid w:val="00EC4E2C"/>
    <w:rsid w:val="00EC4F1C"/>
    <w:rsid w:val="00EC4F47"/>
    <w:rsid w:val="00EC5095"/>
    <w:rsid w:val="00EC50C4"/>
    <w:rsid w:val="00EC5124"/>
    <w:rsid w:val="00EC5129"/>
    <w:rsid w:val="00EC5227"/>
    <w:rsid w:val="00EC53F7"/>
    <w:rsid w:val="00EC552A"/>
    <w:rsid w:val="00EC55A9"/>
    <w:rsid w:val="00EC55BE"/>
    <w:rsid w:val="00EC56E2"/>
    <w:rsid w:val="00EC58EA"/>
    <w:rsid w:val="00EC596F"/>
    <w:rsid w:val="00EC59CF"/>
    <w:rsid w:val="00EC5B11"/>
    <w:rsid w:val="00EC5BC1"/>
    <w:rsid w:val="00EC5BEB"/>
    <w:rsid w:val="00EC5D2F"/>
    <w:rsid w:val="00EC5D63"/>
    <w:rsid w:val="00EC5D96"/>
    <w:rsid w:val="00EC5E40"/>
    <w:rsid w:val="00EC5F84"/>
    <w:rsid w:val="00EC5FC3"/>
    <w:rsid w:val="00EC60CB"/>
    <w:rsid w:val="00EC61E5"/>
    <w:rsid w:val="00EC620B"/>
    <w:rsid w:val="00EC6222"/>
    <w:rsid w:val="00EC6275"/>
    <w:rsid w:val="00EC628C"/>
    <w:rsid w:val="00EC6295"/>
    <w:rsid w:val="00EC63B7"/>
    <w:rsid w:val="00EC652F"/>
    <w:rsid w:val="00EC6568"/>
    <w:rsid w:val="00EC66CF"/>
    <w:rsid w:val="00EC6857"/>
    <w:rsid w:val="00EC688F"/>
    <w:rsid w:val="00EC6900"/>
    <w:rsid w:val="00EC6909"/>
    <w:rsid w:val="00EC693C"/>
    <w:rsid w:val="00EC6989"/>
    <w:rsid w:val="00EC69C3"/>
    <w:rsid w:val="00EC6C29"/>
    <w:rsid w:val="00EC6CDE"/>
    <w:rsid w:val="00EC6D58"/>
    <w:rsid w:val="00EC6DEA"/>
    <w:rsid w:val="00EC6E36"/>
    <w:rsid w:val="00EC6E6F"/>
    <w:rsid w:val="00EC6EB3"/>
    <w:rsid w:val="00EC6ECE"/>
    <w:rsid w:val="00EC708F"/>
    <w:rsid w:val="00EC7117"/>
    <w:rsid w:val="00EC7185"/>
    <w:rsid w:val="00EC72B1"/>
    <w:rsid w:val="00EC72BA"/>
    <w:rsid w:val="00EC73A4"/>
    <w:rsid w:val="00EC7448"/>
    <w:rsid w:val="00EC7467"/>
    <w:rsid w:val="00EC7482"/>
    <w:rsid w:val="00EC7586"/>
    <w:rsid w:val="00EC77A2"/>
    <w:rsid w:val="00EC77D9"/>
    <w:rsid w:val="00EC7835"/>
    <w:rsid w:val="00EC7A0A"/>
    <w:rsid w:val="00EC7C80"/>
    <w:rsid w:val="00EC7C96"/>
    <w:rsid w:val="00EC7CC3"/>
    <w:rsid w:val="00EC7CCD"/>
    <w:rsid w:val="00EC7D6D"/>
    <w:rsid w:val="00EC7E29"/>
    <w:rsid w:val="00EC7F79"/>
    <w:rsid w:val="00ED019E"/>
    <w:rsid w:val="00ED01D7"/>
    <w:rsid w:val="00ED01E7"/>
    <w:rsid w:val="00ED0344"/>
    <w:rsid w:val="00ED03F2"/>
    <w:rsid w:val="00ED0403"/>
    <w:rsid w:val="00ED0422"/>
    <w:rsid w:val="00ED055C"/>
    <w:rsid w:val="00ED0587"/>
    <w:rsid w:val="00ED0599"/>
    <w:rsid w:val="00ED05DE"/>
    <w:rsid w:val="00ED07AC"/>
    <w:rsid w:val="00ED0885"/>
    <w:rsid w:val="00ED0A9E"/>
    <w:rsid w:val="00ED0AA8"/>
    <w:rsid w:val="00ED0ABB"/>
    <w:rsid w:val="00ED0B0F"/>
    <w:rsid w:val="00ED0B2F"/>
    <w:rsid w:val="00ED0B45"/>
    <w:rsid w:val="00ED0C3E"/>
    <w:rsid w:val="00ED0C6F"/>
    <w:rsid w:val="00ED0CCC"/>
    <w:rsid w:val="00ED0D58"/>
    <w:rsid w:val="00ED0D65"/>
    <w:rsid w:val="00ED0DF6"/>
    <w:rsid w:val="00ED0EE6"/>
    <w:rsid w:val="00ED0F31"/>
    <w:rsid w:val="00ED0F81"/>
    <w:rsid w:val="00ED1016"/>
    <w:rsid w:val="00ED10AC"/>
    <w:rsid w:val="00ED11FF"/>
    <w:rsid w:val="00ED122F"/>
    <w:rsid w:val="00ED1231"/>
    <w:rsid w:val="00ED1310"/>
    <w:rsid w:val="00ED1459"/>
    <w:rsid w:val="00ED145E"/>
    <w:rsid w:val="00ED14D6"/>
    <w:rsid w:val="00ED14DD"/>
    <w:rsid w:val="00ED14F6"/>
    <w:rsid w:val="00ED152C"/>
    <w:rsid w:val="00ED1721"/>
    <w:rsid w:val="00ED17EF"/>
    <w:rsid w:val="00ED18B7"/>
    <w:rsid w:val="00ED1A0E"/>
    <w:rsid w:val="00ED1A43"/>
    <w:rsid w:val="00ED1A54"/>
    <w:rsid w:val="00ED1A5B"/>
    <w:rsid w:val="00ED1A7D"/>
    <w:rsid w:val="00ED1AE0"/>
    <w:rsid w:val="00ED1C1A"/>
    <w:rsid w:val="00ED1C84"/>
    <w:rsid w:val="00ED1CFF"/>
    <w:rsid w:val="00ED1DB0"/>
    <w:rsid w:val="00ED1E57"/>
    <w:rsid w:val="00ED205B"/>
    <w:rsid w:val="00ED208D"/>
    <w:rsid w:val="00ED20D8"/>
    <w:rsid w:val="00ED20E8"/>
    <w:rsid w:val="00ED20EB"/>
    <w:rsid w:val="00ED2105"/>
    <w:rsid w:val="00ED2357"/>
    <w:rsid w:val="00ED23DC"/>
    <w:rsid w:val="00ED2403"/>
    <w:rsid w:val="00ED2483"/>
    <w:rsid w:val="00ED24D9"/>
    <w:rsid w:val="00ED24F2"/>
    <w:rsid w:val="00ED2603"/>
    <w:rsid w:val="00ED269D"/>
    <w:rsid w:val="00ED26EB"/>
    <w:rsid w:val="00ED272E"/>
    <w:rsid w:val="00ED275F"/>
    <w:rsid w:val="00ED2B71"/>
    <w:rsid w:val="00ED2CCB"/>
    <w:rsid w:val="00ED2CF7"/>
    <w:rsid w:val="00ED2D0F"/>
    <w:rsid w:val="00ED2DAE"/>
    <w:rsid w:val="00ED2F6D"/>
    <w:rsid w:val="00ED3089"/>
    <w:rsid w:val="00ED30AE"/>
    <w:rsid w:val="00ED31DC"/>
    <w:rsid w:val="00ED321E"/>
    <w:rsid w:val="00ED331A"/>
    <w:rsid w:val="00ED356D"/>
    <w:rsid w:val="00ED3617"/>
    <w:rsid w:val="00ED37A1"/>
    <w:rsid w:val="00ED37A9"/>
    <w:rsid w:val="00ED3821"/>
    <w:rsid w:val="00ED38E7"/>
    <w:rsid w:val="00ED3AE8"/>
    <w:rsid w:val="00ED3AEF"/>
    <w:rsid w:val="00ED3B01"/>
    <w:rsid w:val="00ED3B20"/>
    <w:rsid w:val="00ED3B35"/>
    <w:rsid w:val="00ED3B53"/>
    <w:rsid w:val="00ED3C64"/>
    <w:rsid w:val="00ED3E62"/>
    <w:rsid w:val="00ED4013"/>
    <w:rsid w:val="00ED4037"/>
    <w:rsid w:val="00ED40DC"/>
    <w:rsid w:val="00ED417A"/>
    <w:rsid w:val="00ED41A0"/>
    <w:rsid w:val="00ED41E2"/>
    <w:rsid w:val="00ED425F"/>
    <w:rsid w:val="00ED44D5"/>
    <w:rsid w:val="00ED4540"/>
    <w:rsid w:val="00ED457A"/>
    <w:rsid w:val="00ED4636"/>
    <w:rsid w:val="00ED4668"/>
    <w:rsid w:val="00ED47CE"/>
    <w:rsid w:val="00ED48D5"/>
    <w:rsid w:val="00ED48F3"/>
    <w:rsid w:val="00ED4900"/>
    <w:rsid w:val="00ED49BC"/>
    <w:rsid w:val="00ED4A86"/>
    <w:rsid w:val="00ED4AD3"/>
    <w:rsid w:val="00ED4B0B"/>
    <w:rsid w:val="00ED4B59"/>
    <w:rsid w:val="00ED4CAD"/>
    <w:rsid w:val="00ED4D40"/>
    <w:rsid w:val="00ED4D5C"/>
    <w:rsid w:val="00ED4E5E"/>
    <w:rsid w:val="00ED4F1E"/>
    <w:rsid w:val="00ED4F5F"/>
    <w:rsid w:val="00ED4F8C"/>
    <w:rsid w:val="00ED4FD8"/>
    <w:rsid w:val="00ED5005"/>
    <w:rsid w:val="00ED5179"/>
    <w:rsid w:val="00ED51FD"/>
    <w:rsid w:val="00ED524F"/>
    <w:rsid w:val="00ED5391"/>
    <w:rsid w:val="00ED5508"/>
    <w:rsid w:val="00ED554C"/>
    <w:rsid w:val="00ED559A"/>
    <w:rsid w:val="00ED55CA"/>
    <w:rsid w:val="00ED562E"/>
    <w:rsid w:val="00ED56B9"/>
    <w:rsid w:val="00ED56C3"/>
    <w:rsid w:val="00ED56E9"/>
    <w:rsid w:val="00ED5901"/>
    <w:rsid w:val="00ED59CE"/>
    <w:rsid w:val="00ED59E9"/>
    <w:rsid w:val="00ED5AD9"/>
    <w:rsid w:val="00ED5CA6"/>
    <w:rsid w:val="00ED5EBA"/>
    <w:rsid w:val="00ED5EC1"/>
    <w:rsid w:val="00ED6140"/>
    <w:rsid w:val="00ED6182"/>
    <w:rsid w:val="00ED6194"/>
    <w:rsid w:val="00ED61C3"/>
    <w:rsid w:val="00ED63EA"/>
    <w:rsid w:val="00ED648F"/>
    <w:rsid w:val="00ED64A7"/>
    <w:rsid w:val="00ED65EE"/>
    <w:rsid w:val="00ED6742"/>
    <w:rsid w:val="00ED676F"/>
    <w:rsid w:val="00ED68B3"/>
    <w:rsid w:val="00ED6904"/>
    <w:rsid w:val="00ED6B87"/>
    <w:rsid w:val="00ED6C28"/>
    <w:rsid w:val="00ED6C3F"/>
    <w:rsid w:val="00ED6CA5"/>
    <w:rsid w:val="00ED6D1A"/>
    <w:rsid w:val="00ED6D40"/>
    <w:rsid w:val="00ED6D66"/>
    <w:rsid w:val="00ED6E44"/>
    <w:rsid w:val="00ED6E84"/>
    <w:rsid w:val="00ED71C3"/>
    <w:rsid w:val="00ED7330"/>
    <w:rsid w:val="00ED7360"/>
    <w:rsid w:val="00ED7397"/>
    <w:rsid w:val="00ED7422"/>
    <w:rsid w:val="00ED753E"/>
    <w:rsid w:val="00ED75DF"/>
    <w:rsid w:val="00ED76A3"/>
    <w:rsid w:val="00ED76AB"/>
    <w:rsid w:val="00ED7788"/>
    <w:rsid w:val="00ED78CF"/>
    <w:rsid w:val="00ED7927"/>
    <w:rsid w:val="00ED7ADD"/>
    <w:rsid w:val="00ED7BDB"/>
    <w:rsid w:val="00ED7CB5"/>
    <w:rsid w:val="00ED7D53"/>
    <w:rsid w:val="00ED7DAD"/>
    <w:rsid w:val="00ED7DD9"/>
    <w:rsid w:val="00ED7E6F"/>
    <w:rsid w:val="00ED7F0A"/>
    <w:rsid w:val="00ED7FE7"/>
    <w:rsid w:val="00EE011E"/>
    <w:rsid w:val="00EE0159"/>
    <w:rsid w:val="00EE018B"/>
    <w:rsid w:val="00EE01A5"/>
    <w:rsid w:val="00EE0459"/>
    <w:rsid w:val="00EE0460"/>
    <w:rsid w:val="00EE046D"/>
    <w:rsid w:val="00EE058A"/>
    <w:rsid w:val="00EE07A3"/>
    <w:rsid w:val="00EE08CB"/>
    <w:rsid w:val="00EE08D0"/>
    <w:rsid w:val="00EE0908"/>
    <w:rsid w:val="00EE0982"/>
    <w:rsid w:val="00EE0A05"/>
    <w:rsid w:val="00EE0A31"/>
    <w:rsid w:val="00EE0AD6"/>
    <w:rsid w:val="00EE0C0C"/>
    <w:rsid w:val="00EE0C21"/>
    <w:rsid w:val="00EE0D10"/>
    <w:rsid w:val="00EE0E6D"/>
    <w:rsid w:val="00EE1073"/>
    <w:rsid w:val="00EE10A5"/>
    <w:rsid w:val="00EE114D"/>
    <w:rsid w:val="00EE124F"/>
    <w:rsid w:val="00EE12DE"/>
    <w:rsid w:val="00EE1342"/>
    <w:rsid w:val="00EE1417"/>
    <w:rsid w:val="00EE14B3"/>
    <w:rsid w:val="00EE14F7"/>
    <w:rsid w:val="00EE15CF"/>
    <w:rsid w:val="00EE15FB"/>
    <w:rsid w:val="00EE16F5"/>
    <w:rsid w:val="00EE1740"/>
    <w:rsid w:val="00EE17DF"/>
    <w:rsid w:val="00EE1877"/>
    <w:rsid w:val="00EE18BC"/>
    <w:rsid w:val="00EE197D"/>
    <w:rsid w:val="00EE19B5"/>
    <w:rsid w:val="00EE1A29"/>
    <w:rsid w:val="00EE1A48"/>
    <w:rsid w:val="00EE1C98"/>
    <w:rsid w:val="00EE1CD6"/>
    <w:rsid w:val="00EE1EAC"/>
    <w:rsid w:val="00EE1EEB"/>
    <w:rsid w:val="00EE1FF3"/>
    <w:rsid w:val="00EE215D"/>
    <w:rsid w:val="00EE2293"/>
    <w:rsid w:val="00EE229B"/>
    <w:rsid w:val="00EE2681"/>
    <w:rsid w:val="00EE26A3"/>
    <w:rsid w:val="00EE27C5"/>
    <w:rsid w:val="00EE281A"/>
    <w:rsid w:val="00EE2843"/>
    <w:rsid w:val="00EE29A9"/>
    <w:rsid w:val="00EE29AB"/>
    <w:rsid w:val="00EE2AB7"/>
    <w:rsid w:val="00EE2C47"/>
    <w:rsid w:val="00EE2C4C"/>
    <w:rsid w:val="00EE2CBA"/>
    <w:rsid w:val="00EE2DFE"/>
    <w:rsid w:val="00EE2E52"/>
    <w:rsid w:val="00EE2E61"/>
    <w:rsid w:val="00EE2EB3"/>
    <w:rsid w:val="00EE2F33"/>
    <w:rsid w:val="00EE2F4A"/>
    <w:rsid w:val="00EE2F6E"/>
    <w:rsid w:val="00EE2FCD"/>
    <w:rsid w:val="00EE3065"/>
    <w:rsid w:val="00EE30A1"/>
    <w:rsid w:val="00EE30EA"/>
    <w:rsid w:val="00EE3153"/>
    <w:rsid w:val="00EE31F2"/>
    <w:rsid w:val="00EE3324"/>
    <w:rsid w:val="00EE3335"/>
    <w:rsid w:val="00EE33D2"/>
    <w:rsid w:val="00EE340C"/>
    <w:rsid w:val="00EE3445"/>
    <w:rsid w:val="00EE3491"/>
    <w:rsid w:val="00EE34AA"/>
    <w:rsid w:val="00EE3639"/>
    <w:rsid w:val="00EE366C"/>
    <w:rsid w:val="00EE37F5"/>
    <w:rsid w:val="00EE3940"/>
    <w:rsid w:val="00EE39BA"/>
    <w:rsid w:val="00EE3A30"/>
    <w:rsid w:val="00EE3ACC"/>
    <w:rsid w:val="00EE3B0E"/>
    <w:rsid w:val="00EE3CCE"/>
    <w:rsid w:val="00EE3DA7"/>
    <w:rsid w:val="00EE3DAB"/>
    <w:rsid w:val="00EE3E9D"/>
    <w:rsid w:val="00EE3EC5"/>
    <w:rsid w:val="00EE3EEA"/>
    <w:rsid w:val="00EE4049"/>
    <w:rsid w:val="00EE40AA"/>
    <w:rsid w:val="00EE4102"/>
    <w:rsid w:val="00EE4115"/>
    <w:rsid w:val="00EE4278"/>
    <w:rsid w:val="00EE447A"/>
    <w:rsid w:val="00EE4551"/>
    <w:rsid w:val="00EE45F4"/>
    <w:rsid w:val="00EE46C7"/>
    <w:rsid w:val="00EE4745"/>
    <w:rsid w:val="00EE481F"/>
    <w:rsid w:val="00EE489A"/>
    <w:rsid w:val="00EE4C95"/>
    <w:rsid w:val="00EE4CF2"/>
    <w:rsid w:val="00EE504B"/>
    <w:rsid w:val="00EE50B9"/>
    <w:rsid w:val="00EE51A6"/>
    <w:rsid w:val="00EE5203"/>
    <w:rsid w:val="00EE526C"/>
    <w:rsid w:val="00EE5393"/>
    <w:rsid w:val="00EE5416"/>
    <w:rsid w:val="00EE547A"/>
    <w:rsid w:val="00EE564D"/>
    <w:rsid w:val="00EE565D"/>
    <w:rsid w:val="00EE57C5"/>
    <w:rsid w:val="00EE5829"/>
    <w:rsid w:val="00EE58FF"/>
    <w:rsid w:val="00EE59CD"/>
    <w:rsid w:val="00EE5A1A"/>
    <w:rsid w:val="00EE5A93"/>
    <w:rsid w:val="00EE5B20"/>
    <w:rsid w:val="00EE5BFB"/>
    <w:rsid w:val="00EE5C20"/>
    <w:rsid w:val="00EE5DBA"/>
    <w:rsid w:val="00EE5E00"/>
    <w:rsid w:val="00EE5E92"/>
    <w:rsid w:val="00EE5EE4"/>
    <w:rsid w:val="00EE5F0F"/>
    <w:rsid w:val="00EE6085"/>
    <w:rsid w:val="00EE61A0"/>
    <w:rsid w:val="00EE6312"/>
    <w:rsid w:val="00EE63C5"/>
    <w:rsid w:val="00EE6471"/>
    <w:rsid w:val="00EE648D"/>
    <w:rsid w:val="00EE6501"/>
    <w:rsid w:val="00EE6641"/>
    <w:rsid w:val="00EE6709"/>
    <w:rsid w:val="00EE675F"/>
    <w:rsid w:val="00EE6781"/>
    <w:rsid w:val="00EE67AA"/>
    <w:rsid w:val="00EE6841"/>
    <w:rsid w:val="00EE6906"/>
    <w:rsid w:val="00EE691D"/>
    <w:rsid w:val="00EE697F"/>
    <w:rsid w:val="00EE6B04"/>
    <w:rsid w:val="00EE6CD8"/>
    <w:rsid w:val="00EE6E9C"/>
    <w:rsid w:val="00EE6EA7"/>
    <w:rsid w:val="00EE6FC4"/>
    <w:rsid w:val="00EE709F"/>
    <w:rsid w:val="00EE7350"/>
    <w:rsid w:val="00EE7416"/>
    <w:rsid w:val="00EE759A"/>
    <w:rsid w:val="00EE75AB"/>
    <w:rsid w:val="00EE75B5"/>
    <w:rsid w:val="00EE75CB"/>
    <w:rsid w:val="00EE762E"/>
    <w:rsid w:val="00EE779E"/>
    <w:rsid w:val="00EE77A1"/>
    <w:rsid w:val="00EE7809"/>
    <w:rsid w:val="00EE7854"/>
    <w:rsid w:val="00EE785B"/>
    <w:rsid w:val="00EE78DB"/>
    <w:rsid w:val="00EE7B85"/>
    <w:rsid w:val="00EE7C6C"/>
    <w:rsid w:val="00EE7DBA"/>
    <w:rsid w:val="00EE7E24"/>
    <w:rsid w:val="00EE7E35"/>
    <w:rsid w:val="00EE7E42"/>
    <w:rsid w:val="00EE7EE5"/>
    <w:rsid w:val="00EE7F11"/>
    <w:rsid w:val="00EF0166"/>
    <w:rsid w:val="00EF0233"/>
    <w:rsid w:val="00EF02A4"/>
    <w:rsid w:val="00EF02F2"/>
    <w:rsid w:val="00EF03AC"/>
    <w:rsid w:val="00EF03EF"/>
    <w:rsid w:val="00EF048B"/>
    <w:rsid w:val="00EF0495"/>
    <w:rsid w:val="00EF04A8"/>
    <w:rsid w:val="00EF04FE"/>
    <w:rsid w:val="00EF0562"/>
    <w:rsid w:val="00EF05A9"/>
    <w:rsid w:val="00EF0730"/>
    <w:rsid w:val="00EF088B"/>
    <w:rsid w:val="00EF09D4"/>
    <w:rsid w:val="00EF0ABE"/>
    <w:rsid w:val="00EF0B16"/>
    <w:rsid w:val="00EF0BD3"/>
    <w:rsid w:val="00EF0BEF"/>
    <w:rsid w:val="00EF0C1A"/>
    <w:rsid w:val="00EF0D18"/>
    <w:rsid w:val="00EF0DFF"/>
    <w:rsid w:val="00EF0E82"/>
    <w:rsid w:val="00EF0EA1"/>
    <w:rsid w:val="00EF1353"/>
    <w:rsid w:val="00EF1365"/>
    <w:rsid w:val="00EF1404"/>
    <w:rsid w:val="00EF142C"/>
    <w:rsid w:val="00EF14A4"/>
    <w:rsid w:val="00EF1591"/>
    <w:rsid w:val="00EF1666"/>
    <w:rsid w:val="00EF1811"/>
    <w:rsid w:val="00EF1826"/>
    <w:rsid w:val="00EF183F"/>
    <w:rsid w:val="00EF196C"/>
    <w:rsid w:val="00EF1A17"/>
    <w:rsid w:val="00EF1A19"/>
    <w:rsid w:val="00EF1ADA"/>
    <w:rsid w:val="00EF1AE3"/>
    <w:rsid w:val="00EF1B28"/>
    <w:rsid w:val="00EF1B2E"/>
    <w:rsid w:val="00EF1B67"/>
    <w:rsid w:val="00EF1C6C"/>
    <w:rsid w:val="00EF1C8D"/>
    <w:rsid w:val="00EF1ED7"/>
    <w:rsid w:val="00EF1F11"/>
    <w:rsid w:val="00EF2001"/>
    <w:rsid w:val="00EF201A"/>
    <w:rsid w:val="00EF2022"/>
    <w:rsid w:val="00EF205A"/>
    <w:rsid w:val="00EF20E2"/>
    <w:rsid w:val="00EF21F8"/>
    <w:rsid w:val="00EF2255"/>
    <w:rsid w:val="00EF2309"/>
    <w:rsid w:val="00EF2324"/>
    <w:rsid w:val="00EF248B"/>
    <w:rsid w:val="00EF249A"/>
    <w:rsid w:val="00EF257D"/>
    <w:rsid w:val="00EF25F9"/>
    <w:rsid w:val="00EF261B"/>
    <w:rsid w:val="00EF2621"/>
    <w:rsid w:val="00EF2642"/>
    <w:rsid w:val="00EF276C"/>
    <w:rsid w:val="00EF27C0"/>
    <w:rsid w:val="00EF284D"/>
    <w:rsid w:val="00EF2956"/>
    <w:rsid w:val="00EF299C"/>
    <w:rsid w:val="00EF29CD"/>
    <w:rsid w:val="00EF29DF"/>
    <w:rsid w:val="00EF2C3B"/>
    <w:rsid w:val="00EF2C79"/>
    <w:rsid w:val="00EF2CEA"/>
    <w:rsid w:val="00EF2E10"/>
    <w:rsid w:val="00EF2FB8"/>
    <w:rsid w:val="00EF3032"/>
    <w:rsid w:val="00EF303A"/>
    <w:rsid w:val="00EF3057"/>
    <w:rsid w:val="00EF329B"/>
    <w:rsid w:val="00EF32A9"/>
    <w:rsid w:val="00EF32DF"/>
    <w:rsid w:val="00EF334F"/>
    <w:rsid w:val="00EF346C"/>
    <w:rsid w:val="00EF34F0"/>
    <w:rsid w:val="00EF351F"/>
    <w:rsid w:val="00EF35F7"/>
    <w:rsid w:val="00EF3637"/>
    <w:rsid w:val="00EF3669"/>
    <w:rsid w:val="00EF38E9"/>
    <w:rsid w:val="00EF39C4"/>
    <w:rsid w:val="00EF39F4"/>
    <w:rsid w:val="00EF3BB9"/>
    <w:rsid w:val="00EF3C19"/>
    <w:rsid w:val="00EF3CF7"/>
    <w:rsid w:val="00EF3D42"/>
    <w:rsid w:val="00EF3DD9"/>
    <w:rsid w:val="00EF3F5F"/>
    <w:rsid w:val="00EF4156"/>
    <w:rsid w:val="00EF431C"/>
    <w:rsid w:val="00EF4324"/>
    <w:rsid w:val="00EF4363"/>
    <w:rsid w:val="00EF43F3"/>
    <w:rsid w:val="00EF4469"/>
    <w:rsid w:val="00EF4561"/>
    <w:rsid w:val="00EF4767"/>
    <w:rsid w:val="00EF48FF"/>
    <w:rsid w:val="00EF4930"/>
    <w:rsid w:val="00EF4A6A"/>
    <w:rsid w:val="00EF4AB0"/>
    <w:rsid w:val="00EF4CEB"/>
    <w:rsid w:val="00EF4D16"/>
    <w:rsid w:val="00EF4DD3"/>
    <w:rsid w:val="00EF4E4F"/>
    <w:rsid w:val="00EF4EDC"/>
    <w:rsid w:val="00EF4EF7"/>
    <w:rsid w:val="00EF4FE2"/>
    <w:rsid w:val="00EF5123"/>
    <w:rsid w:val="00EF51A7"/>
    <w:rsid w:val="00EF51F5"/>
    <w:rsid w:val="00EF5216"/>
    <w:rsid w:val="00EF52C1"/>
    <w:rsid w:val="00EF5380"/>
    <w:rsid w:val="00EF545A"/>
    <w:rsid w:val="00EF550C"/>
    <w:rsid w:val="00EF55C6"/>
    <w:rsid w:val="00EF55E8"/>
    <w:rsid w:val="00EF5697"/>
    <w:rsid w:val="00EF56B7"/>
    <w:rsid w:val="00EF5719"/>
    <w:rsid w:val="00EF57CF"/>
    <w:rsid w:val="00EF581D"/>
    <w:rsid w:val="00EF5934"/>
    <w:rsid w:val="00EF5952"/>
    <w:rsid w:val="00EF595F"/>
    <w:rsid w:val="00EF5A51"/>
    <w:rsid w:val="00EF5A5D"/>
    <w:rsid w:val="00EF5C03"/>
    <w:rsid w:val="00EF5C7E"/>
    <w:rsid w:val="00EF5CA2"/>
    <w:rsid w:val="00EF5D1A"/>
    <w:rsid w:val="00EF5E50"/>
    <w:rsid w:val="00EF5EF5"/>
    <w:rsid w:val="00EF5FA3"/>
    <w:rsid w:val="00EF602C"/>
    <w:rsid w:val="00EF613D"/>
    <w:rsid w:val="00EF6281"/>
    <w:rsid w:val="00EF636C"/>
    <w:rsid w:val="00EF63AA"/>
    <w:rsid w:val="00EF6494"/>
    <w:rsid w:val="00EF64BE"/>
    <w:rsid w:val="00EF653F"/>
    <w:rsid w:val="00EF65CB"/>
    <w:rsid w:val="00EF66A3"/>
    <w:rsid w:val="00EF6705"/>
    <w:rsid w:val="00EF6830"/>
    <w:rsid w:val="00EF68BA"/>
    <w:rsid w:val="00EF68D5"/>
    <w:rsid w:val="00EF68F0"/>
    <w:rsid w:val="00EF694D"/>
    <w:rsid w:val="00EF6952"/>
    <w:rsid w:val="00EF6AAB"/>
    <w:rsid w:val="00EF6EB4"/>
    <w:rsid w:val="00EF6FD0"/>
    <w:rsid w:val="00EF6FD7"/>
    <w:rsid w:val="00EF70A5"/>
    <w:rsid w:val="00EF70DD"/>
    <w:rsid w:val="00EF7239"/>
    <w:rsid w:val="00EF7266"/>
    <w:rsid w:val="00EF728B"/>
    <w:rsid w:val="00EF73C9"/>
    <w:rsid w:val="00EF73DA"/>
    <w:rsid w:val="00EF744D"/>
    <w:rsid w:val="00EF74E7"/>
    <w:rsid w:val="00EF753A"/>
    <w:rsid w:val="00EF7550"/>
    <w:rsid w:val="00EF7573"/>
    <w:rsid w:val="00EF765F"/>
    <w:rsid w:val="00EF77F9"/>
    <w:rsid w:val="00EF7A30"/>
    <w:rsid w:val="00EF7A43"/>
    <w:rsid w:val="00EF7B28"/>
    <w:rsid w:val="00EF7BBA"/>
    <w:rsid w:val="00EF7BED"/>
    <w:rsid w:val="00EF7CA7"/>
    <w:rsid w:val="00EF7D4D"/>
    <w:rsid w:val="00EF7D8F"/>
    <w:rsid w:val="00EF7F09"/>
    <w:rsid w:val="00EF7F62"/>
    <w:rsid w:val="00EF7FAF"/>
    <w:rsid w:val="00EF7FCA"/>
    <w:rsid w:val="00F000C4"/>
    <w:rsid w:val="00F000D2"/>
    <w:rsid w:val="00F000DA"/>
    <w:rsid w:val="00F0013F"/>
    <w:rsid w:val="00F00225"/>
    <w:rsid w:val="00F00283"/>
    <w:rsid w:val="00F004A6"/>
    <w:rsid w:val="00F004AD"/>
    <w:rsid w:val="00F00593"/>
    <w:rsid w:val="00F00695"/>
    <w:rsid w:val="00F006D5"/>
    <w:rsid w:val="00F00716"/>
    <w:rsid w:val="00F00779"/>
    <w:rsid w:val="00F00833"/>
    <w:rsid w:val="00F008EB"/>
    <w:rsid w:val="00F009D1"/>
    <w:rsid w:val="00F00A4B"/>
    <w:rsid w:val="00F00B26"/>
    <w:rsid w:val="00F00B37"/>
    <w:rsid w:val="00F00B8A"/>
    <w:rsid w:val="00F00C54"/>
    <w:rsid w:val="00F00D11"/>
    <w:rsid w:val="00F00D57"/>
    <w:rsid w:val="00F00D85"/>
    <w:rsid w:val="00F0102B"/>
    <w:rsid w:val="00F0112F"/>
    <w:rsid w:val="00F01292"/>
    <w:rsid w:val="00F012F8"/>
    <w:rsid w:val="00F01338"/>
    <w:rsid w:val="00F013AA"/>
    <w:rsid w:val="00F01489"/>
    <w:rsid w:val="00F01625"/>
    <w:rsid w:val="00F016B6"/>
    <w:rsid w:val="00F01706"/>
    <w:rsid w:val="00F01707"/>
    <w:rsid w:val="00F01834"/>
    <w:rsid w:val="00F0192B"/>
    <w:rsid w:val="00F0192D"/>
    <w:rsid w:val="00F01A1C"/>
    <w:rsid w:val="00F01BD5"/>
    <w:rsid w:val="00F01D09"/>
    <w:rsid w:val="00F01D1D"/>
    <w:rsid w:val="00F01F4B"/>
    <w:rsid w:val="00F02037"/>
    <w:rsid w:val="00F02040"/>
    <w:rsid w:val="00F020A6"/>
    <w:rsid w:val="00F02191"/>
    <w:rsid w:val="00F022E1"/>
    <w:rsid w:val="00F0248D"/>
    <w:rsid w:val="00F0251A"/>
    <w:rsid w:val="00F0251E"/>
    <w:rsid w:val="00F025A7"/>
    <w:rsid w:val="00F0265D"/>
    <w:rsid w:val="00F028B1"/>
    <w:rsid w:val="00F02924"/>
    <w:rsid w:val="00F0292D"/>
    <w:rsid w:val="00F02999"/>
    <w:rsid w:val="00F02A8D"/>
    <w:rsid w:val="00F02AB8"/>
    <w:rsid w:val="00F02B3C"/>
    <w:rsid w:val="00F02B74"/>
    <w:rsid w:val="00F02B8D"/>
    <w:rsid w:val="00F02BDF"/>
    <w:rsid w:val="00F02C54"/>
    <w:rsid w:val="00F02D6C"/>
    <w:rsid w:val="00F02D74"/>
    <w:rsid w:val="00F02DCA"/>
    <w:rsid w:val="00F02EF9"/>
    <w:rsid w:val="00F02F3D"/>
    <w:rsid w:val="00F03115"/>
    <w:rsid w:val="00F033E8"/>
    <w:rsid w:val="00F03476"/>
    <w:rsid w:val="00F034E6"/>
    <w:rsid w:val="00F034F2"/>
    <w:rsid w:val="00F034F5"/>
    <w:rsid w:val="00F03539"/>
    <w:rsid w:val="00F03572"/>
    <w:rsid w:val="00F035D9"/>
    <w:rsid w:val="00F03606"/>
    <w:rsid w:val="00F0360F"/>
    <w:rsid w:val="00F03640"/>
    <w:rsid w:val="00F03660"/>
    <w:rsid w:val="00F0367E"/>
    <w:rsid w:val="00F036F2"/>
    <w:rsid w:val="00F03944"/>
    <w:rsid w:val="00F03B4E"/>
    <w:rsid w:val="00F03BE0"/>
    <w:rsid w:val="00F03CC9"/>
    <w:rsid w:val="00F03DC5"/>
    <w:rsid w:val="00F03E5D"/>
    <w:rsid w:val="00F03E67"/>
    <w:rsid w:val="00F03F0F"/>
    <w:rsid w:val="00F03F70"/>
    <w:rsid w:val="00F04178"/>
    <w:rsid w:val="00F04221"/>
    <w:rsid w:val="00F042E6"/>
    <w:rsid w:val="00F04340"/>
    <w:rsid w:val="00F043B1"/>
    <w:rsid w:val="00F0457C"/>
    <w:rsid w:val="00F04615"/>
    <w:rsid w:val="00F046ED"/>
    <w:rsid w:val="00F046F6"/>
    <w:rsid w:val="00F04725"/>
    <w:rsid w:val="00F049CD"/>
    <w:rsid w:val="00F049FD"/>
    <w:rsid w:val="00F04A23"/>
    <w:rsid w:val="00F04A65"/>
    <w:rsid w:val="00F04ABF"/>
    <w:rsid w:val="00F04C38"/>
    <w:rsid w:val="00F04D74"/>
    <w:rsid w:val="00F04DE3"/>
    <w:rsid w:val="00F04F01"/>
    <w:rsid w:val="00F04FE3"/>
    <w:rsid w:val="00F05027"/>
    <w:rsid w:val="00F0502B"/>
    <w:rsid w:val="00F051C4"/>
    <w:rsid w:val="00F0529D"/>
    <w:rsid w:val="00F05367"/>
    <w:rsid w:val="00F05420"/>
    <w:rsid w:val="00F05462"/>
    <w:rsid w:val="00F055CC"/>
    <w:rsid w:val="00F0560A"/>
    <w:rsid w:val="00F05624"/>
    <w:rsid w:val="00F05640"/>
    <w:rsid w:val="00F05833"/>
    <w:rsid w:val="00F0583F"/>
    <w:rsid w:val="00F058C3"/>
    <w:rsid w:val="00F058F7"/>
    <w:rsid w:val="00F05959"/>
    <w:rsid w:val="00F05A04"/>
    <w:rsid w:val="00F05A0D"/>
    <w:rsid w:val="00F05A31"/>
    <w:rsid w:val="00F05B33"/>
    <w:rsid w:val="00F05B43"/>
    <w:rsid w:val="00F05BA7"/>
    <w:rsid w:val="00F05C8D"/>
    <w:rsid w:val="00F05D09"/>
    <w:rsid w:val="00F05D4A"/>
    <w:rsid w:val="00F05DA9"/>
    <w:rsid w:val="00F05DCF"/>
    <w:rsid w:val="00F05E23"/>
    <w:rsid w:val="00F05E4C"/>
    <w:rsid w:val="00F05F38"/>
    <w:rsid w:val="00F05FDE"/>
    <w:rsid w:val="00F05FE1"/>
    <w:rsid w:val="00F061B6"/>
    <w:rsid w:val="00F061E5"/>
    <w:rsid w:val="00F06232"/>
    <w:rsid w:val="00F06326"/>
    <w:rsid w:val="00F063AC"/>
    <w:rsid w:val="00F06443"/>
    <w:rsid w:val="00F064AB"/>
    <w:rsid w:val="00F065ED"/>
    <w:rsid w:val="00F0661B"/>
    <w:rsid w:val="00F066B6"/>
    <w:rsid w:val="00F06786"/>
    <w:rsid w:val="00F067D7"/>
    <w:rsid w:val="00F067E1"/>
    <w:rsid w:val="00F06943"/>
    <w:rsid w:val="00F06AA9"/>
    <w:rsid w:val="00F06BB6"/>
    <w:rsid w:val="00F06BEF"/>
    <w:rsid w:val="00F06DC9"/>
    <w:rsid w:val="00F06E6D"/>
    <w:rsid w:val="00F06E70"/>
    <w:rsid w:val="00F06E86"/>
    <w:rsid w:val="00F06E9C"/>
    <w:rsid w:val="00F06F49"/>
    <w:rsid w:val="00F06F67"/>
    <w:rsid w:val="00F06F6D"/>
    <w:rsid w:val="00F06FDA"/>
    <w:rsid w:val="00F07043"/>
    <w:rsid w:val="00F070B3"/>
    <w:rsid w:val="00F071B3"/>
    <w:rsid w:val="00F072A4"/>
    <w:rsid w:val="00F072F4"/>
    <w:rsid w:val="00F073C1"/>
    <w:rsid w:val="00F0742B"/>
    <w:rsid w:val="00F07462"/>
    <w:rsid w:val="00F0747E"/>
    <w:rsid w:val="00F0754B"/>
    <w:rsid w:val="00F07730"/>
    <w:rsid w:val="00F0773E"/>
    <w:rsid w:val="00F07783"/>
    <w:rsid w:val="00F0781B"/>
    <w:rsid w:val="00F079CC"/>
    <w:rsid w:val="00F07C7D"/>
    <w:rsid w:val="00F07CFF"/>
    <w:rsid w:val="00F07D87"/>
    <w:rsid w:val="00F07DD5"/>
    <w:rsid w:val="00F07E2F"/>
    <w:rsid w:val="00F10054"/>
    <w:rsid w:val="00F1009D"/>
    <w:rsid w:val="00F10120"/>
    <w:rsid w:val="00F10201"/>
    <w:rsid w:val="00F10208"/>
    <w:rsid w:val="00F10284"/>
    <w:rsid w:val="00F102BB"/>
    <w:rsid w:val="00F10399"/>
    <w:rsid w:val="00F1040E"/>
    <w:rsid w:val="00F1047A"/>
    <w:rsid w:val="00F10534"/>
    <w:rsid w:val="00F1056D"/>
    <w:rsid w:val="00F105B5"/>
    <w:rsid w:val="00F10901"/>
    <w:rsid w:val="00F10965"/>
    <w:rsid w:val="00F1097C"/>
    <w:rsid w:val="00F10AC3"/>
    <w:rsid w:val="00F10B95"/>
    <w:rsid w:val="00F10C7F"/>
    <w:rsid w:val="00F10CE9"/>
    <w:rsid w:val="00F10D00"/>
    <w:rsid w:val="00F10D41"/>
    <w:rsid w:val="00F10E73"/>
    <w:rsid w:val="00F10E78"/>
    <w:rsid w:val="00F10F31"/>
    <w:rsid w:val="00F110C8"/>
    <w:rsid w:val="00F11144"/>
    <w:rsid w:val="00F11429"/>
    <w:rsid w:val="00F11590"/>
    <w:rsid w:val="00F1159C"/>
    <w:rsid w:val="00F11648"/>
    <w:rsid w:val="00F116DA"/>
    <w:rsid w:val="00F117FA"/>
    <w:rsid w:val="00F117FD"/>
    <w:rsid w:val="00F118D1"/>
    <w:rsid w:val="00F118FC"/>
    <w:rsid w:val="00F11931"/>
    <w:rsid w:val="00F11970"/>
    <w:rsid w:val="00F11B81"/>
    <w:rsid w:val="00F11C1A"/>
    <w:rsid w:val="00F11C3F"/>
    <w:rsid w:val="00F11C56"/>
    <w:rsid w:val="00F11CA3"/>
    <w:rsid w:val="00F11CC3"/>
    <w:rsid w:val="00F11D44"/>
    <w:rsid w:val="00F11E25"/>
    <w:rsid w:val="00F11E76"/>
    <w:rsid w:val="00F11EED"/>
    <w:rsid w:val="00F11FBA"/>
    <w:rsid w:val="00F120E7"/>
    <w:rsid w:val="00F12127"/>
    <w:rsid w:val="00F121BE"/>
    <w:rsid w:val="00F1225E"/>
    <w:rsid w:val="00F12357"/>
    <w:rsid w:val="00F123E5"/>
    <w:rsid w:val="00F124B6"/>
    <w:rsid w:val="00F125A8"/>
    <w:rsid w:val="00F127E3"/>
    <w:rsid w:val="00F128ED"/>
    <w:rsid w:val="00F12931"/>
    <w:rsid w:val="00F12973"/>
    <w:rsid w:val="00F129C2"/>
    <w:rsid w:val="00F129DE"/>
    <w:rsid w:val="00F12B4F"/>
    <w:rsid w:val="00F12B5A"/>
    <w:rsid w:val="00F12B79"/>
    <w:rsid w:val="00F12B99"/>
    <w:rsid w:val="00F12C83"/>
    <w:rsid w:val="00F12CA1"/>
    <w:rsid w:val="00F12CFD"/>
    <w:rsid w:val="00F12D18"/>
    <w:rsid w:val="00F12D9C"/>
    <w:rsid w:val="00F12E4B"/>
    <w:rsid w:val="00F12E7A"/>
    <w:rsid w:val="00F12EA0"/>
    <w:rsid w:val="00F13025"/>
    <w:rsid w:val="00F132B8"/>
    <w:rsid w:val="00F133CA"/>
    <w:rsid w:val="00F133E5"/>
    <w:rsid w:val="00F133F8"/>
    <w:rsid w:val="00F13587"/>
    <w:rsid w:val="00F135DF"/>
    <w:rsid w:val="00F1360A"/>
    <w:rsid w:val="00F1361C"/>
    <w:rsid w:val="00F1372C"/>
    <w:rsid w:val="00F13757"/>
    <w:rsid w:val="00F13786"/>
    <w:rsid w:val="00F13847"/>
    <w:rsid w:val="00F13852"/>
    <w:rsid w:val="00F138E6"/>
    <w:rsid w:val="00F13933"/>
    <w:rsid w:val="00F13935"/>
    <w:rsid w:val="00F1398D"/>
    <w:rsid w:val="00F13999"/>
    <w:rsid w:val="00F13A20"/>
    <w:rsid w:val="00F13A4A"/>
    <w:rsid w:val="00F13A72"/>
    <w:rsid w:val="00F13A8C"/>
    <w:rsid w:val="00F13B26"/>
    <w:rsid w:val="00F13B29"/>
    <w:rsid w:val="00F13C33"/>
    <w:rsid w:val="00F13C61"/>
    <w:rsid w:val="00F13D32"/>
    <w:rsid w:val="00F13E66"/>
    <w:rsid w:val="00F13E6C"/>
    <w:rsid w:val="00F13F8C"/>
    <w:rsid w:val="00F1408E"/>
    <w:rsid w:val="00F14141"/>
    <w:rsid w:val="00F1425B"/>
    <w:rsid w:val="00F142DB"/>
    <w:rsid w:val="00F143EF"/>
    <w:rsid w:val="00F1441B"/>
    <w:rsid w:val="00F1447B"/>
    <w:rsid w:val="00F14509"/>
    <w:rsid w:val="00F145EF"/>
    <w:rsid w:val="00F1462F"/>
    <w:rsid w:val="00F146C0"/>
    <w:rsid w:val="00F1476B"/>
    <w:rsid w:val="00F147B2"/>
    <w:rsid w:val="00F147B9"/>
    <w:rsid w:val="00F148B7"/>
    <w:rsid w:val="00F149FE"/>
    <w:rsid w:val="00F14A6A"/>
    <w:rsid w:val="00F14A7F"/>
    <w:rsid w:val="00F14AB6"/>
    <w:rsid w:val="00F14C20"/>
    <w:rsid w:val="00F14C75"/>
    <w:rsid w:val="00F14CDE"/>
    <w:rsid w:val="00F14F07"/>
    <w:rsid w:val="00F1503A"/>
    <w:rsid w:val="00F15041"/>
    <w:rsid w:val="00F1504E"/>
    <w:rsid w:val="00F151E6"/>
    <w:rsid w:val="00F152A3"/>
    <w:rsid w:val="00F152BB"/>
    <w:rsid w:val="00F152FC"/>
    <w:rsid w:val="00F15328"/>
    <w:rsid w:val="00F153C5"/>
    <w:rsid w:val="00F156B7"/>
    <w:rsid w:val="00F15762"/>
    <w:rsid w:val="00F15875"/>
    <w:rsid w:val="00F158C9"/>
    <w:rsid w:val="00F15935"/>
    <w:rsid w:val="00F159F6"/>
    <w:rsid w:val="00F15B72"/>
    <w:rsid w:val="00F15C25"/>
    <w:rsid w:val="00F15C5A"/>
    <w:rsid w:val="00F15CBC"/>
    <w:rsid w:val="00F15D10"/>
    <w:rsid w:val="00F15DA0"/>
    <w:rsid w:val="00F15DA2"/>
    <w:rsid w:val="00F15E10"/>
    <w:rsid w:val="00F15E12"/>
    <w:rsid w:val="00F15EF0"/>
    <w:rsid w:val="00F15FA1"/>
    <w:rsid w:val="00F16054"/>
    <w:rsid w:val="00F1610F"/>
    <w:rsid w:val="00F161A8"/>
    <w:rsid w:val="00F16219"/>
    <w:rsid w:val="00F16334"/>
    <w:rsid w:val="00F1636C"/>
    <w:rsid w:val="00F163FF"/>
    <w:rsid w:val="00F16504"/>
    <w:rsid w:val="00F165BC"/>
    <w:rsid w:val="00F16854"/>
    <w:rsid w:val="00F16969"/>
    <w:rsid w:val="00F169FF"/>
    <w:rsid w:val="00F16AC1"/>
    <w:rsid w:val="00F16C70"/>
    <w:rsid w:val="00F16CB4"/>
    <w:rsid w:val="00F16EFF"/>
    <w:rsid w:val="00F17057"/>
    <w:rsid w:val="00F170C2"/>
    <w:rsid w:val="00F17131"/>
    <w:rsid w:val="00F17236"/>
    <w:rsid w:val="00F1724C"/>
    <w:rsid w:val="00F1727B"/>
    <w:rsid w:val="00F17281"/>
    <w:rsid w:val="00F172BE"/>
    <w:rsid w:val="00F17307"/>
    <w:rsid w:val="00F17358"/>
    <w:rsid w:val="00F17479"/>
    <w:rsid w:val="00F174D8"/>
    <w:rsid w:val="00F17568"/>
    <w:rsid w:val="00F1762C"/>
    <w:rsid w:val="00F17683"/>
    <w:rsid w:val="00F17722"/>
    <w:rsid w:val="00F1774B"/>
    <w:rsid w:val="00F17785"/>
    <w:rsid w:val="00F177B3"/>
    <w:rsid w:val="00F17808"/>
    <w:rsid w:val="00F1786E"/>
    <w:rsid w:val="00F178C0"/>
    <w:rsid w:val="00F1795B"/>
    <w:rsid w:val="00F17992"/>
    <w:rsid w:val="00F17A16"/>
    <w:rsid w:val="00F17A61"/>
    <w:rsid w:val="00F17B23"/>
    <w:rsid w:val="00F17C90"/>
    <w:rsid w:val="00F17D06"/>
    <w:rsid w:val="00F17DBE"/>
    <w:rsid w:val="00F17E97"/>
    <w:rsid w:val="00F17F0A"/>
    <w:rsid w:val="00F17F63"/>
    <w:rsid w:val="00F17FC6"/>
    <w:rsid w:val="00F20024"/>
    <w:rsid w:val="00F20072"/>
    <w:rsid w:val="00F20095"/>
    <w:rsid w:val="00F20110"/>
    <w:rsid w:val="00F2011F"/>
    <w:rsid w:val="00F20385"/>
    <w:rsid w:val="00F20500"/>
    <w:rsid w:val="00F205A0"/>
    <w:rsid w:val="00F205C9"/>
    <w:rsid w:val="00F20647"/>
    <w:rsid w:val="00F20836"/>
    <w:rsid w:val="00F20B1E"/>
    <w:rsid w:val="00F20C7B"/>
    <w:rsid w:val="00F20D0C"/>
    <w:rsid w:val="00F20E3F"/>
    <w:rsid w:val="00F20F23"/>
    <w:rsid w:val="00F20F69"/>
    <w:rsid w:val="00F20FE7"/>
    <w:rsid w:val="00F21028"/>
    <w:rsid w:val="00F21043"/>
    <w:rsid w:val="00F21053"/>
    <w:rsid w:val="00F21214"/>
    <w:rsid w:val="00F21383"/>
    <w:rsid w:val="00F21392"/>
    <w:rsid w:val="00F213A1"/>
    <w:rsid w:val="00F2159C"/>
    <w:rsid w:val="00F215BD"/>
    <w:rsid w:val="00F215D1"/>
    <w:rsid w:val="00F217C0"/>
    <w:rsid w:val="00F217D0"/>
    <w:rsid w:val="00F2184F"/>
    <w:rsid w:val="00F2193E"/>
    <w:rsid w:val="00F21965"/>
    <w:rsid w:val="00F219F2"/>
    <w:rsid w:val="00F21A0E"/>
    <w:rsid w:val="00F21A6B"/>
    <w:rsid w:val="00F21AC3"/>
    <w:rsid w:val="00F21B05"/>
    <w:rsid w:val="00F21B3E"/>
    <w:rsid w:val="00F21BD8"/>
    <w:rsid w:val="00F21BDB"/>
    <w:rsid w:val="00F21C7A"/>
    <w:rsid w:val="00F21D02"/>
    <w:rsid w:val="00F21E86"/>
    <w:rsid w:val="00F21F2F"/>
    <w:rsid w:val="00F21F81"/>
    <w:rsid w:val="00F22125"/>
    <w:rsid w:val="00F2212D"/>
    <w:rsid w:val="00F221AC"/>
    <w:rsid w:val="00F22232"/>
    <w:rsid w:val="00F222FC"/>
    <w:rsid w:val="00F22406"/>
    <w:rsid w:val="00F2244B"/>
    <w:rsid w:val="00F22454"/>
    <w:rsid w:val="00F22551"/>
    <w:rsid w:val="00F22818"/>
    <w:rsid w:val="00F22842"/>
    <w:rsid w:val="00F228A5"/>
    <w:rsid w:val="00F22927"/>
    <w:rsid w:val="00F22983"/>
    <w:rsid w:val="00F229F5"/>
    <w:rsid w:val="00F22A01"/>
    <w:rsid w:val="00F22A13"/>
    <w:rsid w:val="00F22A26"/>
    <w:rsid w:val="00F22A50"/>
    <w:rsid w:val="00F22B9B"/>
    <w:rsid w:val="00F22C00"/>
    <w:rsid w:val="00F22D94"/>
    <w:rsid w:val="00F22EE1"/>
    <w:rsid w:val="00F22EED"/>
    <w:rsid w:val="00F22F77"/>
    <w:rsid w:val="00F23043"/>
    <w:rsid w:val="00F2316F"/>
    <w:rsid w:val="00F2324F"/>
    <w:rsid w:val="00F23292"/>
    <w:rsid w:val="00F2359B"/>
    <w:rsid w:val="00F235DA"/>
    <w:rsid w:val="00F235FD"/>
    <w:rsid w:val="00F2364F"/>
    <w:rsid w:val="00F236BB"/>
    <w:rsid w:val="00F236EA"/>
    <w:rsid w:val="00F236F0"/>
    <w:rsid w:val="00F238F0"/>
    <w:rsid w:val="00F2393D"/>
    <w:rsid w:val="00F239C2"/>
    <w:rsid w:val="00F239D4"/>
    <w:rsid w:val="00F23AEF"/>
    <w:rsid w:val="00F23B44"/>
    <w:rsid w:val="00F23BEA"/>
    <w:rsid w:val="00F23E47"/>
    <w:rsid w:val="00F23E5B"/>
    <w:rsid w:val="00F24180"/>
    <w:rsid w:val="00F241D2"/>
    <w:rsid w:val="00F24269"/>
    <w:rsid w:val="00F24309"/>
    <w:rsid w:val="00F24338"/>
    <w:rsid w:val="00F2446C"/>
    <w:rsid w:val="00F2446F"/>
    <w:rsid w:val="00F244C3"/>
    <w:rsid w:val="00F245F2"/>
    <w:rsid w:val="00F2467C"/>
    <w:rsid w:val="00F24721"/>
    <w:rsid w:val="00F2473D"/>
    <w:rsid w:val="00F24764"/>
    <w:rsid w:val="00F247CB"/>
    <w:rsid w:val="00F248E2"/>
    <w:rsid w:val="00F249CE"/>
    <w:rsid w:val="00F249E2"/>
    <w:rsid w:val="00F249E4"/>
    <w:rsid w:val="00F24A1C"/>
    <w:rsid w:val="00F24A78"/>
    <w:rsid w:val="00F24ADD"/>
    <w:rsid w:val="00F24AFB"/>
    <w:rsid w:val="00F24B0F"/>
    <w:rsid w:val="00F24BE7"/>
    <w:rsid w:val="00F24C33"/>
    <w:rsid w:val="00F24CB3"/>
    <w:rsid w:val="00F24CBF"/>
    <w:rsid w:val="00F24D3F"/>
    <w:rsid w:val="00F24E1E"/>
    <w:rsid w:val="00F24E99"/>
    <w:rsid w:val="00F24F75"/>
    <w:rsid w:val="00F24F88"/>
    <w:rsid w:val="00F24FF8"/>
    <w:rsid w:val="00F253BB"/>
    <w:rsid w:val="00F253C2"/>
    <w:rsid w:val="00F25428"/>
    <w:rsid w:val="00F25509"/>
    <w:rsid w:val="00F2558B"/>
    <w:rsid w:val="00F255E9"/>
    <w:rsid w:val="00F25663"/>
    <w:rsid w:val="00F2584C"/>
    <w:rsid w:val="00F2586B"/>
    <w:rsid w:val="00F25A31"/>
    <w:rsid w:val="00F25A44"/>
    <w:rsid w:val="00F25AE5"/>
    <w:rsid w:val="00F25B56"/>
    <w:rsid w:val="00F25BBA"/>
    <w:rsid w:val="00F25C4F"/>
    <w:rsid w:val="00F25C5B"/>
    <w:rsid w:val="00F25C9A"/>
    <w:rsid w:val="00F25CE7"/>
    <w:rsid w:val="00F25E58"/>
    <w:rsid w:val="00F25EA9"/>
    <w:rsid w:val="00F25EEC"/>
    <w:rsid w:val="00F25FA9"/>
    <w:rsid w:val="00F26020"/>
    <w:rsid w:val="00F261E2"/>
    <w:rsid w:val="00F26237"/>
    <w:rsid w:val="00F26345"/>
    <w:rsid w:val="00F2638F"/>
    <w:rsid w:val="00F264FE"/>
    <w:rsid w:val="00F265C4"/>
    <w:rsid w:val="00F26613"/>
    <w:rsid w:val="00F26646"/>
    <w:rsid w:val="00F266B9"/>
    <w:rsid w:val="00F266E1"/>
    <w:rsid w:val="00F26716"/>
    <w:rsid w:val="00F2674E"/>
    <w:rsid w:val="00F268F7"/>
    <w:rsid w:val="00F26917"/>
    <w:rsid w:val="00F26974"/>
    <w:rsid w:val="00F269BF"/>
    <w:rsid w:val="00F269ED"/>
    <w:rsid w:val="00F26B93"/>
    <w:rsid w:val="00F26C43"/>
    <w:rsid w:val="00F26C8F"/>
    <w:rsid w:val="00F26CBE"/>
    <w:rsid w:val="00F26D23"/>
    <w:rsid w:val="00F26DB9"/>
    <w:rsid w:val="00F26DE3"/>
    <w:rsid w:val="00F27068"/>
    <w:rsid w:val="00F27109"/>
    <w:rsid w:val="00F27165"/>
    <w:rsid w:val="00F271A4"/>
    <w:rsid w:val="00F271DE"/>
    <w:rsid w:val="00F27287"/>
    <w:rsid w:val="00F27314"/>
    <w:rsid w:val="00F2734C"/>
    <w:rsid w:val="00F2737A"/>
    <w:rsid w:val="00F273A4"/>
    <w:rsid w:val="00F27512"/>
    <w:rsid w:val="00F27514"/>
    <w:rsid w:val="00F27770"/>
    <w:rsid w:val="00F277C2"/>
    <w:rsid w:val="00F277E5"/>
    <w:rsid w:val="00F27800"/>
    <w:rsid w:val="00F278AB"/>
    <w:rsid w:val="00F2793A"/>
    <w:rsid w:val="00F27A80"/>
    <w:rsid w:val="00F27A9F"/>
    <w:rsid w:val="00F27AD2"/>
    <w:rsid w:val="00F27AD3"/>
    <w:rsid w:val="00F27B8B"/>
    <w:rsid w:val="00F27BA6"/>
    <w:rsid w:val="00F27C03"/>
    <w:rsid w:val="00F27CFB"/>
    <w:rsid w:val="00F27E67"/>
    <w:rsid w:val="00F27E70"/>
    <w:rsid w:val="00F27ED9"/>
    <w:rsid w:val="00F27F20"/>
    <w:rsid w:val="00F300DB"/>
    <w:rsid w:val="00F3033D"/>
    <w:rsid w:val="00F3040A"/>
    <w:rsid w:val="00F30496"/>
    <w:rsid w:val="00F30596"/>
    <w:rsid w:val="00F305A2"/>
    <w:rsid w:val="00F30683"/>
    <w:rsid w:val="00F306F1"/>
    <w:rsid w:val="00F30707"/>
    <w:rsid w:val="00F3087B"/>
    <w:rsid w:val="00F30926"/>
    <w:rsid w:val="00F309A7"/>
    <w:rsid w:val="00F30A24"/>
    <w:rsid w:val="00F30A8B"/>
    <w:rsid w:val="00F30AA6"/>
    <w:rsid w:val="00F30AF8"/>
    <w:rsid w:val="00F30BA2"/>
    <w:rsid w:val="00F30C4A"/>
    <w:rsid w:val="00F30D2B"/>
    <w:rsid w:val="00F30EE6"/>
    <w:rsid w:val="00F3101A"/>
    <w:rsid w:val="00F310EA"/>
    <w:rsid w:val="00F31104"/>
    <w:rsid w:val="00F31355"/>
    <w:rsid w:val="00F31401"/>
    <w:rsid w:val="00F3148E"/>
    <w:rsid w:val="00F314A5"/>
    <w:rsid w:val="00F314E4"/>
    <w:rsid w:val="00F318B1"/>
    <w:rsid w:val="00F318C0"/>
    <w:rsid w:val="00F31907"/>
    <w:rsid w:val="00F3190D"/>
    <w:rsid w:val="00F31932"/>
    <w:rsid w:val="00F31A36"/>
    <w:rsid w:val="00F31A5E"/>
    <w:rsid w:val="00F31B71"/>
    <w:rsid w:val="00F31C74"/>
    <w:rsid w:val="00F31D17"/>
    <w:rsid w:val="00F31D97"/>
    <w:rsid w:val="00F31DD7"/>
    <w:rsid w:val="00F31F24"/>
    <w:rsid w:val="00F31F43"/>
    <w:rsid w:val="00F31F6E"/>
    <w:rsid w:val="00F31F92"/>
    <w:rsid w:val="00F31FB4"/>
    <w:rsid w:val="00F31FF3"/>
    <w:rsid w:val="00F32058"/>
    <w:rsid w:val="00F320FF"/>
    <w:rsid w:val="00F32170"/>
    <w:rsid w:val="00F321F9"/>
    <w:rsid w:val="00F3223F"/>
    <w:rsid w:val="00F32245"/>
    <w:rsid w:val="00F3236D"/>
    <w:rsid w:val="00F323B4"/>
    <w:rsid w:val="00F323BE"/>
    <w:rsid w:val="00F324B6"/>
    <w:rsid w:val="00F325B0"/>
    <w:rsid w:val="00F32635"/>
    <w:rsid w:val="00F326F3"/>
    <w:rsid w:val="00F32712"/>
    <w:rsid w:val="00F32920"/>
    <w:rsid w:val="00F329C1"/>
    <w:rsid w:val="00F329C9"/>
    <w:rsid w:val="00F32A4E"/>
    <w:rsid w:val="00F32B1C"/>
    <w:rsid w:val="00F32B93"/>
    <w:rsid w:val="00F32B9D"/>
    <w:rsid w:val="00F32BAD"/>
    <w:rsid w:val="00F32C95"/>
    <w:rsid w:val="00F32D23"/>
    <w:rsid w:val="00F32E0E"/>
    <w:rsid w:val="00F32F07"/>
    <w:rsid w:val="00F32F8F"/>
    <w:rsid w:val="00F3305B"/>
    <w:rsid w:val="00F3313A"/>
    <w:rsid w:val="00F33150"/>
    <w:rsid w:val="00F3316A"/>
    <w:rsid w:val="00F331BD"/>
    <w:rsid w:val="00F331F5"/>
    <w:rsid w:val="00F33239"/>
    <w:rsid w:val="00F33404"/>
    <w:rsid w:val="00F3352C"/>
    <w:rsid w:val="00F335F4"/>
    <w:rsid w:val="00F3374E"/>
    <w:rsid w:val="00F338CF"/>
    <w:rsid w:val="00F33B44"/>
    <w:rsid w:val="00F33DA7"/>
    <w:rsid w:val="00F33E3C"/>
    <w:rsid w:val="00F33E7B"/>
    <w:rsid w:val="00F33E83"/>
    <w:rsid w:val="00F33E97"/>
    <w:rsid w:val="00F33F99"/>
    <w:rsid w:val="00F34186"/>
    <w:rsid w:val="00F34391"/>
    <w:rsid w:val="00F34449"/>
    <w:rsid w:val="00F34469"/>
    <w:rsid w:val="00F34504"/>
    <w:rsid w:val="00F3453E"/>
    <w:rsid w:val="00F345C8"/>
    <w:rsid w:val="00F3470A"/>
    <w:rsid w:val="00F34848"/>
    <w:rsid w:val="00F3489E"/>
    <w:rsid w:val="00F34986"/>
    <w:rsid w:val="00F349E8"/>
    <w:rsid w:val="00F34A1C"/>
    <w:rsid w:val="00F34AF3"/>
    <w:rsid w:val="00F34B15"/>
    <w:rsid w:val="00F34BF5"/>
    <w:rsid w:val="00F34C32"/>
    <w:rsid w:val="00F34CB2"/>
    <w:rsid w:val="00F34CD6"/>
    <w:rsid w:val="00F34CDC"/>
    <w:rsid w:val="00F34E05"/>
    <w:rsid w:val="00F34EAA"/>
    <w:rsid w:val="00F34F04"/>
    <w:rsid w:val="00F34FB8"/>
    <w:rsid w:val="00F350B0"/>
    <w:rsid w:val="00F350D0"/>
    <w:rsid w:val="00F3522F"/>
    <w:rsid w:val="00F352E0"/>
    <w:rsid w:val="00F352EF"/>
    <w:rsid w:val="00F3530B"/>
    <w:rsid w:val="00F353F6"/>
    <w:rsid w:val="00F35462"/>
    <w:rsid w:val="00F35574"/>
    <w:rsid w:val="00F356E7"/>
    <w:rsid w:val="00F35708"/>
    <w:rsid w:val="00F35738"/>
    <w:rsid w:val="00F35772"/>
    <w:rsid w:val="00F35854"/>
    <w:rsid w:val="00F3585B"/>
    <w:rsid w:val="00F35864"/>
    <w:rsid w:val="00F359A7"/>
    <w:rsid w:val="00F359C1"/>
    <w:rsid w:val="00F359F9"/>
    <w:rsid w:val="00F35AE2"/>
    <w:rsid w:val="00F35B3B"/>
    <w:rsid w:val="00F35C4D"/>
    <w:rsid w:val="00F35CED"/>
    <w:rsid w:val="00F35DB7"/>
    <w:rsid w:val="00F35F56"/>
    <w:rsid w:val="00F35F7C"/>
    <w:rsid w:val="00F35F9D"/>
    <w:rsid w:val="00F36066"/>
    <w:rsid w:val="00F36081"/>
    <w:rsid w:val="00F3621E"/>
    <w:rsid w:val="00F36346"/>
    <w:rsid w:val="00F36439"/>
    <w:rsid w:val="00F364DA"/>
    <w:rsid w:val="00F3677A"/>
    <w:rsid w:val="00F3683F"/>
    <w:rsid w:val="00F3686E"/>
    <w:rsid w:val="00F36874"/>
    <w:rsid w:val="00F368FC"/>
    <w:rsid w:val="00F369D7"/>
    <w:rsid w:val="00F36A27"/>
    <w:rsid w:val="00F36A2A"/>
    <w:rsid w:val="00F36A6A"/>
    <w:rsid w:val="00F36A79"/>
    <w:rsid w:val="00F36A87"/>
    <w:rsid w:val="00F36AFC"/>
    <w:rsid w:val="00F36B6F"/>
    <w:rsid w:val="00F36B72"/>
    <w:rsid w:val="00F36D0D"/>
    <w:rsid w:val="00F36D30"/>
    <w:rsid w:val="00F36D63"/>
    <w:rsid w:val="00F36E8D"/>
    <w:rsid w:val="00F36F1A"/>
    <w:rsid w:val="00F36FD5"/>
    <w:rsid w:val="00F37006"/>
    <w:rsid w:val="00F370E5"/>
    <w:rsid w:val="00F370F4"/>
    <w:rsid w:val="00F37202"/>
    <w:rsid w:val="00F37264"/>
    <w:rsid w:val="00F3734E"/>
    <w:rsid w:val="00F37449"/>
    <w:rsid w:val="00F3746B"/>
    <w:rsid w:val="00F374D1"/>
    <w:rsid w:val="00F374DA"/>
    <w:rsid w:val="00F374F5"/>
    <w:rsid w:val="00F376DC"/>
    <w:rsid w:val="00F37738"/>
    <w:rsid w:val="00F378A0"/>
    <w:rsid w:val="00F378DD"/>
    <w:rsid w:val="00F37952"/>
    <w:rsid w:val="00F37ACD"/>
    <w:rsid w:val="00F37CC8"/>
    <w:rsid w:val="00F37CEC"/>
    <w:rsid w:val="00F37E01"/>
    <w:rsid w:val="00F37E1E"/>
    <w:rsid w:val="00F37E84"/>
    <w:rsid w:val="00F37E90"/>
    <w:rsid w:val="00F37E9A"/>
    <w:rsid w:val="00F37F11"/>
    <w:rsid w:val="00F37FFB"/>
    <w:rsid w:val="00F400F4"/>
    <w:rsid w:val="00F401C4"/>
    <w:rsid w:val="00F4021B"/>
    <w:rsid w:val="00F402D0"/>
    <w:rsid w:val="00F40408"/>
    <w:rsid w:val="00F40495"/>
    <w:rsid w:val="00F405AB"/>
    <w:rsid w:val="00F405DE"/>
    <w:rsid w:val="00F40609"/>
    <w:rsid w:val="00F40946"/>
    <w:rsid w:val="00F40A82"/>
    <w:rsid w:val="00F40C0A"/>
    <w:rsid w:val="00F40D73"/>
    <w:rsid w:val="00F40E3A"/>
    <w:rsid w:val="00F40FE5"/>
    <w:rsid w:val="00F4115A"/>
    <w:rsid w:val="00F41211"/>
    <w:rsid w:val="00F41348"/>
    <w:rsid w:val="00F414C5"/>
    <w:rsid w:val="00F41528"/>
    <w:rsid w:val="00F41560"/>
    <w:rsid w:val="00F41637"/>
    <w:rsid w:val="00F4163C"/>
    <w:rsid w:val="00F4170E"/>
    <w:rsid w:val="00F417A1"/>
    <w:rsid w:val="00F417B0"/>
    <w:rsid w:val="00F417BC"/>
    <w:rsid w:val="00F417F3"/>
    <w:rsid w:val="00F418B6"/>
    <w:rsid w:val="00F41A36"/>
    <w:rsid w:val="00F41A56"/>
    <w:rsid w:val="00F41B0C"/>
    <w:rsid w:val="00F41CCD"/>
    <w:rsid w:val="00F41D65"/>
    <w:rsid w:val="00F41EED"/>
    <w:rsid w:val="00F41FE0"/>
    <w:rsid w:val="00F4201F"/>
    <w:rsid w:val="00F42043"/>
    <w:rsid w:val="00F420D3"/>
    <w:rsid w:val="00F4226B"/>
    <w:rsid w:val="00F42277"/>
    <w:rsid w:val="00F423EB"/>
    <w:rsid w:val="00F424D6"/>
    <w:rsid w:val="00F424F6"/>
    <w:rsid w:val="00F42597"/>
    <w:rsid w:val="00F42902"/>
    <w:rsid w:val="00F4292D"/>
    <w:rsid w:val="00F42A07"/>
    <w:rsid w:val="00F42A0C"/>
    <w:rsid w:val="00F42A88"/>
    <w:rsid w:val="00F42A8E"/>
    <w:rsid w:val="00F42AFF"/>
    <w:rsid w:val="00F42BD4"/>
    <w:rsid w:val="00F42D95"/>
    <w:rsid w:val="00F42ECC"/>
    <w:rsid w:val="00F42F6B"/>
    <w:rsid w:val="00F42FFE"/>
    <w:rsid w:val="00F430A0"/>
    <w:rsid w:val="00F431F4"/>
    <w:rsid w:val="00F43207"/>
    <w:rsid w:val="00F43238"/>
    <w:rsid w:val="00F43262"/>
    <w:rsid w:val="00F432E8"/>
    <w:rsid w:val="00F432ED"/>
    <w:rsid w:val="00F434B2"/>
    <w:rsid w:val="00F43504"/>
    <w:rsid w:val="00F4363B"/>
    <w:rsid w:val="00F43733"/>
    <w:rsid w:val="00F439F6"/>
    <w:rsid w:val="00F43A51"/>
    <w:rsid w:val="00F43C03"/>
    <w:rsid w:val="00F43C06"/>
    <w:rsid w:val="00F43D29"/>
    <w:rsid w:val="00F43D5B"/>
    <w:rsid w:val="00F43E36"/>
    <w:rsid w:val="00F43F41"/>
    <w:rsid w:val="00F43F47"/>
    <w:rsid w:val="00F43F55"/>
    <w:rsid w:val="00F43F73"/>
    <w:rsid w:val="00F43FE8"/>
    <w:rsid w:val="00F43FE9"/>
    <w:rsid w:val="00F44046"/>
    <w:rsid w:val="00F44068"/>
    <w:rsid w:val="00F443D5"/>
    <w:rsid w:val="00F443EE"/>
    <w:rsid w:val="00F44451"/>
    <w:rsid w:val="00F44502"/>
    <w:rsid w:val="00F4457C"/>
    <w:rsid w:val="00F44586"/>
    <w:rsid w:val="00F445D8"/>
    <w:rsid w:val="00F446B2"/>
    <w:rsid w:val="00F446E3"/>
    <w:rsid w:val="00F4473F"/>
    <w:rsid w:val="00F44825"/>
    <w:rsid w:val="00F44891"/>
    <w:rsid w:val="00F448CF"/>
    <w:rsid w:val="00F449D7"/>
    <w:rsid w:val="00F44A54"/>
    <w:rsid w:val="00F44BBD"/>
    <w:rsid w:val="00F44C67"/>
    <w:rsid w:val="00F44C87"/>
    <w:rsid w:val="00F44CE9"/>
    <w:rsid w:val="00F44D7E"/>
    <w:rsid w:val="00F44DC2"/>
    <w:rsid w:val="00F44DDD"/>
    <w:rsid w:val="00F44EF1"/>
    <w:rsid w:val="00F44FBA"/>
    <w:rsid w:val="00F44FD1"/>
    <w:rsid w:val="00F450DB"/>
    <w:rsid w:val="00F4525F"/>
    <w:rsid w:val="00F45288"/>
    <w:rsid w:val="00F452C9"/>
    <w:rsid w:val="00F45301"/>
    <w:rsid w:val="00F4532F"/>
    <w:rsid w:val="00F4537A"/>
    <w:rsid w:val="00F453A4"/>
    <w:rsid w:val="00F456F7"/>
    <w:rsid w:val="00F45702"/>
    <w:rsid w:val="00F4570F"/>
    <w:rsid w:val="00F4578A"/>
    <w:rsid w:val="00F4585F"/>
    <w:rsid w:val="00F45AFE"/>
    <w:rsid w:val="00F45BE1"/>
    <w:rsid w:val="00F45DEC"/>
    <w:rsid w:val="00F45EF3"/>
    <w:rsid w:val="00F45F6F"/>
    <w:rsid w:val="00F4630C"/>
    <w:rsid w:val="00F46630"/>
    <w:rsid w:val="00F467E3"/>
    <w:rsid w:val="00F46867"/>
    <w:rsid w:val="00F468A3"/>
    <w:rsid w:val="00F46988"/>
    <w:rsid w:val="00F469DE"/>
    <w:rsid w:val="00F469EF"/>
    <w:rsid w:val="00F46AA4"/>
    <w:rsid w:val="00F46AC3"/>
    <w:rsid w:val="00F46C1F"/>
    <w:rsid w:val="00F46DBE"/>
    <w:rsid w:val="00F46E7D"/>
    <w:rsid w:val="00F470EC"/>
    <w:rsid w:val="00F472AC"/>
    <w:rsid w:val="00F473E9"/>
    <w:rsid w:val="00F4748F"/>
    <w:rsid w:val="00F475B5"/>
    <w:rsid w:val="00F47779"/>
    <w:rsid w:val="00F477D7"/>
    <w:rsid w:val="00F47956"/>
    <w:rsid w:val="00F47972"/>
    <w:rsid w:val="00F47A2A"/>
    <w:rsid w:val="00F47A3B"/>
    <w:rsid w:val="00F47B18"/>
    <w:rsid w:val="00F47B40"/>
    <w:rsid w:val="00F47BD3"/>
    <w:rsid w:val="00F47CBC"/>
    <w:rsid w:val="00F47D89"/>
    <w:rsid w:val="00F47DCE"/>
    <w:rsid w:val="00F47E0E"/>
    <w:rsid w:val="00F47E15"/>
    <w:rsid w:val="00F50065"/>
    <w:rsid w:val="00F5007C"/>
    <w:rsid w:val="00F5018F"/>
    <w:rsid w:val="00F50198"/>
    <w:rsid w:val="00F503BD"/>
    <w:rsid w:val="00F50409"/>
    <w:rsid w:val="00F504B1"/>
    <w:rsid w:val="00F505DD"/>
    <w:rsid w:val="00F505E8"/>
    <w:rsid w:val="00F50674"/>
    <w:rsid w:val="00F506FC"/>
    <w:rsid w:val="00F50828"/>
    <w:rsid w:val="00F5088D"/>
    <w:rsid w:val="00F50890"/>
    <w:rsid w:val="00F50A59"/>
    <w:rsid w:val="00F50AF9"/>
    <w:rsid w:val="00F50BA0"/>
    <w:rsid w:val="00F50C8E"/>
    <w:rsid w:val="00F50CFE"/>
    <w:rsid w:val="00F50D2E"/>
    <w:rsid w:val="00F50D74"/>
    <w:rsid w:val="00F50E72"/>
    <w:rsid w:val="00F50EE2"/>
    <w:rsid w:val="00F50F81"/>
    <w:rsid w:val="00F50FA4"/>
    <w:rsid w:val="00F51019"/>
    <w:rsid w:val="00F5118C"/>
    <w:rsid w:val="00F511B4"/>
    <w:rsid w:val="00F51263"/>
    <w:rsid w:val="00F51411"/>
    <w:rsid w:val="00F514A4"/>
    <w:rsid w:val="00F514E2"/>
    <w:rsid w:val="00F514F2"/>
    <w:rsid w:val="00F5188D"/>
    <w:rsid w:val="00F51894"/>
    <w:rsid w:val="00F518A2"/>
    <w:rsid w:val="00F518B8"/>
    <w:rsid w:val="00F519A4"/>
    <w:rsid w:val="00F51A01"/>
    <w:rsid w:val="00F51A76"/>
    <w:rsid w:val="00F51C0C"/>
    <w:rsid w:val="00F51C2F"/>
    <w:rsid w:val="00F51C38"/>
    <w:rsid w:val="00F51CB6"/>
    <w:rsid w:val="00F51E18"/>
    <w:rsid w:val="00F51E92"/>
    <w:rsid w:val="00F51EA6"/>
    <w:rsid w:val="00F51F21"/>
    <w:rsid w:val="00F51FFA"/>
    <w:rsid w:val="00F5204D"/>
    <w:rsid w:val="00F5213D"/>
    <w:rsid w:val="00F52161"/>
    <w:rsid w:val="00F522B2"/>
    <w:rsid w:val="00F522DB"/>
    <w:rsid w:val="00F52362"/>
    <w:rsid w:val="00F523BE"/>
    <w:rsid w:val="00F5248F"/>
    <w:rsid w:val="00F524BE"/>
    <w:rsid w:val="00F524D3"/>
    <w:rsid w:val="00F5252A"/>
    <w:rsid w:val="00F52596"/>
    <w:rsid w:val="00F5269D"/>
    <w:rsid w:val="00F526B3"/>
    <w:rsid w:val="00F52751"/>
    <w:rsid w:val="00F52853"/>
    <w:rsid w:val="00F528FA"/>
    <w:rsid w:val="00F52903"/>
    <w:rsid w:val="00F529DE"/>
    <w:rsid w:val="00F52A16"/>
    <w:rsid w:val="00F52B7F"/>
    <w:rsid w:val="00F52B92"/>
    <w:rsid w:val="00F52BC2"/>
    <w:rsid w:val="00F52BCB"/>
    <w:rsid w:val="00F52C58"/>
    <w:rsid w:val="00F53008"/>
    <w:rsid w:val="00F53041"/>
    <w:rsid w:val="00F530DB"/>
    <w:rsid w:val="00F53195"/>
    <w:rsid w:val="00F53359"/>
    <w:rsid w:val="00F533A2"/>
    <w:rsid w:val="00F533CB"/>
    <w:rsid w:val="00F533E6"/>
    <w:rsid w:val="00F53412"/>
    <w:rsid w:val="00F5342F"/>
    <w:rsid w:val="00F53454"/>
    <w:rsid w:val="00F5349C"/>
    <w:rsid w:val="00F53581"/>
    <w:rsid w:val="00F535E1"/>
    <w:rsid w:val="00F536FC"/>
    <w:rsid w:val="00F53784"/>
    <w:rsid w:val="00F53861"/>
    <w:rsid w:val="00F5386E"/>
    <w:rsid w:val="00F5389C"/>
    <w:rsid w:val="00F5394C"/>
    <w:rsid w:val="00F53A14"/>
    <w:rsid w:val="00F53AAE"/>
    <w:rsid w:val="00F53AC8"/>
    <w:rsid w:val="00F53B30"/>
    <w:rsid w:val="00F53BA0"/>
    <w:rsid w:val="00F53C88"/>
    <w:rsid w:val="00F53D0A"/>
    <w:rsid w:val="00F53E71"/>
    <w:rsid w:val="00F53EB5"/>
    <w:rsid w:val="00F53F2E"/>
    <w:rsid w:val="00F53F89"/>
    <w:rsid w:val="00F53FAA"/>
    <w:rsid w:val="00F53FEE"/>
    <w:rsid w:val="00F5414E"/>
    <w:rsid w:val="00F54197"/>
    <w:rsid w:val="00F5420F"/>
    <w:rsid w:val="00F54234"/>
    <w:rsid w:val="00F54316"/>
    <w:rsid w:val="00F54336"/>
    <w:rsid w:val="00F543A8"/>
    <w:rsid w:val="00F5449B"/>
    <w:rsid w:val="00F54516"/>
    <w:rsid w:val="00F545A6"/>
    <w:rsid w:val="00F5477D"/>
    <w:rsid w:val="00F547A4"/>
    <w:rsid w:val="00F547C4"/>
    <w:rsid w:val="00F549D2"/>
    <w:rsid w:val="00F54A95"/>
    <w:rsid w:val="00F54ADA"/>
    <w:rsid w:val="00F54B54"/>
    <w:rsid w:val="00F54BC8"/>
    <w:rsid w:val="00F54C69"/>
    <w:rsid w:val="00F54E20"/>
    <w:rsid w:val="00F54E35"/>
    <w:rsid w:val="00F54E45"/>
    <w:rsid w:val="00F54EA3"/>
    <w:rsid w:val="00F54FF7"/>
    <w:rsid w:val="00F55074"/>
    <w:rsid w:val="00F5519E"/>
    <w:rsid w:val="00F55233"/>
    <w:rsid w:val="00F5527E"/>
    <w:rsid w:val="00F55299"/>
    <w:rsid w:val="00F55340"/>
    <w:rsid w:val="00F55442"/>
    <w:rsid w:val="00F554E3"/>
    <w:rsid w:val="00F5554B"/>
    <w:rsid w:val="00F55599"/>
    <w:rsid w:val="00F555D8"/>
    <w:rsid w:val="00F556ED"/>
    <w:rsid w:val="00F55861"/>
    <w:rsid w:val="00F559F0"/>
    <w:rsid w:val="00F55A33"/>
    <w:rsid w:val="00F55BC4"/>
    <w:rsid w:val="00F55BEF"/>
    <w:rsid w:val="00F55C5F"/>
    <w:rsid w:val="00F55D6E"/>
    <w:rsid w:val="00F55DFD"/>
    <w:rsid w:val="00F55E42"/>
    <w:rsid w:val="00F55E5D"/>
    <w:rsid w:val="00F55FE1"/>
    <w:rsid w:val="00F560B0"/>
    <w:rsid w:val="00F560BC"/>
    <w:rsid w:val="00F561A4"/>
    <w:rsid w:val="00F561F0"/>
    <w:rsid w:val="00F5628B"/>
    <w:rsid w:val="00F5628E"/>
    <w:rsid w:val="00F56334"/>
    <w:rsid w:val="00F56336"/>
    <w:rsid w:val="00F56351"/>
    <w:rsid w:val="00F563A9"/>
    <w:rsid w:val="00F564B1"/>
    <w:rsid w:val="00F564C3"/>
    <w:rsid w:val="00F564DC"/>
    <w:rsid w:val="00F565D0"/>
    <w:rsid w:val="00F5667A"/>
    <w:rsid w:val="00F567BC"/>
    <w:rsid w:val="00F56852"/>
    <w:rsid w:val="00F568EF"/>
    <w:rsid w:val="00F56A1C"/>
    <w:rsid w:val="00F56A31"/>
    <w:rsid w:val="00F56AA7"/>
    <w:rsid w:val="00F56AAC"/>
    <w:rsid w:val="00F56DCF"/>
    <w:rsid w:val="00F56DDA"/>
    <w:rsid w:val="00F57150"/>
    <w:rsid w:val="00F5717F"/>
    <w:rsid w:val="00F57232"/>
    <w:rsid w:val="00F5731E"/>
    <w:rsid w:val="00F575AE"/>
    <w:rsid w:val="00F577C9"/>
    <w:rsid w:val="00F5782B"/>
    <w:rsid w:val="00F57841"/>
    <w:rsid w:val="00F57958"/>
    <w:rsid w:val="00F57A2B"/>
    <w:rsid w:val="00F57AD0"/>
    <w:rsid w:val="00F57B27"/>
    <w:rsid w:val="00F57B56"/>
    <w:rsid w:val="00F57B6A"/>
    <w:rsid w:val="00F57BCD"/>
    <w:rsid w:val="00F57C1F"/>
    <w:rsid w:val="00F57C8C"/>
    <w:rsid w:val="00F57E89"/>
    <w:rsid w:val="00F57FAF"/>
    <w:rsid w:val="00F57FE9"/>
    <w:rsid w:val="00F60038"/>
    <w:rsid w:val="00F600F8"/>
    <w:rsid w:val="00F60275"/>
    <w:rsid w:val="00F60298"/>
    <w:rsid w:val="00F602B5"/>
    <w:rsid w:val="00F60326"/>
    <w:rsid w:val="00F60396"/>
    <w:rsid w:val="00F60526"/>
    <w:rsid w:val="00F60708"/>
    <w:rsid w:val="00F607D1"/>
    <w:rsid w:val="00F6088B"/>
    <w:rsid w:val="00F6089E"/>
    <w:rsid w:val="00F608E3"/>
    <w:rsid w:val="00F609FC"/>
    <w:rsid w:val="00F60AAE"/>
    <w:rsid w:val="00F60B0A"/>
    <w:rsid w:val="00F60BD0"/>
    <w:rsid w:val="00F60C26"/>
    <w:rsid w:val="00F60C51"/>
    <w:rsid w:val="00F60C5B"/>
    <w:rsid w:val="00F60CD9"/>
    <w:rsid w:val="00F60D09"/>
    <w:rsid w:val="00F60D1B"/>
    <w:rsid w:val="00F60D79"/>
    <w:rsid w:val="00F60DA4"/>
    <w:rsid w:val="00F60DB7"/>
    <w:rsid w:val="00F60E40"/>
    <w:rsid w:val="00F60E8A"/>
    <w:rsid w:val="00F60F3A"/>
    <w:rsid w:val="00F60FF2"/>
    <w:rsid w:val="00F61026"/>
    <w:rsid w:val="00F6107F"/>
    <w:rsid w:val="00F61089"/>
    <w:rsid w:val="00F6113C"/>
    <w:rsid w:val="00F61168"/>
    <w:rsid w:val="00F613AB"/>
    <w:rsid w:val="00F61494"/>
    <w:rsid w:val="00F614A1"/>
    <w:rsid w:val="00F61539"/>
    <w:rsid w:val="00F615E2"/>
    <w:rsid w:val="00F617EF"/>
    <w:rsid w:val="00F6180F"/>
    <w:rsid w:val="00F61891"/>
    <w:rsid w:val="00F618FD"/>
    <w:rsid w:val="00F61943"/>
    <w:rsid w:val="00F619EB"/>
    <w:rsid w:val="00F61A00"/>
    <w:rsid w:val="00F61A20"/>
    <w:rsid w:val="00F61A99"/>
    <w:rsid w:val="00F61B2B"/>
    <w:rsid w:val="00F61B42"/>
    <w:rsid w:val="00F61BE3"/>
    <w:rsid w:val="00F61C45"/>
    <w:rsid w:val="00F61C7A"/>
    <w:rsid w:val="00F61CBC"/>
    <w:rsid w:val="00F620CA"/>
    <w:rsid w:val="00F620E1"/>
    <w:rsid w:val="00F621BF"/>
    <w:rsid w:val="00F621D9"/>
    <w:rsid w:val="00F621DF"/>
    <w:rsid w:val="00F62253"/>
    <w:rsid w:val="00F622AD"/>
    <w:rsid w:val="00F623BC"/>
    <w:rsid w:val="00F625A7"/>
    <w:rsid w:val="00F625B0"/>
    <w:rsid w:val="00F625EE"/>
    <w:rsid w:val="00F625FF"/>
    <w:rsid w:val="00F62621"/>
    <w:rsid w:val="00F6267B"/>
    <w:rsid w:val="00F628B7"/>
    <w:rsid w:val="00F62932"/>
    <w:rsid w:val="00F62955"/>
    <w:rsid w:val="00F62963"/>
    <w:rsid w:val="00F629AB"/>
    <w:rsid w:val="00F629DB"/>
    <w:rsid w:val="00F62A05"/>
    <w:rsid w:val="00F62A18"/>
    <w:rsid w:val="00F62BD7"/>
    <w:rsid w:val="00F62BDB"/>
    <w:rsid w:val="00F62C54"/>
    <w:rsid w:val="00F62CF9"/>
    <w:rsid w:val="00F62DAE"/>
    <w:rsid w:val="00F62DC6"/>
    <w:rsid w:val="00F62DCB"/>
    <w:rsid w:val="00F62F1C"/>
    <w:rsid w:val="00F62F6E"/>
    <w:rsid w:val="00F62F72"/>
    <w:rsid w:val="00F63099"/>
    <w:rsid w:val="00F630C5"/>
    <w:rsid w:val="00F6317C"/>
    <w:rsid w:val="00F631D1"/>
    <w:rsid w:val="00F6322C"/>
    <w:rsid w:val="00F63349"/>
    <w:rsid w:val="00F63502"/>
    <w:rsid w:val="00F636DB"/>
    <w:rsid w:val="00F638A8"/>
    <w:rsid w:val="00F639EA"/>
    <w:rsid w:val="00F63C51"/>
    <w:rsid w:val="00F63CF7"/>
    <w:rsid w:val="00F63D33"/>
    <w:rsid w:val="00F63D75"/>
    <w:rsid w:val="00F63D9A"/>
    <w:rsid w:val="00F63DF5"/>
    <w:rsid w:val="00F63EE9"/>
    <w:rsid w:val="00F640D5"/>
    <w:rsid w:val="00F642EE"/>
    <w:rsid w:val="00F6437A"/>
    <w:rsid w:val="00F6445F"/>
    <w:rsid w:val="00F64605"/>
    <w:rsid w:val="00F6475D"/>
    <w:rsid w:val="00F647D2"/>
    <w:rsid w:val="00F64875"/>
    <w:rsid w:val="00F649B1"/>
    <w:rsid w:val="00F64A41"/>
    <w:rsid w:val="00F64B34"/>
    <w:rsid w:val="00F64BC3"/>
    <w:rsid w:val="00F64C76"/>
    <w:rsid w:val="00F64D02"/>
    <w:rsid w:val="00F64D54"/>
    <w:rsid w:val="00F64DCA"/>
    <w:rsid w:val="00F64E5E"/>
    <w:rsid w:val="00F64F15"/>
    <w:rsid w:val="00F6502D"/>
    <w:rsid w:val="00F65182"/>
    <w:rsid w:val="00F6518A"/>
    <w:rsid w:val="00F651C5"/>
    <w:rsid w:val="00F65245"/>
    <w:rsid w:val="00F653A5"/>
    <w:rsid w:val="00F653EF"/>
    <w:rsid w:val="00F653FC"/>
    <w:rsid w:val="00F654D8"/>
    <w:rsid w:val="00F6563E"/>
    <w:rsid w:val="00F65693"/>
    <w:rsid w:val="00F658E1"/>
    <w:rsid w:val="00F6592B"/>
    <w:rsid w:val="00F659D2"/>
    <w:rsid w:val="00F65AD9"/>
    <w:rsid w:val="00F65BBC"/>
    <w:rsid w:val="00F65BF6"/>
    <w:rsid w:val="00F65C30"/>
    <w:rsid w:val="00F65C9B"/>
    <w:rsid w:val="00F65D3E"/>
    <w:rsid w:val="00F65DA9"/>
    <w:rsid w:val="00F65DF3"/>
    <w:rsid w:val="00F65E32"/>
    <w:rsid w:val="00F65F7E"/>
    <w:rsid w:val="00F6617E"/>
    <w:rsid w:val="00F661E7"/>
    <w:rsid w:val="00F6637E"/>
    <w:rsid w:val="00F663F3"/>
    <w:rsid w:val="00F66556"/>
    <w:rsid w:val="00F665D1"/>
    <w:rsid w:val="00F66601"/>
    <w:rsid w:val="00F66622"/>
    <w:rsid w:val="00F66770"/>
    <w:rsid w:val="00F6683E"/>
    <w:rsid w:val="00F66873"/>
    <w:rsid w:val="00F6689A"/>
    <w:rsid w:val="00F668F6"/>
    <w:rsid w:val="00F66B6C"/>
    <w:rsid w:val="00F66B7E"/>
    <w:rsid w:val="00F66C87"/>
    <w:rsid w:val="00F66D11"/>
    <w:rsid w:val="00F66D55"/>
    <w:rsid w:val="00F66D7D"/>
    <w:rsid w:val="00F66E06"/>
    <w:rsid w:val="00F66E42"/>
    <w:rsid w:val="00F66FE3"/>
    <w:rsid w:val="00F670F2"/>
    <w:rsid w:val="00F672D8"/>
    <w:rsid w:val="00F67420"/>
    <w:rsid w:val="00F674D7"/>
    <w:rsid w:val="00F674FE"/>
    <w:rsid w:val="00F67591"/>
    <w:rsid w:val="00F675B2"/>
    <w:rsid w:val="00F67645"/>
    <w:rsid w:val="00F67707"/>
    <w:rsid w:val="00F677A4"/>
    <w:rsid w:val="00F677C4"/>
    <w:rsid w:val="00F67889"/>
    <w:rsid w:val="00F67A08"/>
    <w:rsid w:val="00F67A57"/>
    <w:rsid w:val="00F67AC3"/>
    <w:rsid w:val="00F67B05"/>
    <w:rsid w:val="00F67B42"/>
    <w:rsid w:val="00F67BFD"/>
    <w:rsid w:val="00F67CA3"/>
    <w:rsid w:val="00F67CB2"/>
    <w:rsid w:val="00F67CF2"/>
    <w:rsid w:val="00F67D98"/>
    <w:rsid w:val="00F67E30"/>
    <w:rsid w:val="00F67E5D"/>
    <w:rsid w:val="00F67E7C"/>
    <w:rsid w:val="00F7008A"/>
    <w:rsid w:val="00F7013D"/>
    <w:rsid w:val="00F7014A"/>
    <w:rsid w:val="00F7026D"/>
    <w:rsid w:val="00F7052A"/>
    <w:rsid w:val="00F70647"/>
    <w:rsid w:val="00F70733"/>
    <w:rsid w:val="00F70766"/>
    <w:rsid w:val="00F708B0"/>
    <w:rsid w:val="00F708FC"/>
    <w:rsid w:val="00F70913"/>
    <w:rsid w:val="00F70AE7"/>
    <w:rsid w:val="00F70B77"/>
    <w:rsid w:val="00F70BD5"/>
    <w:rsid w:val="00F70C61"/>
    <w:rsid w:val="00F70C85"/>
    <w:rsid w:val="00F70C9F"/>
    <w:rsid w:val="00F70CC1"/>
    <w:rsid w:val="00F70DA5"/>
    <w:rsid w:val="00F70DC5"/>
    <w:rsid w:val="00F70E29"/>
    <w:rsid w:val="00F70FCA"/>
    <w:rsid w:val="00F70FF5"/>
    <w:rsid w:val="00F71068"/>
    <w:rsid w:val="00F7117E"/>
    <w:rsid w:val="00F711FF"/>
    <w:rsid w:val="00F71273"/>
    <w:rsid w:val="00F7138F"/>
    <w:rsid w:val="00F714E1"/>
    <w:rsid w:val="00F714F4"/>
    <w:rsid w:val="00F715B2"/>
    <w:rsid w:val="00F715FE"/>
    <w:rsid w:val="00F7161C"/>
    <w:rsid w:val="00F71731"/>
    <w:rsid w:val="00F7179A"/>
    <w:rsid w:val="00F719C2"/>
    <w:rsid w:val="00F71BE7"/>
    <w:rsid w:val="00F71BF8"/>
    <w:rsid w:val="00F71C1B"/>
    <w:rsid w:val="00F71E50"/>
    <w:rsid w:val="00F71EDD"/>
    <w:rsid w:val="00F71F16"/>
    <w:rsid w:val="00F71F24"/>
    <w:rsid w:val="00F71F30"/>
    <w:rsid w:val="00F71F78"/>
    <w:rsid w:val="00F71F9A"/>
    <w:rsid w:val="00F71FDF"/>
    <w:rsid w:val="00F72194"/>
    <w:rsid w:val="00F721B6"/>
    <w:rsid w:val="00F721E7"/>
    <w:rsid w:val="00F721F4"/>
    <w:rsid w:val="00F7220F"/>
    <w:rsid w:val="00F723A6"/>
    <w:rsid w:val="00F72516"/>
    <w:rsid w:val="00F72568"/>
    <w:rsid w:val="00F725F6"/>
    <w:rsid w:val="00F72681"/>
    <w:rsid w:val="00F726A5"/>
    <w:rsid w:val="00F72707"/>
    <w:rsid w:val="00F72762"/>
    <w:rsid w:val="00F728F9"/>
    <w:rsid w:val="00F7290E"/>
    <w:rsid w:val="00F72946"/>
    <w:rsid w:val="00F729BF"/>
    <w:rsid w:val="00F72B1B"/>
    <w:rsid w:val="00F72BEC"/>
    <w:rsid w:val="00F72C34"/>
    <w:rsid w:val="00F72E0B"/>
    <w:rsid w:val="00F72E48"/>
    <w:rsid w:val="00F72FB2"/>
    <w:rsid w:val="00F72FD7"/>
    <w:rsid w:val="00F73041"/>
    <w:rsid w:val="00F7310D"/>
    <w:rsid w:val="00F731FD"/>
    <w:rsid w:val="00F732FF"/>
    <w:rsid w:val="00F733A4"/>
    <w:rsid w:val="00F73483"/>
    <w:rsid w:val="00F73564"/>
    <w:rsid w:val="00F736DD"/>
    <w:rsid w:val="00F736E0"/>
    <w:rsid w:val="00F73890"/>
    <w:rsid w:val="00F738BA"/>
    <w:rsid w:val="00F7392C"/>
    <w:rsid w:val="00F73992"/>
    <w:rsid w:val="00F73AD1"/>
    <w:rsid w:val="00F73ADC"/>
    <w:rsid w:val="00F73AEE"/>
    <w:rsid w:val="00F73AEF"/>
    <w:rsid w:val="00F73B53"/>
    <w:rsid w:val="00F73E80"/>
    <w:rsid w:val="00F73EFE"/>
    <w:rsid w:val="00F73FE6"/>
    <w:rsid w:val="00F74088"/>
    <w:rsid w:val="00F741DF"/>
    <w:rsid w:val="00F74210"/>
    <w:rsid w:val="00F744D3"/>
    <w:rsid w:val="00F74625"/>
    <w:rsid w:val="00F7470F"/>
    <w:rsid w:val="00F74838"/>
    <w:rsid w:val="00F74911"/>
    <w:rsid w:val="00F74926"/>
    <w:rsid w:val="00F74B50"/>
    <w:rsid w:val="00F74B6A"/>
    <w:rsid w:val="00F74C03"/>
    <w:rsid w:val="00F74CA7"/>
    <w:rsid w:val="00F74D13"/>
    <w:rsid w:val="00F74D75"/>
    <w:rsid w:val="00F74E7E"/>
    <w:rsid w:val="00F74EE2"/>
    <w:rsid w:val="00F74F19"/>
    <w:rsid w:val="00F750B7"/>
    <w:rsid w:val="00F750F5"/>
    <w:rsid w:val="00F751CA"/>
    <w:rsid w:val="00F752D2"/>
    <w:rsid w:val="00F75380"/>
    <w:rsid w:val="00F753D7"/>
    <w:rsid w:val="00F75411"/>
    <w:rsid w:val="00F754CA"/>
    <w:rsid w:val="00F7552F"/>
    <w:rsid w:val="00F755A8"/>
    <w:rsid w:val="00F75631"/>
    <w:rsid w:val="00F757C3"/>
    <w:rsid w:val="00F7593B"/>
    <w:rsid w:val="00F75A1B"/>
    <w:rsid w:val="00F75AB4"/>
    <w:rsid w:val="00F75AD5"/>
    <w:rsid w:val="00F75AF4"/>
    <w:rsid w:val="00F75B88"/>
    <w:rsid w:val="00F75BC7"/>
    <w:rsid w:val="00F75D01"/>
    <w:rsid w:val="00F75D73"/>
    <w:rsid w:val="00F75E46"/>
    <w:rsid w:val="00F75F65"/>
    <w:rsid w:val="00F7606D"/>
    <w:rsid w:val="00F76092"/>
    <w:rsid w:val="00F760BA"/>
    <w:rsid w:val="00F761FF"/>
    <w:rsid w:val="00F762B4"/>
    <w:rsid w:val="00F763CA"/>
    <w:rsid w:val="00F76577"/>
    <w:rsid w:val="00F765FC"/>
    <w:rsid w:val="00F76616"/>
    <w:rsid w:val="00F7662B"/>
    <w:rsid w:val="00F76842"/>
    <w:rsid w:val="00F7693C"/>
    <w:rsid w:val="00F769BA"/>
    <w:rsid w:val="00F76A48"/>
    <w:rsid w:val="00F76C01"/>
    <w:rsid w:val="00F76C80"/>
    <w:rsid w:val="00F76C97"/>
    <w:rsid w:val="00F76D4D"/>
    <w:rsid w:val="00F76E37"/>
    <w:rsid w:val="00F76E8D"/>
    <w:rsid w:val="00F76EDA"/>
    <w:rsid w:val="00F76F59"/>
    <w:rsid w:val="00F76FC3"/>
    <w:rsid w:val="00F7705D"/>
    <w:rsid w:val="00F770F2"/>
    <w:rsid w:val="00F77161"/>
    <w:rsid w:val="00F77196"/>
    <w:rsid w:val="00F771C9"/>
    <w:rsid w:val="00F771D9"/>
    <w:rsid w:val="00F771E4"/>
    <w:rsid w:val="00F77231"/>
    <w:rsid w:val="00F772FF"/>
    <w:rsid w:val="00F7734C"/>
    <w:rsid w:val="00F77477"/>
    <w:rsid w:val="00F7750F"/>
    <w:rsid w:val="00F775D6"/>
    <w:rsid w:val="00F776F3"/>
    <w:rsid w:val="00F77724"/>
    <w:rsid w:val="00F77733"/>
    <w:rsid w:val="00F77757"/>
    <w:rsid w:val="00F777FC"/>
    <w:rsid w:val="00F778FF"/>
    <w:rsid w:val="00F7791E"/>
    <w:rsid w:val="00F77981"/>
    <w:rsid w:val="00F77A69"/>
    <w:rsid w:val="00F77AF7"/>
    <w:rsid w:val="00F77E7F"/>
    <w:rsid w:val="00F77EE1"/>
    <w:rsid w:val="00F77FB2"/>
    <w:rsid w:val="00F77FCC"/>
    <w:rsid w:val="00F8008F"/>
    <w:rsid w:val="00F80255"/>
    <w:rsid w:val="00F802ED"/>
    <w:rsid w:val="00F8054A"/>
    <w:rsid w:val="00F8054C"/>
    <w:rsid w:val="00F805A8"/>
    <w:rsid w:val="00F805DB"/>
    <w:rsid w:val="00F8074A"/>
    <w:rsid w:val="00F80861"/>
    <w:rsid w:val="00F80908"/>
    <w:rsid w:val="00F809FC"/>
    <w:rsid w:val="00F809FE"/>
    <w:rsid w:val="00F80A75"/>
    <w:rsid w:val="00F80B3D"/>
    <w:rsid w:val="00F80D7A"/>
    <w:rsid w:val="00F80DD3"/>
    <w:rsid w:val="00F80DEC"/>
    <w:rsid w:val="00F80F79"/>
    <w:rsid w:val="00F80F86"/>
    <w:rsid w:val="00F80FC1"/>
    <w:rsid w:val="00F8112D"/>
    <w:rsid w:val="00F811D1"/>
    <w:rsid w:val="00F81218"/>
    <w:rsid w:val="00F8121E"/>
    <w:rsid w:val="00F81248"/>
    <w:rsid w:val="00F8133A"/>
    <w:rsid w:val="00F8157A"/>
    <w:rsid w:val="00F815E1"/>
    <w:rsid w:val="00F8160A"/>
    <w:rsid w:val="00F8163D"/>
    <w:rsid w:val="00F8170F"/>
    <w:rsid w:val="00F81935"/>
    <w:rsid w:val="00F81A27"/>
    <w:rsid w:val="00F81AD3"/>
    <w:rsid w:val="00F81C74"/>
    <w:rsid w:val="00F81E4C"/>
    <w:rsid w:val="00F81EAD"/>
    <w:rsid w:val="00F8206A"/>
    <w:rsid w:val="00F82160"/>
    <w:rsid w:val="00F82191"/>
    <w:rsid w:val="00F821C0"/>
    <w:rsid w:val="00F82203"/>
    <w:rsid w:val="00F82346"/>
    <w:rsid w:val="00F823F4"/>
    <w:rsid w:val="00F82438"/>
    <w:rsid w:val="00F82477"/>
    <w:rsid w:val="00F824A8"/>
    <w:rsid w:val="00F824D8"/>
    <w:rsid w:val="00F826F7"/>
    <w:rsid w:val="00F827A8"/>
    <w:rsid w:val="00F82852"/>
    <w:rsid w:val="00F828E0"/>
    <w:rsid w:val="00F82A4F"/>
    <w:rsid w:val="00F82ABE"/>
    <w:rsid w:val="00F82C04"/>
    <w:rsid w:val="00F82D05"/>
    <w:rsid w:val="00F82D1E"/>
    <w:rsid w:val="00F82D84"/>
    <w:rsid w:val="00F82EC6"/>
    <w:rsid w:val="00F82FD0"/>
    <w:rsid w:val="00F82FDF"/>
    <w:rsid w:val="00F83017"/>
    <w:rsid w:val="00F83174"/>
    <w:rsid w:val="00F834FB"/>
    <w:rsid w:val="00F8353B"/>
    <w:rsid w:val="00F835CA"/>
    <w:rsid w:val="00F836C0"/>
    <w:rsid w:val="00F8373F"/>
    <w:rsid w:val="00F837F3"/>
    <w:rsid w:val="00F8380D"/>
    <w:rsid w:val="00F8384A"/>
    <w:rsid w:val="00F8384C"/>
    <w:rsid w:val="00F83893"/>
    <w:rsid w:val="00F8395D"/>
    <w:rsid w:val="00F83A40"/>
    <w:rsid w:val="00F83A60"/>
    <w:rsid w:val="00F83B02"/>
    <w:rsid w:val="00F83B3D"/>
    <w:rsid w:val="00F83C1F"/>
    <w:rsid w:val="00F83C96"/>
    <w:rsid w:val="00F83CD1"/>
    <w:rsid w:val="00F83D7E"/>
    <w:rsid w:val="00F83E6C"/>
    <w:rsid w:val="00F83EBE"/>
    <w:rsid w:val="00F83F66"/>
    <w:rsid w:val="00F840F7"/>
    <w:rsid w:val="00F8431A"/>
    <w:rsid w:val="00F8437D"/>
    <w:rsid w:val="00F84463"/>
    <w:rsid w:val="00F8449A"/>
    <w:rsid w:val="00F84677"/>
    <w:rsid w:val="00F84775"/>
    <w:rsid w:val="00F847B0"/>
    <w:rsid w:val="00F848E7"/>
    <w:rsid w:val="00F84A54"/>
    <w:rsid w:val="00F84A90"/>
    <w:rsid w:val="00F84BB3"/>
    <w:rsid w:val="00F84C1F"/>
    <w:rsid w:val="00F84CD5"/>
    <w:rsid w:val="00F84D66"/>
    <w:rsid w:val="00F84D8C"/>
    <w:rsid w:val="00F84E40"/>
    <w:rsid w:val="00F84F4E"/>
    <w:rsid w:val="00F85054"/>
    <w:rsid w:val="00F850D6"/>
    <w:rsid w:val="00F850DD"/>
    <w:rsid w:val="00F852B2"/>
    <w:rsid w:val="00F85394"/>
    <w:rsid w:val="00F853A5"/>
    <w:rsid w:val="00F853AD"/>
    <w:rsid w:val="00F85416"/>
    <w:rsid w:val="00F85596"/>
    <w:rsid w:val="00F85667"/>
    <w:rsid w:val="00F857CE"/>
    <w:rsid w:val="00F85893"/>
    <w:rsid w:val="00F858BE"/>
    <w:rsid w:val="00F85914"/>
    <w:rsid w:val="00F85AA8"/>
    <w:rsid w:val="00F85AF3"/>
    <w:rsid w:val="00F85C0C"/>
    <w:rsid w:val="00F85C72"/>
    <w:rsid w:val="00F85D4F"/>
    <w:rsid w:val="00F85E1C"/>
    <w:rsid w:val="00F85E9B"/>
    <w:rsid w:val="00F85EA0"/>
    <w:rsid w:val="00F85EC6"/>
    <w:rsid w:val="00F8628F"/>
    <w:rsid w:val="00F86342"/>
    <w:rsid w:val="00F863DC"/>
    <w:rsid w:val="00F864D9"/>
    <w:rsid w:val="00F86532"/>
    <w:rsid w:val="00F8656C"/>
    <w:rsid w:val="00F865C4"/>
    <w:rsid w:val="00F866B4"/>
    <w:rsid w:val="00F86736"/>
    <w:rsid w:val="00F86894"/>
    <w:rsid w:val="00F86B8E"/>
    <w:rsid w:val="00F86C3C"/>
    <w:rsid w:val="00F86D26"/>
    <w:rsid w:val="00F86D36"/>
    <w:rsid w:val="00F86FE0"/>
    <w:rsid w:val="00F8701E"/>
    <w:rsid w:val="00F87034"/>
    <w:rsid w:val="00F8709D"/>
    <w:rsid w:val="00F87108"/>
    <w:rsid w:val="00F871E2"/>
    <w:rsid w:val="00F871FC"/>
    <w:rsid w:val="00F8728D"/>
    <w:rsid w:val="00F872BD"/>
    <w:rsid w:val="00F8741A"/>
    <w:rsid w:val="00F8748A"/>
    <w:rsid w:val="00F87528"/>
    <w:rsid w:val="00F87582"/>
    <w:rsid w:val="00F875E5"/>
    <w:rsid w:val="00F87620"/>
    <w:rsid w:val="00F87713"/>
    <w:rsid w:val="00F8779A"/>
    <w:rsid w:val="00F878A7"/>
    <w:rsid w:val="00F878B0"/>
    <w:rsid w:val="00F87902"/>
    <w:rsid w:val="00F87953"/>
    <w:rsid w:val="00F87981"/>
    <w:rsid w:val="00F87A22"/>
    <w:rsid w:val="00F87B08"/>
    <w:rsid w:val="00F87D1C"/>
    <w:rsid w:val="00F87DB1"/>
    <w:rsid w:val="00F87DFC"/>
    <w:rsid w:val="00F87E78"/>
    <w:rsid w:val="00F87F3F"/>
    <w:rsid w:val="00F87FC7"/>
    <w:rsid w:val="00F90079"/>
    <w:rsid w:val="00F900DA"/>
    <w:rsid w:val="00F90100"/>
    <w:rsid w:val="00F90277"/>
    <w:rsid w:val="00F903C2"/>
    <w:rsid w:val="00F904BF"/>
    <w:rsid w:val="00F90518"/>
    <w:rsid w:val="00F909C0"/>
    <w:rsid w:val="00F90A1D"/>
    <w:rsid w:val="00F90BAA"/>
    <w:rsid w:val="00F90BB5"/>
    <w:rsid w:val="00F90BF8"/>
    <w:rsid w:val="00F90C69"/>
    <w:rsid w:val="00F90CD4"/>
    <w:rsid w:val="00F90DF5"/>
    <w:rsid w:val="00F90E4A"/>
    <w:rsid w:val="00F90EBF"/>
    <w:rsid w:val="00F90EEA"/>
    <w:rsid w:val="00F90F27"/>
    <w:rsid w:val="00F90FF3"/>
    <w:rsid w:val="00F91053"/>
    <w:rsid w:val="00F910F2"/>
    <w:rsid w:val="00F911E7"/>
    <w:rsid w:val="00F9125B"/>
    <w:rsid w:val="00F91264"/>
    <w:rsid w:val="00F91295"/>
    <w:rsid w:val="00F912E1"/>
    <w:rsid w:val="00F91353"/>
    <w:rsid w:val="00F91562"/>
    <w:rsid w:val="00F915CD"/>
    <w:rsid w:val="00F916D1"/>
    <w:rsid w:val="00F9175C"/>
    <w:rsid w:val="00F917EE"/>
    <w:rsid w:val="00F9192E"/>
    <w:rsid w:val="00F919B7"/>
    <w:rsid w:val="00F91A16"/>
    <w:rsid w:val="00F91A1C"/>
    <w:rsid w:val="00F91A29"/>
    <w:rsid w:val="00F91B7A"/>
    <w:rsid w:val="00F91D5D"/>
    <w:rsid w:val="00F91E6C"/>
    <w:rsid w:val="00F91F45"/>
    <w:rsid w:val="00F91FD6"/>
    <w:rsid w:val="00F92083"/>
    <w:rsid w:val="00F92151"/>
    <w:rsid w:val="00F9219C"/>
    <w:rsid w:val="00F921E4"/>
    <w:rsid w:val="00F922BD"/>
    <w:rsid w:val="00F922F0"/>
    <w:rsid w:val="00F923B8"/>
    <w:rsid w:val="00F9241E"/>
    <w:rsid w:val="00F924D6"/>
    <w:rsid w:val="00F92607"/>
    <w:rsid w:val="00F92727"/>
    <w:rsid w:val="00F9276E"/>
    <w:rsid w:val="00F9279C"/>
    <w:rsid w:val="00F9281C"/>
    <w:rsid w:val="00F92865"/>
    <w:rsid w:val="00F928C4"/>
    <w:rsid w:val="00F928FF"/>
    <w:rsid w:val="00F92907"/>
    <w:rsid w:val="00F929E0"/>
    <w:rsid w:val="00F929F6"/>
    <w:rsid w:val="00F92A59"/>
    <w:rsid w:val="00F92C70"/>
    <w:rsid w:val="00F92D29"/>
    <w:rsid w:val="00F92D3A"/>
    <w:rsid w:val="00F92E09"/>
    <w:rsid w:val="00F92E79"/>
    <w:rsid w:val="00F92E82"/>
    <w:rsid w:val="00F92EEE"/>
    <w:rsid w:val="00F93044"/>
    <w:rsid w:val="00F932D3"/>
    <w:rsid w:val="00F933CB"/>
    <w:rsid w:val="00F934C9"/>
    <w:rsid w:val="00F9375C"/>
    <w:rsid w:val="00F9379F"/>
    <w:rsid w:val="00F93858"/>
    <w:rsid w:val="00F93863"/>
    <w:rsid w:val="00F939AF"/>
    <w:rsid w:val="00F939E9"/>
    <w:rsid w:val="00F93BAD"/>
    <w:rsid w:val="00F93C5F"/>
    <w:rsid w:val="00F93CA0"/>
    <w:rsid w:val="00F93DC4"/>
    <w:rsid w:val="00F93EAE"/>
    <w:rsid w:val="00F93EC6"/>
    <w:rsid w:val="00F93FB6"/>
    <w:rsid w:val="00F94059"/>
    <w:rsid w:val="00F9406D"/>
    <w:rsid w:val="00F94093"/>
    <w:rsid w:val="00F940AE"/>
    <w:rsid w:val="00F94321"/>
    <w:rsid w:val="00F943F7"/>
    <w:rsid w:val="00F94404"/>
    <w:rsid w:val="00F94455"/>
    <w:rsid w:val="00F94560"/>
    <w:rsid w:val="00F945D8"/>
    <w:rsid w:val="00F945F5"/>
    <w:rsid w:val="00F94775"/>
    <w:rsid w:val="00F94839"/>
    <w:rsid w:val="00F94858"/>
    <w:rsid w:val="00F9487F"/>
    <w:rsid w:val="00F94B5A"/>
    <w:rsid w:val="00F94BF2"/>
    <w:rsid w:val="00F94CC1"/>
    <w:rsid w:val="00F94D03"/>
    <w:rsid w:val="00F94E2F"/>
    <w:rsid w:val="00F94EBD"/>
    <w:rsid w:val="00F94F58"/>
    <w:rsid w:val="00F950D3"/>
    <w:rsid w:val="00F95180"/>
    <w:rsid w:val="00F9519D"/>
    <w:rsid w:val="00F951EA"/>
    <w:rsid w:val="00F951F0"/>
    <w:rsid w:val="00F9520D"/>
    <w:rsid w:val="00F952D1"/>
    <w:rsid w:val="00F952F5"/>
    <w:rsid w:val="00F953D1"/>
    <w:rsid w:val="00F954DA"/>
    <w:rsid w:val="00F95687"/>
    <w:rsid w:val="00F956A6"/>
    <w:rsid w:val="00F95777"/>
    <w:rsid w:val="00F9587A"/>
    <w:rsid w:val="00F959F7"/>
    <w:rsid w:val="00F95A7A"/>
    <w:rsid w:val="00F95A98"/>
    <w:rsid w:val="00F95C83"/>
    <w:rsid w:val="00F95C9D"/>
    <w:rsid w:val="00F95D41"/>
    <w:rsid w:val="00F95E62"/>
    <w:rsid w:val="00F95E71"/>
    <w:rsid w:val="00F95E7B"/>
    <w:rsid w:val="00F95F88"/>
    <w:rsid w:val="00F96033"/>
    <w:rsid w:val="00F9608A"/>
    <w:rsid w:val="00F960C5"/>
    <w:rsid w:val="00F960D7"/>
    <w:rsid w:val="00F9610B"/>
    <w:rsid w:val="00F962AE"/>
    <w:rsid w:val="00F96311"/>
    <w:rsid w:val="00F963B1"/>
    <w:rsid w:val="00F96454"/>
    <w:rsid w:val="00F96478"/>
    <w:rsid w:val="00F964A1"/>
    <w:rsid w:val="00F96508"/>
    <w:rsid w:val="00F965BC"/>
    <w:rsid w:val="00F968FC"/>
    <w:rsid w:val="00F9699A"/>
    <w:rsid w:val="00F96B14"/>
    <w:rsid w:val="00F96C11"/>
    <w:rsid w:val="00F96CF1"/>
    <w:rsid w:val="00F96D38"/>
    <w:rsid w:val="00F96F29"/>
    <w:rsid w:val="00F96FAD"/>
    <w:rsid w:val="00F97096"/>
    <w:rsid w:val="00F970F4"/>
    <w:rsid w:val="00F9713D"/>
    <w:rsid w:val="00F97221"/>
    <w:rsid w:val="00F97247"/>
    <w:rsid w:val="00F97252"/>
    <w:rsid w:val="00F97343"/>
    <w:rsid w:val="00F97347"/>
    <w:rsid w:val="00F973CF"/>
    <w:rsid w:val="00F9740E"/>
    <w:rsid w:val="00F97622"/>
    <w:rsid w:val="00F977A6"/>
    <w:rsid w:val="00F978F4"/>
    <w:rsid w:val="00F9798C"/>
    <w:rsid w:val="00F979CF"/>
    <w:rsid w:val="00F979D2"/>
    <w:rsid w:val="00F979E8"/>
    <w:rsid w:val="00F97A27"/>
    <w:rsid w:val="00F97B2A"/>
    <w:rsid w:val="00F97CC4"/>
    <w:rsid w:val="00F97D44"/>
    <w:rsid w:val="00F97DC3"/>
    <w:rsid w:val="00F97FAE"/>
    <w:rsid w:val="00FA006B"/>
    <w:rsid w:val="00FA00A1"/>
    <w:rsid w:val="00FA00D0"/>
    <w:rsid w:val="00FA0150"/>
    <w:rsid w:val="00FA0232"/>
    <w:rsid w:val="00FA02FA"/>
    <w:rsid w:val="00FA036E"/>
    <w:rsid w:val="00FA056F"/>
    <w:rsid w:val="00FA05CF"/>
    <w:rsid w:val="00FA061F"/>
    <w:rsid w:val="00FA0640"/>
    <w:rsid w:val="00FA07B5"/>
    <w:rsid w:val="00FA07B6"/>
    <w:rsid w:val="00FA07D5"/>
    <w:rsid w:val="00FA0821"/>
    <w:rsid w:val="00FA08F7"/>
    <w:rsid w:val="00FA0924"/>
    <w:rsid w:val="00FA0991"/>
    <w:rsid w:val="00FA0B7F"/>
    <w:rsid w:val="00FA0BCE"/>
    <w:rsid w:val="00FA0C2A"/>
    <w:rsid w:val="00FA0CA4"/>
    <w:rsid w:val="00FA0CB3"/>
    <w:rsid w:val="00FA0D1D"/>
    <w:rsid w:val="00FA0DFD"/>
    <w:rsid w:val="00FA0E12"/>
    <w:rsid w:val="00FA0E66"/>
    <w:rsid w:val="00FA0EA8"/>
    <w:rsid w:val="00FA0ED0"/>
    <w:rsid w:val="00FA0F22"/>
    <w:rsid w:val="00FA0F61"/>
    <w:rsid w:val="00FA1134"/>
    <w:rsid w:val="00FA115C"/>
    <w:rsid w:val="00FA11D7"/>
    <w:rsid w:val="00FA122B"/>
    <w:rsid w:val="00FA134C"/>
    <w:rsid w:val="00FA1370"/>
    <w:rsid w:val="00FA140C"/>
    <w:rsid w:val="00FA14F2"/>
    <w:rsid w:val="00FA1611"/>
    <w:rsid w:val="00FA17B3"/>
    <w:rsid w:val="00FA18EB"/>
    <w:rsid w:val="00FA19AF"/>
    <w:rsid w:val="00FA1B72"/>
    <w:rsid w:val="00FA1C90"/>
    <w:rsid w:val="00FA1CFD"/>
    <w:rsid w:val="00FA1D0D"/>
    <w:rsid w:val="00FA1E22"/>
    <w:rsid w:val="00FA1EBD"/>
    <w:rsid w:val="00FA1EE5"/>
    <w:rsid w:val="00FA1FFE"/>
    <w:rsid w:val="00FA2042"/>
    <w:rsid w:val="00FA20D5"/>
    <w:rsid w:val="00FA20EC"/>
    <w:rsid w:val="00FA210D"/>
    <w:rsid w:val="00FA2126"/>
    <w:rsid w:val="00FA2176"/>
    <w:rsid w:val="00FA21A4"/>
    <w:rsid w:val="00FA226F"/>
    <w:rsid w:val="00FA22CA"/>
    <w:rsid w:val="00FA22F6"/>
    <w:rsid w:val="00FA245C"/>
    <w:rsid w:val="00FA2491"/>
    <w:rsid w:val="00FA2508"/>
    <w:rsid w:val="00FA2525"/>
    <w:rsid w:val="00FA25E1"/>
    <w:rsid w:val="00FA2619"/>
    <w:rsid w:val="00FA26BF"/>
    <w:rsid w:val="00FA2822"/>
    <w:rsid w:val="00FA285C"/>
    <w:rsid w:val="00FA2900"/>
    <w:rsid w:val="00FA2909"/>
    <w:rsid w:val="00FA2994"/>
    <w:rsid w:val="00FA2B2C"/>
    <w:rsid w:val="00FA2B2F"/>
    <w:rsid w:val="00FA2C31"/>
    <w:rsid w:val="00FA2D6B"/>
    <w:rsid w:val="00FA2F76"/>
    <w:rsid w:val="00FA305D"/>
    <w:rsid w:val="00FA3317"/>
    <w:rsid w:val="00FA33C4"/>
    <w:rsid w:val="00FA33FA"/>
    <w:rsid w:val="00FA347A"/>
    <w:rsid w:val="00FA3515"/>
    <w:rsid w:val="00FA365E"/>
    <w:rsid w:val="00FA3744"/>
    <w:rsid w:val="00FA378E"/>
    <w:rsid w:val="00FA38D1"/>
    <w:rsid w:val="00FA39DA"/>
    <w:rsid w:val="00FA3AD1"/>
    <w:rsid w:val="00FA3E34"/>
    <w:rsid w:val="00FA3E66"/>
    <w:rsid w:val="00FA40D8"/>
    <w:rsid w:val="00FA4398"/>
    <w:rsid w:val="00FA43A2"/>
    <w:rsid w:val="00FA4459"/>
    <w:rsid w:val="00FA46F3"/>
    <w:rsid w:val="00FA4875"/>
    <w:rsid w:val="00FA4929"/>
    <w:rsid w:val="00FA4A11"/>
    <w:rsid w:val="00FA4A32"/>
    <w:rsid w:val="00FA4A53"/>
    <w:rsid w:val="00FA4B79"/>
    <w:rsid w:val="00FA4BB3"/>
    <w:rsid w:val="00FA4E31"/>
    <w:rsid w:val="00FA4E84"/>
    <w:rsid w:val="00FA4E96"/>
    <w:rsid w:val="00FA4EA6"/>
    <w:rsid w:val="00FA4EF9"/>
    <w:rsid w:val="00FA5021"/>
    <w:rsid w:val="00FA5049"/>
    <w:rsid w:val="00FA51BA"/>
    <w:rsid w:val="00FA51E4"/>
    <w:rsid w:val="00FA55C1"/>
    <w:rsid w:val="00FA55F3"/>
    <w:rsid w:val="00FA56FF"/>
    <w:rsid w:val="00FA57A1"/>
    <w:rsid w:val="00FA58F5"/>
    <w:rsid w:val="00FA5915"/>
    <w:rsid w:val="00FA5B54"/>
    <w:rsid w:val="00FA5B67"/>
    <w:rsid w:val="00FA5BC3"/>
    <w:rsid w:val="00FA5C4A"/>
    <w:rsid w:val="00FA5D33"/>
    <w:rsid w:val="00FA5D5A"/>
    <w:rsid w:val="00FA5E14"/>
    <w:rsid w:val="00FA5F9E"/>
    <w:rsid w:val="00FA5FBB"/>
    <w:rsid w:val="00FA5FEF"/>
    <w:rsid w:val="00FA602F"/>
    <w:rsid w:val="00FA606F"/>
    <w:rsid w:val="00FA612F"/>
    <w:rsid w:val="00FA623F"/>
    <w:rsid w:val="00FA628D"/>
    <w:rsid w:val="00FA632E"/>
    <w:rsid w:val="00FA635D"/>
    <w:rsid w:val="00FA6583"/>
    <w:rsid w:val="00FA65DF"/>
    <w:rsid w:val="00FA66CB"/>
    <w:rsid w:val="00FA66DF"/>
    <w:rsid w:val="00FA6785"/>
    <w:rsid w:val="00FA68A3"/>
    <w:rsid w:val="00FA6989"/>
    <w:rsid w:val="00FA6A51"/>
    <w:rsid w:val="00FA6A54"/>
    <w:rsid w:val="00FA6A5E"/>
    <w:rsid w:val="00FA6C08"/>
    <w:rsid w:val="00FA6D7A"/>
    <w:rsid w:val="00FA6DDA"/>
    <w:rsid w:val="00FA6E32"/>
    <w:rsid w:val="00FA6E5A"/>
    <w:rsid w:val="00FA6E6D"/>
    <w:rsid w:val="00FA6F5E"/>
    <w:rsid w:val="00FA7064"/>
    <w:rsid w:val="00FA7173"/>
    <w:rsid w:val="00FA71AC"/>
    <w:rsid w:val="00FA723D"/>
    <w:rsid w:val="00FA72B7"/>
    <w:rsid w:val="00FA7392"/>
    <w:rsid w:val="00FA73D7"/>
    <w:rsid w:val="00FA7425"/>
    <w:rsid w:val="00FA7441"/>
    <w:rsid w:val="00FA7641"/>
    <w:rsid w:val="00FA7644"/>
    <w:rsid w:val="00FA76A6"/>
    <w:rsid w:val="00FA7723"/>
    <w:rsid w:val="00FA7786"/>
    <w:rsid w:val="00FA784D"/>
    <w:rsid w:val="00FA790D"/>
    <w:rsid w:val="00FA7AB4"/>
    <w:rsid w:val="00FA7B43"/>
    <w:rsid w:val="00FA7CA0"/>
    <w:rsid w:val="00FA7CCE"/>
    <w:rsid w:val="00FA7CF5"/>
    <w:rsid w:val="00FA7D0B"/>
    <w:rsid w:val="00FA7D21"/>
    <w:rsid w:val="00FA7D5F"/>
    <w:rsid w:val="00FA7D68"/>
    <w:rsid w:val="00FA7D6D"/>
    <w:rsid w:val="00FA7DAF"/>
    <w:rsid w:val="00FA7DB7"/>
    <w:rsid w:val="00FA7F6D"/>
    <w:rsid w:val="00FA7FD4"/>
    <w:rsid w:val="00FB01E7"/>
    <w:rsid w:val="00FB021B"/>
    <w:rsid w:val="00FB02BE"/>
    <w:rsid w:val="00FB0321"/>
    <w:rsid w:val="00FB0422"/>
    <w:rsid w:val="00FB04FB"/>
    <w:rsid w:val="00FB04FC"/>
    <w:rsid w:val="00FB0501"/>
    <w:rsid w:val="00FB058F"/>
    <w:rsid w:val="00FB0695"/>
    <w:rsid w:val="00FB06A8"/>
    <w:rsid w:val="00FB07B5"/>
    <w:rsid w:val="00FB0898"/>
    <w:rsid w:val="00FB0A2B"/>
    <w:rsid w:val="00FB0AFD"/>
    <w:rsid w:val="00FB0B82"/>
    <w:rsid w:val="00FB0D9F"/>
    <w:rsid w:val="00FB0DE4"/>
    <w:rsid w:val="00FB0FDD"/>
    <w:rsid w:val="00FB1000"/>
    <w:rsid w:val="00FB1024"/>
    <w:rsid w:val="00FB103D"/>
    <w:rsid w:val="00FB1114"/>
    <w:rsid w:val="00FB114F"/>
    <w:rsid w:val="00FB1199"/>
    <w:rsid w:val="00FB11AF"/>
    <w:rsid w:val="00FB1237"/>
    <w:rsid w:val="00FB12A4"/>
    <w:rsid w:val="00FB12A8"/>
    <w:rsid w:val="00FB1371"/>
    <w:rsid w:val="00FB13B1"/>
    <w:rsid w:val="00FB1450"/>
    <w:rsid w:val="00FB15B2"/>
    <w:rsid w:val="00FB1869"/>
    <w:rsid w:val="00FB1A1D"/>
    <w:rsid w:val="00FB1BEB"/>
    <w:rsid w:val="00FB1CF6"/>
    <w:rsid w:val="00FB1D6F"/>
    <w:rsid w:val="00FB1D73"/>
    <w:rsid w:val="00FB1D82"/>
    <w:rsid w:val="00FB1E4C"/>
    <w:rsid w:val="00FB1F57"/>
    <w:rsid w:val="00FB1F85"/>
    <w:rsid w:val="00FB1F91"/>
    <w:rsid w:val="00FB1FCA"/>
    <w:rsid w:val="00FB201E"/>
    <w:rsid w:val="00FB2146"/>
    <w:rsid w:val="00FB24E7"/>
    <w:rsid w:val="00FB26CB"/>
    <w:rsid w:val="00FB27B5"/>
    <w:rsid w:val="00FB291A"/>
    <w:rsid w:val="00FB2970"/>
    <w:rsid w:val="00FB2A82"/>
    <w:rsid w:val="00FB2C08"/>
    <w:rsid w:val="00FB2C6F"/>
    <w:rsid w:val="00FB2D01"/>
    <w:rsid w:val="00FB2D90"/>
    <w:rsid w:val="00FB2F2A"/>
    <w:rsid w:val="00FB308F"/>
    <w:rsid w:val="00FB310C"/>
    <w:rsid w:val="00FB3256"/>
    <w:rsid w:val="00FB32C0"/>
    <w:rsid w:val="00FB33CB"/>
    <w:rsid w:val="00FB3451"/>
    <w:rsid w:val="00FB34B4"/>
    <w:rsid w:val="00FB34D4"/>
    <w:rsid w:val="00FB3572"/>
    <w:rsid w:val="00FB359D"/>
    <w:rsid w:val="00FB3651"/>
    <w:rsid w:val="00FB3938"/>
    <w:rsid w:val="00FB3985"/>
    <w:rsid w:val="00FB3AAA"/>
    <w:rsid w:val="00FB3BCE"/>
    <w:rsid w:val="00FB3CD3"/>
    <w:rsid w:val="00FB3D74"/>
    <w:rsid w:val="00FB3DF7"/>
    <w:rsid w:val="00FB3E07"/>
    <w:rsid w:val="00FB3ECE"/>
    <w:rsid w:val="00FB3ED3"/>
    <w:rsid w:val="00FB3ED8"/>
    <w:rsid w:val="00FB3F83"/>
    <w:rsid w:val="00FB407B"/>
    <w:rsid w:val="00FB407C"/>
    <w:rsid w:val="00FB40CD"/>
    <w:rsid w:val="00FB4115"/>
    <w:rsid w:val="00FB4174"/>
    <w:rsid w:val="00FB41A4"/>
    <w:rsid w:val="00FB42AD"/>
    <w:rsid w:val="00FB431F"/>
    <w:rsid w:val="00FB4376"/>
    <w:rsid w:val="00FB44EB"/>
    <w:rsid w:val="00FB4537"/>
    <w:rsid w:val="00FB4567"/>
    <w:rsid w:val="00FB46C3"/>
    <w:rsid w:val="00FB475F"/>
    <w:rsid w:val="00FB47A0"/>
    <w:rsid w:val="00FB49F9"/>
    <w:rsid w:val="00FB4D8F"/>
    <w:rsid w:val="00FB4F5F"/>
    <w:rsid w:val="00FB4F73"/>
    <w:rsid w:val="00FB5127"/>
    <w:rsid w:val="00FB51F3"/>
    <w:rsid w:val="00FB5244"/>
    <w:rsid w:val="00FB527A"/>
    <w:rsid w:val="00FB52A7"/>
    <w:rsid w:val="00FB52BC"/>
    <w:rsid w:val="00FB548E"/>
    <w:rsid w:val="00FB54C3"/>
    <w:rsid w:val="00FB564A"/>
    <w:rsid w:val="00FB56AB"/>
    <w:rsid w:val="00FB5791"/>
    <w:rsid w:val="00FB57C3"/>
    <w:rsid w:val="00FB5993"/>
    <w:rsid w:val="00FB5B5F"/>
    <w:rsid w:val="00FB5BB5"/>
    <w:rsid w:val="00FB5CF3"/>
    <w:rsid w:val="00FB5F00"/>
    <w:rsid w:val="00FB606B"/>
    <w:rsid w:val="00FB609B"/>
    <w:rsid w:val="00FB60C9"/>
    <w:rsid w:val="00FB6137"/>
    <w:rsid w:val="00FB62B0"/>
    <w:rsid w:val="00FB631F"/>
    <w:rsid w:val="00FB6394"/>
    <w:rsid w:val="00FB63CC"/>
    <w:rsid w:val="00FB6412"/>
    <w:rsid w:val="00FB6750"/>
    <w:rsid w:val="00FB676A"/>
    <w:rsid w:val="00FB67D1"/>
    <w:rsid w:val="00FB68A8"/>
    <w:rsid w:val="00FB694D"/>
    <w:rsid w:val="00FB6A84"/>
    <w:rsid w:val="00FB6C1F"/>
    <w:rsid w:val="00FB6D12"/>
    <w:rsid w:val="00FB6D8E"/>
    <w:rsid w:val="00FB6DA3"/>
    <w:rsid w:val="00FB6EC7"/>
    <w:rsid w:val="00FB6F11"/>
    <w:rsid w:val="00FB6F3D"/>
    <w:rsid w:val="00FB6F7C"/>
    <w:rsid w:val="00FB701E"/>
    <w:rsid w:val="00FB7127"/>
    <w:rsid w:val="00FB71A3"/>
    <w:rsid w:val="00FB71A8"/>
    <w:rsid w:val="00FB72DC"/>
    <w:rsid w:val="00FB7390"/>
    <w:rsid w:val="00FB73C4"/>
    <w:rsid w:val="00FB73C5"/>
    <w:rsid w:val="00FB73CB"/>
    <w:rsid w:val="00FB73F9"/>
    <w:rsid w:val="00FB7633"/>
    <w:rsid w:val="00FB7642"/>
    <w:rsid w:val="00FB7681"/>
    <w:rsid w:val="00FB76B2"/>
    <w:rsid w:val="00FB77AD"/>
    <w:rsid w:val="00FB77C4"/>
    <w:rsid w:val="00FB78B5"/>
    <w:rsid w:val="00FB7909"/>
    <w:rsid w:val="00FB7AB8"/>
    <w:rsid w:val="00FB7BF0"/>
    <w:rsid w:val="00FB7CF9"/>
    <w:rsid w:val="00FB7E17"/>
    <w:rsid w:val="00FB7E1E"/>
    <w:rsid w:val="00FB7E4A"/>
    <w:rsid w:val="00FB7F3E"/>
    <w:rsid w:val="00FB7F54"/>
    <w:rsid w:val="00FC004C"/>
    <w:rsid w:val="00FC014B"/>
    <w:rsid w:val="00FC01E7"/>
    <w:rsid w:val="00FC028B"/>
    <w:rsid w:val="00FC02F6"/>
    <w:rsid w:val="00FC0336"/>
    <w:rsid w:val="00FC0338"/>
    <w:rsid w:val="00FC0519"/>
    <w:rsid w:val="00FC06D4"/>
    <w:rsid w:val="00FC0769"/>
    <w:rsid w:val="00FC0831"/>
    <w:rsid w:val="00FC0886"/>
    <w:rsid w:val="00FC0946"/>
    <w:rsid w:val="00FC099A"/>
    <w:rsid w:val="00FC09F9"/>
    <w:rsid w:val="00FC0A53"/>
    <w:rsid w:val="00FC0ACF"/>
    <w:rsid w:val="00FC0B9C"/>
    <w:rsid w:val="00FC0CC6"/>
    <w:rsid w:val="00FC0D73"/>
    <w:rsid w:val="00FC0DC1"/>
    <w:rsid w:val="00FC0E99"/>
    <w:rsid w:val="00FC0F82"/>
    <w:rsid w:val="00FC0FC8"/>
    <w:rsid w:val="00FC111A"/>
    <w:rsid w:val="00FC1265"/>
    <w:rsid w:val="00FC126A"/>
    <w:rsid w:val="00FC1322"/>
    <w:rsid w:val="00FC134C"/>
    <w:rsid w:val="00FC152C"/>
    <w:rsid w:val="00FC1535"/>
    <w:rsid w:val="00FC166E"/>
    <w:rsid w:val="00FC176D"/>
    <w:rsid w:val="00FC17CC"/>
    <w:rsid w:val="00FC18C2"/>
    <w:rsid w:val="00FC1993"/>
    <w:rsid w:val="00FC19B3"/>
    <w:rsid w:val="00FC1A3D"/>
    <w:rsid w:val="00FC1B71"/>
    <w:rsid w:val="00FC1D00"/>
    <w:rsid w:val="00FC1D53"/>
    <w:rsid w:val="00FC1D87"/>
    <w:rsid w:val="00FC1D8F"/>
    <w:rsid w:val="00FC1D96"/>
    <w:rsid w:val="00FC1EC4"/>
    <w:rsid w:val="00FC1EF0"/>
    <w:rsid w:val="00FC1F46"/>
    <w:rsid w:val="00FC2015"/>
    <w:rsid w:val="00FC209F"/>
    <w:rsid w:val="00FC21F8"/>
    <w:rsid w:val="00FC2264"/>
    <w:rsid w:val="00FC2290"/>
    <w:rsid w:val="00FC241F"/>
    <w:rsid w:val="00FC26BB"/>
    <w:rsid w:val="00FC26E6"/>
    <w:rsid w:val="00FC26ED"/>
    <w:rsid w:val="00FC2741"/>
    <w:rsid w:val="00FC27C3"/>
    <w:rsid w:val="00FC27C9"/>
    <w:rsid w:val="00FC286A"/>
    <w:rsid w:val="00FC2899"/>
    <w:rsid w:val="00FC28DC"/>
    <w:rsid w:val="00FC2962"/>
    <w:rsid w:val="00FC2A71"/>
    <w:rsid w:val="00FC2AA7"/>
    <w:rsid w:val="00FC2B7E"/>
    <w:rsid w:val="00FC2BB3"/>
    <w:rsid w:val="00FC2BCE"/>
    <w:rsid w:val="00FC2CCF"/>
    <w:rsid w:val="00FC2E93"/>
    <w:rsid w:val="00FC2FF1"/>
    <w:rsid w:val="00FC3029"/>
    <w:rsid w:val="00FC31FA"/>
    <w:rsid w:val="00FC3208"/>
    <w:rsid w:val="00FC32C2"/>
    <w:rsid w:val="00FC3307"/>
    <w:rsid w:val="00FC33DC"/>
    <w:rsid w:val="00FC3409"/>
    <w:rsid w:val="00FC3441"/>
    <w:rsid w:val="00FC34A2"/>
    <w:rsid w:val="00FC355F"/>
    <w:rsid w:val="00FC36BF"/>
    <w:rsid w:val="00FC376F"/>
    <w:rsid w:val="00FC3775"/>
    <w:rsid w:val="00FC37DF"/>
    <w:rsid w:val="00FC3819"/>
    <w:rsid w:val="00FC39C0"/>
    <w:rsid w:val="00FC3AC5"/>
    <w:rsid w:val="00FC3C7B"/>
    <w:rsid w:val="00FC3CC7"/>
    <w:rsid w:val="00FC3EB6"/>
    <w:rsid w:val="00FC3EC8"/>
    <w:rsid w:val="00FC3FCA"/>
    <w:rsid w:val="00FC40F3"/>
    <w:rsid w:val="00FC4150"/>
    <w:rsid w:val="00FC4323"/>
    <w:rsid w:val="00FC433D"/>
    <w:rsid w:val="00FC43AA"/>
    <w:rsid w:val="00FC43B6"/>
    <w:rsid w:val="00FC43C4"/>
    <w:rsid w:val="00FC43DE"/>
    <w:rsid w:val="00FC4499"/>
    <w:rsid w:val="00FC4678"/>
    <w:rsid w:val="00FC4729"/>
    <w:rsid w:val="00FC4752"/>
    <w:rsid w:val="00FC48C1"/>
    <w:rsid w:val="00FC4ACF"/>
    <w:rsid w:val="00FC4B24"/>
    <w:rsid w:val="00FC4C92"/>
    <w:rsid w:val="00FC4DD5"/>
    <w:rsid w:val="00FC4EBB"/>
    <w:rsid w:val="00FC4F26"/>
    <w:rsid w:val="00FC504B"/>
    <w:rsid w:val="00FC5112"/>
    <w:rsid w:val="00FC51E5"/>
    <w:rsid w:val="00FC52A4"/>
    <w:rsid w:val="00FC5345"/>
    <w:rsid w:val="00FC5485"/>
    <w:rsid w:val="00FC54A5"/>
    <w:rsid w:val="00FC54B7"/>
    <w:rsid w:val="00FC54EA"/>
    <w:rsid w:val="00FC553B"/>
    <w:rsid w:val="00FC557B"/>
    <w:rsid w:val="00FC5642"/>
    <w:rsid w:val="00FC57DD"/>
    <w:rsid w:val="00FC593A"/>
    <w:rsid w:val="00FC597E"/>
    <w:rsid w:val="00FC5A6E"/>
    <w:rsid w:val="00FC5AA1"/>
    <w:rsid w:val="00FC5B88"/>
    <w:rsid w:val="00FC5B93"/>
    <w:rsid w:val="00FC5C61"/>
    <w:rsid w:val="00FC5CCF"/>
    <w:rsid w:val="00FC5DCE"/>
    <w:rsid w:val="00FC5DDB"/>
    <w:rsid w:val="00FC5E57"/>
    <w:rsid w:val="00FC5F97"/>
    <w:rsid w:val="00FC5FA3"/>
    <w:rsid w:val="00FC5FC2"/>
    <w:rsid w:val="00FC62A8"/>
    <w:rsid w:val="00FC62D3"/>
    <w:rsid w:val="00FC6400"/>
    <w:rsid w:val="00FC640E"/>
    <w:rsid w:val="00FC6611"/>
    <w:rsid w:val="00FC6639"/>
    <w:rsid w:val="00FC674D"/>
    <w:rsid w:val="00FC69B3"/>
    <w:rsid w:val="00FC69E9"/>
    <w:rsid w:val="00FC6E47"/>
    <w:rsid w:val="00FC6E81"/>
    <w:rsid w:val="00FC6E94"/>
    <w:rsid w:val="00FC6EA2"/>
    <w:rsid w:val="00FC6F18"/>
    <w:rsid w:val="00FC6F2C"/>
    <w:rsid w:val="00FC6F93"/>
    <w:rsid w:val="00FC7027"/>
    <w:rsid w:val="00FC708B"/>
    <w:rsid w:val="00FC712C"/>
    <w:rsid w:val="00FC71BC"/>
    <w:rsid w:val="00FC7271"/>
    <w:rsid w:val="00FC727D"/>
    <w:rsid w:val="00FC72A9"/>
    <w:rsid w:val="00FC7366"/>
    <w:rsid w:val="00FC740A"/>
    <w:rsid w:val="00FC7515"/>
    <w:rsid w:val="00FC754D"/>
    <w:rsid w:val="00FC75BD"/>
    <w:rsid w:val="00FC75C0"/>
    <w:rsid w:val="00FC766B"/>
    <w:rsid w:val="00FC7718"/>
    <w:rsid w:val="00FC7768"/>
    <w:rsid w:val="00FC77F5"/>
    <w:rsid w:val="00FC7901"/>
    <w:rsid w:val="00FC7ACA"/>
    <w:rsid w:val="00FC7C9B"/>
    <w:rsid w:val="00FC7CFE"/>
    <w:rsid w:val="00FC7E09"/>
    <w:rsid w:val="00FC7FB3"/>
    <w:rsid w:val="00FD0073"/>
    <w:rsid w:val="00FD0118"/>
    <w:rsid w:val="00FD0178"/>
    <w:rsid w:val="00FD020A"/>
    <w:rsid w:val="00FD0241"/>
    <w:rsid w:val="00FD02A4"/>
    <w:rsid w:val="00FD02DE"/>
    <w:rsid w:val="00FD0332"/>
    <w:rsid w:val="00FD033E"/>
    <w:rsid w:val="00FD03BB"/>
    <w:rsid w:val="00FD048E"/>
    <w:rsid w:val="00FD0498"/>
    <w:rsid w:val="00FD04DC"/>
    <w:rsid w:val="00FD04E2"/>
    <w:rsid w:val="00FD0616"/>
    <w:rsid w:val="00FD0669"/>
    <w:rsid w:val="00FD069A"/>
    <w:rsid w:val="00FD06D9"/>
    <w:rsid w:val="00FD06E5"/>
    <w:rsid w:val="00FD089B"/>
    <w:rsid w:val="00FD0927"/>
    <w:rsid w:val="00FD09C6"/>
    <w:rsid w:val="00FD0A8E"/>
    <w:rsid w:val="00FD0ADD"/>
    <w:rsid w:val="00FD0AE2"/>
    <w:rsid w:val="00FD0B32"/>
    <w:rsid w:val="00FD0D99"/>
    <w:rsid w:val="00FD0DF4"/>
    <w:rsid w:val="00FD0F8B"/>
    <w:rsid w:val="00FD0FA0"/>
    <w:rsid w:val="00FD0FAB"/>
    <w:rsid w:val="00FD10F4"/>
    <w:rsid w:val="00FD11F2"/>
    <w:rsid w:val="00FD12F8"/>
    <w:rsid w:val="00FD13E6"/>
    <w:rsid w:val="00FD14F1"/>
    <w:rsid w:val="00FD161E"/>
    <w:rsid w:val="00FD1697"/>
    <w:rsid w:val="00FD1847"/>
    <w:rsid w:val="00FD186D"/>
    <w:rsid w:val="00FD1B9A"/>
    <w:rsid w:val="00FD1BC5"/>
    <w:rsid w:val="00FD1C02"/>
    <w:rsid w:val="00FD1C73"/>
    <w:rsid w:val="00FD1CBF"/>
    <w:rsid w:val="00FD1D4F"/>
    <w:rsid w:val="00FD1D69"/>
    <w:rsid w:val="00FD1E55"/>
    <w:rsid w:val="00FD1EDE"/>
    <w:rsid w:val="00FD1F03"/>
    <w:rsid w:val="00FD1F1B"/>
    <w:rsid w:val="00FD20D9"/>
    <w:rsid w:val="00FD20DA"/>
    <w:rsid w:val="00FD216D"/>
    <w:rsid w:val="00FD2384"/>
    <w:rsid w:val="00FD24E1"/>
    <w:rsid w:val="00FD26BA"/>
    <w:rsid w:val="00FD26D2"/>
    <w:rsid w:val="00FD2722"/>
    <w:rsid w:val="00FD27F6"/>
    <w:rsid w:val="00FD27FA"/>
    <w:rsid w:val="00FD282E"/>
    <w:rsid w:val="00FD2919"/>
    <w:rsid w:val="00FD296F"/>
    <w:rsid w:val="00FD2AED"/>
    <w:rsid w:val="00FD2B60"/>
    <w:rsid w:val="00FD2B87"/>
    <w:rsid w:val="00FD2BB4"/>
    <w:rsid w:val="00FD2BF7"/>
    <w:rsid w:val="00FD2C21"/>
    <w:rsid w:val="00FD2C2E"/>
    <w:rsid w:val="00FD2C66"/>
    <w:rsid w:val="00FD2CD2"/>
    <w:rsid w:val="00FD2D35"/>
    <w:rsid w:val="00FD2E0D"/>
    <w:rsid w:val="00FD2E12"/>
    <w:rsid w:val="00FD2E15"/>
    <w:rsid w:val="00FD2ECC"/>
    <w:rsid w:val="00FD3010"/>
    <w:rsid w:val="00FD3036"/>
    <w:rsid w:val="00FD30A3"/>
    <w:rsid w:val="00FD30C8"/>
    <w:rsid w:val="00FD31E8"/>
    <w:rsid w:val="00FD325E"/>
    <w:rsid w:val="00FD32CD"/>
    <w:rsid w:val="00FD3340"/>
    <w:rsid w:val="00FD33A4"/>
    <w:rsid w:val="00FD34CB"/>
    <w:rsid w:val="00FD34E1"/>
    <w:rsid w:val="00FD34F0"/>
    <w:rsid w:val="00FD34F2"/>
    <w:rsid w:val="00FD3554"/>
    <w:rsid w:val="00FD3600"/>
    <w:rsid w:val="00FD3662"/>
    <w:rsid w:val="00FD3731"/>
    <w:rsid w:val="00FD3844"/>
    <w:rsid w:val="00FD3941"/>
    <w:rsid w:val="00FD3A86"/>
    <w:rsid w:val="00FD3A90"/>
    <w:rsid w:val="00FD3C4B"/>
    <w:rsid w:val="00FD3CB7"/>
    <w:rsid w:val="00FD3D54"/>
    <w:rsid w:val="00FD3E62"/>
    <w:rsid w:val="00FD3EDA"/>
    <w:rsid w:val="00FD3EFA"/>
    <w:rsid w:val="00FD405B"/>
    <w:rsid w:val="00FD4063"/>
    <w:rsid w:val="00FD42A0"/>
    <w:rsid w:val="00FD4375"/>
    <w:rsid w:val="00FD43E0"/>
    <w:rsid w:val="00FD43E4"/>
    <w:rsid w:val="00FD43F4"/>
    <w:rsid w:val="00FD4451"/>
    <w:rsid w:val="00FD447D"/>
    <w:rsid w:val="00FD449D"/>
    <w:rsid w:val="00FD450D"/>
    <w:rsid w:val="00FD4550"/>
    <w:rsid w:val="00FD468B"/>
    <w:rsid w:val="00FD4705"/>
    <w:rsid w:val="00FD487A"/>
    <w:rsid w:val="00FD4898"/>
    <w:rsid w:val="00FD497B"/>
    <w:rsid w:val="00FD499F"/>
    <w:rsid w:val="00FD4A23"/>
    <w:rsid w:val="00FD4A80"/>
    <w:rsid w:val="00FD4B1A"/>
    <w:rsid w:val="00FD4B33"/>
    <w:rsid w:val="00FD4B3A"/>
    <w:rsid w:val="00FD4B99"/>
    <w:rsid w:val="00FD4BA1"/>
    <w:rsid w:val="00FD4BD2"/>
    <w:rsid w:val="00FD4D2D"/>
    <w:rsid w:val="00FD4DFB"/>
    <w:rsid w:val="00FD4E25"/>
    <w:rsid w:val="00FD5046"/>
    <w:rsid w:val="00FD5071"/>
    <w:rsid w:val="00FD50DC"/>
    <w:rsid w:val="00FD515E"/>
    <w:rsid w:val="00FD5200"/>
    <w:rsid w:val="00FD5292"/>
    <w:rsid w:val="00FD531D"/>
    <w:rsid w:val="00FD53DA"/>
    <w:rsid w:val="00FD5408"/>
    <w:rsid w:val="00FD5730"/>
    <w:rsid w:val="00FD57DD"/>
    <w:rsid w:val="00FD58E2"/>
    <w:rsid w:val="00FD5B87"/>
    <w:rsid w:val="00FD5CF1"/>
    <w:rsid w:val="00FD5DA4"/>
    <w:rsid w:val="00FD5F40"/>
    <w:rsid w:val="00FD5F6A"/>
    <w:rsid w:val="00FD5F86"/>
    <w:rsid w:val="00FD6004"/>
    <w:rsid w:val="00FD6020"/>
    <w:rsid w:val="00FD6090"/>
    <w:rsid w:val="00FD612D"/>
    <w:rsid w:val="00FD6157"/>
    <w:rsid w:val="00FD6182"/>
    <w:rsid w:val="00FD61CB"/>
    <w:rsid w:val="00FD6255"/>
    <w:rsid w:val="00FD62E3"/>
    <w:rsid w:val="00FD63C2"/>
    <w:rsid w:val="00FD64E6"/>
    <w:rsid w:val="00FD6503"/>
    <w:rsid w:val="00FD653C"/>
    <w:rsid w:val="00FD655A"/>
    <w:rsid w:val="00FD659A"/>
    <w:rsid w:val="00FD6673"/>
    <w:rsid w:val="00FD66D4"/>
    <w:rsid w:val="00FD66F9"/>
    <w:rsid w:val="00FD6729"/>
    <w:rsid w:val="00FD6776"/>
    <w:rsid w:val="00FD67C1"/>
    <w:rsid w:val="00FD67DD"/>
    <w:rsid w:val="00FD6B85"/>
    <w:rsid w:val="00FD6C52"/>
    <w:rsid w:val="00FD6CED"/>
    <w:rsid w:val="00FD6D0E"/>
    <w:rsid w:val="00FD6DD6"/>
    <w:rsid w:val="00FD6E39"/>
    <w:rsid w:val="00FD6F5A"/>
    <w:rsid w:val="00FD6F99"/>
    <w:rsid w:val="00FD6FA8"/>
    <w:rsid w:val="00FD6FCC"/>
    <w:rsid w:val="00FD6FFB"/>
    <w:rsid w:val="00FD751C"/>
    <w:rsid w:val="00FD76FE"/>
    <w:rsid w:val="00FD788D"/>
    <w:rsid w:val="00FD7911"/>
    <w:rsid w:val="00FD7955"/>
    <w:rsid w:val="00FD7AB0"/>
    <w:rsid w:val="00FD7BEB"/>
    <w:rsid w:val="00FD7BEF"/>
    <w:rsid w:val="00FD7C04"/>
    <w:rsid w:val="00FD7CE4"/>
    <w:rsid w:val="00FD7D98"/>
    <w:rsid w:val="00FD7DDD"/>
    <w:rsid w:val="00FD7E37"/>
    <w:rsid w:val="00FD7F10"/>
    <w:rsid w:val="00FD7F7F"/>
    <w:rsid w:val="00FE0092"/>
    <w:rsid w:val="00FE0120"/>
    <w:rsid w:val="00FE02C6"/>
    <w:rsid w:val="00FE02FC"/>
    <w:rsid w:val="00FE0324"/>
    <w:rsid w:val="00FE0408"/>
    <w:rsid w:val="00FE0415"/>
    <w:rsid w:val="00FE04B5"/>
    <w:rsid w:val="00FE0535"/>
    <w:rsid w:val="00FE0545"/>
    <w:rsid w:val="00FE0708"/>
    <w:rsid w:val="00FE0752"/>
    <w:rsid w:val="00FE0855"/>
    <w:rsid w:val="00FE0CB8"/>
    <w:rsid w:val="00FE0DD2"/>
    <w:rsid w:val="00FE0E3C"/>
    <w:rsid w:val="00FE0E54"/>
    <w:rsid w:val="00FE0EC9"/>
    <w:rsid w:val="00FE0EF4"/>
    <w:rsid w:val="00FE0F4B"/>
    <w:rsid w:val="00FE0F7C"/>
    <w:rsid w:val="00FE0FCF"/>
    <w:rsid w:val="00FE0FEE"/>
    <w:rsid w:val="00FE1070"/>
    <w:rsid w:val="00FE11EE"/>
    <w:rsid w:val="00FE120B"/>
    <w:rsid w:val="00FE1220"/>
    <w:rsid w:val="00FE1242"/>
    <w:rsid w:val="00FE12E7"/>
    <w:rsid w:val="00FE130E"/>
    <w:rsid w:val="00FE1364"/>
    <w:rsid w:val="00FE137D"/>
    <w:rsid w:val="00FE13D7"/>
    <w:rsid w:val="00FE13DC"/>
    <w:rsid w:val="00FE14F2"/>
    <w:rsid w:val="00FE1501"/>
    <w:rsid w:val="00FE1570"/>
    <w:rsid w:val="00FE172B"/>
    <w:rsid w:val="00FE1763"/>
    <w:rsid w:val="00FE1A91"/>
    <w:rsid w:val="00FE1B2D"/>
    <w:rsid w:val="00FE1B3C"/>
    <w:rsid w:val="00FE1BEC"/>
    <w:rsid w:val="00FE1BEE"/>
    <w:rsid w:val="00FE1EA3"/>
    <w:rsid w:val="00FE1F87"/>
    <w:rsid w:val="00FE1F99"/>
    <w:rsid w:val="00FE1FDF"/>
    <w:rsid w:val="00FE1FF9"/>
    <w:rsid w:val="00FE2073"/>
    <w:rsid w:val="00FE227F"/>
    <w:rsid w:val="00FE22E4"/>
    <w:rsid w:val="00FE2312"/>
    <w:rsid w:val="00FE2361"/>
    <w:rsid w:val="00FE23A1"/>
    <w:rsid w:val="00FE242A"/>
    <w:rsid w:val="00FE243F"/>
    <w:rsid w:val="00FE2445"/>
    <w:rsid w:val="00FE2448"/>
    <w:rsid w:val="00FE253B"/>
    <w:rsid w:val="00FE267E"/>
    <w:rsid w:val="00FE270E"/>
    <w:rsid w:val="00FE27E6"/>
    <w:rsid w:val="00FE27F1"/>
    <w:rsid w:val="00FE283C"/>
    <w:rsid w:val="00FE28D7"/>
    <w:rsid w:val="00FE2978"/>
    <w:rsid w:val="00FE2A6B"/>
    <w:rsid w:val="00FE2BBF"/>
    <w:rsid w:val="00FE2E14"/>
    <w:rsid w:val="00FE2F24"/>
    <w:rsid w:val="00FE2F8F"/>
    <w:rsid w:val="00FE303C"/>
    <w:rsid w:val="00FE3063"/>
    <w:rsid w:val="00FE3087"/>
    <w:rsid w:val="00FE318F"/>
    <w:rsid w:val="00FE329C"/>
    <w:rsid w:val="00FE32C2"/>
    <w:rsid w:val="00FE3342"/>
    <w:rsid w:val="00FE3425"/>
    <w:rsid w:val="00FE3721"/>
    <w:rsid w:val="00FE396F"/>
    <w:rsid w:val="00FE39BF"/>
    <w:rsid w:val="00FE39C2"/>
    <w:rsid w:val="00FE3AF8"/>
    <w:rsid w:val="00FE3B77"/>
    <w:rsid w:val="00FE3C34"/>
    <w:rsid w:val="00FE3CD9"/>
    <w:rsid w:val="00FE3E14"/>
    <w:rsid w:val="00FE3EAD"/>
    <w:rsid w:val="00FE435C"/>
    <w:rsid w:val="00FE4395"/>
    <w:rsid w:val="00FE43B6"/>
    <w:rsid w:val="00FE4421"/>
    <w:rsid w:val="00FE4634"/>
    <w:rsid w:val="00FE4684"/>
    <w:rsid w:val="00FE468E"/>
    <w:rsid w:val="00FE4698"/>
    <w:rsid w:val="00FE4751"/>
    <w:rsid w:val="00FE4887"/>
    <w:rsid w:val="00FE48FE"/>
    <w:rsid w:val="00FE4A75"/>
    <w:rsid w:val="00FE4AE5"/>
    <w:rsid w:val="00FE4B9C"/>
    <w:rsid w:val="00FE4BF3"/>
    <w:rsid w:val="00FE4CF4"/>
    <w:rsid w:val="00FE4D18"/>
    <w:rsid w:val="00FE4D6F"/>
    <w:rsid w:val="00FE4DF2"/>
    <w:rsid w:val="00FE4E31"/>
    <w:rsid w:val="00FE4F1D"/>
    <w:rsid w:val="00FE4FB1"/>
    <w:rsid w:val="00FE517C"/>
    <w:rsid w:val="00FE53FA"/>
    <w:rsid w:val="00FE544C"/>
    <w:rsid w:val="00FE54F2"/>
    <w:rsid w:val="00FE5639"/>
    <w:rsid w:val="00FE56AA"/>
    <w:rsid w:val="00FE5721"/>
    <w:rsid w:val="00FE58D3"/>
    <w:rsid w:val="00FE58E9"/>
    <w:rsid w:val="00FE58F0"/>
    <w:rsid w:val="00FE59E8"/>
    <w:rsid w:val="00FE5BDA"/>
    <w:rsid w:val="00FE5BE6"/>
    <w:rsid w:val="00FE5C2F"/>
    <w:rsid w:val="00FE5D44"/>
    <w:rsid w:val="00FE5D71"/>
    <w:rsid w:val="00FE5D74"/>
    <w:rsid w:val="00FE5EEE"/>
    <w:rsid w:val="00FE5F1C"/>
    <w:rsid w:val="00FE5F5E"/>
    <w:rsid w:val="00FE60D1"/>
    <w:rsid w:val="00FE6241"/>
    <w:rsid w:val="00FE624E"/>
    <w:rsid w:val="00FE6344"/>
    <w:rsid w:val="00FE6363"/>
    <w:rsid w:val="00FE6379"/>
    <w:rsid w:val="00FE6404"/>
    <w:rsid w:val="00FE647A"/>
    <w:rsid w:val="00FE675A"/>
    <w:rsid w:val="00FE67A7"/>
    <w:rsid w:val="00FE68D9"/>
    <w:rsid w:val="00FE6B1E"/>
    <w:rsid w:val="00FE6B6A"/>
    <w:rsid w:val="00FE6E7E"/>
    <w:rsid w:val="00FE7017"/>
    <w:rsid w:val="00FE7044"/>
    <w:rsid w:val="00FE7073"/>
    <w:rsid w:val="00FE726E"/>
    <w:rsid w:val="00FE73CB"/>
    <w:rsid w:val="00FE755D"/>
    <w:rsid w:val="00FE75A5"/>
    <w:rsid w:val="00FE75AA"/>
    <w:rsid w:val="00FE76E9"/>
    <w:rsid w:val="00FE78D5"/>
    <w:rsid w:val="00FE78D6"/>
    <w:rsid w:val="00FE7955"/>
    <w:rsid w:val="00FE7B1B"/>
    <w:rsid w:val="00FE7BA1"/>
    <w:rsid w:val="00FE7C98"/>
    <w:rsid w:val="00FE7CC5"/>
    <w:rsid w:val="00FE7CDC"/>
    <w:rsid w:val="00FE7DA6"/>
    <w:rsid w:val="00FE7DC2"/>
    <w:rsid w:val="00FE7DFE"/>
    <w:rsid w:val="00FF0094"/>
    <w:rsid w:val="00FF00D2"/>
    <w:rsid w:val="00FF018C"/>
    <w:rsid w:val="00FF0380"/>
    <w:rsid w:val="00FF03D6"/>
    <w:rsid w:val="00FF05DB"/>
    <w:rsid w:val="00FF068D"/>
    <w:rsid w:val="00FF0721"/>
    <w:rsid w:val="00FF080D"/>
    <w:rsid w:val="00FF086D"/>
    <w:rsid w:val="00FF08A3"/>
    <w:rsid w:val="00FF095C"/>
    <w:rsid w:val="00FF09BB"/>
    <w:rsid w:val="00FF09FA"/>
    <w:rsid w:val="00FF0A3B"/>
    <w:rsid w:val="00FF0B27"/>
    <w:rsid w:val="00FF0B4F"/>
    <w:rsid w:val="00FF0B86"/>
    <w:rsid w:val="00FF0BA8"/>
    <w:rsid w:val="00FF0C49"/>
    <w:rsid w:val="00FF0C6D"/>
    <w:rsid w:val="00FF0F30"/>
    <w:rsid w:val="00FF117A"/>
    <w:rsid w:val="00FF11AE"/>
    <w:rsid w:val="00FF12AF"/>
    <w:rsid w:val="00FF131C"/>
    <w:rsid w:val="00FF132E"/>
    <w:rsid w:val="00FF135C"/>
    <w:rsid w:val="00FF1385"/>
    <w:rsid w:val="00FF13D5"/>
    <w:rsid w:val="00FF1410"/>
    <w:rsid w:val="00FF150A"/>
    <w:rsid w:val="00FF1652"/>
    <w:rsid w:val="00FF16D7"/>
    <w:rsid w:val="00FF181C"/>
    <w:rsid w:val="00FF1836"/>
    <w:rsid w:val="00FF18E5"/>
    <w:rsid w:val="00FF18EB"/>
    <w:rsid w:val="00FF1902"/>
    <w:rsid w:val="00FF1A5D"/>
    <w:rsid w:val="00FF1AC8"/>
    <w:rsid w:val="00FF1B44"/>
    <w:rsid w:val="00FF1BCD"/>
    <w:rsid w:val="00FF1C86"/>
    <w:rsid w:val="00FF1DC0"/>
    <w:rsid w:val="00FF1DDB"/>
    <w:rsid w:val="00FF1E9B"/>
    <w:rsid w:val="00FF1F3D"/>
    <w:rsid w:val="00FF21AB"/>
    <w:rsid w:val="00FF2253"/>
    <w:rsid w:val="00FF2254"/>
    <w:rsid w:val="00FF246E"/>
    <w:rsid w:val="00FF24DA"/>
    <w:rsid w:val="00FF24F5"/>
    <w:rsid w:val="00FF24FD"/>
    <w:rsid w:val="00FF2670"/>
    <w:rsid w:val="00FF2820"/>
    <w:rsid w:val="00FF283D"/>
    <w:rsid w:val="00FF2932"/>
    <w:rsid w:val="00FF2A13"/>
    <w:rsid w:val="00FF2AFA"/>
    <w:rsid w:val="00FF2B59"/>
    <w:rsid w:val="00FF2B91"/>
    <w:rsid w:val="00FF2BBA"/>
    <w:rsid w:val="00FF2BC9"/>
    <w:rsid w:val="00FF2C45"/>
    <w:rsid w:val="00FF2D88"/>
    <w:rsid w:val="00FF2DD1"/>
    <w:rsid w:val="00FF2DE3"/>
    <w:rsid w:val="00FF2EDB"/>
    <w:rsid w:val="00FF3042"/>
    <w:rsid w:val="00FF3190"/>
    <w:rsid w:val="00FF31B5"/>
    <w:rsid w:val="00FF31D6"/>
    <w:rsid w:val="00FF31FE"/>
    <w:rsid w:val="00FF32DB"/>
    <w:rsid w:val="00FF3350"/>
    <w:rsid w:val="00FF341B"/>
    <w:rsid w:val="00FF35F1"/>
    <w:rsid w:val="00FF3663"/>
    <w:rsid w:val="00FF36C1"/>
    <w:rsid w:val="00FF370D"/>
    <w:rsid w:val="00FF3711"/>
    <w:rsid w:val="00FF3738"/>
    <w:rsid w:val="00FF37A0"/>
    <w:rsid w:val="00FF3A3A"/>
    <w:rsid w:val="00FF3B71"/>
    <w:rsid w:val="00FF3BAB"/>
    <w:rsid w:val="00FF3BDD"/>
    <w:rsid w:val="00FF3BFB"/>
    <w:rsid w:val="00FF3D48"/>
    <w:rsid w:val="00FF3D53"/>
    <w:rsid w:val="00FF3D65"/>
    <w:rsid w:val="00FF3DDD"/>
    <w:rsid w:val="00FF3E24"/>
    <w:rsid w:val="00FF3F41"/>
    <w:rsid w:val="00FF40D2"/>
    <w:rsid w:val="00FF40E1"/>
    <w:rsid w:val="00FF4139"/>
    <w:rsid w:val="00FF4165"/>
    <w:rsid w:val="00FF4169"/>
    <w:rsid w:val="00FF4207"/>
    <w:rsid w:val="00FF4243"/>
    <w:rsid w:val="00FF42C5"/>
    <w:rsid w:val="00FF433D"/>
    <w:rsid w:val="00FF4380"/>
    <w:rsid w:val="00FF44A6"/>
    <w:rsid w:val="00FF44DB"/>
    <w:rsid w:val="00FF47BE"/>
    <w:rsid w:val="00FF49C8"/>
    <w:rsid w:val="00FF4ABF"/>
    <w:rsid w:val="00FF4BC9"/>
    <w:rsid w:val="00FF4BD7"/>
    <w:rsid w:val="00FF4C23"/>
    <w:rsid w:val="00FF4C24"/>
    <w:rsid w:val="00FF4E34"/>
    <w:rsid w:val="00FF4E9E"/>
    <w:rsid w:val="00FF4EBD"/>
    <w:rsid w:val="00FF4FCF"/>
    <w:rsid w:val="00FF503C"/>
    <w:rsid w:val="00FF5089"/>
    <w:rsid w:val="00FF5109"/>
    <w:rsid w:val="00FF5167"/>
    <w:rsid w:val="00FF5168"/>
    <w:rsid w:val="00FF518B"/>
    <w:rsid w:val="00FF5190"/>
    <w:rsid w:val="00FF51EA"/>
    <w:rsid w:val="00FF5224"/>
    <w:rsid w:val="00FF527D"/>
    <w:rsid w:val="00FF535E"/>
    <w:rsid w:val="00FF53C1"/>
    <w:rsid w:val="00FF54B5"/>
    <w:rsid w:val="00FF54DB"/>
    <w:rsid w:val="00FF5541"/>
    <w:rsid w:val="00FF5570"/>
    <w:rsid w:val="00FF566B"/>
    <w:rsid w:val="00FF56F9"/>
    <w:rsid w:val="00FF5877"/>
    <w:rsid w:val="00FF58B8"/>
    <w:rsid w:val="00FF5959"/>
    <w:rsid w:val="00FF5A77"/>
    <w:rsid w:val="00FF5B7C"/>
    <w:rsid w:val="00FF5CB6"/>
    <w:rsid w:val="00FF5D3B"/>
    <w:rsid w:val="00FF5D4A"/>
    <w:rsid w:val="00FF5DEC"/>
    <w:rsid w:val="00FF5E35"/>
    <w:rsid w:val="00FF6049"/>
    <w:rsid w:val="00FF6128"/>
    <w:rsid w:val="00FF6159"/>
    <w:rsid w:val="00FF61A5"/>
    <w:rsid w:val="00FF627B"/>
    <w:rsid w:val="00FF6378"/>
    <w:rsid w:val="00FF6407"/>
    <w:rsid w:val="00FF642A"/>
    <w:rsid w:val="00FF665C"/>
    <w:rsid w:val="00FF66D7"/>
    <w:rsid w:val="00FF6746"/>
    <w:rsid w:val="00FF68FC"/>
    <w:rsid w:val="00FF69C0"/>
    <w:rsid w:val="00FF6AD7"/>
    <w:rsid w:val="00FF6BCA"/>
    <w:rsid w:val="00FF6CD8"/>
    <w:rsid w:val="00FF6DB1"/>
    <w:rsid w:val="00FF6E37"/>
    <w:rsid w:val="00FF6F8A"/>
    <w:rsid w:val="00FF6FD0"/>
    <w:rsid w:val="00FF6FED"/>
    <w:rsid w:val="00FF7061"/>
    <w:rsid w:val="00FF706C"/>
    <w:rsid w:val="00FF71E4"/>
    <w:rsid w:val="00FF7260"/>
    <w:rsid w:val="00FF7328"/>
    <w:rsid w:val="00FF7393"/>
    <w:rsid w:val="00FF74FC"/>
    <w:rsid w:val="00FF75C8"/>
    <w:rsid w:val="00FF75DC"/>
    <w:rsid w:val="00FF7609"/>
    <w:rsid w:val="00FF7709"/>
    <w:rsid w:val="00FF7792"/>
    <w:rsid w:val="00FF7803"/>
    <w:rsid w:val="00FF7852"/>
    <w:rsid w:val="00FF7961"/>
    <w:rsid w:val="00FF7A08"/>
    <w:rsid w:val="00FF7A3C"/>
    <w:rsid w:val="00FF7A73"/>
    <w:rsid w:val="00FF7BA1"/>
    <w:rsid w:val="00FF7CAC"/>
    <w:rsid w:val="00FF7D67"/>
    <w:rsid w:val="00FF7DBE"/>
    <w:rsid w:val="00FF7E3D"/>
    <w:rsid w:val="00FF7F3A"/>
    <w:rsid w:val="013C30C0"/>
    <w:rsid w:val="01CE8796"/>
    <w:rsid w:val="01F10CF4"/>
    <w:rsid w:val="01F349FE"/>
    <w:rsid w:val="020E891E"/>
    <w:rsid w:val="022B30B2"/>
    <w:rsid w:val="02CF717E"/>
    <w:rsid w:val="02F854EA"/>
    <w:rsid w:val="03087729"/>
    <w:rsid w:val="030AB3F1"/>
    <w:rsid w:val="0312110D"/>
    <w:rsid w:val="03755E6A"/>
    <w:rsid w:val="0376DFBF"/>
    <w:rsid w:val="04BE0494"/>
    <w:rsid w:val="053A594D"/>
    <w:rsid w:val="05DEFBAD"/>
    <w:rsid w:val="06859156"/>
    <w:rsid w:val="07290ED9"/>
    <w:rsid w:val="08406166"/>
    <w:rsid w:val="08850D5C"/>
    <w:rsid w:val="0888EDC9"/>
    <w:rsid w:val="093E57A7"/>
    <w:rsid w:val="09AB37F8"/>
    <w:rsid w:val="09E25146"/>
    <w:rsid w:val="0A37AA98"/>
    <w:rsid w:val="0AAB8A97"/>
    <w:rsid w:val="0AC45BD2"/>
    <w:rsid w:val="0ACC76F0"/>
    <w:rsid w:val="0B9CD569"/>
    <w:rsid w:val="0C4BA0C9"/>
    <w:rsid w:val="0C737557"/>
    <w:rsid w:val="0C8988FF"/>
    <w:rsid w:val="0D0CA341"/>
    <w:rsid w:val="0E18AEE2"/>
    <w:rsid w:val="0EB5A42A"/>
    <w:rsid w:val="0EE118D3"/>
    <w:rsid w:val="0F0765EF"/>
    <w:rsid w:val="0F3DC638"/>
    <w:rsid w:val="102C2804"/>
    <w:rsid w:val="10941ECA"/>
    <w:rsid w:val="1171048E"/>
    <w:rsid w:val="11CD93D8"/>
    <w:rsid w:val="123B1104"/>
    <w:rsid w:val="12BDF373"/>
    <w:rsid w:val="130F94BB"/>
    <w:rsid w:val="1334CB5C"/>
    <w:rsid w:val="13EC3D95"/>
    <w:rsid w:val="1490D7E0"/>
    <w:rsid w:val="14B34991"/>
    <w:rsid w:val="14E9BD58"/>
    <w:rsid w:val="14F56C2C"/>
    <w:rsid w:val="150DADDA"/>
    <w:rsid w:val="15711F6C"/>
    <w:rsid w:val="1628D3D7"/>
    <w:rsid w:val="16DF91F3"/>
    <w:rsid w:val="1776D174"/>
    <w:rsid w:val="17979220"/>
    <w:rsid w:val="182B802B"/>
    <w:rsid w:val="189FD995"/>
    <w:rsid w:val="18C4DEAB"/>
    <w:rsid w:val="1AA64EB5"/>
    <w:rsid w:val="1AA814B1"/>
    <w:rsid w:val="1AF3E67B"/>
    <w:rsid w:val="1B06D541"/>
    <w:rsid w:val="1B2B7CD3"/>
    <w:rsid w:val="1B4D6349"/>
    <w:rsid w:val="1C138CE3"/>
    <w:rsid w:val="1C1E29AC"/>
    <w:rsid w:val="1C77D03F"/>
    <w:rsid w:val="1CF5AC19"/>
    <w:rsid w:val="1D84A335"/>
    <w:rsid w:val="1E19CD87"/>
    <w:rsid w:val="1E5E779E"/>
    <w:rsid w:val="1EA1308D"/>
    <w:rsid w:val="20292B26"/>
    <w:rsid w:val="20D7B96A"/>
    <w:rsid w:val="21400C18"/>
    <w:rsid w:val="214D38FF"/>
    <w:rsid w:val="22479014"/>
    <w:rsid w:val="2286D992"/>
    <w:rsid w:val="22E3375F"/>
    <w:rsid w:val="23056C62"/>
    <w:rsid w:val="23AF0835"/>
    <w:rsid w:val="245C427F"/>
    <w:rsid w:val="2511BAB2"/>
    <w:rsid w:val="2519D6A5"/>
    <w:rsid w:val="256262A5"/>
    <w:rsid w:val="25A1DEE4"/>
    <w:rsid w:val="25A99F7D"/>
    <w:rsid w:val="2686C760"/>
    <w:rsid w:val="26AE3AAF"/>
    <w:rsid w:val="26CCAC22"/>
    <w:rsid w:val="27178B75"/>
    <w:rsid w:val="284EB846"/>
    <w:rsid w:val="298088DB"/>
    <w:rsid w:val="2999553F"/>
    <w:rsid w:val="2A152E3B"/>
    <w:rsid w:val="2A342698"/>
    <w:rsid w:val="2A79F573"/>
    <w:rsid w:val="2A8E6843"/>
    <w:rsid w:val="2AE2364A"/>
    <w:rsid w:val="2BF2E73D"/>
    <w:rsid w:val="2C91F0A3"/>
    <w:rsid w:val="2D7F2D17"/>
    <w:rsid w:val="2DB78181"/>
    <w:rsid w:val="2DCBF2E6"/>
    <w:rsid w:val="2E937C76"/>
    <w:rsid w:val="2EDC53FC"/>
    <w:rsid w:val="2EE57C86"/>
    <w:rsid w:val="2FC17EFD"/>
    <w:rsid w:val="30C8A3E1"/>
    <w:rsid w:val="31A1B4E1"/>
    <w:rsid w:val="3261E1AA"/>
    <w:rsid w:val="32903BFE"/>
    <w:rsid w:val="3296E33E"/>
    <w:rsid w:val="33BDF820"/>
    <w:rsid w:val="341EF737"/>
    <w:rsid w:val="342C4FEA"/>
    <w:rsid w:val="3433BF9C"/>
    <w:rsid w:val="34884A5E"/>
    <w:rsid w:val="34E7262A"/>
    <w:rsid w:val="34FE6B69"/>
    <w:rsid w:val="354C7D92"/>
    <w:rsid w:val="367659EA"/>
    <w:rsid w:val="36937917"/>
    <w:rsid w:val="373323CF"/>
    <w:rsid w:val="37732D63"/>
    <w:rsid w:val="3785B738"/>
    <w:rsid w:val="3795F2EB"/>
    <w:rsid w:val="37EE7484"/>
    <w:rsid w:val="37FB4DB6"/>
    <w:rsid w:val="38627DC2"/>
    <w:rsid w:val="389EF890"/>
    <w:rsid w:val="38A812E9"/>
    <w:rsid w:val="39AA2DCD"/>
    <w:rsid w:val="39B4B6DE"/>
    <w:rsid w:val="39BDCEBC"/>
    <w:rsid w:val="39D7752D"/>
    <w:rsid w:val="3A0A349B"/>
    <w:rsid w:val="3A996E4A"/>
    <w:rsid w:val="3AA1B52C"/>
    <w:rsid w:val="3ABBFAEA"/>
    <w:rsid w:val="3B31AEC7"/>
    <w:rsid w:val="3B36AF89"/>
    <w:rsid w:val="3B962A6E"/>
    <w:rsid w:val="3BD094B4"/>
    <w:rsid w:val="3C7816DA"/>
    <w:rsid w:val="3CEFB29D"/>
    <w:rsid w:val="3CF16298"/>
    <w:rsid w:val="3D6DF66B"/>
    <w:rsid w:val="3F5DB458"/>
    <w:rsid w:val="3F8A5933"/>
    <w:rsid w:val="40096C40"/>
    <w:rsid w:val="408BC405"/>
    <w:rsid w:val="40AF04D8"/>
    <w:rsid w:val="40D00D2A"/>
    <w:rsid w:val="4129FDD0"/>
    <w:rsid w:val="41D489FC"/>
    <w:rsid w:val="421F4DDC"/>
    <w:rsid w:val="424FB333"/>
    <w:rsid w:val="42ADAFC9"/>
    <w:rsid w:val="42D639E4"/>
    <w:rsid w:val="42E6A4F4"/>
    <w:rsid w:val="4309CA83"/>
    <w:rsid w:val="4315864E"/>
    <w:rsid w:val="4341AA38"/>
    <w:rsid w:val="43B74AEE"/>
    <w:rsid w:val="44027283"/>
    <w:rsid w:val="44904400"/>
    <w:rsid w:val="4491C73F"/>
    <w:rsid w:val="44C7DBC2"/>
    <w:rsid w:val="44CFD456"/>
    <w:rsid w:val="45B4B99B"/>
    <w:rsid w:val="45BE99B7"/>
    <w:rsid w:val="46571829"/>
    <w:rsid w:val="468BF372"/>
    <w:rsid w:val="47335E7E"/>
    <w:rsid w:val="47A443D2"/>
    <w:rsid w:val="47B372A5"/>
    <w:rsid w:val="4846613E"/>
    <w:rsid w:val="48A298CB"/>
    <w:rsid w:val="491736F5"/>
    <w:rsid w:val="495BAA2D"/>
    <w:rsid w:val="49882F61"/>
    <w:rsid w:val="49B9BCF1"/>
    <w:rsid w:val="4A196D34"/>
    <w:rsid w:val="4A978C4B"/>
    <w:rsid w:val="4B47980A"/>
    <w:rsid w:val="4B6B4B39"/>
    <w:rsid w:val="4B6F73C5"/>
    <w:rsid w:val="4B74013E"/>
    <w:rsid w:val="4C1A9467"/>
    <w:rsid w:val="4CEA972C"/>
    <w:rsid w:val="4D144736"/>
    <w:rsid w:val="4DDBC7A6"/>
    <w:rsid w:val="4ED49DCB"/>
    <w:rsid w:val="4F538339"/>
    <w:rsid w:val="4FB66BA6"/>
    <w:rsid w:val="4FCA687C"/>
    <w:rsid w:val="500A775C"/>
    <w:rsid w:val="50347383"/>
    <w:rsid w:val="503C27AE"/>
    <w:rsid w:val="50A768E2"/>
    <w:rsid w:val="50C39DF4"/>
    <w:rsid w:val="50D8678B"/>
    <w:rsid w:val="50E752AE"/>
    <w:rsid w:val="510F3274"/>
    <w:rsid w:val="513FE21E"/>
    <w:rsid w:val="5155E911"/>
    <w:rsid w:val="51E9CBB3"/>
    <w:rsid w:val="52223701"/>
    <w:rsid w:val="525176EE"/>
    <w:rsid w:val="5258B241"/>
    <w:rsid w:val="52A30CAC"/>
    <w:rsid w:val="52F5927B"/>
    <w:rsid w:val="5330037B"/>
    <w:rsid w:val="535F7873"/>
    <w:rsid w:val="5481677E"/>
    <w:rsid w:val="54C7A77F"/>
    <w:rsid w:val="5507D571"/>
    <w:rsid w:val="55A15B86"/>
    <w:rsid w:val="56B16B4B"/>
    <w:rsid w:val="56EDF842"/>
    <w:rsid w:val="583F3E2C"/>
    <w:rsid w:val="58786934"/>
    <w:rsid w:val="58807909"/>
    <w:rsid w:val="591446B6"/>
    <w:rsid w:val="59CB8CA5"/>
    <w:rsid w:val="5A3A5D23"/>
    <w:rsid w:val="5C1D0334"/>
    <w:rsid w:val="5CFC7C8E"/>
    <w:rsid w:val="5D6083D5"/>
    <w:rsid w:val="5DA15DE0"/>
    <w:rsid w:val="5EEC0098"/>
    <w:rsid w:val="5F3E4C87"/>
    <w:rsid w:val="5F4147B2"/>
    <w:rsid w:val="5F58E63C"/>
    <w:rsid w:val="5F802728"/>
    <w:rsid w:val="601E37C9"/>
    <w:rsid w:val="6066C8D4"/>
    <w:rsid w:val="60C96CC3"/>
    <w:rsid w:val="60E2F75D"/>
    <w:rsid w:val="616B9807"/>
    <w:rsid w:val="61C2C440"/>
    <w:rsid w:val="61EA5729"/>
    <w:rsid w:val="62674D40"/>
    <w:rsid w:val="62831D5C"/>
    <w:rsid w:val="6288AC8D"/>
    <w:rsid w:val="6290B04D"/>
    <w:rsid w:val="62D5F238"/>
    <w:rsid w:val="62E0ADEF"/>
    <w:rsid w:val="63712A0A"/>
    <w:rsid w:val="645DBD1C"/>
    <w:rsid w:val="64EC5ABD"/>
    <w:rsid w:val="6539AB18"/>
    <w:rsid w:val="657C4057"/>
    <w:rsid w:val="65B1699A"/>
    <w:rsid w:val="665BFC68"/>
    <w:rsid w:val="66ED2BA4"/>
    <w:rsid w:val="6736C449"/>
    <w:rsid w:val="675A8268"/>
    <w:rsid w:val="67BA0C2C"/>
    <w:rsid w:val="687C6E1C"/>
    <w:rsid w:val="68FDA52C"/>
    <w:rsid w:val="69044AB8"/>
    <w:rsid w:val="69CA9A27"/>
    <w:rsid w:val="6A0BB9EB"/>
    <w:rsid w:val="6A1ED3BF"/>
    <w:rsid w:val="6A478F92"/>
    <w:rsid w:val="6A5D7A13"/>
    <w:rsid w:val="6AD00C14"/>
    <w:rsid w:val="6B7276A2"/>
    <w:rsid w:val="6BA94B51"/>
    <w:rsid w:val="6BAE582C"/>
    <w:rsid w:val="6BB5066B"/>
    <w:rsid w:val="6D0549E6"/>
    <w:rsid w:val="6D3E0847"/>
    <w:rsid w:val="6D87FFFF"/>
    <w:rsid w:val="6F0A7156"/>
    <w:rsid w:val="6F23FBEA"/>
    <w:rsid w:val="6FC3100E"/>
    <w:rsid w:val="704AAA68"/>
    <w:rsid w:val="70E6EE11"/>
    <w:rsid w:val="71291E45"/>
    <w:rsid w:val="71CFAEA1"/>
    <w:rsid w:val="71F9740F"/>
    <w:rsid w:val="72008B96"/>
    <w:rsid w:val="733DBAE5"/>
    <w:rsid w:val="73ACF4FE"/>
    <w:rsid w:val="73F2CEA7"/>
    <w:rsid w:val="7412DDD9"/>
    <w:rsid w:val="74199ABF"/>
    <w:rsid w:val="744475BD"/>
    <w:rsid w:val="74BE15DD"/>
    <w:rsid w:val="756A3EB5"/>
    <w:rsid w:val="756F4E0C"/>
    <w:rsid w:val="7583727D"/>
    <w:rsid w:val="758E5998"/>
    <w:rsid w:val="75930395"/>
    <w:rsid w:val="75FFE982"/>
    <w:rsid w:val="7716DA4A"/>
    <w:rsid w:val="77544DE6"/>
    <w:rsid w:val="7865D49B"/>
    <w:rsid w:val="79B61668"/>
    <w:rsid w:val="79F1E9EE"/>
    <w:rsid w:val="79FB90D2"/>
    <w:rsid w:val="7A16F8BF"/>
    <w:rsid w:val="7A65A4C7"/>
    <w:rsid w:val="7A79599C"/>
    <w:rsid w:val="7B199B1C"/>
    <w:rsid w:val="7B7DCCFE"/>
    <w:rsid w:val="7B838869"/>
    <w:rsid w:val="7B85F757"/>
    <w:rsid w:val="7E274C6E"/>
    <w:rsid w:val="7E380963"/>
    <w:rsid w:val="7E8C9797"/>
    <w:rsid w:val="7EBF8DE3"/>
    <w:rsid w:val="7F4D1AF9"/>
    <w:rsid w:val="7F624177"/>
    <w:rsid w:val="7FBF26E9"/>
    <w:rsid w:val="7FF3D75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mso-position-horizontal-relative:margin;mso-position-vertical:center;mso-position-vertical-relative:margin" fill="f" fillcolor="#a6a6a6" stroke="f">
      <v:fill color="#a6a6a6" on="f"/>
      <v:stroke on="f"/>
      <v:shadow color="#868686"/>
    </o:shapedefaults>
    <o:shapelayout v:ext="edit">
      <o:idmap v:ext="edit" data="2"/>
    </o:shapelayout>
  </w:shapeDefaults>
  <w:decimalSymbol w:val="."/>
  <w:listSeparator w:val=","/>
  <w14:docId w14:val="5C77EEEF"/>
  <w15:docId w15:val="{2D3B0089-2189-43A2-B3DC-627ED92C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7474"/>
    <w:pPr>
      <w:jc w:val="both"/>
    </w:pPr>
    <w:rPr>
      <w:rFonts w:ascii="Arial" w:hAnsi="Arial"/>
      <w:sz w:val="22"/>
      <w:lang w:eastAsia="de-DE"/>
    </w:rPr>
  </w:style>
  <w:style w:type="paragraph" w:styleId="Heading1">
    <w:name w:val="heading 1"/>
    <w:basedOn w:val="Normal"/>
    <w:next w:val="Normal"/>
    <w:link w:val="Heading1Char"/>
    <w:uiPriority w:val="9"/>
    <w:qFormat/>
    <w:rsid w:val="00967474"/>
    <w:pPr>
      <w:keepNext/>
      <w:keepLines/>
      <w:numPr>
        <w:numId w:val="3"/>
      </w:numPr>
      <w:spacing w:before="480"/>
      <w:outlineLvl w:val="0"/>
    </w:pPr>
    <w:rPr>
      <w:rFonts w:asciiTheme="majorHAnsi" w:eastAsiaTheme="majorEastAsia" w:hAnsiTheme="majorHAnsi" w:cstheme="majorBidi"/>
      <w:b/>
      <w:bCs/>
      <w:color w:val="A5A5A5" w:themeColor="accent1" w:themeShade="BF"/>
      <w:sz w:val="28"/>
      <w:szCs w:val="28"/>
      <w:lang w:val="en-US" w:eastAsia="en-US"/>
    </w:rPr>
  </w:style>
  <w:style w:type="paragraph" w:styleId="Heading2">
    <w:name w:val="heading 2"/>
    <w:basedOn w:val="Normal"/>
    <w:next w:val="Normal"/>
    <w:link w:val="Heading2Char"/>
    <w:uiPriority w:val="9"/>
    <w:unhideWhenUsed/>
    <w:qFormat/>
    <w:rsid w:val="00967474"/>
    <w:pPr>
      <w:keepNext/>
      <w:keepLines/>
      <w:numPr>
        <w:ilvl w:val="1"/>
        <w:numId w:val="3"/>
      </w:numPr>
      <w:spacing w:before="200"/>
      <w:outlineLvl w:val="1"/>
    </w:pPr>
    <w:rPr>
      <w:rFonts w:asciiTheme="majorHAnsi" w:eastAsiaTheme="majorEastAsia" w:hAnsiTheme="majorHAnsi" w:cstheme="majorBidi"/>
      <w:b/>
      <w:bCs/>
      <w:color w:val="DDDDDD" w:themeColor="accent1"/>
      <w:sz w:val="26"/>
      <w:szCs w:val="26"/>
      <w:lang w:val="en-US" w:eastAsia="en-US"/>
    </w:rPr>
  </w:style>
  <w:style w:type="paragraph" w:styleId="Heading3">
    <w:name w:val="heading 3"/>
    <w:basedOn w:val="Normal"/>
    <w:next w:val="Normal"/>
    <w:link w:val="Heading3Char"/>
    <w:uiPriority w:val="9"/>
    <w:unhideWhenUsed/>
    <w:qFormat/>
    <w:rsid w:val="00967474"/>
    <w:pPr>
      <w:keepNext/>
      <w:keepLines/>
      <w:numPr>
        <w:ilvl w:val="2"/>
        <w:numId w:val="3"/>
      </w:numPr>
      <w:spacing w:before="200"/>
      <w:outlineLvl w:val="2"/>
    </w:pPr>
    <w:rPr>
      <w:rFonts w:asciiTheme="majorHAnsi" w:eastAsiaTheme="majorEastAsia" w:hAnsiTheme="majorHAnsi" w:cstheme="majorBidi"/>
      <w:b/>
      <w:bCs/>
      <w:color w:val="DDDDDD" w:themeColor="accent1"/>
      <w:sz w:val="24"/>
      <w:szCs w:val="24"/>
      <w:lang w:val="en-US" w:eastAsia="en-US"/>
    </w:rPr>
  </w:style>
  <w:style w:type="paragraph" w:styleId="Heading4">
    <w:name w:val="heading 4"/>
    <w:basedOn w:val="Normal"/>
    <w:next w:val="Normal"/>
    <w:link w:val="Heading4Char"/>
    <w:uiPriority w:val="9"/>
    <w:unhideWhenUsed/>
    <w:qFormat/>
    <w:rsid w:val="00967474"/>
    <w:pPr>
      <w:keepNext/>
      <w:keepLines/>
      <w:numPr>
        <w:ilvl w:val="3"/>
        <w:numId w:val="3"/>
      </w:numPr>
      <w:spacing w:before="200"/>
      <w:outlineLvl w:val="3"/>
    </w:pPr>
    <w:rPr>
      <w:rFonts w:asciiTheme="majorHAnsi" w:eastAsiaTheme="majorEastAsia" w:hAnsiTheme="majorHAnsi" w:cstheme="majorBidi"/>
      <w:b/>
      <w:bCs/>
      <w:i/>
      <w:iCs/>
      <w:color w:val="DDDDDD" w:themeColor="accent1"/>
      <w:sz w:val="24"/>
      <w:szCs w:val="24"/>
      <w:lang w:val="en-US" w:eastAsia="en-US"/>
    </w:rPr>
  </w:style>
  <w:style w:type="paragraph" w:styleId="Heading5">
    <w:name w:val="heading 5"/>
    <w:basedOn w:val="Normal"/>
    <w:next w:val="Normal"/>
    <w:link w:val="Heading5Char"/>
    <w:uiPriority w:val="9"/>
    <w:unhideWhenUsed/>
    <w:qFormat/>
    <w:rsid w:val="00967474"/>
    <w:pPr>
      <w:keepNext/>
      <w:keepLines/>
      <w:numPr>
        <w:ilvl w:val="4"/>
        <w:numId w:val="3"/>
      </w:numPr>
      <w:spacing w:before="200"/>
      <w:outlineLvl w:val="4"/>
    </w:pPr>
    <w:rPr>
      <w:rFonts w:asciiTheme="majorHAnsi" w:eastAsiaTheme="majorEastAsia" w:hAnsiTheme="majorHAnsi" w:cstheme="majorBidi"/>
      <w:color w:val="6E6E6E" w:themeColor="accent1" w:themeShade="7F"/>
      <w:sz w:val="24"/>
      <w:szCs w:val="24"/>
      <w:lang w:val="en-US" w:eastAsia="en-US"/>
    </w:rPr>
  </w:style>
  <w:style w:type="paragraph" w:styleId="Heading6">
    <w:name w:val="heading 6"/>
    <w:basedOn w:val="Normal"/>
    <w:next w:val="Normal"/>
    <w:link w:val="Heading6Char"/>
    <w:uiPriority w:val="9"/>
    <w:unhideWhenUsed/>
    <w:qFormat/>
    <w:rsid w:val="00967474"/>
    <w:pPr>
      <w:keepNext/>
      <w:keepLines/>
      <w:numPr>
        <w:ilvl w:val="5"/>
        <w:numId w:val="3"/>
      </w:numPr>
      <w:spacing w:before="200"/>
      <w:outlineLvl w:val="5"/>
    </w:pPr>
    <w:rPr>
      <w:rFonts w:asciiTheme="majorHAnsi" w:eastAsiaTheme="majorEastAsia" w:hAnsiTheme="majorHAnsi" w:cstheme="majorBidi"/>
      <w:i/>
      <w:iCs/>
      <w:color w:val="6E6E6E" w:themeColor="accent1" w:themeShade="7F"/>
      <w:sz w:val="24"/>
      <w:szCs w:val="24"/>
      <w:lang w:val="en-US" w:eastAsia="en-US"/>
    </w:rPr>
  </w:style>
  <w:style w:type="paragraph" w:styleId="Heading7">
    <w:name w:val="heading 7"/>
    <w:basedOn w:val="Normal"/>
    <w:next w:val="Normal"/>
    <w:link w:val="Heading7Char"/>
    <w:uiPriority w:val="9"/>
    <w:unhideWhenUsed/>
    <w:qFormat/>
    <w:rsid w:val="00967474"/>
    <w:pPr>
      <w:keepNext/>
      <w:keepLines/>
      <w:numPr>
        <w:ilvl w:val="6"/>
        <w:numId w:val="3"/>
      </w:numPr>
      <w:spacing w:before="200"/>
      <w:outlineLvl w:val="6"/>
    </w:pPr>
    <w:rPr>
      <w:rFonts w:asciiTheme="majorHAnsi" w:eastAsiaTheme="majorEastAsia" w:hAnsiTheme="majorHAnsi" w:cstheme="majorBidi"/>
      <w:i/>
      <w:iCs/>
      <w:color w:val="404040" w:themeColor="text1" w:themeTint="BF"/>
      <w:sz w:val="24"/>
      <w:szCs w:val="24"/>
      <w:lang w:val="en-US" w:eastAsia="en-US"/>
    </w:rPr>
  </w:style>
  <w:style w:type="paragraph" w:styleId="Heading8">
    <w:name w:val="heading 8"/>
    <w:basedOn w:val="Normal"/>
    <w:next w:val="Normal"/>
    <w:link w:val="Heading8Char"/>
    <w:uiPriority w:val="9"/>
    <w:unhideWhenUsed/>
    <w:qFormat/>
    <w:rsid w:val="00967474"/>
    <w:pPr>
      <w:keepNext/>
      <w:keepLines/>
      <w:numPr>
        <w:ilvl w:val="7"/>
        <w:numId w:val="3"/>
      </w:numPr>
      <w:spacing w:before="200"/>
      <w:outlineLvl w:val="7"/>
    </w:pPr>
    <w:rPr>
      <w:rFonts w:asciiTheme="majorHAnsi" w:eastAsiaTheme="majorEastAsia" w:hAnsiTheme="majorHAnsi" w:cstheme="majorBidi"/>
      <w:color w:val="404040" w:themeColor="text1" w:themeTint="BF"/>
      <w:sz w:val="20"/>
      <w:lang w:val="en-US" w:eastAsia="en-US"/>
    </w:rPr>
  </w:style>
  <w:style w:type="paragraph" w:styleId="Heading9">
    <w:name w:val="heading 9"/>
    <w:basedOn w:val="Normal"/>
    <w:next w:val="Normal"/>
    <w:link w:val="Heading9Char"/>
    <w:uiPriority w:val="9"/>
    <w:unhideWhenUsed/>
    <w:qFormat/>
    <w:rsid w:val="00967474"/>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67474"/>
    <w:pPr>
      <w:tabs>
        <w:tab w:val="center" w:pos="4320"/>
        <w:tab w:val="right" w:pos="8640"/>
      </w:tabs>
    </w:pPr>
  </w:style>
  <w:style w:type="paragraph" w:styleId="Footer">
    <w:name w:val="footer"/>
    <w:basedOn w:val="Normal"/>
    <w:link w:val="FooterChar"/>
    <w:uiPriority w:val="99"/>
    <w:rsid w:val="00967474"/>
    <w:pPr>
      <w:tabs>
        <w:tab w:val="center" w:pos="4320"/>
        <w:tab w:val="right" w:pos="8640"/>
      </w:tabs>
    </w:pPr>
  </w:style>
  <w:style w:type="paragraph" w:styleId="TOC3">
    <w:name w:val="toc 3"/>
    <w:basedOn w:val="TOC1"/>
    <w:link w:val="TOC3Char"/>
    <w:uiPriority w:val="39"/>
    <w:rsid w:val="00967474"/>
    <w:pPr>
      <w:ind w:left="2268" w:hanging="992"/>
    </w:pPr>
    <w:rPr>
      <w:b w:val="0"/>
      <w:caps w:val="0"/>
    </w:rPr>
  </w:style>
  <w:style w:type="paragraph" w:styleId="TOC2">
    <w:name w:val="toc 2"/>
    <w:basedOn w:val="TOC1"/>
    <w:link w:val="TOC2Char"/>
    <w:uiPriority w:val="39"/>
    <w:rsid w:val="00967474"/>
    <w:pPr>
      <w:ind w:left="1276" w:hanging="709"/>
    </w:pPr>
    <w:rPr>
      <w:b w:val="0"/>
      <w:caps w:val="0"/>
    </w:rPr>
  </w:style>
  <w:style w:type="paragraph" w:styleId="TOC1">
    <w:name w:val="toc 1"/>
    <w:basedOn w:val="Normal"/>
    <w:link w:val="TOC1Char"/>
    <w:uiPriority w:val="39"/>
    <w:rsid w:val="00967474"/>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basedOn w:val="Normal"/>
    <w:link w:val="FootnoteTextChar"/>
    <w:rsid w:val="0092386C"/>
    <w:pPr>
      <w:keepLines/>
      <w:numPr>
        <w:numId w:val="19"/>
      </w:numPr>
      <w:spacing w:before="120" w:after="60"/>
    </w:pPr>
    <w:rPr>
      <w:rFonts w:eastAsia="Times New Roman"/>
      <w:sz w:val="20"/>
    </w:rPr>
  </w:style>
  <w:style w:type="character" w:styleId="Hyperlink">
    <w:name w:val="Hyperlink"/>
    <w:uiPriority w:val="99"/>
    <w:rsid w:val="00967474"/>
    <w:rPr>
      <w:color w:val="0000FF"/>
      <w:u w:val="single"/>
    </w:rPr>
  </w:style>
  <w:style w:type="paragraph" w:styleId="EndnoteText">
    <w:name w:val="endnote text"/>
    <w:basedOn w:val="Normal"/>
    <w:link w:val="EndnoteTextChar"/>
    <w:uiPriority w:val="99"/>
    <w:rsid w:val="00967474"/>
    <w:rPr>
      <w:lang w:eastAsia="en-US"/>
    </w:rPr>
  </w:style>
  <w:style w:type="paragraph" w:styleId="CommentText">
    <w:name w:val="annotation text"/>
    <w:basedOn w:val="Normal"/>
    <w:link w:val="CommentTextChar1"/>
    <w:unhideWhenUsed/>
    <w:rPr>
      <w:sz w:val="20"/>
    </w:rPr>
  </w:style>
  <w:style w:type="paragraph" w:styleId="Caption">
    <w:name w:val="caption"/>
    <w:basedOn w:val="Normal"/>
    <w:qFormat/>
    <w:rsid w:val="00967474"/>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uiPriority w:val="39"/>
    <w:rsid w:val="00967474"/>
    <w:pPr>
      <w:ind w:left="1760"/>
    </w:pPr>
  </w:style>
  <w:style w:type="paragraph" w:styleId="CommentSubject">
    <w:name w:val="annotation subject"/>
    <w:basedOn w:val="CommentText"/>
    <w:next w:val="CommentText"/>
    <w:link w:val="CommentSubjectChar1"/>
    <w:uiPriority w:val="99"/>
    <w:rsid w:val="00967474"/>
    <w:rPr>
      <w:rFonts w:eastAsia="Times New Roman"/>
      <w:b/>
      <w:bCs/>
    </w:rPr>
  </w:style>
  <w:style w:type="paragraph" w:styleId="IndexHeading">
    <w:name w:val="index heading"/>
    <w:basedOn w:val="Normal"/>
    <w:next w:val="Normal"/>
    <w:rsid w:val="00967474"/>
    <w:rPr>
      <w:rFonts w:cs="Arial"/>
      <w:b/>
      <w:bCs/>
    </w:rPr>
  </w:style>
  <w:style w:type="paragraph" w:styleId="TableofAuthorities">
    <w:name w:val="table of authorities"/>
    <w:basedOn w:val="Normal"/>
    <w:next w:val="Normal"/>
    <w:rsid w:val="00967474"/>
    <w:pPr>
      <w:ind w:left="220" w:hanging="220"/>
    </w:pPr>
  </w:style>
  <w:style w:type="paragraph" w:styleId="TableofFigures">
    <w:name w:val="table of figures"/>
    <w:basedOn w:val="Normal"/>
    <w:next w:val="Normal"/>
    <w:rsid w:val="00967474"/>
  </w:style>
  <w:style w:type="paragraph" w:styleId="TOAHeading">
    <w:name w:val="toa heading"/>
    <w:basedOn w:val="Normal"/>
    <w:next w:val="Normal"/>
    <w:rsid w:val="00967474"/>
    <w:pPr>
      <w:spacing w:before="120"/>
    </w:pPr>
    <w:rPr>
      <w:rFonts w:cs="Arial"/>
      <w:b/>
      <w:bCs/>
      <w:sz w:val="24"/>
      <w:szCs w:val="24"/>
    </w:rPr>
  </w:style>
  <w:style w:type="paragraph" w:styleId="TOC4">
    <w:name w:val="toc 4"/>
    <w:basedOn w:val="TOC1"/>
    <w:uiPriority w:val="39"/>
    <w:rsid w:val="00967474"/>
    <w:pPr>
      <w:ind w:left="3544" w:hanging="1276"/>
    </w:pPr>
    <w:rPr>
      <w:b w:val="0"/>
      <w:caps w:val="0"/>
      <w:noProof/>
    </w:rPr>
  </w:style>
  <w:style w:type="paragraph" w:styleId="TOC5">
    <w:name w:val="toc 5"/>
    <w:basedOn w:val="TOC1"/>
    <w:uiPriority w:val="39"/>
    <w:rsid w:val="00967474"/>
    <w:pPr>
      <w:ind w:left="5103" w:hanging="1559"/>
    </w:pPr>
    <w:rPr>
      <w:b w:val="0"/>
      <w:caps w:val="0"/>
      <w:noProof/>
    </w:rPr>
  </w:style>
  <w:style w:type="paragraph" w:styleId="TOC6">
    <w:name w:val="toc 6"/>
    <w:basedOn w:val="TOC1"/>
    <w:next w:val="Normal"/>
    <w:uiPriority w:val="39"/>
    <w:rsid w:val="00967474"/>
    <w:pPr>
      <w:ind w:left="1588" w:hanging="1588"/>
    </w:pPr>
    <w:rPr>
      <w:noProof/>
    </w:rPr>
  </w:style>
  <w:style w:type="paragraph" w:styleId="TOC7">
    <w:name w:val="toc 7"/>
    <w:basedOn w:val="Normal"/>
    <w:next w:val="Normal"/>
    <w:autoRedefine/>
    <w:uiPriority w:val="39"/>
    <w:rsid w:val="00967474"/>
    <w:pPr>
      <w:ind w:left="1320"/>
    </w:pPr>
  </w:style>
  <w:style w:type="paragraph" w:styleId="TOC8">
    <w:name w:val="toc 8"/>
    <w:basedOn w:val="Normal"/>
    <w:next w:val="Normal"/>
    <w:autoRedefine/>
    <w:uiPriority w:val="39"/>
    <w:rsid w:val="00967474"/>
    <w:pPr>
      <w:ind w:left="1540"/>
    </w:pPr>
  </w:style>
  <w:style w:type="paragraph" w:customStyle="1" w:styleId="SDMTiHead">
    <w:name w:val="SDMTiHead"/>
    <w:basedOn w:val="Header"/>
    <w:rsid w:val="0092386C"/>
    <w:pPr>
      <w:ind w:left="-330" w:firstLine="330"/>
    </w:pPr>
    <w:rPr>
      <w:rFonts w:eastAsia="Times New Roman" w:cs="Arial"/>
      <w:caps/>
      <w:szCs w:val="19"/>
    </w:rPr>
  </w:style>
  <w:style w:type="paragraph" w:customStyle="1" w:styleId="SDMTitle2">
    <w:name w:val="SDMTitle2"/>
    <w:basedOn w:val="Normal"/>
    <w:rsid w:val="0092386C"/>
    <w:pPr>
      <w:spacing w:after="600"/>
      <w:jc w:val="left"/>
    </w:pPr>
    <w:rPr>
      <w:rFonts w:eastAsia="Times New Roman" w:cs="Arial"/>
      <w:sz w:val="48"/>
      <w:szCs w:val="48"/>
    </w:rPr>
  </w:style>
  <w:style w:type="paragraph" w:customStyle="1" w:styleId="SDMTitle1">
    <w:name w:val="SDMTitle1"/>
    <w:basedOn w:val="Normal"/>
    <w:rsid w:val="0092386C"/>
    <w:pPr>
      <w:pBdr>
        <w:bottom w:val="single" w:sz="12" w:space="7" w:color="auto"/>
      </w:pBdr>
      <w:spacing w:before="1800" w:after="200"/>
      <w:jc w:val="left"/>
    </w:pPr>
    <w:rPr>
      <w:rFonts w:eastAsia="Times New Roman" w:cs="Arial"/>
      <w:sz w:val="48"/>
      <w:szCs w:val="48"/>
    </w:rPr>
  </w:style>
  <w:style w:type="paragraph" w:customStyle="1" w:styleId="SDMTiInfo">
    <w:name w:val="SDMTiInfo"/>
    <w:basedOn w:val="Normal"/>
    <w:rsid w:val="0092386C"/>
    <w:pPr>
      <w:spacing w:before="300"/>
    </w:pPr>
    <w:rPr>
      <w:rFonts w:eastAsia="Times New Roman" w:cs="Arial"/>
      <w:szCs w:val="22"/>
    </w:rPr>
  </w:style>
  <w:style w:type="paragraph" w:customStyle="1" w:styleId="SDMHead1">
    <w:name w:val="SDMHead1"/>
    <w:basedOn w:val="Normal"/>
    <w:link w:val="SDMHead1Char"/>
    <w:rsid w:val="0092386C"/>
    <w:pPr>
      <w:keepNext/>
      <w:keepLines/>
      <w:numPr>
        <w:numId w:val="20"/>
      </w:numPr>
      <w:suppressAutoHyphens/>
      <w:spacing w:before="240" w:after="60"/>
      <w:outlineLvl w:val="0"/>
    </w:pPr>
    <w:rPr>
      <w:rFonts w:eastAsia="Times New Roman" w:cs="Arial"/>
      <w:b/>
      <w:sz w:val="32"/>
      <w:szCs w:val="32"/>
    </w:rPr>
  </w:style>
  <w:style w:type="paragraph" w:customStyle="1" w:styleId="SDMHead2">
    <w:name w:val="SDMHead2"/>
    <w:basedOn w:val="Normal"/>
    <w:rsid w:val="0092386C"/>
    <w:pPr>
      <w:keepNext/>
      <w:keepLines/>
      <w:numPr>
        <w:ilvl w:val="1"/>
        <w:numId w:val="20"/>
      </w:numPr>
      <w:suppressAutoHyphens/>
      <w:spacing w:before="240" w:after="60"/>
      <w:outlineLvl w:val="1"/>
    </w:pPr>
    <w:rPr>
      <w:rFonts w:eastAsia="Times New Roman" w:cs="Arial"/>
      <w:b/>
      <w:sz w:val="24"/>
      <w:szCs w:val="24"/>
    </w:rPr>
  </w:style>
  <w:style w:type="paragraph" w:customStyle="1" w:styleId="SDMHead3">
    <w:name w:val="SDMHead3"/>
    <w:basedOn w:val="Normal"/>
    <w:rsid w:val="0092386C"/>
    <w:pPr>
      <w:keepNext/>
      <w:keepLines/>
      <w:numPr>
        <w:ilvl w:val="2"/>
        <w:numId w:val="20"/>
      </w:numPr>
      <w:suppressAutoHyphens/>
      <w:spacing w:before="240" w:after="60"/>
      <w:outlineLvl w:val="2"/>
    </w:pPr>
    <w:rPr>
      <w:rFonts w:eastAsia="Times New Roman" w:cs="Arial"/>
      <w:b/>
      <w:szCs w:val="24"/>
    </w:rPr>
  </w:style>
  <w:style w:type="paragraph" w:customStyle="1" w:styleId="SDMHead4">
    <w:name w:val="SDMHead4"/>
    <w:basedOn w:val="Normal"/>
    <w:rsid w:val="0092386C"/>
    <w:pPr>
      <w:keepNext/>
      <w:keepLines/>
      <w:numPr>
        <w:ilvl w:val="3"/>
        <w:numId w:val="20"/>
      </w:numPr>
      <w:suppressAutoHyphens/>
      <w:spacing w:before="240" w:after="60"/>
      <w:outlineLvl w:val="3"/>
    </w:pPr>
    <w:rPr>
      <w:rFonts w:eastAsia="Times New Roman" w:cs="Arial"/>
      <w:b/>
      <w:szCs w:val="24"/>
    </w:rPr>
  </w:style>
  <w:style w:type="paragraph" w:customStyle="1" w:styleId="SDMHead5">
    <w:name w:val="SDMHead5"/>
    <w:basedOn w:val="Normal"/>
    <w:rsid w:val="0092386C"/>
    <w:pPr>
      <w:keepNext/>
      <w:keepLines/>
      <w:numPr>
        <w:ilvl w:val="4"/>
        <w:numId w:val="20"/>
      </w:numPr>
      <w:suppressAutoHyphens/>
      <w:spacing w:before="240" w:after="60"/>
      <w:outlineLvl w:val="4"/>
    </w:pPr>
    <w:rPr>
      <w:rFonts w:eastAsia="Times New Roman" w:cs="Arial"/>
      <w:b/>
      <w:szCs w:val="24"/>
    </w:rPr>
  </w:style>
  <w:style w:type="character" w:customStyle="1" w:styleId="SDMHead1Char">
    <w:name w:val="SDMHead1 Char"/>
    <w:link w:val="SDMHead1"/>
    <w:rsid w:val="0092386C"/>
    <w:rPr>
      <w:rFonts w:ascii="Arial" w:eastAsia="Times New Roman" w:hAnsi="Arial" w:cs="Arial"/>
      <w:b/>
      <w:sz w:val="32"/>
      <w:szCs w:val="32"/>
      <w:lang w:eastAsia="de-DE"/>
    </w:rPr>
  </w:style>
  <w:style w:type="paragraph" w:customStyle="1" w:styleId="SDMPara">
    <w:name w:val="SDMPara"/>
    <w:basedOn w:val="Normal"/>
    <w:link w:val="SDMParaChar"/>
    <w:qFormat/>
    <w:rsid w:val="0092386C"/>
    <w:pPr>
      <w:numPr>
        <w:numId w:val="14"/>
      </w:numPr>
      <w:spacing w:before="180"/>
    </w:pPr>
    <w:rPr>
      <w:rFonts w:eastAsia="Times New Roman" w:cs="Arial"/>
      <w:szCs w:val="22"/>
    </w:rPr>
  </w:style>
  <w:style w:type="paragraph" w:customStyle="1" w:styleId="SDMSubPara1">
    <w:name w:val="SDMSubPara1"/>
    <w:basedOn w:val="Normal"/>
    <w:link w:val="SDMSubPara1Char"/>
    <w:qFormat/>
    <w:rsid w:val="0092386C"/>
    <w:pPr>
      <w:numPr>
        <w:ilvl w:val="1"/>
        <w:numId w:val="14"/>
      </w:numPr>
      <w:spacing w:before="180"/>
    </w:pPr>
    <w:rPr>
      <w:rFonts w:eastAsia="Times New Roman" w:cs="Arial"/>
      <w:szCs w:val="22"/>
    </w:rPr>
  </w:style>
  <w:style w:type="paragraph" w:customStyle="1" w:styleId="SDMSubPara2">
    <w:name w:val="SDMSubPara2"/>
    <w:basedOn w:val="Normal"/>
    <w:qFormat/>
    <w:rsid w:val="0092386C"/>
    <w:pPr>
      <w:numPr>
        <w:ilvl w:val="2"/>
        <w:numId w:val="14"/>
      </w:numPr>
      <w:spacing w:before="180"/>
    </w:pPr>
    <w:rPr>
      <w:rFonts w:eastAsia="Times New Roman" w:cs="Arial"/>
      <w:szCs w:val="22"/>
    </w:rPr>
  </w:style>
  <w:style w:type="character" w:customStyle="1" w:styleId="FootnoteTextChar">
    <w:name w:val="Footnote Text Char"/>
    <w:link w:val="FootnoteText"/>
    <w:rsid w:val="0092386C"/>
    <w:rPr>
      <w:rFonts w:ascii="Arial" w:eastAsia="Times New Roman" w:hAnsi="Arial"/>
      <w:lang w:eastAsia="de-DE"/>
    </w:rPr>
  </w:style>
  <w:style w:type="table" w:customStyle="1" w:styleId="SDMTable">
    <w:name w:val="SDMTable"/>
    <w:basedOn w:val="TableNormal"/>
    <w:rsid w:val="0092386C"/>
    <w:rPr>
      <w:rFonts w:ascii="Arial" w:eastAsia="Times New Roman" w:hAnsi="Arial"/>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92386C"/>
    <w:pPr>
      <w:jc w:val="center"/>
    </w:pPr>
    <w:rPr>
      <w:rFonts w:eastAsia="Times New Roman" w:cs="Arial"/>
      <w:sz w:val="20"/>
    </w:rPr>
  </w:style>
  <w:style w:type="table" w:customStyle="1" w:styleId="SDMTableDocInfo">
    <w:name w:val="SDMTableDocInfo"/>
    <w:basedOn w:val="TableNormal"/>
    <w:rsid w:val="0092386C"/>
    <w:pPr>
      <w:keepNext/>
      <w:spacing w:before="80" w:after="80"/>
    </w:pPr>
    <w:rPr>
      <w:rFonts w:ascii="Arial" w:eastAsia="Times New Roman" w:hAnsi="Arial"/>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92386C"/>
    <w:pPr>
      <w:keepLines/>
      <w:numPr>
        <w:numId w:val="18"/>
      </w:numPr>
      <w:spacing w:before="80" w:after="80"/>
    </w:pPr>
    <w:rPr>
      <w:rFonts w:eastAsia="Times New Roman" w:cs="Arial"/>
      <w:sz w:val="20"/>
    </w:rPr>
  </w:style>
  <w:style w:type="character" w:customStyle="1" w:styleId="SDMDocInfoTextChar">
    <w:name w:val="SDMDocInfoText Char"/>
    <w:link w:val="SDMDocInfoText"/>
    <w:rsid w:val="0092386C"/>
    <w:rPr>
      <w:rFonts w:ascii="Arial" w:eastAsia="Times New Roman" w:hAnsi="Arial" w:cs="Arial"/>
      <w:lang w:eastAsia="de-DE"/>
    </w:rPr>
  </w:style>
  <w:style w:type="paragraph" w:customStyle="1" w:styleId="SDMDocInfoTitle">
    <w:name w:val="SDMDocInfoTitle"/>
    <w:basedOn w:val="Normal"/>
    <w:rsid w:val="0092386C"/>
    <w:pPr>
      <w:keepNext/>
      <w:keepLines/>
      <w:spacing w:before="480" w:after="240"/>
      <w:jc w:val="center"/>
    </w:pPr>
    <w:rPr>
      <w:rFonts w:eastAsia="Times New Roman" w:cs="Arial"/>
      <w:b/>
      <w:szCs w:val="22"/>
    </w:rPr>
  </w:style>
  <w:style w:type="paragraph" w:customStyle="1" w:styleId="SDMSubPara3">
    <w:name w:val="SDMSubPara3"/>
    <w:basedOn w:val="Normal"/>
    <w:qFormat/>
    <w:rsid w:val="0092386C"/>
    <w:pPr>
      <w:numPr>
        <w:ilvl w:val="3"/>
        <w:numId w:val="14"/>
      </w:numPr>
      <w:spacing w:before="180"/>
    </w:pPr>
    <w:rPr>
      <w:rFonts w:eastAsia="Times New Roman"/>
    </w:rPr>
  </w:style>
  <w:style w:type="paragraph" w:customStyle="1" w:styleId="SDMSubPara4">
    <w:name w:val="SDMSubPara4"/>
    <w:basedOn w:val="Normal"/>
    <w:qFormat/>
    <w:rsid w:val="0092386C"/>
    <w:pPr>
      <w:numPr>
        <w:ilvl w:val="4"/>
        <w:numId w:val="14"/>
      </w:numPr>
      <w:spacing w:before="180"/>
    </w:pPr>
    <w:rPr>
      <w:rFonts w:eastAsia="Times New Roman"/>
    </w:rPr>
  </w:style>
  <w:style w:type="character" w:customStyle="1" w:styleId="TOC1Char">
    <w:name w:val="TOC 1 Char"/>
    <w:link w:val="TOC1"/>
    <w:uiPriority w:val="39"/>
    <w:rsid w:val="00967474"/>
    <w:rPr>
      <w:rFonts w:ascii="Arial" w:hAnsi="Arial" w:cs="Arial"/>
      <w:b/>
      <w:caps/>
      <w:sz w:val="21"/>
      <w:szCs w:val="21"/>
      <w:lang w:eastAsia="de-DE"/>
    </w:rPr>
  </w:style>
  <w:style w:type="character" w:customStyle="1" w:styleId="TOC2Char">
    <w:name w:val="TOC 2 Char"/>
    <w:link w:val="TOC2"/>
    <w:uiPriority w:val="39"/>
    <w:rsid w:val="00967474"/>
    <w:rPr>
      <w:rFonts w:ascii="Arial" w:hAnsi="Arial" w:cs="Arial"/>
      <w:sz w:val="21"/>
      <w:szCs w:val="21"/>
      <w:lang w:eastAsia="de-DE"/>
    </w:rPr>
  </w:style>
  <w:style w:type="character" w:customStyle="1" w:styleId="TOC3Char">
    <w:name w:val="TOC 3 Char"/>
    <w:link w:val="TOC3"/>
    <w:uiPriority w:val="39"/>
    <w:rsid w:val="00967474"/>
    <w:rPr>
      <w:rFonts w:ascii="Arial" w:hAnsi="Arial" w:cs="Arial"/>
      <w:sz w:val="21"/>
      <w:szCs w:val="21"/>
      <w:lang w:eastAsia="de-DE"/>
    </w:rPr>
  </w:style>
  <w:style w:type="paragraph" w:customStyle="1" w:styleId="SDMHeader">
    <w:name w:val="SDMHeader"/>
    <w:basedOn w:val="Header"/>
    <w:rsid w:val="0092386C"/>
    <w:pPr>
      <w:pBdr>
        <w:bottom w:val="single" w:sz="4" w:space="10" w:color="auto"/>
      </w:pBdr>
      <w:tabs>
        <w:tab w:val="clear" w:pos="4320"/>
        <w:tab w:val="clear" w:pos="8640"/>
        <w:tab w:val="right" w:pos="9356"/>
        <w:tab w:val="right" w:pos="14288"/>
      </w:tabs>
    </w:pPr>
    <w:rPr>
      <w:rFonts w:eastAsia="Times New Roman" w:cs="Arial"/>
      <w:sz w:val="20"/>
      <w:szCs w:val="16"/>
    </w:rPr>
  </w:style>
  <w:style w:type="paragraph" w:customStyle="1" w:styleId="SDMDocInfoHeadRow">
    <w:name w:val="SDMDocInfoHeadRow"/>
    <w:basedOn w:val="Normal"/>
    <w:rsid w:val="0092386C"/>
    <w:pPr>
      <w:keepNext/>
      <w:keepLines/>
    </w:pPr>
    <w:rPr>
      <w:rFonts w:eastAsia="Times New Roman" w:cs="Arial"/>
      <w:i/>
      <w:sz w:val="16"/>
      <w:szCs w:val="16"/>
    </w:rPr>
  </w:style>
  <w:style w:type="table" w:customStyle="1" w:styleId="SDMBox">
    <w:name w:val="SDMBox"/>
    <w:basedOn w:val="TableNormal"/>
    <w:rsid w:val="0092386C"/>
    <w:rPr>
      <w:rFonts w:ascii="Arial" w:eastAsia="Times New Roman" w:hAnsi="Arial"/>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92386C"/>
    <w:pPr>
      <w:numPr>
        <w:numId w:val="22"/>
      </w:numPr>
    </w:pPr>
  </w:style>
  <w:style w:type="numbering" w:customStyle="1" w:styleId="SDMHeadList">
    <w:name w:val="SDMHeadList"/>
    <w:uiPriority w:val="99"/>
    <w:rsid w:val="0092386C"/>
    <w:pPr>
      <w:numPr>
        <w:numId w:val="31"/>
      </w:numPr>
    </w:pPr>
  </w:style>
  <w:style w:type="numbering" w:customStyle="1" w:styleId="SDMTableBoxParaNumberedList">
    <w:name w:val="SDMTable&amp;BoxParaNumberedList"/>
    <w:rsid w:val="0092386C"/>
    <w:pPr>
      <w:numPr>
        <w:numId w:val="1"/>
      </w:numPr>
    </w:pPr>
  </w:style>
  <w:style w:type="paragraph" w:customStyle="1" w:styleId="SDMAppTitle">
    <w:name w:val="SDMAppTitle"/>
    <w:basedOn w:val="SDMHead1"/>
    <w:next w:val="SDMApp1"/>
    <w:qFormat/>
    <w:rsid w:val="0092386C"/>
    <w:pPr>
      <w:pageBreakBefore/>
      <w:numPr>
        <w:numId w:val="16"/>
      </w:numPr>
      <w:spacing w:before="120" w:after="600"/>
    </w:pPr>
  </w:style>
  <w:style w:type="paragraph" w:customStyle="1" w:styleId="SDMApp1">
    <w:name w:val="SDMApp1"/>
    <w:basedOn w:val="SDMHead2"/>
    <w:qFormat/>
    <w:rsid w:val="0092386C"/>
    <w:pPr>
      <w:numPr>
        <w:numId w:val="16"/>
      </w:numPr>
      <w:outlineLvl w:val="9"/>
    </w:pPr>
  </w:style>
  <w:style w:type="paragraph" w:customStyle="1" w:styleId="SDMApp2">
    <w:name w:val="SDMApp2"/>
    <w:basedOn w:val="SDMHead3"/>
    <w:qFormat/>
    <w:rsid w:val="0092386C"/>
    <w:pPr>
      <w:numPr>
        <w:numId w:val="16"/>
      </w:numPr>
      <w:outlineLvl w:val="9"/>
    </w:pPr>
  </w:style>
  <w:style w:type="paragraph" w:customStyle="1" w:styleId="SDMApp3">
    <w:name w:val="SDMApp3"/>
    <w:basedOn w:val="SDMHead4"/>
    <w:qFormat/>
    <w:rsid w:val="0092386C"/>
    <w:pPr>
      <w:numPr>
        <w:numId w:val="16"/>
      </w:numPr>
      <w:outlineLvl w:val="9"/>
    </w:pPr>
  </w:style>
  <w:style w:type="paragraph" w:customStyle="1" w:styleId="SDMApp4">
    <w:name w:val="SDMApp4"/>
    <w:basedOn w:val="SDMHead5"/>
    <w:qFormat/>
    <w:rsid w:val="0092386C"/>
    <w:pPr>
      <w:numPr>
        <w:numId w:val="16"/>
      </w:numPr>
      <w:outlineLvl w:val="9"/>
    </w:pPr>
  </w:style>
  <w:style w:type="numbering" w:customStyle="1" w:styleId="SDMAppHeadList">
    <w:name w:val="SDMAppHeadList"/>
    <w:uiPriority w:val="99"/>
    <w:rsid w:val="0092386C"/>
    <w:pPr>
      <w:numPr>
        <w:numId w:val="15"/>
      </w:numPr>
    </w:pPr>
  </w:style>
  <w:style w:type="paragraph" w:customStyle="1" w:styleId="SDMDocRef">
    <w:name w:val="SDMDocRef"/>
    <w:basedOn w:val="Normal"/>
    <w:qFormat/>
    <w:rsid w:val="0092386C"/>
    <w:pPr>
      <w:spacing w:before="100"/>
    </w:pPr>
    <w:rPr>
      <w:rFonts w:eastAsia="Times New Roman"/>
      <w:b/>
      <w:caps/>
      <w:sz w:val="28"/>
    </w:rPr>
  </w:style>
  <w:style w:type="paragraph" w:customStyle="1" w:styleId="SDMApp5">
    <w:name w:val="SDMApp5"/>
    <w:basedOn w:val="SDMApp4"/>
    <w:qFormat/>
    <w:rsid w:val="0092386C"/>
    <w:pPr>
      <w:numPr>
        <w:ilvl w:val="5"/>
      </w:numPr>
      <w:tabs>
        <w:tab w:val="left" w:pos="1418"/>
      </w:tabs>
    </w:pPr>
  </w:style>
  <w:style w:type="paragraph" w:customStyle="1" w:styleId="SDMTableBoxFigureFootnote">
    <w:name w:val="SDMTableBoxFigureFootnote"/>
    <w:basedOn w:val="Normal"/>
    <w:qFormat/>
    <w:rsid w:val="0092386C"/>
    <w:pPr>
      <w:numPr>
        <w:numId w:val="26"/>
      </w:numPr>
      <w:spacing w:before="120"/>
    </w:pPr>
    <w:rPr>
      <w:rFonts w:eastAsia="Times New Roman"/>
      <w:sz w:val="20"/>
    </w:rPr>
  </w:style>
  <w:style w:type="paragraph" w:customStyle="1" w:styleId="SDMCovNoteTitle">
    <w:name w:val="SDMCovNoteTitle"/>
    <w:basedOn w:val="Normal"/>
    <w:qFormat/>
    <w:rsid w:val="0092386C"/>
    <w:pPr>
      <w:keepNext/>
      <w:keepLines/>
      <w:suppressAutoHyphens/>
      <w:spacing w:before="240" w:after="840"/>
      <w:jc w:val="center"/>
    </w:pPr>
    <w:rPr>
      <w:rFonts w:eastAsia="Times New Roman"/>
      <w:b/>
      <w:caps/>
      <w:sz w:val="32"/>
    </w:rPr>
  </w:style>
  <w:style w:type="numbering" w:customStyle="1" w:styleId="SDMCovNoteHeadList">
    <w:name w:val="SDMCovNoteHeadList"/>
    <w:uiPriority w:val="99"/>
    <w:rsid w:val="0092386C"/>
    <w:pPr>
      <w:numPr>
        <w:numId w:val="30"/>
      </w:numPr>
    </w:pPr>
  </w:style>
  <w:style w:type="paragraph" w:customStyle="1" w:styleId="SDMCovNoteHead1">
    <w:name w:val="SDMCovNoteHead1"/>
    <w:basedOn w:val="Normal"/>
    <w:rsid w:val="0092386C"/>
    <w:pPr>
      <w:keepNext/>
      <w:keepLines/>
      <w:numPr>
        <w:numId w:val="17"/>
      </w:numPr>
      <w:suppressAutoHyphens/>
      <w:spacing w:before="240" w:after="60"/>
    </w:pPr>
    <w:rPr>
      <w:rFonts w:eastAsia="Times New Roman"/>
      <w:b/>
      <w:sz w:val="24"/>
    </w:rPr>
  </w:style>
  <w:style w:type="paragraph" w:customStyle="1" w:styleId="SDMCovNoteHead2">
    <w:name w:val="SDMCovNoteHead2"/>
    <w:basedOn w:val="Normal"/>
    <w:rsid w:val="0092386C"/>
    <w:pPr>
      <w:keepNext/>
      <w:keepLines/>
      <w:numPr>
        <w:ilvl w:val="1"/>
        <w:numId w:val="17"/>
      </w:numPr>
      <w:spacing w:before="240" w:after="60"/>
    </w:pPr>
    <w:rPr>
      <w:rFonts w:eastAsia="Times New Roman"/>
      <w:b/>
    </w:rPr>
  </w:style>
  <w:style w:type="paragraph" w:customStyle="1" w:styleId="SDMCovNoteHead3">
    <w:name w:val="SDMCovNoteHead3"/>
    <w:basedOn w:val="Normal"/>
    <w:rsid w:val="0092386C"/>
    <w:pPr>
      <w:keepNext/>
      <w:keepLines/>
      <w:numPr>
        <w:ilvl w:val="2"/>
        <w:numId w:val="17"/>
      </w:numPr>
      <w:spacing w:before="240" w:after="60"/>
    </w:pPr>
    <w:rPr>
      <w:rFonts w:eastAsia="Times New Roman"/>
      <w:b/>
    </w:rPr>
  </w:style>
  <w:style w:type="paragraph" w:styleId="NoSpacing">
    <w:name w:val="No Spacing"/>
    <w:link w:val="NoSpacingChar"/>
    <w:uiPriority w:val="1"/>
    <w:qFormat/>
    <w:rsid w:val="00967474"/>
    <w:rPr>
      <w:rFonts w:ascii="Calibri" w:hAnsi="Calibri" w:cs="Arial"/>
      <w:sz w:val="22"/>
      <w:szCs w:val="22"/>
      <w:lang w:val="en-US" w:eastAsia="ja-JP"/>
    </w:rPr>
  </w:style>
  <w:style w:type="character" w:customStyle="1" w:styleId="NoSpacingChar">
    <w:name w:val="No Spacing Char"/>
    <w:link w:val="NoSpacing"/>
    <w:uiPriority w:val="1"/>
    <w:rsid w:val="00967474"/>
    <w:rPr>
      <w:rFonts w:ascii="Calibri" w:eastAsia="MS Mincho" w:hAnsi="Calibri" w:cs="Arial"/>
      <w:sz w:val="22"/>
      <w:szCs w:val="22"/>
      <w:lang w:val="en-US" w:eastAsia="ja-JP"/>
    </w:rPr>
  </w:style>
  <w:style w:type="paragraph" w:customStyle="1" w:styleId="SDMTOCHeading">
    <w:name w:val="SDMTOCHeading"/>
    <w:basedOn w:val="Normal"/>
    <w:qFormat/>
    <w:rsid w:val="0092386C"/>
    <w:pPr>
      <w:keepNext/>
      <w:keepLines/>
      <w:pageBreakBefore/>
      <w:tabs>
        <w:tab w:val="right" w:pos="9356"/>
      </w:tabs>
      <w:spacing w:before="240" w:after="600"/>
    </w:pPr>
    <w:rPr>
      <w:rFonts w:eastAsia="Times New Roman" w:cs="Arial"/>
      <w:b/>
      <w:szCs w:val="22"/>
    </w:rPr>
  </w:style>
  <w:style w:type="numbering" w:customStyle="1" w:styleId="SDMTableBoxFigureFootnoteList">
    <w:name w:val="SDMTableBoxFigureFootnoteList"/>
    <w:uiPriority w:val="99"/>
    <w:rsid w:val="0092386C"/>
    <w:pPr>
      <w:numPr>
        <w:numId w:val="25"/>
      </w:numPr>
    </w:pPr>
  </w:style>
  <w:style w:type="paragraph" w:customStyle="1" w:styleId="SDMTableBoxFigureFootnoteSL1">
    <w:name w:val="SDMTableBoxFigureFootnoteSL1"/>
    <w:basedOn w:val="SDMTableBoxFigureFootnote"/>
    <w:qFormat/>
    <w:rsid w:val="0092386C"/>
    <w:pPr>
      <w:numPr>
        <w:ilvl w:val="1"/>
      </w:numPr>
      <w:spacing w:before="40"/>
    </w:pPr>
  </w:style>
  <w:style w:type="paragraph" w:customStyle="1" w:styleId="SDMTableBoxFigureFootnoteSL2">
    <w:name w:val="SDMTableBoxFigureFootnoteSL2"/>
    <w:basedOn w:val="SDMTableBoxFigureFootnote"/>
    <w:qFormat/>
    <w:rsid w:val="0092386C"/>
    <w:pPr>
      <w:numPr>
        <w:ilvl w:val="2"/>
      </w:numPr>
      <w:spacing w:before="40"/>
    </w:pPr>
  </w:style>
  <w:style w:type="paragraph" w:customStyle="1" w:styleId="SDMTableBoxFigureFootnoteSL3">
    <w:name w:val="SDMTableBoxFigureFootnoteSL3"/>
    <w:basedOn w:val="SDMTableBoxFigureFootnote"/>
    <w:qFormat/>
    <w:rsid w:val="0092386C"/>
    <w:pPr>
      <w:numPr>
        <w:ilvl w:val="3"/>
      </w:numPr>
      <w:spacing w:before="40"/>
    </w:pPr>
  </w:style>
  <w:style w:type="paragraph" w:customStyle="1" w:styleId="SDMTableBoxFigureFootnoteSL4">
    <w:name w:val="SDMTableBoxFigureFootnoteSL4"/>
    <w:basedOn w:val="SDMTableBoxFigureFootnote"/>
    <w:qFormat/>
    <w:rsid w:val="0092386C"/>
    <w:pPr>
      <w:numPr>
        <w:ilvl w:val="4"/>
      </w:numPr>
      <w:spacing w:before="40"/>
    </w:pPr>
  </w:style>
  <w:style w:type="paragraph" w:customStyle="1" w:styleId="SDMTableBoxFigureFootnoteSL5">
    <w:name w:val="SDMTableBoxFigureFootnoteSL5"/>
    <w:basedOn w:val="SDMTableBoxFigureFootnote"/>
    <w:qFormat/>
    <w:rsid w:val="0092386C"/>
    <w:pPr>
      <w:numPr>
        <w:ilvl w:val="5"/>
      </w:numPr>
      <w:spacing w:before="40"/>
    </w:pPr>
  </w:style>
  <w:style w:type="character" w:styleId="PlaceholderText">
    <w:name w:val="Placeholder Text"/>
    <w:basedOn w:val="DefaultParagraphFont"/>
    <w:uiPriority w:val="99"/>
    <w:rsid w:val="00967474"/>
    <w:rPr>
      <w:color w:val="808080"/>
    </w:rPr>
  </w:style>
  <w:style w:type="paragraph" w:styleId="BalloonText">
    <w:name w:val="Balloon Text"/>
    <w:basedOn w:val="Normal"/>
    <w:link w:val="BalloonTextChar"/>
    <w:uiPriority w:val="99"/>
    <w:rsid w:val="00967474"/>
    <w:rPr>
      <w:rFonts w:ascii="Tahoma" w:hAnsi="Tahoma" w:cs="Tahoma"/>
      <w:sz w:val="16"/>
      <w:szCs w:val="16"/>
    </w:rPr>
  </w:style>
  <w:style w:type="character" w:customStyle="1" w:styleId="BalloonTextChar">
    <w:name w:val="Balloon Text Char"/>
    <w:basedOn w:val="DefaultParagraphFont"/>
    <w:link w:val="BalloonText"/>
    <w:uiPriority w:val="99"/>
    <w:rsid w:val="00967474"/>
    <w:rPr>
      <w:rFonts w:ascii="Tahoma" w:hAnsi="Tahoma" w:cs="Tahoma"/>
      <w:sz w:val="16"/>
      <w:szCs w:val="16"/>
      <w:lang w:eastAsia="de-DE"/>
    </w:rPr>
  </w:style>
  <w:style w:type="paragraph" w:styleId="Date">
    <w:name w:val="Date"/>
    <w:basedOn w:val="Normal"/>
    <w:next w:val="Normal"/>
    <w:link w:val="DateChar"/>
    <w:rsid w:val="00967474"/>
  </w:style>
  <w:style w:type="character" w:customStyle="1" w:styleId="DateChar">
    <w:name w:val="Date Char"/>
    <w:basedOn w:val="DefaultParagraphFont"/>
    <w:link w:val="Date"/>
    <w:rsid w:val="00967474"/>
    <w:rPr>
      <w:rFonts w:ascii="Arial" w:hAnsi="Arial"/>
      <w:sz w:val="22"/>
      <w:lang w:eastAsia="de-DE"/>
    </w:rPr>
  </w:style>
  <w:style w:type="paragraph" w:customStyle="1" w:styleId="SDMConfidentialMark">
    <w:name w:val="SDMConfidentialMark"/>
    <w:basedOn w:val="Normal"/>
    <w:qFormat/>
    <w:rsid w:val="0092386C"/>
    <w:pPr>
      <w:spacing w:before="1200"/>
      <w:jc w:val="right"/>
    </w:pPr>
    <w:rPr>
      <w:rFonts w:eastAsia="Times New Roman"/>
      <w:b/>
      <w:caps/>
      <w:spacing w:val="10"/>
      <w:sz w:val="32"/>
    </w:rPr>
  </w:style>
  <w:style w:type="character" w:customStyle="1" w:styleId="Heading1Char">
    <w:name w:val="Heading 1 Char"/>
    <w:basedOn w:val="DefaultParagraphFont"/>
    <w:link w:val="Heading1"/>
    <w:uiPriority w:val="9"/>
    <w:rsid w:val="00967474"/>
    <w:rPr>
      <w:rFonts w:asciiTheme="majorHAnsi" w:eastAsiaTheme="majorEastAsia" w:hAnsiTheme="majorHAnsi" w:cstheme="majorBidi"/>
      <w:b/>
      <w:bCs/>
      <w:color w:val="A5A5A5" w:themeColor="accent1" w:themeShade="BF"/>
      <w:sz w:val="28"/>
      <w:szCs w:val="28"/>
      <w:lang w:val="en-US" w:eastAsia="en-US"/>
    </w:rPr>
  </w:style>
  <w:style w:type="character" w:customStyle="1" w:styleId="Heading2Char">
    <w:name w:val="Heading 2 Char"/>
    <w:basedOn w:val="DefaultParagraphFont"/>
    <w:link w:val="Heading2"/>
    <w:uiPriority w:val="9"/>
    <w:rsid w:val="00967474"/>
    <w:rPr>
      <w:rFonts w:asciiTheme="majorHAnsi" w:eastAsiaTheme="majorEastAsia" w:hAnsiTheme="majorHAnsi" w:cstheme="majorBidi"/>
      <w:b/>
      <w:bCs/>
      <w:color w:val="DDDDDD" w:themeColor="accent1"/>
      <w:sz w:val="26"/>
      <w:szCs w:val="26"/>
      <w:lang w:val="en-US" w:eastAsia="en-US"/>
    </w:rPr>
  </w:style>
  <w:style w:type="character" w:customStyle="1" w:styleId="Heading3Char">
    <w:name w:val="Heading 3 Char"/>
    <w:basedOn w:val="DefaultParagraphFont"/>
    <w:link w:val="Heading3"/>
    <w:uiPriority w:val="9"/>
    <w:rsid w:val="00967474"/>
    <w:rPr>
      <w:rFonts w:asciiTheme="majorHAnsi" w:eastAsiaTheme="majorEastAsia" w:hAnsiTheme="majorHAnsi" w:cstheme="majorBidi"/>
      <w:b/>
      <w:bCs/>
      <w:color w:val="DDDDDD" w:themeColor="accent1"/>
      <w:sz w:val="24"/>
      <w:szCs w:val="24"/>
      <w:lang w:val="en-US" w:eastAsia="en-US"/>
    </w:rPr>
  </w:style>
  <w:style w:type="character" w:customStyle="1" w:styleId="Heading4Char">
    <w:name w:val="Heading 4 Char"/>
    <w:basedOn w:val="DefaultParagraphFont"/>
    <w:link w:val="Heading4"/>
    <w:uiPriority w:val="9"/>
    <w:rsid w:val="00967474"/>
    <w:rPr>
      <w:rFonts w:asciiTheme="majorHAnsi" w:eastAsiaTheme="majorEastAsia" w:hAnsiTheme="majorHAnsi" w:cstheme="majorBidi"/>
      <w:b/>
      <w:bCs/>
      <w:i/>
      <w:iCs/>
      <w:color w:val="DDDDDD" w:themeColor="accent1"/>
      <w:sz w:val="24"/>
      <w:szCs w:val="24"/>
      <w:lang w:val="en-US" w:eastAsia="en-US"/>
    </w:rPr>
  </w:style>
  <w:style w:type="character" w:customStyle="1" w:styleId="Heading5Char">
    <w:name w:val="Heading 5 Char"/>
    <w:basedOn w:val="DefaultParagraphFont"/>
    <w:link w:val="Heading5"/>
    <w:uiPriority w:val="9"/>
    <w:rsid w:val="00967474"/>
    <w:rPr>
      <w:rFonts w:asciiTheme="majorHAnsi" w:eastAsiaTheme="majorEastAsia" w:hAnsiTheme="majorHAnsi" w:cstheme="majorBidi"/>
      <w:color w:val="6E6E6E" w:themeColor="accent1" w:themeShade="7F"/>
      <w:sz w:val="24"/>
      <w:szCs w:val="24"/>
      <w:lang w:val="en-US" w:eastAsia="en-US"/>
    </w:rPr>
  </w:style>
  <w:style w:type="character" w:customStyle="1" w:styleId="Heading6Char">
    <w:name w:val="Heading 6 Char"/>
    <w:basedOn w:val="DefaultParagraphFont"/>
    <w:link w:val="Heading6"/>
    <w:uiPriority w:val="9"/>
    <w:rsid w:val="00967474"/>
    <w:rPr>
      <w:rFonts w:asciiTheme="majorHAnsi" w:eastAsiaTheme="majorEastAsia" w:hAnsiTheme="majorHAnsi" w:cstheme="majorBidi"/>
      <w:i/>
      <w:iCs/>
      <w:color w:val="6E6E6E" w:themeColor="accent1" w:themeShade="7F"/>
      <w:sz w:val="24"/>
      <w:szCs w:val="24"/>
      <w:lang w:val="en-US" w:eastAsia="en-US"/>
    </w:rPr>
  </w:style>
  <w:style w:type="character" w:customStyle="1" w:styleId="Heading7Char">
    <w:name w:val="Heading 7 Char"/>
    <w:basedOn w:val="DefaultParagraphFont"/>
    <w:link w:val="Heading7"/>
    <w:uiPriority w:val="9"/>
    <w:rsid w:val="00967474"/>
    <w:rPr>
      <w:rFonts w:asciiTheme="majorHAnsi" w:eastAsiaTheme="majorEastAsia" w:hAnsiTheme="majorHAnsi" w:cstheme="majorBidi"/>
      <w:i/>
      <w:iCs/>
      <w:color w:val="404040" w:themeColor="text1" w:themeTint="BF"/>
      <w:sz w:val="24"/>
      <w:szCs w:val="24"/>
      <w:lang w:val="en-US" w:eastAsia="en-US"/>
    </w:rPr>
  </w:style>
  <w:style w:type="character" w:customStyle="1" w:styleId="Heading8Char">
    <w:name w:val="Heading 8 Char"/>
    <w:basedOn w:val="DefaultParagraphFont"/>
    <w:link w:val="Heading8"/>
    <w:uiPriority w:val="9"/>
    <w:rsid w:val="00967474"/>
    <w:rPr>
      <w:rFonts w:asciiTheme="majorHAnsi" w:eastAsiaTheme="majorEastAsia" w:hAnsiTheme="majorHAnsi" w:cstheme="majorBidi"/>
      <w:color w:val="404040" w:themeColor="text1" w:themeTint="BF"/>
      <w:lang w:val="en-US" w:eastAsia="en-US"/>
    </w:rPr>
  </w:style>
  <w:style w:type="character" w:customStyle="1" w:styleId="Heading9Char">
    <w:name w:val="Heading 9 Char"/>
    <w:basedOn w:val="DefaultParagraphFont"/>
    <w:link w:val="Heading9"/>
    <w:uiPriority w:val="9"/>
    <w:rsid w:val="00967474"/>
    <w:rPr>
      <w:rFonts w:asciiTheme="majorHAnsi" w:eastAsiaTheme="majorEastAsia" w:hAnsiTheme="majorHAnsi" w:cstheme="majorBidi"/>
      <w:i/>
      <w:iCs/>
      <w:color w:val="404040" w:themeColor="text1" w:themeTint="BF"/>
      <w:lang w:val="en-US" w:eastAsia="en-US"/>
    </w:rPr>
  </w:style>
  <w:style w:type="table" w:customStyle="1" w:styleId="SDMMethTableEmmissions">
    <w:name w:val="SDMMethTableEmmissions"/>
    <w:basedOn w:val="TableNormal"/>
    <w:uiPriority w:val="99"/>
    <w:rsid w:val="0092386C"/>
    <w:rPr>
      <w:rFonts w:ascii="Arial" w:eastAsia="Times New Roman" w:hAnsi="Arial"/>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92386C"/>
    <w:rPr>
      <w:rFonts w:ascii="Arial" w:eastAsia="Times New Roman" w:hAnsi="Arial"/>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92386C"/>
    <w:pPr>
      <w:ind w:left="1531"/>
    </w:pPr>
    <w:rPr>
      <w:rFonts w:eastAsia="Times New Roman"/>
    </w:rPr>
  </w:style>
  <w:style w:type="table" w:customStyle="1" w:styleId="SDMMethTable">
    <w:name w:val="SDMMethTable"/>
    <w:basedOn w:val="SDMTable"/>
    <w:uiPriority w:val="99"/>
    <w:rsid w:val="0092386C"/>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92386C"/>
    <w:rPr>
      <w:rFonts w:ascii="Arial" w:eastAsia="Times New Roman" w:hAnsi="Arial"/>
      <w:sz w:val="22"/>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92386C"/>
    <w:pPr>
      <w:spacing w:before="180" w:after="0"/>
    </w:pPr>
    <w:rPr>
      <w:rFonts w:eastAsia="Times New Roman"/>
      <w:b w:val="0"/>
      <w:sz w:val="22"/>
    </w:rPr>
  </w:style>
  <w:style w:type="paragraph" w:customStyle="1" w:styleId="SDMMethEquation">
    <w:name w:val="SDMMethEquation"/>
    <w:basedOn w:val="SDMPara"/>
    <w:qFormat/>
    <w:rsid w:val="0092386C"/>
    <w:pPr>
      <w:keepLines/>
      <w:numPr>
        <w:numId w:val="0"/>
      </w:numPr>
      <w:spacing w:before="360" w:line="360" w:lineRule="auto"/>
    </w:pPr>
  </w:style>
  <w:style w:type="table" w:customStyle="1" w:styleId="SDMMethTableEquation">
    <w:name w:val="SDMMethTableEquation"/>
    <w:basedOn w:val="TableNormal"/>
    <w:uiPriority w:val="99"/>
    <w:rsid w:val="0092386C"/>
    <w:rPr>
      <w:rFonts w:ascii="Arial" w:eastAsia="Times New Roman" w:hAnsi="Arial"/>
      <w:sz w:val="22"/>
    </w:rPr>
    <w:tblPr>
      <w:tblInd w:w="680" w:type="dxa"/>
    </w:tblPr>
    <w:trPr>
      <w:cantSplit/>
    </w:trPr>
  </w:style>
  <w:style w:type="paragraph" w:customStyle="1" w:styleId="SDMTableBoxParaNotNumbered">
    <w:name w:val="SDMTable&amp;BoxParaNotNumbered"/>
    <w:basedOn w:val="Normal"/>
    <w:qFormat/>
    <w:rsid w:val="0092386C"/>
    <w:pPr>
      <w:jc w:val="left"/>
    </w:pPr>
    <w:rPr>
      <w:rFonts w:eastAsia="Times New Roman"/>
      <w:sz w:val="20"/>
    </w:rPr>
  </w:style>
  <w:style w:type="paragraph" w:customStyle="1" w:styleId="SDMTableBoxParaNumbered">
    <w:name w:val="SDMTable&amp;BoxParaNumbered"/>
    <w:basedOn w:val="Normal"/>
    <w:qFormat/>
    <w:rsid w:val="0092386C"/>
    <w:pPr>
      <w:numPr>
        <w:numId w:val="23"/>
      </w:numPr>
      <w:jc w:val="left"/>
    </w:pPr>
    <w:rPr>
      <w:rFonts w:eastAsia="Times New Roman"/>
      <w:sz w:val="20"/>
    </w:rPr>
  </w:style>
  <w:style w:type="paragraph" w:customStyle="1" w:styleId="SDMMethEquationNr">
    <w:name w:val="SDMMethEquationNr"/>
    <w:basedOn w:val="SDMMethEquation"/>
    <w:qFormat/>
    <w:rsid w:val="0092386C"/>
    <w:pPr>
      <w:keepNext/>
      <w:numPr>
        <w:numId w:val="21"/>
      </w:numPr>
      <w:jc w:val="right"/>
    </w:pPr>
    <w:rPr>
      <w:sz w:val="20"/>
    </w:rPr>
  </w:style>
  <w:style w:type="numbering" w:customStyle="1" w:styleId="SDMMethEquationNrList">
    <w:name w:val="SDMMethEquationNrList"/>
    <w:uiPriority w:val="99"/>
    <w:rsid w:val="0092386C"/>
    <w:pPr>
      <w:numPr>
        <w:numId w:val="21"/>
      </w:numPr>
    </w:pPr>
  </w:style>
  <w:style w:type="paragraph" w:styleId="ListParagraph">
    <w:name w:val="List Paragraph"/>
    <w:basedOn w:val="Normal"/>
    <w:uiPriority w:val="34"/>
    <w:qFormat/>
    <w:rsid w:val="00967474"/>
    <w:pPr>
      <w:ind w:left="720"/>
      <w:contextualSpacing/>
    </w:pPr>
  </w:style>
  <w:style w:type="table" w:customStyle="1" w:styleId="SDMTableFullPage">
    <w:name w:val="SDMTableFullPage"/>
    <w:basedOn w:val="SDMTable"/>
    <w:uiPriority w:val="99"/>
    <w:rsid w:val="0092386C"/>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92386C"/>
    <w:tblPr>
      <w:tblInd w:w="0" w:type="dxa"/>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967474"/>
    <w:pPr>
      <w:ind w:left="0" w:firstLine="0"/>
    </w:pPr>
  </w:style>
  <w:style w:type="character" w:styleId="FootnoteReference">
    <w:name w:val="footnote reference"/>
    <w:aliases w:val="-E Fußnotenzeichen,EN Footnote Reference,number,SUPERS"/>
    <w:basedOn w:val="DefaultParagraphFont"/>
    <w:rsid w:val="00967474"/>
    <w:rPr>
      <w:vertAlign w:val="superscript"/>
    </w:rPr>
  </w:style>
  <w:style w:type="numbering" w:customStyle="1" w:styleId="SDMFootnoteList">
    <w:name w:val="SDMFootnoteList"/>
    <w:uiPriority w:val="99"/>
    <w:rsid w:val="0092386C"/>
    <w:pPr>
      <w:numPr>
        <w:numId w:val="19"/>
      </w:numPr>
    </w:pPr>
  </w:style>
  <w:style w:type="numbering" w:customStyle="1" w:styleId="SDMDocInfoTextBullets">
    <w:name w:val="SDMDocInfoTextBullets"/>
    <w:uiPriority w:val="99"/>
    <w:rsid w:val="0092386C"/>
    <w:pPr>
      <w:numPr>
        <w:numId w:val="18"/>
      </w:numPr>
    </w:pPr>
  </w:style>
  <w:style w:type="table" w:customStyle="1" w:styleId="SDMBoxFullPage">
    <w:name w:val="SDMBoxFullPage"/>
    <w:basedOn w:val="SDMBox"/>
    <w:uiPriority w:val="99"/>
    <w:rsid w:val="0092386C"/>
    <w:tblPr>
      <w:jc w:val="center"/>
      <w:tblInd w:w="0" w:type="dxa"/>
    </w:tblPr>
    <w:trPr>
      <w:jc w:val="center"/>
    </w:tr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92386C"/>
    <w:pPr>
      <w:numPr>
        <w:numId w:val="27"/>
      </w:numPr>
    </w:pPr>
  </w:style>
  <w:style w:type="paragraph" w:customStyle="1" w:styleId="SDMTableBoxFigureFootnoteSL1FullPage">
    <w:name w:val="SDMTableBoxFigureFootnoteSL1FullPage"/>
    <w:basedOn w:val="SDMTableBoxFigureFootnoteSL1"/>
    <w:rsid w:val="0092386C"/>
    <w:pPr>
      <w:numPr>
        <w:numId w:val="27"/>
      </w:numPr>
    </w:pPr>
  </w:style>
  <w:style w:type="paragraph" w:customStyle="1" w:styleId="SDMTableBoxFigureFootnoteSL2FullPage">
    <w:name w:val="SDMTableBoxFigureFootnoteSL2FullPage"/>
    <w:basedOn w:val="SDMTableBoxFigureFootnoteSL2"/>
    <w:rsid w:val="0092386C"/>
    <w:pPr>
      <w:numPr>
        <w:numId w:val="27"/>
      </w:numPr>
    </w:pPr>
  </w:style>
  <w:style w:type="paragraph" w:customStyle="1" w:styleId="SDMTableBoxFigureFootnoteSL3FullPage">
    <w:name w:val="SDMTableBoxFigureFootnoteSL3FullPage"/>
    <w:basedOn w:val="SDMTableBoxFigureFootnoteSL3"/>
    <w:rsid w:val="0092386C"/>
    <w:pPr>
      <w:numPr>
        <w:numId w:val="27"/>
      </w:numPr>
    </w:pPr>
  </w:style>
  <w:style w:type="paragraph" w:customStyle="1" w:styleId="SDMTableBoxFigureFootnoteSL4FullPage">
    <w:name w:val="SDMTableBoxFigureFootnoteSL4FullPage"/>
    <w:basedOn w:val="SDMTableBoxFigureFootnoteSL4"/>
    <w:rsid w:val="0092386C"/>
    <w:pPr>
      <w:numPr>
        <w:numId w:val="27"/>
      </w:numPr>
    </w:pPr>
  </w:style>
  <w:style w:type="paragraph" w:customStyle="1" w:styleId="SDMTableBoxFigureFootnoteSL5FullPage">
    <w:name w:val="SDMTableBoxFigureFootnoteSL5FullPage"/>
    <w:basedOn w:val="SDMTableBoxFigureFootnoteSL5"/>
    <w:rsid w:val="0092386C"/>
    <w:pPr>
      <w:numPr>
        <w:numId w:val="27"/>
      </w:numPr>
    </w:pPr>
  </w:style>
  <w:style w:type="numbering" w:customStyle="1" w:styleId="SDMTableBoxFigureFootnoteFullPageList">
    <w:name w:val="SDMTableBoxFigureFootnoteFullPageList"/>
    <w:uiPriority w:val="99"/>
    <w:rsid w:val="0092386C"/>
    <w:pPr>
      <w:numPr>
        <w:numId w:val="24"/>
      </w:numPr>
    </w:pPr>
  </w:style>
  <w:style w:type="character" w:customStyle="1" w:styleId="SDMParaChar">
    <w:name w:val="SDMPara Char"/>
    <w:basedOn w:val="DefaultParagraphFont"/>
    <w:link w:val="SDMPara"/>
    <w:rsid w:val="00B835E5"/>
    <w:rPr>
      <w:rFonts w:ascii="Arial" w:eastAsia="Times New Roman" w:hAnsi="Arial" w:cs="Arial"/>
      <w:sz w:val="22"/>
      <w:szCs w:val="22"/>
      <w:lang w:eastAsia="de-DE"/>
    </w:rPr>
  </w:style>
  <w:style w:type="character" w:styleId="UnresolvedMention">
    <w:name w:val="Unresolved Mention"/>
    <w:basedOn w:val="DefaultParagraphFont"/>
    <w:uiPriority w:val="99"/>
    <w:semiHidden/>
    <w:unhideWhenUsed/>
    <w:rsid w:val="00547B81"/>
    <w:rPr>
      <w:color w:val="605E5C"/>
      <w:shd w:val="clear" w:color="auto" w:fill="E1DFDD"/>
    </w:rPr>
  </w:style>
  <w:style w:type="numbering" w:customStyle="1" w:styleId="SDMParaList1">
    <w:name w:val="SDMParaList1"/>
    <w:rsid w:val="001630C6"/>
  </w:style>
  <w:style w:type="paragraph" w:customStyle="1" w:styleId="CommentText1">
    <w:name w:val="Comment Text1"/>
    <w:basedOn w:val="Normal"/>
    <w:link w:val="CommentTextChar"/>
    <w:uiPriority w:val="99"/>
    <w:rsid w:val="006A4472"/>
    <w:rPr>
      <w:sz w:val="20"/>
      <w:lang w:eastAsia="en-US"/>
    </w:rPr>
  </w:style>
  <w:style w:type="character" w:customStyle="1" w:styleId="CommentReference1">
    <w:name w:val="Comment Reference1"/>
    <w:basedOn w:val="DefaultParagraphFont"/>
    <w:uiPriority w:val="99"/>
    <w:unhideWhenUsed/>
    <w:rsid w:val="006A4472"/>
    <w:rPr>
      <w:sz w:val="16"/>
      <w:szCs w:val="16"/>
    </w:rPr>
  </w:style>
  <w:style w:type="character" w:customStyle="1" w:styleId="CommentTextChar">
    <w:name w:val="Comment Text Char"/>
    <w:basedOn w:val="DefaultParagraphFont"/>
    <w:link w:val="CommentText1"/>
    <w:rsid w:val="006A4472"/>
    <w:rPr>
      <w:rFonts w:ascii="Arial" w:hAnsi="Arial"/>
      <w:lang w:eastAsia="en-US"/>
    </w:rPr>
  </w:style>
  <w:style w:type="character" w:styleId="CommentReference">
    <w:name w:val="annotation reference"/>
    <w:basedOn w:val="DefaultParagraphFont"/>
    <w:uiPriority w:val="99"/>
    <w:unhideWhenUsed/>
    <w:rPr>
      <w:sz w:val="16"/>
      <w:szCs w:val="16"/>
    </w:rPr>
  </w:style>
  <w:style w:type="numbering" w:customStyle="1" w:styleId="SDMTablesFiguresNoteList">
    <w:name w:val="SDMTables&amp;FiguresNoteList"/>
    <w:uiPriority w:val="99"/>
    <w:rsid w:val="00F61A20"/>
    <w:pPr>
      <w:numPr>
        <w:numId w:val="5"/>
      </w:numPr>
    </w:pPr>
  </w:style>
  <w:style w:type="paragraph" w:customStyle="1" w:styleId="RegTableText">
    <w:name w:val="RegTableText"/>
    <w:basedOn w:val="Normal"/>
    <w:link w:val="RegTableTextChar"/>
    <w:rsid w:val="00F61A20"/>
    <w:pPr>
      <w:tabs>
        <w:tab w:val="num" w:pos="0"/>
        <w:tab w:val="num" w:pos="709"/>
      </w:tabs>
      <w:spacing w:before="20" w:after="20"/>
      <w:ind w:left="709" w:hanging="709"/>
    </w:pPr>
  </w:style>
  <w:style w:type="character" w:customStyle="1" w:styleId="SDMSubPara1Char">
    <w:name w:val="SDMSubPara1 Char"/>
    <w:basedOn w:val="DefaultParagraphFont"/>
    <w:link w:val="SDMSubPara1"/>
    <w:rsid w:val="00F61A20"/>
    <w:rPr>
      <w:rFonts w:ascii="Arial" w:eastAsia="Times New Roman" w:hAnsi="Arial" w:cs="Arial"/>
      <w:sz w:val="22"/>
      <w:szCs w:val="22"/>
      <w:lang w:eastAsia="de-DE"/>
    </w:rPr>
  </w:style>
  <w:style w:type="numbering" w:customStyle="1" w:styleId="NoList1">
    <w:name w:val="No List1"/>
    <w:next w:val="NoList"/>
    <w:uiPriority w:val="99"/>
    <w:semiHidden/>
    <w:unhideWhenUsed/>
    <w:rsid w:val="001C2394"/>
  </w:style>
  <w:style w:type="paragraph" w:customStyle="1" w:styleId="CommentSubject1">
    <w:name w:val="Comment Subject1"/>
    <w:basedOn w:val="CommentText1"/>
    <w:next w:val="CommentText1"/>
    <w:link w:val="CommentSubjectChar"/>
    <w:uiPriority w:val="99"/>
    <w:rsid w:val="001C2394"/>
    <w:rPr>
      <w:b/>
      <w:bCs/>
      <w:lang w:eastAsia="de-DE"/>
    </w:rPr>
  </w:style>
  <w:style w:type="numbering" w:customStyle="1" w:styleId="SDMParaList2">
    <w:name w:val="SDMParaList2"/>
    <w:rsid w:val="001C2394"/>
  </w:style>
  <w:style w:type="numbering" w:customStyle="1" w:styleId="SDMHeadList1">
    <w:name w:val="SDMHeadList1"/>
    <w:uiPriority w:val="99"/>
    <w:rsid w:val="001C2394"/>
  </w:style>
  <w:style w:type="numbering" w:customStyle="1" w:styleId="SDMAppHeadList1">
    <w:name w:val="SDMAppHeadList1"/>
    <w:uiPriority w:val="99"/>
    <w:rsid w:val="001C2394"/>
    <w:pPr>
      <w:numPr>
        <w:numId w:val="11"/>
      </w:numPr>
    </w:pPr>
  </w:style>
  <w:style w:type="numbering" w:customStyle="1" w:styleId="SDMCovNoteHeadList1">
    <w:name w:val="SDMCovNoteHeadList1"/>
    <w:uiPriority w:val="99"/>
    <w:rsid w:val="001C2394"/>
    <w:pPr>
      <w:numPr>
        <w:numId w:val="8"/>
      </w:numPr>
    </w:pPr>
  </w:style>
  <w:style w:type="numbering" w:customStyle="1" w:styleId="SDMTableBoxFigureFootnoteList1">
    <w:name w:val="SDMTableBoxFigureFootnoteList1"/>
    <w:uiPriority w:val="99"/>
    <w:rsid w:val="001C2394"/>
  </w:style>
  <w:style w:type="numbering" w:customStyle="1" w:styleId="SDMMethEquationNrList1">
    <w:name w:val="SDMMethEquationNrList1"/>
    <w:uiPriority w:val="99"/>
    <w:rsid w:val="001C2394"/>
  </w:style>
  <w:style w:type="table" w:customStyle="1" w:styleId="SDMMethTableFullPage1">
    <w:name w:val="SDMMethTableFullPage1"/>
    <w:basedOn w:val="SDMMethTable"/>
    <w:uiPriority w:val="99"/>
    <w:rsid w:val="001C2394"/>
    <w:tblPr>
      <w:tblInd w:w="0" w:type="dxa"/>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numbering" w:customStyle="1" w:styleId="SDMFootnoteList1">
    <w:name w:val="SDMFootnoteList1"/>
    <w:uiPriority w:val="99"/>
    <w:rsid w:val="001C2394"/>
  </w:style>
  <w:style w:type="numbering" w:customStyle="1" w:styleId="SDMDocInfoTextBullets1">
    <w:name w:val="SDMDocInfoTextBullets1"/>
    <w:uiPriority w:val="99"/>
    <w:rsid w:val="001C2394"/>
    <w:pPr>
      <w:numPr>
        <w:numId w:val="9"/>
      </w:numPr>
    </w:pPr>
  </w:style>
  <w:style w:type="numbering" w:customStyle="1" w:styleId="SDMTableBoxFigureFootnoteFullPageList1">
    <w:name w:val="SDMTableBoxFigureFootnoteFullPageList1"/>
    <w:uiPriority w:val="99"/>
    <w:rsid w:val="001C2394"/>
    <w:pPr>
      <w:numPr>
        <w:numId w:val="2"/>
      </w:numPr>
    </w:pPr>
  </w:style>
  <w:style w:type="table" w:styleId="TableGrid">
    <w:name w:val="Table Grid"/>
    <w:basedOn w:val="TableNormal"/>
    <w:rsid w:val="001C2394"/>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DMTablesFiguresNoteList1">
    <w:name w:val="SDMTables&amp;FiguresNoteList1"/>
    <w:uiPriority w:val="99"/>
    <w:rsid w:val="001C2394"/>
    <w:pPr>
      <w:numPr>
        <w:numId w:val="7"/>
      </w:numPr>
    </w:pPr>
  </w:style>
  <w:style w:type="numbering" w:customStyle="1" w:styleId="SDMMethEquationNumberingList">
    <w:name w:val="SDMMethEquationNumberingList"/>
    <w:uiPriority w:val="99"/>
    <w:rsid w:val="001C2394"/>
    <w:pPr>
      <w:numPr>
        <w:numId w:val="10"/>
      </w:numPr>
    </w:pPr>
  </w:style>
  <w:style w:type="character" w:customStyle="1" w:styleId="UnresolvedMention1">
    <w:name w:val="Unresolved Mention1"/>
    <w:basedOn w:val="DefaultParagraphFont"/>
    <w:uiPriority w:val="99"/>
    <w:semiHidden/>
    <w:unhideWhenUsed/>
    <w:rsid w:val="001C2394"/>
    <w:rPr>
      <w:color w:val="605E5C"/>
      <w:shd w:val="clear" w:color="auto" w:fill="E1DFDD"/>
    </w:rPr>
  </w:style>
  <w:style w:type="table" w:customStyle="1" w:styleId="42">
    <w:name w:val="42"/>
    <w:basedOn w:val="TableNormal"/>
    <w:rsid w:val="001C2394"/>
    <w:rPr>
      <w:sz w:val="24"/>
      <w:szCs w:val="24"/>
      <w:lang w:val="en-US" w:eastAsia="en-US"/>
    </w:rPr>
    <w:tblPr>
      <w:tblStyleRowBandSize w:val="1"/>
      <w:tblStyleColBandSize w:val="1"/>
    </w:tblPr>
  </w:style>
  <w:style w:type="paragraph" w:styleId="Title">
    <w:name w:val="Title"/>
    <w:basedOn w:val="Normal"/>
    <w:next w:val="Normal"/>
    <w:link w:val="TitleChar"/>
    <w:uiPriority w:val="10"/>
    <w:qFormat/>
    <w:rsid w:val="001C2394"/>
    <w:pPr>
      <w:spacing w:after="80"/>
      <w:contextualSpacing/>
      <w:jc w:val="left"/>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1C2394"/>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1C2394"/>
    <w:pPr>
      <w:jc w:val="left"/>
    </w:pPr>
    <w:rPr>
      <w:rFonts w:ascii="Times New Roman" w:hAnsi="Times New Roman"/>
      <w:color w:val="595959"/>
      <w:sz w:val="28"/>
      <w:szCs w:val="28"/>
      <w:lang w:val="en-US" w:eastAsia="en-US"/>
    </w:rPr>
  </w:style>
  <w:style w:type="character" w:customStyle="1" w:styleId="SubtitleChar">
    <w:name w:val="Subtitle Char"/>
    <w:basedOn w:val="DefaultParagraphFont"/>
    <w:link w:val="Subtitle"/>
    <w:uiPriority w:val="11"/>
    <w:rsid w:val="001C2394"/>
    <w:rPr>
      <w:rFonts w:eastAsia="MS Mincho"/>
      <w:color w:val="595959"/>
      <w:sz w:val="28"/>
      <w:szCs w:val="28"/>
      <w:lang w:val="en-US" w:eastAsia="en-US"/>
    </w:rPr>
  </w:style>
  <w:style w:type="paragraph" w:styleId="Quote">
    <w:name w:val="Quote"/>
    <w:basedOn w:val="Normal"/>
    <w:next w:val="Normal"/>
    <w:link w:val="QuoteChar"/>
    <w:uiPriority w:val="29"/>
    <w:qFormat/>
    <w:rsid w:val="001C2394"/>
    <w:pPr>
      <w:spacing w:before="160"/>
      <w:jc w:val="center"/>
    </w:pPr>
    <w:rPr>
      <w:rFonts w:ascii="Times New Roman" w:hAnsi="Times New Roman"/>
      <w:i/>
      <w:iCs/>
      <w:color w:val="404040" w:themeColor="text1" w:themeTint="BF"/>
      <w:sz w:val="24"/>
      <w:szCs w:val="24"/>
      <w:lang w:val="en-US" w:eastAsia="en-US"/>
    </w:rPr>
  </w:style>
  <w:style w:type="character" w:customStyle="1" w:styleId="QuoteChar">
    <w:name w:val="Quote Char"/>
    <w:basedOn w:val="DefaultParagraphFont"/>
    <w:link w:val="Quote"/>
    <w:uiPriority w:val="29"/>
    <w:rsid w:val="001C2394"/>
    <w:rPr>
      <w:rFonts w:eastAsia="MS Mincho"/>
      <w:i/>
      <w:iCs/>
      <w:color w:val="404040" w:themeColor="text1" w:themeTint="BF"/>
      <w:sz w:val="24"/>
      <w:szCs w:val="24"/>
      <w:lang w:val="en-US" w:eastAsia="en-US"/>
    </w:rPr>
  </w:style>
  <w:style w:type="character" w:styleId="IntenseEmphasis">
    <w:name w:val="Intense Emphasis"/>
    <w:basedOn w:val="DefaultParagraphFont"/>
    <w:uiPriority w:val="21"/>
    <w:qFormat/>
    <w:rsid w:val="001C2394"/>
    <w:rPr>
      <w:i/>
      <w:iCs/>
      <w:color w:val="A5A5A5" w:themeColor="accent1" w:themeShade="BF"/>
    </w:rPr>
  </w:style>
  <w:style w:type="paragraph" w:styleId="IntenseQuote">
    <w:name w:val="Intense Quote"/>
    <w:basedOn w:val="Normal"/>
    <w:next w:val="Normal"/>
    <w:link w:val="IntenseQuoteChar"/>
    <w:uiPriority w:val="30"/>
    <w:qFormat/>
    <w:rsid w:val="001C2394"/>
    <w:pPr>
      <w:pBdr>
        <w:top w:val="single" w:sz="4" w:space="10" w:color="A5A5A5" w:themeColor="accent1" w:themeShade="BF"/>
        <w:bottom w:val="single" w:sz="4" w:space="10" w:color="A5A5A5" w:themeColor="accent1" w:themeShade="BF"/>
      </w:pBdr>
      <w:spacing w:before="360" w:after="360"/>
      <w:ind w:left="864" w:right="864"/>
      <w:jc w:val="center"/>
    </w:pPr>
    <w:rPr>
      <w:rFonts w:ascii="Times New Roman" w:hAnsi="Times New Roman"/>
      <w:i/>
      <w:iCs/>
      <w:color w:val="A5A5A5" w:themeColor="accent1" w:themeShade="BF"/>
      <w:sz w:val="24"/>
      <w:szCs w:val="24"/>
      <w:lang w:val="en-US" w:eastAsia="en-US"/>
    </w:rPr>
  </w:style>
  <w:style w:type="character" w:customStyle="1" w:styleId="IntenseQuoteChar">
    <w:name w:val="Intense Quote Char"/>
    <w:basedOn w:val="DefaultParagraphFont"/>
    <w:link w:val="IntenseQuote"/>
    <w:uiPriority w:val="30"/>
    <w:rsid w:val="001C2394"/>
    <w:rPr>
      <w:rFonts w:eastAsia="MS Mincho"/>
      <w:i/>
      <w:iCs/>
      <w:color w:val="A5A5A5" w:themeColor="accent1" w:themeShade="BF"/>
      <w:sz w:val="24"/>
      <w:szCs w:val="24"/>
      <w:lang w:val="en-US" w:eastAsia="en-US"/>
    </w:rPr>
  </w:style>
  <w:style w:type="character" w:styleId="IntenseReference">
    <w:name w:val="Intense Reference"/>
    <w:basedOn w:val="DefaultParagraphFont"/>
    <w:uiPriority w:val="32"/>
    <w:qFormat/>
    <w:rsid w:val="001C2394"/>
    <w:rPr>
      <w:b/>
      <w:bCs/>
      <w:smallCaps/>
      <w:color w:val="A5A5A5" w:themeColor="accent1" w:themeShade="BF"/>
      <w:spacing w:val="5"/>
    </w:rPr>
  </w:style>
  <w:style w:type="character" w:customStyle="1" w:styleId="HeaderChar">
    <w:name w:val="Header Char"/>
    <w:basedOn w:val="DefaultParagraphFont"/>
    <w:link w:val="Header"/>
    <w:uiPriority w:val="99"/>
    <w:rsid w:val="001C2394"/>
    <w:rPr>
      <w:rFonts w:ascii="Arial" w:hAnsi="Arial"/>
      <w:sz w:val="22"/>
      <w:lang w:eastAsia="de-DE"/>
    </w:rPr>
  </w:style>
  <w:style w:type="character" w:customStyle="1" w:styleId="FooterChar">
    <w:name w:val="Footer Char"/>
    <w:basedOn w:val="DefaultParagraphFont"/>
    <w:link w:val="Footer"/>
    <w:uiPriority w:val="99"/>
    <w:rsid w:val="001C2394"/>
    <w:rPr>
      <w:rFonts w:ascii="Arial" w:hAnsi="Arial"/>
      <w:sz w:val="22"/>
      <w:lang w:eastAsia="de-DE"/>
    </w:rPr>
  </w:style>
  <w:style w:type="table" w:styleId="TableGridLight">
    <w:name w:val="Grid Table Light"/>
    <w:basedOn w:val="TableNormal"/>
    <w:uiPriority w:val="40"/>
    <w:rsid w:val="001C2394"/>
    <w:rPr>
      <w:sz w:val="24"/>
      <w:szCs w:val="24"/>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C2394"/>
    <w:rPr>
      <w:sz w:val="24"/>
      <w:szCs w:val="24"/>
      <w:lang w:val="en-US" w:eastAsia="en-US"/>
    </w:rPr>
  </w:style>
  <w:style w:type="character" w:customStyle="1" w:styleId="CommentSubjectChar">
    <w:name w:val="Comment Subject Char"/>
    <w:basedOn w:val="CommentTextChar"/>
    <w:link w:val="CommentSubject1"/>
    <w:uiPriority w:val="99"/>
    <w:rsid w:val="001C2394"/>
    <w:rPr>
      <w:rFonts w:ascii="Arial" w:eastAsia="MS Mincho" w:hAnsi="Arial"/>
      <w:b/>
      <w:bCs/>
      <w:lang w:eastAsia="de-DE"/>
    </w:rPr>
  </w:style>
  <w:style w:type="character" w:customStyle="1" w:styleId="Mention1">
    <w:name w:val="Mention1"/>
    <w:basedOn w:val="DefaultParagraphFont"/>
    <w:uiPriority w:val="99"/>
    <w:unhideWhenUsed/>
    <w:rsid w:val="001C2394"/>
    <w:rPr>
      <w:color w:val="2B579A"/>
      <w:shd w:val="clear" w:color="auto" w:fill="E1DFDD"/>
    </w:rPr>
  </w:style>
  <w:style w:type="character" w:customStyle="1" w:styleId="EndnoteTextChar">
    <w:name w:val="Endnote Text Char"/>
    <w:basedOn w:val="DefaultParagraphFont"/>
    <w:link w:val="EndnoteText"/>
    <w:uiPriority w:val="99"/>
    <w:rsid w:val="001C2394"/>
    <w:rPr>
      <w:rFonts w:ascii="Arial" w:hAnsi="Arial"/>
      <w:sz w:val="22"/>
      <w:lang w:eastAsia="en-US"/>
    </w:rPr>
  </w:style>
  <w:style w:type="character" w:styleId="EndnoteReference">
    <w:name w:val="endnote reference"/>
    <w:basedOn w:val="DefaultParagraphFont"/>
    <w:uiPriority w:val="99"/>
    <w:semiHidden/>
    <w:unhideWhenUsed/>
    <w:rsid w:val="001C2394"/>
    <w:rPr>
      <w:vertAlign w:val="superscript"/>
    </w:rPr>
  </w:style>
  <w:style w:type="paragraph" w:styleId="TOCHeading">
    <w:name w:val="TOC Heading"/>
    <w:basedOn w:val="Heading1"/>
    <w:next w:val="Normal"/>
    <w:uiPriority w:val="39"/>
    <w:unhideWhenUsed/>
    <w:qFormat/>
    <w:rsid w:val="001C2394"/>
    <w:pPr>
      <w:numPr>
        <w:numId w:val="0"/>
      </w:numPr>
      <w:spacing w:before="240" w:line="259" w:lineRule="auto"/>
      <w:jc w:val="left"/>
      <w:outlineLvl w:val="9"/>
    </w:pPr>
    <w:rPr>
      <w:rFonts w:ascii="Montserrat" w:eastAsia="Montserrat" w:hAnsi="Montserrat" w:cs="Montserrat"/>
      <w:bCs w:val="0"/>
      <w:sz w:val="32"/>
      <w:szCs w:val="32"/>
    </w:rPr>
  </w:style>
  <w:style w:type="character" w:customStyle="1" w:styleId="normaltextrun">
    <w:name w:val="normaltextrun"/>
    <w:basedOn w:val="DefaultParagraphFont"/>
    <w:rsid w:val="001C2394"/>
  </w:style>
  <w:style w:type="character" w:styleId="FollowedHyperlink">
    <w:name w:val="FollowedHyperlink"/>
    <w:basedOn w:val="DefaultParagraphFont"/>
    <w:uiPriority w:val="99"/>
    <w:semiHidden/>
    <w:unhideWhenUsed/>
    <w:rsid w:val="001C2394"/>
    <w:rPr>
      <w:color w:val="919191" w:themeColor="followedHyperlink"/>
      <w:u w:val="single"/>
    </w:rPr>
  </w:style>
  <w:style w:type="character" w:styleId="SubtleEmphasis">
    <w:name w:val="Subtle Emphasis"/>
    <w:aliases w:val="Table Note"/>
    <w:basedOn w:val="DefaultParagraphFont"/>
    <w:uiPriority w:val="19"/>
    <w:qFormat/>
    <w:rsid w:val="001C2394"/>
    <w:rPr>
      <w:rFonts w:ascii="Arial" w:hAnsi="Arial"/>
      <w:i/>
      <w:iCs/>
      <w:color w:val="000000" w:themeColor="text2"/>
    </w:rPr>
  </w:style>
  <w:style w:type="table" w:customStyle="1" w:styleId="87">
    <w:name w:val="87"/>
    <w:basedOn w:val="TableNormal"/>
    <w:rsid w:val="001C2394"/>
    <w:rPr>
      <w:sz w:val="24"/>
      <w:szCs w:val="24"/>
      <w:lang w:val="en-US" w:eastAsia="en-US"/>
    </w:rPr>
    <w:tblPr>
      <w:tblStyleRowBandSize w:val="1"/>
      <w:tblStyleColBandSize w:val="1"/>
      <w:tblCellMar>
        <w:top w:w="100" w:type="dxa"/>
        <w:left w:w="100" w:type="dxa"/>
        <w:bottom w:w="100" w:type="dxa"/>
        <w:right w:w="100" w:type="dxa"/>
      </w:tblCellMar>
    </w:tblPr>
  </w:style>
  <w:style w:type="table" w:customStyle="1" w:styleId="86">
    <w:name w:val="86"/>
    <w:basedOn w:val="TableNormal"/>
    <w:rsid w:val="001C2394"/>
    <w:rPr>
      <w:sz w:val="24"/>
      <w:szCs w:val="24"/>
      <w:lang w:val="en-US" w:eastAsia="en-US"/>
    </w:rPr>
    <w:tblPr>
      <w:tblStyleRowBandSize w:val="1"/>
      <w:tblStyleColBandSize w:val="1"/>
      <w:tblCellMar>
        <w:left w:w="115" w:type="dxa"/>
        <w:right w:w="115" w:type="dxa"/>
      </w:tblCellMar>
    </w:tblPr>
  </w:style>
  <w:style w:type="table" w:customStyle="1" w:styleId="85">
    <w:name w:val="85"/>
    <w:basedOn w:val="TableNormal"/>
    <w:rsid w:val="001C2394"/>
    <w:rPr>
      <w:sz w:val="24"/>
      <w:szCs w:val="24"/>
      <w:lang w:val="en-US" w:eastAsia="en-US"/>
    </w:rPr>
    <w:tblPr>
      <w:tblStyleRowBandSize w:val="1"/>
      <w:tblStyleColBandSize w:val="1"/>
    </w:tblPr>
  </w:style>
  <w:style w:type="table" w:customStyle="1" w:styleId="84">
    <w:name w:val="84"/>
    <w:basedOn w:val="TableNormal"/>
    <w:rsid w:val="001C2394"/>
    <w:rPr>
      <w:sz w:val="24"/>
      <w:szCs w:val="24"/>
      <w:lang w:val="en-US" w:eastAsia="en-US"/>
    </w:rPr>
    <w:tblPr>
      <w:tblStyleRowBandSize w:val="1"/>
      <w:tblStyleColBandSize w:val="1"/>
    </w:tblPr>
  </w:style>
  <w:style w:type="table" w:customStyle="1" w:styleId="83">
    <w:name w:val="83"/>
    <w:basedOn w:val="TableNormal"/>
    <w:rsid w:val="001C2394"/>
    <w:rPr>
      <w:sz w:val="24"/>
      <w:szCs w:val="24"/>
      <w:lang w:val="en-US" w:eastAsia="en-US"/>
    </w:rPr>
    <w:tblPr>
      <w:tblStyleRowBandSize w:val="1"/>
      <w:tblStyleColBandSize w:val="1"/>
    </w:tblPr>
  </w:style>
  <w:style w:type="table" w:customStyle="1" w:styleId="82">
    <w:name w:val="82"/>
    <w:basedOn w:val="TableNormal"/>
    <w:rsid w:val="001C2394"/>
    <w:rPr>
      <w:sz w:val="24"/>
      <w:szCs w:val="24"/>
      <w:lang w:val="en-US" w:eastAsia="en-US"/>
    </w:rPr>
    <w:tblPr>
      <w:tblStyleRowBandSize w:val="1"/>
      <w:tblStyleColBandSize w:val="1"/>
    </w:tblPr>
  </w:style>
  <w:style w:type="table" w:customStyle="1" w:styleId="81">
    <w:name w:val="81"/>
    <w:basedOn w:val="TableNormal"/>
    <w:rsid w:val="001C2394"/>
    <w:rPr>
      <w:sz w:val="24"/>
      <w:szCs w:val="24"/>
      <w:lang w:val="en-US" w:eastAsia="en-US"/>
    </w:rPr>
    <w:tblPr>
      <w:tblStyleRowBandSize w:val="1"/>
      <w:tblStyleColBandSize w:val="1"/>
    </w:tblPr>
  </w:style>
  <w:style w:type="table" w:customStyle="1" w:styleId="80">
    <w:name w:val="80"/>
    <w:basedOn w:val="TableNormal"/>
    <w:rsid w:val="001C2394"/>
    <w:rPr>
      <w:sz w:val="24"/>
      <w:szCs w:val="24"/>
      <w:lang w:val="en-US" w:eastAsia="en-US"/>
    </w:rPr>
    <w:tblPr>
      <w:tblStyleRowBandSize w:val="1"/>
      <w:tblStyleColBandSize w:val="1"/>
    </w:tblPr>
  </w:style>
  <w:style w:type="table" w:customStyle="1" w:styleId="79">
    <w:name w:val="79"/>
    <w:basedOn w:val="TableNormal"/>
    <w:rsid w:val="001C2394"/>
    <w:rPr>
      <w:sz w:val="24"/>
      <w:szCs w:val="24"/>
      <w:lang w:val="en-US" w:eastAsia="en-US"/>
    </w:rPr>
    <w:tblPr>
      <w:tblStyleRowBandSize w:val="1"/>
      <w:tblStyleColBandSize w:val="1"/>
    </w:tblPr>
  </w:style>
  <w:style w:type="table" w:customStyle="1" w:styleId="78">
    <w:name w:val="78"/>
    <w:basedOn w:val="TableNormal"/>
    <w:rsid w:val="001C2394"/>
    <w:rPr>
      <w:sz w:val="24"/>
      <w:szCs w:val="24"/>
      <w:lang w:val="en-US" w:eastAsia="en-US"/>
    </w:rPr>
    <w:tblPr>
      <w:tblStyleRowBandSize w:val="1"/>
      <w:tblStyleColBandSize w:val="1"/>
    </w:tblPr>
  </w:style>
  <w:style w:type="table" w:customStyle="1" w:styleId="77">
    <w:name w:val="77"/>
    <w:basedOn w:val="TableNormal"/>
    <w:rsid w:val="001C2394"/>
    <w:rPr>
      <w:sz w:val="24"/>
      <w:szCs w:val="24"/>
      <w:lang w:val="en-US" w:eastAsia="en-US"/>
    </w:rPr>
    <w:tblPr>
      <w:tblStyleRowBandSize w:val="1"/>
      <w:tblStyleColBandSize w:val="1"/>
    </w:tblPr>
  </w:style>
  <w:style w:type="table" w:customStyle="1" w:styleId="76">
    <w:name w:val="76"/>
    <w:basedOn w:val="TableNormal"/>
    <w:rsid w:val="001C2394"/>
    <w:rPr>
      <w:sz w:val="24"/>
      <w:szCs w:val="24"/>
      <w:lang w:val="en-US" w:eastAsia="en-US"/>
    </w:rPr>
    <w:tblPr>
      <w:tblStyleRowBandSize w:val="1"/>
      <w:tblStyleColBandSize w:val="1"/>
    </w:tblPr>
  </w:style>
  <w:style w:type="table" w:customStyle="1" w:styleId="75">
    <w:name w:val="75"/>
    <w:basedOn w:val="TableNormal"/>
    <w:rsid w:val="001C2394"/>
    <w:rPr>
      <w:sz w:val="24"/>
      <w:szCs w:val="24"/>
      <w:lang w:val="en-US" w:eastAsia="en-US"/>
    </w:rPr>
    <w:tblPr>
      <w:tblStyleRowBandSize w:val="1"/>
      <w:tblStyleColBandSize w:val="1"/>
    </w:tblPr>
  </w:style>
  <w:style w:type="table" w:customStyle="1" w:styleId="74">
    <w:name w:val="74"/>
    <w:basedOn w:val="TableNormal"/>
    <w:rsid w:val="001C2394"/>
    <w:rPr>
      <w:sz w:val="24"/>
      <w:szCs w:val="24"/>
      <w:lang w:val="en-US" w:eastAsia="en-US"/>
    </w:rPr>
    <w:tblPr>
      <w:tblStyleRowBandSize w:val="1"/>
      <w:tblStyleColBandSize w:val="1"/>
    </w:tblPr>
  </w:style>
  <w:style w:type="table" w:customStyle="1" w:styleId="73">
    <w:name w:val="73"/>
    <w:basedOn w:val="TableNormal"/>
    <w:rsid w:val="001C2394"/>
    <w:rPr>
      <w:sz w:val="24"/>
      <w:szCs w:val="24"/>
      <w:lang w:val="en-US" w:eastAsia="en-US"/>
    </w:rPr>
    <w:tblPr>
      <w:tblStyleRowBandSize w:val="1"/>
      <w:tblStyleColBandSize w:val="1"/>
    </w:tblPr>
  </w:style>
  <w:style w:type="table" w:customStyle="1" w:styleId="72">
    <w:name w:val="72"/>
    <w:basedOn w:val="TableNormal"/>
    <w:rsid w:val="001C2394"/>
    <w:rPr>
      <w:sz w:val="24"/>
      <w:szCs w:val="24"/>
      <w:lang w:val="en-US" w:eastAsia="en-US"/>
    </w:rPr>
    <w:tblPr>
      <w:tblStyleRowBandSize w:val="1"/>
      <w:tblStyleColBandSize w:val="1"/>
    </w:tblPr>
  </w:style>
  <w:style w:type="table" w:customStyle="1" w:styleId="71">
    <w:name w:val="71"/>
    <w:basedOn w:val="TableNormal"/>
    <w:rsid w:val="001C2394"/>
    <w:rPr>
      <w:sz w:val="24"/>
      <w:szCs w:val="24"/>
      <w:lang w:val="en-US" w:eastAsia="en-US"/>
    </w:rPr>
    <w:tblPr>
      <w:tblStyleRowBandSize w:val="1"/>
      <w:tblStyleColBandSize w:val="1"/>
    </w:tblPr>
  </w:style>
  <w:style w:type="table" w:customStyle="1" w:styleId="70">
    <w:name w:val="70"/>
    <w:basedOn w:val="TableNormal"/>
    <w:rsid w:val="001C2394"/>
    <w:rPr>
      <w:sz w:val="24"/>
      <w:szCs w:val="24"/>
      <w:lang w:val="en-US" w:eastAsia="en-US"/>
    </w:rPr>
    <w:tblPr>
      <w:tblStyleRowBandSize w:val="1"/>
      <w:tblStyleColBandSize w:val="1"/>
    </w:tblPr>
  </w:style>
  <w:style w:type="table" w:customStyle="1" w:styleId="69">
    <w:name w:val="69"/>
    <w:basedOn w:val="TableNormal"/>
    <w:rsid w:val="001C2394"/>
    <w:rPr>
      <w:sz w:val="24"/>
      <w:szCs w:val="24"/>
      <w:lang w:val="en-US" w:eastAsia="en-US"/>
    </w:rPr>
    <w:tblPr>
      <w:tblStyleRowBandSize w:val="1"/>
      <w:tblStyleColBandSize w:val="1"/>
    </w:tblPr>
  </w:style>
  <w:style w:type="table" w:customStyle="1" w:styleId="68">
    <w:name w:val="68"/>
    <w:basedOn w:val="TableNormal"/>
    <w:rsid w:val="001C2394"/>
    <w:rPr>
      <w:sz w:val="24"/>
      <w:szCs w:val="24"/>
      <w:lang w:val="en-US" w:eastAsia="en-US"/>
    </w:rPr>
    <w:tblPr>
      <w:tblStyleRowBandSize w:val="1"/>
      <w:tblStyleColBandSize w:val="1"/>
    </w:tblPr>
  </w:style>
  <w:style w:type="table" w:customStyle="1" w:styleId="67">
    <w:name w:val="67"/>
    <w:basedOn w:val="TableNormal"/>
    <w:rsid w:val="001C2394"/>
    <w:rPr>
      <w:sz w:val="24"/>
      <w:szCs w:val="24"/>
      <w:lang w:val="en-US" w:eastAsia="en-US"/>
    </w:rPr>
    <w:tblPr>
      <w:tblStyleRowBandSize w:val="1"/>
      <w:tblStyleColBandSize w:val="1"/>
    </w:tblPr>
  </w:style>
  <w:style w:type="table" w:customStyle="1" w:styleId="66">
    <w:name w:val="66"/>
    <w:basedOn w:val="TableNormal"/>
    <w:rsid w:val="001C2394"/>
    <w:rPr>
      <w:sz w:val="24"/>
      <w:szCs w:val="24"/>
      <w:lang w:val="en-US" w:eastAsia="en-US"/>
    </w:rPr>
    <w:tblPr>
      <w:tblStyleRowBandSize w:val="1"/>
      <w:tblStyleColBandSize w:val="1"/>
    </w:tblPr>
  </w:style>
  <w:style w:type="table" w:customStyle="1" w:styleId="65">
    <w:name w:val="65"/>
    <w:basedOn w:val="TableNormal"/>
    <w:rsid w:val="001C2394"/>
    <w:rPr>
      <w:sz w:val="24"/>
      <w:szCs w:val="24"/>
      <w:lang w:val="en-US" w:eastAsia="en-US"/>
    </w:rPr>
    <w:tblPr>
      <w:tblStyleRowBandSize w:val="1"/>
      <w:tblStyleColBandSize w:val="1"/>
    </w:tblPr>
  </w:style>
  <w:style w:type="table" w:customStyle="1" w:styleId="64">
    <w:name w:val="64"/>
    <w:basedOn w:val="TableNormal"/>
    <w:rsid w:val="001C2394"/>
    <w:rPr>
      <w:sz w:val="24"/>
      <w:szCs w:val="24"/>
      <w:lang w:val="en-US" w:eastAsia="en-US"/>
    </w:rPr>
    <w:tblPr>
      <w:tblStyleRowBandSize w:val="1"/>
      <w:tblStyleColBandSize w:val="1"/>
    </w:tblPr>
  </w:style>
  <w:style w:type="table" w:customStyle="1" w:styleId="63">
    <w:name w:val="63"/>
    <w:basedOn w:val="TableNormal"/>
    <w:rsid w:val="001C2394"/>
    <w:rPr>
      <w:sz w:val="24"/>
      <w:szCs w:val="24"/>
      <w:lang w:val="en-US" w:eastAsia="en-US"/>
    </w:rPr>
    <w:tblPr>
      <w:tblStyleRowBandSize w:val="1"/>
      <w:tblStyleColBandSize w:val="1"/>
    </w:tblPr>
  </w:style>
  <w:style w:type="table" w:customStyle="1" w:styleId="62">
    <w:name w:val="62"/>
    <w:basedOn w:val="TableNormal"/>
    <w:rsid w:val="001C2394"/>
    <w:rPr>
      <w:sz w:val="24"/>
      <w:szCs w:val="24"/>
      <w:lang w:val="en-US" w:eastAsia="en-US"/>
    </w:rPr>
    <w:tblPr>
      <w:tblStyleRowBandSize w:val="1"/>
      <w:tblStyleColBandSize w:val="1"/>
    </w:tblPr>
  </w:style>
  <w:style w:type="table" w:customStyle="1" w:styleId="61">
    <w:name w:val="61"/>
    <w:basedOn w:val="TableNormal"/>
    <w:rsid w:val="001C2394"/>
    <w:rPr>
      <w:sz w:val="24"/>
      <w:szCs w:val="24"/>
      <w:lang w:val="en-US" w:eastAsia="en-US"/>
    </w:rPr>
    <w:tblPr>
      <w:tblStyleRowBandSize w:val="1"/>
      <w:tblStyleColBandSize w:val="1"/>
    </w:tblPr>
  </w:style>
  <w:style w:type="table" w:customStyle="1" w:styleId="60">
    <w:name w:val="60"/>
    <w:basedOn w:val="TableNormal"/>
    <w:rsid w:val="001C2394"/>
    <w:rPr>
      <w:sz w:val="24"/>
      <w:szCs w:val="24"/>
      <w:lang w:val="en-US" w:eastAsia="en-US"/>
    </w:rPr>
    <w:tblPr>
      <w:tblStyleRowBandSize w:val="1"/>
      <w:tblStyleColBandSize w:val="1"/>
    </w:tblPr>
  </w:style>
  <w:style w:type="table" w:customStyle="1" w:styleId="59">
    <w:name w:val="59"/>
    <w:basedOn w:val="TableNormal"/>
    <w:rsid w:val="001C2394"/>
    <w:rPr>
      <w:sz w:val="24"/>
      <w:szCs w:val="24"/>
      <w:lang w:val="en-US" w:eastAsia="en-US"/>
    </w:rPr>
    <w:tblPr>
      <w:tblStyleRowBandSize w:val="1"/>
      <w:tblStyleColBandSize w:val="1"/>
    </w:tblPr>
  </w:style>
  <w:style w:type="table" w:customStyle="1" w:styleId="58">
    <w:name w:val="58"/>
    <w:basedOn w:val="TableNormal"/>
    <w:rsid w:val="001C2394"/>
    <w:rPr>
      <w:sz w:val="24"/>
      <w:szCs w:val="24"/>
      <w:lang w:val="en-US" w:eastAsia="en-US"/>
    </w:rPr>
    <w:tblPr>
      <w:tblStyleRowBandSize w:val="1"/>
      <w:tblStyleColBandSize w:val="1"/>
    </w:tblPr>
  </w:style>
  <w:style w:type="table" w:customStyle="1" w:styleId="57">
    <w:name w:val="57"/>
    <w:basedOn w:val="TableNormal"/>
    <w:rsid w:val="001C2394"/>
    <w:rPr>
      <w:sz w:val="24"/>
      <w:szCs w:val="24"/>
      <w:lang w:val="en-US" w:eastAsia="en-US"/>
    </w:rPr>
    <w:tblPr>
      <w:tblStyleRowBandSize w:val="1"/>
      <w:tblStyleColBandSize w:val="1"/>
    </w:tblPr>
  </w:style>
  <w:style w:type="table" w:customStyle="1" w:styleId="56">
    <w:name w:val="56"/>
    <w:basedOn w:val="TableNormal"/>
    <w:rsid w:val="001C2394"/>
    <w:rPr>
      <w:sz w:val="24"/>
      <w:szCs w:val="24"/>
      <w:lang w:val="en-US" w:eastAsia="en-US"/>
    </w:rPr>
    <w:tblPr>
      <w:tblStyleRowBandSize w:val="1"/>
      <w:tblStyleColBandSize w:val="1"/>
    </w:tblPr>
  </w:style>
  <w:style w:type="table" w:customStyle="1" w:styleId="55">
    <w:name w:val="55"/>
    <w:basedOn w:val="TableNormal"/>
    <w:rsid w:val="001C2394"/>
    <w:rPr>
      <w:sz w:val="24"/>
      <w:szCs w:val="24"/>
      <w:lang w:val="en-US" w:eastAsia="en-US"/>
    </w:rPr>
    <w:tblPr>
      <w:tblStyleRowBandSize w:val="1"/>
      <w:tblStyleColBandSize w:val="1"/>
    </w:tblPr>
  </w:style>
  <w:style w:type="table" w:customStyle="1" w:styleId="54">
    <w:name w:val="54"/>
    <w:basedOn w:val="TableNormal"/>
    <w:rsid w:val="001C2394"/>
    <w:rPr>
      <w:sz w:val="24"/>
      <w:szCs w:val="24"/>
      <w:lang w:val="en-US" w:eastAsia="en-US"/>
    </w:rPr>
    <w:tblPr>
      <w:tblStyleRowBandSize w:val="1"/>
      <w:tblStyleColBandSize w:val="1"/>
    </w:tblPr>
  </w:style>
  <w:style w:type="table" w:customStyle="1" w:styleId="53">
    <w:name w:val="53"/>
    <w:basedOn w:val="TableNormal"/>
    <w:rsid w:val="001C2394"/>
    <w:rPr>
      <w:sz w:val="24"/>
      <w:szCs w:val="24"/>
      <w:lang w:val="en-US" w:eastAsia="en-US"/>
    </w:rPr>
    <w:tblPr>
      <w:tblStyleRowBandSize w:val="1"/>
      <w:tblStyleColBandSize w:val="1"/>
    </w:tblPr>
  </w:style>
  <w:style w:type="table" w:customStyle="1" w:styleId="52">
    <w:name w:val="52"/>
    <w:basedOn w:val="TableNormal"/>
    <w:rsid w:val="001C2394"/>
    <w:rPr>
      <w:sz w:val="24"/>
      <w:szCs w:val="24"/>
      <w:lang w:val="en-US" w:eastAsia="en-US"/>
    </w:rPr>
    <w:tblPr>
      <w:tblStyleRowBandSize w:val="1"/>
      <w:tblStyleColBandSize w:val="1"/>
    </w:tblPr>
  </w:style>
  <w:style w:type="table" w:customStyle="1" w:styleId="51">
    <w:name w:val="51"/>
    <w:basedOn w:val="TableNormal"/>
    <w:rsid w:val="001C2394"/>
    <w:rPr>
      <w:sz w:val="24"/>
      <w:szCs w:val="24"/>
      <w:lang w:val="en-US" w:eastAsia="en-US"/>
    </w:rPr>
    <w:tblPr>
      <w:tblStyleRowBandSize w:val="1"/>
      <w:tblStyleColBandSize w:val="1"/>
    </w:tblPr>
  </w:style>
  <w:style w:type="table" w:customStyle="1" w:styleId="50">
    <w:name w:val="50"/>
    <w:basedOn w:val="TableNormal"/>
    <w:rsid w:val="001C2394"/>
    <w:rPr>
      <w:sz w:val="24"/>
      <w:szCs w:val="24"/>
      <w:lang w:val="en-US" w:eastAsia="en-US"/>
    </w:rPr>
    <w:tblPr>
      <w:tblStyleRowBandSize w:val="1"/>
      <w:tblStyleColBandSize w:val="1"/>
    </w:tblPr>
  </w:style>
  <w:style w:type="table" w:customStyle="1" w:styleId="49">
    <w:name w:val="49"/>
    <w:basedOn w:val="TableNormal"/>
    <w:rsid w:val="001C2394"/>
    <w:rPr>
      <w:sz w:val="24"/>
      <w:szCs w:val="24"/>
      <w:lang w:val="en-US" w:eastAsia="en-US"/>
    </w:rPr>
    <w:tblPr>
      <w:tblStyleRowBandSize w:val="1"/>
      <w:tblStyleColBandSize w:val="1"/>
    </w:tblPr>
  </w:style>
  <w:style w:type="table" w:customStyle="1" w:styleId="48">
    <w:name w:val="48"/>
    <w:basedOn w:val="TableNormal"/>
    <w:rsid w:val="001C2394"/>
    <w:rPr>
      <w:sz w:val="24"/>
      <w:szCs w:val="24"/>
      <w:lang w:val="en-US" w:eastAsia="en-US"/>
    </w:rPr>
    <w:tblPr>
      <w:tblStyleRowBandSize w:val="1"/>
      <w:tblStyleColBandSize w:val="1"/>
    </w:tblPr>
  </w:style>
  <w:style w:type="table" w:customStyle="1" w:styleId="47">
    <w:name w:val="47"/>
    <w:basedOn w:val="TableNormal"/>
    <w:rsid w:val="001C2394"/>
    <w:rPr>
      <w:sz w:val="24"/>
      <w:szCs w:val="24"/>
      <w:lang w:val="en-US" w:eastAsia="en-US"/>
    </w:rPr>
    <w:tblPr>
      <w:tblStyleRowBandSize w:val="1"/>
      <w:tblStyleColBandSize w:val="1"/>
    </w:tblPr>
  </w:style>
  <w:style w:type="table" w:customStyle="1" w:styleId="46">
    <w:name w:val="46"/>
    <w:basedOn w:val="TableNormal"/>
    <w:rsid w:val="001C2394"/>
    <w:rPr>
      <w:sz w:val="24"/>
      <w:szCs w:val="24"/>
      <w:lang w:val="en-US" w:eastAsia="en-US"/>
    </w:rPr>
    <w:tblPr>
      <w:tblStyleRowBandSize w:val="1"/>
      <w:tblStyleColBandSize w:val="1"/>
    </w:tblPr>
  </w:style>
  <w:style w:type="table" w:customStyle="1" w:styleId="45">
    <w:name w:val="45"/>
    <w:basedOn w:val="TableNormal"/>
    <w:rsid w:val="001C2394"/>
    <w:rPr>
      <w:sz w:val="24"/>
      <w:szCs w:val="24"/>
      <w:lang w:val="en-US" w:eastAsia="en-US"/>
    </w:rPr>
    <w:tblPr>
      <w:tblStyleRowBandSize w:val="1"/>
      <w:tblStyleColBandSize w:val="1"/>
      <w:tblCellMar>
        <w:top w:w="100" w:type="dxa"/>
        <w:left w:w="100" w:type="dxa"/>
        <w:bottom w:w="100" w:type="dxa"/>
        <w:right w:w="100" w:type="dxa"/>
      </w:tblCellMar>
    </w:tblPr>
  </w:style>
  <w:style w:type="table" w:customStyle="1" w:styleId="44">
    <w:name w:val="44"/>
    <w:basedOn w:val="TableNormal"/>
    <w:rsid w:val="001C2394"/>
    <w:rPr>
      <w:sz w:val="24"/>
      <w:szCs w:val="24"/>
      <w:lang w:val="en-US" w:eastAsia="en-US"/>
    </w:rPr>
    <w:tblPr>
      <w:tblStyleRowBandSize w:val="1"/>
      <w:tblStyleColBandSize w:val="1"/>
    </w:tblPr>
  </w:style>
  <w:style w:type="table" w:customStyle="1" w:styleId="43">
    <w:name w:val="43"/>
    <w:basedOn w:val="TableNormal"/>
    <w:rsid w:val="001C2394"/>
    <w:rPr>
      <w:sz w:val="24"/>
      <w:szCs w:val="24"/>
      <w:lang w:val="en-US" w:eastAsia="en-US"/>
    </w:rPr>
    <w:tblPr>
      <w:tblStyleRowBandSize w:val="1"/>
      <w:tblStyleColBandSize w:val="1"/>
    </w:tblPr>
  </w:style>
  <w:style w:type="table" w:customStyle="1" w:styleId="41">
    <w:name w:val="41"/>
    <w:basedOn w:val="TableNormal"/>
    <w:rsid w:val="001C2394"/>
    <w:rPr>
      <w:sz w:val="24"/>
      <w:szCs w:val="24"/>
      <w:lang w:val="en-US" w:eastAsia="en-US"/>
    </w:rPr>
    <w:tblPr>
      <w:tblStyleRowBandSize w:val="1"/>
      <w:tblStyleColBandSize w:val="1"/>
    </w:tblPr>
  </w:style>
  <w:style w:type="table" w:customStyle="1" w:styleId="40">
    <w:name w:val="40"/>
    <w:basedOn w:val="TableNormal"/>
    <w:rsid w:val="001C2394"/>
    <w:rPr>
      <w:sz w:val="24"/>
      <w:szCs w:val="24"/>
      <w:lang w:val="en-US" w:eastAsia="en-US"/>
    </w:rPr>
    <w:tblPr>
      <w:tblStyleRowBandSize w:val="1"/>
      <w:tblStyleColBandSize w:val="1"/>
    </w:tblPr>
  </w:style>
  <w:style w:type="table" w:customStyle="1" w:styleId="39">
    <w:name w:val="39"/>
    <w:basedOn w:val="TableNormal"/>
    <w:rsid w:val="001C2394"/>
    <w:rPr>
      <w:sz w:val="24"/>
      <w:szCs w:val="24"/>
      <w:lang w:val="en-US" w:eastAsia="en-US"/>
    </w:rPr>
    <w:tblPr>
      <w:tblStyleRowBandSize w:val="1"/>
      <w:tblStyleColBandSize w:val="1"/>
    </w:tblPr>
  </w:style>
  <w:style w:type="table" w:customStyle="1" w:styleId="38">
    <w:name w:val="38"/>
    <w:basedOn w:val="TableNormal"/>
    <w:rsid w:val="001C2394"/>
    <w:rPr>
      <w:sz w:val="24"/>
      <w:szCs w:val="24"/>
      <w:lang w:val="en-US" w:eastAsia="en-US"/>
    </w:rPr>
    <w:tblPr>
      <w:tblStyleRowBandSize w:val="1"/>
      <w:tblStyleColBandSize w:val="1"/>
    </w:tblPr>
  </w:style>
  <w:style w:type="table" w:customStyle="1" w:styleId="37">
    <w:name w:val="37"/>
    <w:basedOn w:val="TableNormal"/>
    <w:rsid w:val="001C2394"/>
    <w:rPr>
      <w:sz w:val="24"/>
      <w:szCs w:val="24"/>
      <w:lang w:val="en-US" w:eastAsia="en-US"/>
    </w:rPr>
    <w:tblPr>
      <w:tblStyleRowBandSize w:val="1"/>
      <w:tblStyleColBandSize w:val="1"/>
    </w:tblPr>
  </w:style>
  <w:style w:type="table" w:customStyle="1" w:styleId="36">
    <w:name w:val="36"/>
    <w:basedOn w:val="TableNormal"/>
    <w:rsid w:val="001C2394"/>
    <w:rPr>
      <w:sz w:val="24"/>
      <w:szCs w:val="24"/>
      <w:lang w:val="en-US" w:eastAsia="en-US"/>
    </w:rPr>
    <w:tblPr>
      <w:tblStyleRowBandSize w:val="1"/>
      <w:tblStyleColBandSize w:val="1"/>
    </w:tblPr>
  </w:style>
  <w:style w:type="table" w:customStyle="1" w:styleId="35">
    <w:name w:val="35"/>
    <w:basedOn w:val="TableNormal"/>
    <w:rsid w:val="001C2394"/>
    <w:rPr>
      <w:sz w:val="24"/>
      <w:szCs w:val="24"/>
      <w:lang w:val="en-US" w:eastAsia="en-US"/>
    </w:rPr>
    <w:tblPr>
      <w:tblStyleRowBandSize w:val="1"/>
      <w:tblStyleColBandSize w:val="1"/>
    </w:tblPr>
  </w:style>
  <w:style w:type="table" w:customStyle="1" w:styleId="34">
    <w:name w:val="34"/>
    <w:basedOn w:val="TableNormal"/>
    <w:rsid w:val="001C2394"/>
    <w:rPr>
      <w:sz w:val="24"/>
      <w:szCs w:val="24"/>
      <w:lang w:val="en-US" w:eastAsia="en-US"/>
    </w:rPr>
    <w:tblPr>
      <w:tblStyleRowBandSize w:val="1"/>
      <w:tblStyleColBandSize w:val="1"/>
    </w:tblPr>
  </w:style>
  <w:style w:type="table" w:customStyle="1" w:styleId="33">
    <w:name w:val="33"/>
    <w:basedOn w:val="TableNormal"/>
    <w:rsid w:val="001C2394"/>
    <w:rPr>
      <w:sz w:val="24"/>
      <w:szCs w:val="24"/>
      <w:lang w:val="en-US" w:eastAsia="en-US"/>
    </w:rPr>
    <w:tblPr>
      <w:tblStyleRowBandSize w:val="1"/>
      <w:tblStyleColBandSize w:val="1"/>
    </w:tblPr>
  </w:style>
  <w:style w:type="table" w:customStyle="1" w:styleId="32">
    <w:name w:val="32"/>
    <w:basedOn w:val="TableNormal"/>
    <w:rsid w:val="001C2394"/>
    <w:rPr>
      <w:sz w:val="24"/>
      <w:szCs w:val="24"/>
      <w:lang w:val="en-US" w:eastAsia="en-US"/>
    </w:rPr>
    <w:tblPr>
      <w:tblStyleRowBandSize w:val="1"/>
      <w:tblStyleColBandSize w:val="1"/>
    </w:tblPr>
  </w:style>
  <w:style w:type="table" w:customStyle="1" w:styleId="31">
    <w:name w:val="31"/>
    <w:basedOn w:val="TableNormal"/>
    <w:rsid w:val="001C2394"/>
    <w:rPr>
      <w:sz w:val="24"/>
      <w:szCs w:val="24"/>
      <w:lang w:val="en-US" w:eastAsia="en-US"/>
    </w:rPr>
    <w:tblPr>
      <w:tblStyleRowBandSize w:val="1"/>
      <w:tblStyleColBandSize w:val="1"/>
    </w:tblPr>
  </w:style>
  <w:style w:type="table" w:customStyle="1" w:styleId="30">
    <w:name w:val="30"/>
    <w:basedOn w:val="TableNormal"/>
    <w:rsid w:val="001C2394"/>
    <w:rPr>
      <w:sz w:val="24"/>
      <w:szCs w:val="24"/>
      <w:lang w:val="en-US" w:eastAsia="en-US"/>
    </w:rPr>
    <w:tblPr>
      <w:tblStyleRowBandSize w:val="1"/>
      <w:tblStyleColBandSize w:val="1"/>
    </w:tblPr>
  </w:style>
  <w:style w:type="table" w:customStyle="1" w:styleId="29">
    <w:name w:val="29"/>
    <w:basedOn w:val="TableNormal"/>
    <w:rsid w:val="001C2394"/>
    <w:rPr>
      <w:sz w:val="24"/>
      <w:szCs w:val="24"/>
      <w:lang w:val="en-US" w:eastAsia="en-US"/>
    </w:rPr>
    <w:tblPr>
      <w:tblStyleRowBandSize w:val="1"/>
      <w:tblStyleColBandSize w:val="1"/>
    </w:tblPr>
  </w:style>
  <w:style w:type="table" w:customStyle="1" w:styleId="28">
    <w:name w:val="28"/>
    <w:basedOn w:val="TableNormal"/>
    <w:rsid w:val="001C2394"/>
    <w:rPr>
      <w:sz w:val="24"/>
      <w:szCs w:val="24"/>
      <w:lang w:val="en-US" w:eastAsia="en-US"/>
    </w:rPr>
    <w:tblPr>
      <w:tblStyleRowBandSize w:val="1"/>
      <w:tblStyleColBandSize w:val="1"/>
    </w:tblPr>
  </w:style>
  <w:style w:type="table" w:customStyle="1" w:styleId="27">
    <w:name w:val="27"/>
    <w:basedOn w:val="TableNormal"/>
    <w:rsid w:val="001C2394"/>
    <w:rPr>
      <w:sz w:val="24"/>
      <w:szCs w:val="24"/>
      <w:lang w:val="en-US" w:eastAsia="en-US"/>
    </w:rPr>
    <w:tblPr>
      <w:tblStyleRowBandSize w:val="1"/>
      <w:tblStyleColBandSize w:val="1"/>
    </w:tblPr>
  </w:style>
  <w:style w:type="table" w:customStyle="1" w:styleId="26">
    <w:name w:val="26"/>
    <w:basedOn w:val="TableNormal"/>
    <w:rsid w:val="001C2394"/>
    <w:rPr>
      <w:sz w:val="24"/>
      <w:szCs w:val="24"/>
      <w:lang w:val="en-US" w:eastAsia="en-US"/>
    </w:rPr>
    <w:tblPr>
      <w:tblStyleRowBandSize w:val="1"/>
      <w:tblStyleColBandSize w:val="1"/>
    </w:tblPr>
  </w:style>
  <w:style w:type="table" w:customStyle="1" w:styleId="25">
    <w:name w:val="25"/>
    <w:basedOn w:val="TableNormal"/>
    <w:rsid w:val="001C2394"/>
    <w:rPr>
      <w:sz w:val="24"/>
      <w:szCs w:val="24"/>
      <w:lang w:val="en-US" w:eastAsia="en-US"/>
    </w:rPr>
    <w:tblPr>
      <w:tblStyleRowBandSize w:val="1"/>
      <w:tblStyleColBandSize w:val="1"/>
    </w:tblPr>
  </w:style>
  <w:style w:type="table" w:customStyle="1" w:styleId="24">
    <w:name w:val="24"/>
    <w:basedOn w:val="TableNormal"/>
    <w:rsid w:val="001C2394"/>
    <w:rPr>
      <w:sz w:val="24"/>
      <w:szCs w:val="24"/>
      <w:lang w:val="en-US" w:eastAsia="en-US"/>
    </w:rPr>
    <w:tblPr>
      <w:tblStyleRowBandSize w:val="1"/>
      <w:tblStyleColBandSize w:val="1"/>
    </w:tblPr>
  </w:style>
  <w:style w:type="table" w:customStyle="1" w:styleId="23">
    <w:name w:val="23"/>
    <w:basedOn w:val="TableNormal"/>
    <w:rsid w:val="001C2394"/>
    <w:rPr>
      <w:sz w:val="24"/>
      <w:szCs w:val="24"/>
      <w:lang w:val="en-US" w:eastAsia="en-US"/>
    </w:rPr>
    <w:tblPr>
      <w:tblStyleRowBandSize w:val="1"/>
      <w:tblStyleColBandSize w:val="1"/>
    </w:tblPr>
  </w:style>
  <w:style w:type="table" w:customStyle="1" w:styleId="22">
    <w:name w:val="22"/>
    <w:basedOn w:val="TableNormal"/>
    <w:rsid w:val="001C2394"/>
    <w:rPr>
      <w:sz w:val="24"/>
      <w:szCs w:val="24"/>
      <w:lang w:val="en-US" w:eastAsia="en-US"/>
    </w:rPr>
    <w:tblPr>
      <w:tblStyleRowBandSize w:val="1"/>
      <w:tblStyleColBandSize w:val="1"/>
    </w:tblPr>
  </w:style>
  <w:style w:type="table" w:customStyle="1" w:styleId="21">
    <w:name w:val="21"/>
    <w:basedOn w:val="TableNormal"/>
    <w:rsid w:val="001C2394"/>
    <w:rPr>
      <w:sz w:val="24"/>
      <w:szCs w:val="24"/>
      <w:lang w:val="en-US" w:eastAsia="en-US"/>
    </w:rPr>
    <w:tblPr>
      <w:tblStyleRowBandSize w:val="1"/>
      <w:tblStyleColBandSize w:val="1"/>
    </w:tblPr>
  </w:style>
  <w:style w:type="table" w:customStyle="1" w:styleId="20">
    <w:name w:val="20"/>
    <w:basedOn w:val="TableNormal"/>
    <w:rsid w:val="001C2394"/>
    <w:rPr>
      <w:sz w:val="24"/>
      <w:szCs w:val="24"/>
      <w:lang w:val="en-US" w:eastAsia="en-US"/>
    </w:rPr>
    <w:tblPr>
      <w:tblStyleRowBandSize w:val="1"/>
      <w:tblStyleColBandSize w:val="1"/>
    </w:tblPr>
  </w:style>
  <w:style w:type="table" w:customStyle="1" w:styleId="19">
    <w:name w:val="19"/>
    <w:basedOn w:val="TableNormal"/>
    <w:rsid w:val="001C2394"/>
    <w:rPr>
      <w:sz w:val="24"/>
      <w:szCs w:val="24"/>
      <w:lang w:val="en-US" w:eastAsia="en-US"/>
    </w:rPr>
    <w:tblPr>
      <w:tblStyleRowBandSize w:val="1"/>
      <w:tblStyleColBandSize w:val="1"/>
    </w:tblPr>
  </w:style>
  <w:style w:type="table" w:customStyle="1" w:styleId="18">
    <w:name w:val="18"/>
    <w:basedOn w:val="TableNormal"/>
    <w:rsid w:val="001C2394"/>
    <w:rPr>
      <w:sz w:val="24"/>
      <w:szCs w:val="24"/>
      <w:lang w:val="en-US" w:eastAsia="en-US"/>
    </w:rPr>
    <w:tblPr>
      <w:tblStyleRowBandSize w:val="1"/>
      <w:tblStyleColBandSize w:val="1"/>
    </w:tblPr>
  </w:style>
  <w:style w:type="table" w:customStyle="1" w:styleId="17">
    <w:name w:val="17"/>
    <w:basedOn w:val="TableNormal"/>
    <w:rsid w:val="001C2394"/>
    <w:rPr>
      <w:sz w:val="24"/>
      <w:szCs w:val="24"/>
      <w:lang w:val="en-US" w:eastAsia="en-US"/>
    </w:rPr>
    <w:tblPr>
      <w:tblStyleRowBandSize w:val="1"/>
      <w:tblStyleColBandSize w:val="1"/>
    </w:tblPr>
  </w:style>
  <w:style w:type="table" w:customStyle="1" w:styleId="16">
    <w:name w:val="16"/>
    <w:basedOn w:val="TableNormal"/>
    <w:rsid w:val="001C2394"/>
    <w:rPr>
      <w:sz w:val="24"/>
      <w:szCs w:val="24"/>
      <w:lang w:val="en-US" w:eastAsia="en-US"/>
    </w:rPr>
    <w:tblPr>
      <w:tblStyleRowBandSize w:val="1"/>
      <w:tblStyleColBandSize w:val="1"/>
    </w:tblPr>
  </w:style>
  <w:style w:type="table" w:customStyle="1" w:styleId="15">
    <w:name w:val="15"/>
    <w:basedOn w:val="TableNormal"/>
    <w:rsid w:val="001C2394"/>
    <w:rPr>
      <w:sz w:val="24"/>
      <w:szCs w:val="24"/>
      <w:lang w:val="en-US" w:eastAsia="en-US"/>
    </w:rPr>
    <w:tblPr>
      <w:tblStyleRowBandSize w:val="1"/>
      <w:tblStyleColBandSize w:val="1"/>
    </w:tblPr>
  </w:style>
  <w:style w:type="table" w:customStyle="1" w:styleId="14">
    <w:name w:val="14"/>
    <w:basedOn w:val="TableNormal"/>
    <w:rsid w:val="001C2394"/>
    <w:rPr>
      <w:sz w:val="24"/>
      <w:szCs w:val="24"/>
      <w:lang w:val="en-US" w:eastAsia="en-US"/>
    </w:rPr>
    <w:tblPr>
      <w:tblStyleRowBandSize w:val="1"/>
      <w:tblStyleColBandSize w:val="1"/>
    </w:tblPr>
  </w:style>
  <w:style w:type="table" w:customStyle="1" w:styleId="13">
    <w:name w:val="13"/>
    <w:basedOn w:val="TableNormal"/>
    <w:rsid w:val="001C2394"/>
    <w:rPr>
      <w:sz w:val="24"/>
      <w:szCs w:val="24"/>
      <w:lang w:val="en-US" w:eastAsia="en-US"/>
    </w:rPr>
    <w:tblPr>
      <w:tblStyleRowBandSize w:val="1"/>
      <w:tblStyleColBandSize w:val="1"/>
    </w:tblPr>
  </w:style>
  <w:style w:type="table" w:customStyle="1" w:styleId="12">
    <w:name w:val="12"/>
    <w:basedOn w:val="TableNormal"/>
    <w:rsid w:val="001C2394"/>
    <w:rPr>
      <w:sz w:val="24"/>
      <w:szCs w:val="24"/>
      <w:lang w:val="en-US" w:eastAsia="en-US"/>
    </w:rPr>
    <w:tblPr>
      <w:tblStyleRowBandSize w:val="1"/>
      <w:tblStyleColBandSize w:val="1"/>
    </w:tblPr>
  </w:style>
  <w:style w:type="table" w:customStyle="1" w:styleId="11">
    <w:name w:val="11"/>
    <w:basedOn w:val="TableNormal"/>
    <w:rsid w:val="001C2394"/>
    <w:rPr>
      <w:sz w:val="24"/>
      <w:szCs w:val="24"/>
      <w:lang w:val="en-US" w:eastAsia="en-US"/>
    </w:rPr>
    <w:tblPr>
      <w:tblStyleRowBandSize w:val="1"/>
      <w:tblStyleColBandSize w:val="1"/>
    </w:tblPr>
  </w:style>
  <w:style w:type="table" w:customStyle="1" w:styleId="10">
    <w:name w:val="10"/>
    <w:basedOn w:val="TableNormal"/>
    <w:rsid w:val="001C2394"/>
    <w:rPr>
      <w:sz w:val="24"/>
      <w:szCs w:val="24"/>
      <w:lang w:val="en-US" w:eastAsia="en-US"/>
    </w:rPr>
    <w:tblPr>
      <w:tblStyleRowBandSize w:val="1"/>
      <w:tblStyleColBandSize w:val="1"/>
    </w:tblPr>
  </w:style>
  <w:style w:type="table" w:customStyle="1" w:styleId="9">
    <w:name w:val="9"/>
    <w:basedOn w:val="TableNormal"/>
    <w:rsid w:val="001C2394"/>
    <w:rPr>
      <w:sz w:val="24"/>
      <w:szCs w:val="24"/>
      <w:lang w:val="en-US" w:eastAsia="en-US"/>
    </w:rPr>
    <w:tblPr>
      <w:tblStyleRowBandSize w:val="1"/>
      <w:tblStyleColBandSize w:val="1"/>
    </w:tblPr>
  </w:style>
  <w:style w:type="table" w:customStyle="1" w:styleId="8">
    <w:name w:val="8"/>
    <w:basedOn w:val="TableNormal"/>
    <w:rsid w:val="001C2394"/>
    <w:rPr>
      <w:sz w:val="24"/>
      <w:szCs w:val="24"/>
      <w:lang w:val="en-US" w:eastAsia="en-US"/>
    </w:rPr>
    <w:tblPr>
      <w:tblStyleRowBandSize w:val="1"/>
      <w:tblStyleColBandSize w:val="1"/>
    </w:tblPr>
  </w:style>
  <w:style w:type="table" w:customStyle="1" w:styleId="7">
    <w:name w:val="7"/>
    <w:basedOn w:val="TableNormal"/>
    <w:rsid w:val="001C2394"/>
    <w:rPr>
      <w:sz w:val="24"/>
      <w:szCs w:val="24"/>
      <w:lang w:val="en-US" w:eastAsia="en-US"/>
    </w:rPr>
    <w:tblPr>
      <w:tblStyleRowBandSize w:val="1"/>
      <w:tblStyleColBandSize w:val="1"/>
    </w:tblPr>
  </w:style>
  <w:style w:type="table" w:customStyle="1" w:styleId="6">
    <w:name w:val="6"/>
    <w:basedOn w:val="TableNormal"/>
    <w:rsid w:val="001C2394"/>
    <w:rPr>
      <w:sz w:val="24"/>
      <w:szCs w:val="24"/>
      <w:lang w:val="en-US" w:eastAsia="en-US"/>
    </w:rPr>
    <w:tblPr>
      <w:tblStyleRowBandSize w:val="1"/>
      <w:tblStyleColBandSize w:val="1"/>
    </w:tblPr>
  </w:style>
  <w:style w:type="table" w:customStyle="1" w:styleId="5">
    <w:name w:val="5"/>
    <w:basedOn w:val="TableNormal"/>
    <w:rsid w:val="001C2394"/>
    <w:rPr>
      <w:sz w:val="24"/>
      <w:szCs w:val="24"/>
      <w:lang w:val="en-US" w:eastAsia="en-US"/>
    </w:rPr>
    <w:tblPr>
      <w:tblStyleRowBandSize w:val="1"/>
      <w:tblStyleColBandSize w:val="1"/>
    </w:tblPr>
  </w:style>
  <w:style w:type="table" w:customStyle="1" w:styleId="4">
    <w:name w:val="4"/>
    <w:basedOn w:val="TableNormal"/>
    <w:rsid w:val="001C2394"/>
    <w:rPr>
      <w:sz w:val="24"/>
      <w:szCs w:val="24"/>
      <w:lang w:val="en-US" w:eastAsia="en-US"/>
    </w:rPr>
    <w:tblPr>
      <w:tblStyleRowBandSize w:val="1"/>
      <w:tblStyleColBandSize w:val="1"/>
      <w:tblCellMar>
        <w:left w:w="115" w:type="dxa"/>
        <w:right w:w="115" w:type="dxa"/>
      </w:tblCellMar>
    </w:tblPr>
  </w:style>
  <w:style w:type="table" w:customStyle="1" w:styleId="3">
    <w:name w:val="3"/>
    <w:basedOn w:val="TableNormal"/>
    <w:rsid w:val="001C2394"/>
    <w:rPr>
      <w:sz w:val="24"/>
      <w:szCs w:val="24"/>
      <w:lang w:val="en-US" w:eastAsia="en-US"/>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1C2394"/>
    <w:rPr>
      <w:sz w:val="24"/>
      <w:szCs w:val="24"/>
      <w:lang w:val="en-US" w:eastAsia="en-US"/>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1C2394"/>
    <w:rPr>
      <w:sz w:val="24"/>
      <w:szCs w:val="24"/>
      <w:lang w:val="en-US" w:eastAsia="en-US"/>
    </w:rPr>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1C2394"/>
    <w:pPr>
      <w:spacing w:before="100" w:beforeAutospacing="1" w:after="100" w:afterAutospacing="1"/>
      <w:jc w:val="left"/>
    </w:pPr>
    <w:rPr>
      <w:rFonts w:ascii="Times New Roman" w:hAnsi="Times New Roman"/>
      <w:sz w:val="24"/>
      <w:szCs w:val="24"/>
      <w:lang w:val="en-US" w:eastAsia="en-US"/>
    </w:rPr>
  </w:style>
  <w:style w:type="character" w:styleId="LineNumber">
    <w:name w:val="line number"/>
    <w:basedOn w:val="DefaultParagraphFont"/>
    <w:uiPriority w:val="99"/>
    <w:semiHidden/>
    <w:unhideWhenUsed/>
    <w:rsid w:val="001C2394"/>
  </w:style>
  <w:style w:type="character" w:styleId="Mention">
    <w:name w:val="Mention"/>
    <w:basedOn w:val="DefaultParagraphFont"/>
    <w:uiPriority w:val="99"/>
    <w:unhideWhenUsed/>
    <w:rsid w:val="001C2394"/>
    <w:rPr>
      <w:color w:val="2B579A"/>
      <w:shd w:val="clear" w:color="auto" w:fill="E1DFDD"/>
    </w:rPr>
  </w:style>
  <w:style w:type="paragraph" w:customStyle="1" w:styleId="Default">
    <w:name w:val="Default"/>
    <w:rsid w:val="001C2394"/>
    <w:pPr>
      <w:autoSpaceDE w:val="0"/>
      <w:autoSpaceDN w:val="0"/>
      <w:adjustRightInd w:val="0"/>
    </w:pPr>
    <w:rPr>
      <w:rFonts w:ascii="Montserrat" w:hAnsi="Montserrat" w:cs="Montserrat"/>
      <w:color w:val="000000"/>
      <w:sz w:val="24"/>
      <w:szCs w:val="24"/>
      <w:lang w:val="en-US" w:eastAsia="en-US"/>
    </w:rPr>
  </w:style>
  <w:style w:type="paragraph" w:customStyle="1" w:styleId="paragraph">
    <w:name w:val="paragraph"/>
    <w:basedOn w:val="Normal"/>
    <w:rsid w:val="001C2394"/>
    <w:pPr>
      <w:spacing w:before="100" w:beforeAutospacing="1" w:after="100" w:afterAutospacing="1"/>
      <w:jc w:val="left"/>
    </w:pPr>
    <w:rPr>
      <w:rFonts w:ascii="Times New Roman" w:hAnsi="Times New Roman"/>
      <w:sz w:val="24"/>
      <w:szCs w:val="24"/>
      <w:lang w:eastAsia="en-US"/>
    </w:rPr>
  </w:style>
  <w:style w:type="character" w:customStyle="1" w:styleId="eop">
    <w:name w:val="eop"/>
    <w:basedOn w:val="DefaultParagraphFont"/>
    <w:rsid w:val="001C2394"/>
  </w:style>
  <w:style w:type="character" w:styleId="Strong">
    <w:name w:val="Strong"/>
    <w:basedOn w:val="DefaultParagraphFont"/>
    <w:uiPriority w:val="22"/>
    <w:qFormat/>
    <w:rsid w:val="001C2394"/>
    <w:rPr>
      <w:b/>
      <w:bCs/>
    </w:rPr>
  </w:style>
  <w:style w:type="character" w:customStyle="1" w:styleId="apple-converted-space">
    <w:name w:val="apple-converted-space"/>
    <w:basedOn w:val="DefaultParagraphFont"/>
    <w:rsid w:val="001C2394"/>
  </w:style>
  <w:style w:type="character" w:styleId="Emphasis">
    <w:name w:val="Emphasis"/>
    <w:basedOn w:val="DefaultParagraphFont"/>
    <w:uiPriority w:val="20"/>
    <w:qFormat/>
    <w:rsid w:val="001C2394"/>
    <w:rPr>
      <w:i/>
      <w:iCs/>
    </w:rPr>
  </w:style>
  <w:style w:type="numbering" w:customStyle="1" w:styleId="SDMTableBoxParaList">
    <w:name w:val="SDMTable&amp;BoxParaList"/>
    <w:rsid w:val="001C2394"/>
    <w:pPr>
      <w:numPr>
        <w:numId w:val="6"/>
      </w:numPr>
    </w:pPr>
  </w:style>
  <w:style w:type="paragraph" w:customStyle="1" w:styleId="CaptionLandscape">
    <w:name w:val="CaptionLandscape"/>
    <w:basedOn w:val="Caption"/>
    <w:qFormat/>
    <w:rsid w:val="001C2394"/>
    <w:pPr>
      <w:ind w:left="0" w:firstLine="0"/>
    </w:pPr>
  </w:style>
  <w:style w:type="table" w:customStyle="1" w:styleId="SDMTableFullWidth">
    <w:name w:val="SDMTableFullWidth"/>
    <w:basedOn w:val="SDMTable"/>
    <w:uiPriority w:val="99"/>
    <w:rsid w:val="001C2394"/>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character" w:customStyle="1" w:styleId="CommentTextChar1">
    <w:name w:val="Comment Text Char1"/>
    <w:basedOn w:val="DefaultParagraphFont"/>
    <w:link w:val="CommentText"/>
    <w:rsid w:val="001C2394"/>
    <w:rPr>
      <w:rFonts w:ascii="Arial" w:hAnsi="Arial"/>
      <w:lang w:eastAsia="de-DE"/>
    </w:rPr>
  </w:style>
  <w:style w:type="character" w:customStyle="1" w:styleId="CommentSubjectChar1">
    <w:name w:val="Comment Subject Char1"/>
    <w:basedOn w:val="CommentTextChar1"/>
    <w:link w:val="CommentSubject"/>
    <w:uiPriority w:val="99"/>
    <w:rsid w:val="001C2394"/>
    <w:rPr>
      <w:rFonts w:ascii="Arial" w:eastAsia="MS Mincho" w:hAnsi="Arial"/>
      <w:b/>
      <w:bCs/>
      <w:lang w:eastAsia="de-DE"/>
    </w:rPr>
  </w:style>
  <w:style w:type="numbering" w:customStyle="1" w:styleId="CurrentList3">
    <w:name w:val="Current List3"/>
    <w:uiPriority w:val="99"/>
    <w:rsid w:val="001C2394"/>
    <w:pPr>
      <w:numPr>
        <w:numId w:val="13"/>
      </w:numPr>
    </w:pPr>
  </w:style>
  <w:style w:type="paragraph" w:customStyle="1" w:styleId="ParaTickBox">
    <w:name w:val="ParaTickBox"/>
    <w:basedOn w:val="Normal"/>
    <w:link w:val="ParaTickBoxChar"/>
    <w:rsid w:val="001C2394"/>
    <w:pPr>
      <w:tabs>
        <w:tab w:val="left" w:pos="510"/>
      </w:tabs>
      <w:spacing w:before="60" w:after="60"/>
      <w:ind w:left="511" w:hanging="454"/>
      <w:jc w:val="left"/>
    </w:pPr>
    <w:rPr>
      <w:rFonts w:cs="Arial"/>
      <w:sz w:val="20"/>
      <w:szCs w:val="18"/>
      <w:lang w:eastAsia="en-US"/>
    </w:rPr>
  </w:style>
  <w:style w:type="character" w:customStyle="1" w:styleId="ParaTickBoxChar">
    <w:name w:val="ParaTickBox Char"/>
    <w:link w:val="ParaTickBox"/>
    <w:rsid w:val="001C2394"/>
    <w:rPr>
      <w:rFonts w:ascii="Arial" w:eastAsia="MS Mincho" w:hAnsi="Arial" w:cs="Arial"/>
      <w:szCs w:val="18"/>
      <w:lang w:eastAsia="en-US"/>
    </w:rPr>
  </w:style>
  <w:style w:type="character" w:customStyle="1" w:styleId="RegTableTextChar">
    <w:name w:val="RegTableText Char"/>
    <w:link w:val="RegTableText"/>
    <w:rsid w:val="001C2394"/>
    <w:rPr>
      <w:rFonts w:ascii="Arial" w:hAnsi="Arial"/>
      <w:sz w:val="22"/>
      <w:lang w:eastAsia="de-DE"/>
    </w:rPr>
  </w:style>
  <w:style w:type="numbering" w:customStyle="1" w:styleId="SDMMethEquationNrList2">
    <w:name w:val="SDMMethEquationNrList2"/>
    <w:uiPriority w:val="99"/>
    <w:rsid w:val="003D49BE"/>
  </w:style>
  <w:style w:type="paragraph" w:customStyle="1" w:styleId="SDMMRHead5">
    <w:name w:val="SDMMRHead5"/>
    <w:basedOn w:val="Normal"/>
    <w:rsid w:val="002300A4"/>
    <w:pPr>
      <w:keepNext/>
      <w:keepLines/>
      <w:numPr>
        <w:ilvl w:val="4"/>
        <w:numId w:val="35"/>
      </w:numPr>
      <w:suppressAutoHyphens/>
      <w:spacing w:before="240" w:after="60"/>
      <w:outlineLvl w:val="4"/>
    </w:pPr>
    <w:rPr>
      <w:rFonts w:cs="Arial"/>
      <w:b/>
      <w:szCs w:val="24"/>
    </w:rPr>
  </w:style>
  <w:style w:type="paragraph" w:customStyle="1" w:styleId="MRProposedAgendaItem">
    <w:name w:val="MRProposedAgendaItem"/>
    <w:basedOn w:val="SDMPara"/>
    <w:qFormat/>
    <w:rsid w:val="002300A4"/>
    <w:pPr>
      <w:numPr>
        <w:numId w:val="37"/>
      </w:numPr>
      <w:tabs>
        <w:tab w:val="num" w:pos="2552"/>
      </w:tabs>
      <w:ind w:left="2552"/>
    </w:pPr>
    <w:rPr>
      <w:rFonts w:eastAsia="MS Mincho"/>
    </w:rPr>
  </w:style>
  <w:style w:type="numbering" w:customStyle="1" w:styleId="MRProposedAgendaItemsList">
    <w:name w:val="MRProposedAgendaItemsList"/>
    <w:basedOn w:val="NoList"/>
    <w:uiPriority w:val="99"/>
    <w:rsid w:val="002300A4"/>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80747">
      <w:bodyDiv w:val="1"/>
      <w:marLeft w:val="0"/>
      <w:marRight w:val="0"/>
      <w:marTop w:val="0"/>
      <w:marBottom w:val="0"/>
      <w:divBdr>
        <w:top w:val="none" w:sz="0" w:space="0" w:color="auto"/>
        <w:left w:val="none" w:sz="0" w:space="0" w:color="auto"/>
        <w:bottom w:val="none" w:sz="0" w:space="0" w:color="auto"/>
        <w:right w:val="none" w:sz="0" w:space="0" w:color="auto"/>
      </w:divBdr>
    </w:div>
    <w:div w:id="934942610">
      <w:bodyDiv w:val="1"/>
      <w:marLeft w:val="0"/>
      <w:marRight w:val="0"/>
      <w:marTop w:val="0"/>
      <w:marBottom w:val="0"/>
      <w:divBdr>
        <w:top w:val="none" w:sz="0" w:space="0" w:color="auto"/>
        <w:left w:val="none" w:sz="0" w:space="0" w:color="auto"/>
        <w:bottom w:val="none" w:sz="0" w:space="0" w:color="auto"/>
        <w:right w:val="none" w:sz="0" w:space="0" w:color="auto"/>
      </w:divBdr>
    </w:div>
    <w:div w:id="124545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unstats.un.org/unsd/demographic/sources/surveys/handbook23june05.pdf" TargetMode="External"/><Relationship Id="rId39"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hyperlink" Target="https://doi.org/10.5194/acp-11-4039-2011" TargetMode="External"/><Relationship Id="rId47" Type="http://schemas.openxmlformats.org/officeDocument/2006/relationships/hyperlink" Target="https://doi.org/10.1021/es30169" TargetMode="External"/><Relationship Id="rId50"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doi.org/10.1038/s41893-023-01259-6" TargetMode="External"/><Relationship Id="rId11" Type="http://schemas.openxmlformats.org/officeDocument/2006/relationships/endnotes" Target="endnotes.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yperlink" Target="https://hdr.undp.org/content/2025-global-multidimensional-poverty-index-mpi" TargetMode="External"/><Relationship Id="rId40" Type="http://schemas.openxmlformats.org/officeDocument/2006/relationships/hyperlink" Target="https://cleancooking.org/wp-content/uploads/2025/06/CLEAR-revised-EOD-June-2025.pdf" TargetMode="External"/><Relationship Id="rId45" Type="http://schemas.openxmlformats.org/officeDocument/2006/relationships/hyperlink" Target="https://doi.org/10.1007/s43937-025-00101-8"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yperlink" Target="https://gspp.berkeley.edu/research-and-impact/centers/cepp/projects/berkeley-carbon-trading-project/cookstoves/recommendations" TargetMode="External"/><Relationship Id="rId36" Type="http://schemas.openxmlformats.org/officeDocument/2006/relationships/image" Target="media/image2.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yperlink" Target="https://doi.org/10.1142/S201000782650008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yperlink" Target="http://documents.worldbank.org/curated/en/381751639456530686" TargetMode="External"/><Relationship Id="rId30" Type="http://schemas.openxmlformats.org/officeDocument/2006/relationships/hyperlink" Target="https://cleancooking.org/reports-and-tools/reducing-fuel-stacking-a-survey-tool-for-the-clean-cooking-industry/" TargetMode="External"/><Relationship Id="rId35" Type="http://schemas.openxmlformats.org/officeDocument/2006/relationships/header" Target="header13.xml"/><Relationship Id="rId43" Type="http://schemas.openxmlformats.org/officeDocument/2006/relationships/hyperlink" Target="https://cleancooking.org/wp-content/uploads/2025/03/Berkeley-Air-Research-Frief_Hawthorne-Effect-Investigation.pdf" TargetMode="External"/><Relationship Id="rId48" Type="http://schemas.openxmlformats.org/officeDocument/2006/relationships/hyperlink" Target="https://doi.org/10.1038/s41467-021-26036-x"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s://unstats.un.org/unsd/hhsurveys/pdf/household_surveys.pdf" TargetMode="External"/><Relationship Id="rId33" Type="http://schemas.openxmlformats.org/officeDocument/2006/relationships/hyperlink" Target="https://cleancooking.org/protocols" TargetMode="External"/><Relationship Id="rId38" Type="http://schemas.openxmlformats.org/officeDocument/2006/relationships/hyperlink" Target="https://ophi.org.uk/global-mpi/2025" TargetMode="External"/><Relationship Id="rId46" Type="http://schemas.openxmlformats.org/officeDocument/2006/relationships/hyperlink" Target="http://www.irena.org/-/media/Files/IRENA/Agency/Publication/2025/Jun/IRENA_POL_Tracking_SDG7_energy_progress_2025.pdf" TargetMode="External"/><Relationship Id="rId20" Type="http://schemas.openxmlformats.org/officeDocument/2006/relationships/header" Target="header6.xml"/><Relationship Id="rId41" Type="http://schemas.openxmlformats.org/officeDocument/2006/relationships/hyperlink" Target="https://cleancooking.org/wp-content/uploads/2025/12/CLEAR-methodology-Aug2025-DA-included.pdf"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www.ipcc-nggip.iges.or.jp/public/2006gl/" TargetMode="External"/><Relationship Id="rId13" Type="http://schemas.openxmlformats.org/officeDocument/2006/relationships/hyperlink" Target="https://cleancooking.org/wp-content/uploads/2024/05/The-Principles-for-Responsible-Carbon-Finance-in-Clean-Cooking.pdf" TargetMode="External"/><Relationship Id="rId3" Type="http://schemas.openxmlformats.org/officeDocument/2006/relationships/hyperlink" Target="https://unfccc.int/node/647448" TargetMode="External"/><Relationship Id="rId7" Type="http://schemas.openxmlformats.org/officeDocument/2006/relationships/hyperlink" Target="https://www.ipcc.ch/report/2019-refinement-to-the-2006-ipcc-guidelines-for-national-greenhouse-gas-inventories/" TargetMode="External"/><Relationship Id="rId12" Type="http://schemas.openxmlformats.org/officeDocument/2006/relationships/hyperlink" Target="https://unfccc.int/sites/default/files/resource/A6.4-PROC-REGS-001.pdf" TargetMode="External"/><Relationship Id="rId2" Type="http://schemas.openxmlformats.org/officeDocument/2006/relationships/hyperlink" Target="https://cdm.unfccc.int/methodologies/DB/5V2D9RXNOWLQII5N26KJK0J3A0JJV8" TargetMode="External"/><Relationship Id="rId1" Type="http://schemas.openxmlformats.org/officeDocument/2006/relationships/hyperlink" Target="https://unfccc.int/sites/default/files/resource/A6.4-PROC-METH-001.pdf" TargetMode="External"/><Relationship Id="rId6" Type="http://schemas.openxmlformats.org/officeDocument/2006/relationships/hyperlink" Target="https://unfccc.int/node/657606" TargetMode="External"/><Relationship Id="rId11" Type="http://schemas.openxmlformats.org/officeDocument/2006/relationships/hyperlink" Target="https://unfccc.int/node/651856" TargetMode="External"/><Relationship Id="rId5" Type="http://schemas.openxmlformats.org/officeDocument/2006/relationships/hyperlink" Target="https://unfccc.int/node/661207" TargetMode="External"/><Relationship Id="rId15" Type="http://schemas.openxmlformats.org/officeDocument/2006/relationships/hyperlink" Target="https://unfccc.int/sites/default/files/resource/A6.4-INFO-METH-002.pdf" TargetMode="External"/><Relationship Id="rId10" Type="http://schemas.openxmlformats.org/officeDocument/2006/relationships/hyperlink" Target="https://ophi.org.uk/global-mpi/2025" TargetMode="External"/><Relationship Id="rId4" Type="http://schemas.openxmlformats.org/officeDocument/2006/relationships/hyperlink" Target="https://unfccc.int/node/661187" TargetMode="External"/><Relationship Id="rId9" Type="http://schemas.openxmlformats.org/officeDocument/2006/relationships/hyperlink" Target="https://hdr.undp.org/content/2025-global-multidimensional-poverty-index-mpi" TargetMode="External"/><Relationship Id="rId14" Type="http://schemas.openxmlformats.org/officeDocument/2006/relationships/hyperlink" Target="https://hdr.undp.org/content/2025-global-multidimensional-poverty-index-mp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programme.unfccc.int/drive/CDM/files/CDM07-Official%20Documents%20(CDM)/Templates/CDM_Methodolog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E863CABD444658AC33BB82EDEC0E37"/>
        <w:category>
          <w:name w:val="General"/>
          <w:gallery w:val="placeholder"/>
        </w:category>
        <w:types>
          <w:type w:val="bbPlcHdr"/>
        </w:types>
        <w:behaviors>
          <w:behavior w:val="content"/>
        </w:behaviors>
        <w:guid w:val="{9194017E-4A53-4EF0-9CE0-2320797A7A4A}"/>
      </w:docPartPr>
      <w:docPartBody>
        <w:p w:rsidR="00B739D5" w:rsidRDefault="00C56DDE">
          <w:pPr>
            <w:pStyle w:val="6EE863CABD444658AC33BB82EDEC0E37"/>
          </w:pPr>
          <w:r>
            <w:t>222</w:t>
          </w:r>
          <w:r w:rsidRPr="008721FC">
            <w:rPr>
              <w:rStyle w:val="PlaceholderText"/>
            </w:rPr>
            <w:t>Document reference number</w:t>
          </w:r>
        </w:p>
      </w:docPartBody>
    </w:docPart>
    <w:docPart>
      <w:docPartPr>
        <w:name w:val="07D5C4AE59574E2F9C19B504FD95346F"/>
        <w:category>
          <w:name w:val="General"/>
          <w:gallery w:val="placeholder"/>
        </w:category>
        <w:types>
          <w:type w:val="bbPlcHdr"/>
        </w:types>
        <w:behaviors>
          <w:behavior w:val="content"/>
        </w:behaviors>
        <w:guid w:val="{CE8C7AA3-B41F-4DA0-A8D7-99EA55625A7D}"/>
      </w:docPartPr>
      <w:docPartBody>
        <w:p w:rsidR="00B739D5" w:rsidRDefault="00C56DDE">
          <w:pPr>
            <w:pStyle w:val="07D5C4AE59574E2F9C19B504FD95346F"/>
          </w:pPr>
          <w:r w:rsidRPr="00773362">
            <w:rPr>
              <w:rStyle w:val="PlaceholderText"/>
              <w:lang w:val="de-DE"/>
            </w:rPr>
            <w:t>Wählen Sie ein Element aus.</w:t>
          </w:r>
        </w:p>
      </w:docPartBody>
    </w:docPart>
    <w:docPart>
      <w:docPartPr>
        <w:name w:val="36F367476926461EB5BCC261BF2874EA"/>
        <w:category>
          <w:name w:val="General"/>
          <w:gallery w:val="placeholder"/>
        </w:category>
        <w:types>
          <w:type w:val="bbPlcHdr"/>
        </w:types>
        <w:behaviors>
          <w:behavior w:val="content"/>
        </w:behaviors>
        <w:guid w:val="{CDDDF8D1-791D-4239-976E-F33ECA0F1FB4}"/>
      </w:docPartPr>
      <w:docPartBody>
        <w:p w:rsidR="00B739D5" w:rsidRDefault="00C56DDE">
          <w:pPr>
            <w:pStyle w:val="36F367476926461EB5BCC261BF2874EA"/>
          </w:pPr>
          <w:r w:rsidRPr="0019515F">
            <w:rPr>
              <w:rStyle w:val="PlaceholderText"/>
            </w:rPr>
            <w:t>Klicken Sie hier, um Text einzugeben.</w:t>
          </w:r>
        </w:p>
      </w:docPartBody>
    </w:docPart>
    <w:docPart>
      <w:docPartPr>
        <w:name w:val="8D953F969009486D95343FE2A12F5EB3"/>
        <w:category>
          <w:name w:val="General"/>
          <w:gallery w:val="placeholder"/>
        </w:category>
        <w:types>
          <w:type w:val="bbPlcHdr"/>
        </w:types>
        <w:behaviors>
          <w:behavior w:val="content"/>
        </w:behaviors>
        <w:guid w:val="{080EAF2A-5AB3-4652-BE0B-31FDB8200F33}"/>
      </w:docPartPr>
      <w:docPartBody>
        <w:p w:rsidR="00B739D5" w:rsidRDefault="00C56DDE">
          <w:pPr>
            <w:pStyle w:val="8D953F969009486D95343FE2A12F5EB3"/>
          </w:pPr>
          <w:r w:rsidRPr="001B3E66">
            <w:rPr>
              <w:rStyle w:val="PlaceholderText"/>
            </w:rPr>
            <w:t>Choose an item.</w:t>
          </w:r>
        </w:p>
      </w:docPartBody>
    </w:docPart>
    <w:docPart>
      <w:docPartPr>
        <w:name w:val="FFC71B37A9F04A70B5801CF85F3B6959"/>
        <w:category>
          <w:name w:val="General"/>
          <w:gallery w:val="placeholder"/>
        </w:category>
        <w:types>
          <w:type w:val="bbPlcHdr"/>
        </w:types>
        <w:behaviors>
          <w:behavior w:val="content"/>
        </w:behaviors>
        <w:guid w:val="{F3A955D6-F8E6-4980-8920-8A1592B13B7C}"/>
      </w:docPartPr>
      <w:docPartBody>
        <w:p w:rsidR="00B739D5" w:rsidRDefault="00C56DDE">
          <w:pPr>
            <w:pStyle w:val="FFC71B37A9F04A70B5801CF85F3B6959"/>
          </w:pPr>
          <w:r w:rsidRPr="00CE2F3F">
            <w:rPr>
              <w:rStyle w:val="PlaceholderText"/>
            </w:rPr>
            <w:t>Klicken Sie hier, um Text einzugeben.</w:t>
          </w:r>
        </w:p>
      </w:docPartBody>
    </w:docPart>
    <w:docPart>
      <w:docPartPr>
        <w:name w:val="FFAE513B74794A20967578AE8B08B70B"/>
        <w:category>
          <w:name w:val="General"/>
          <w:gallery w:val="placeholder"/>
        </w:category>
        <w:types>
          <w:type w:val="bbPlcHdr"/>
        </w:types>
        <w:behaviors>
          <w:behavior w:val="content"/>
        </w:behaviors>
        <w:guid w:val="{E23A55ED-D7A7-4D09-8E15-93BEF8451966}"/>
      </w:docPartPr>
      <w:docPartBody>
        <w:p w:rsidR="00B739D5" w:rsidRDefault="00C56DDE">
          <w:pPr>
            <w:pStyle w:val="FFAE513B74794A20967578AE8B08B70B"/>
          </w:pPr>
          <w:r w:rsidRPr="0019515F">
            <w:rPr>
              <w:rStyle w:val="PlaceholderText"/>
            </w:rPr>
            <w:t>Klicken Sie hier, um Text einzugeben.</w:t>
          </w:r>
        </w:p>
      </w:docPartBody>
    </w:docPart>
    <w:docPart>
      <w:docPartPr>
        <w:name w:val="FA8C737B40FD4571B4F8AB780860118F"/>
        <w:category>
          <w:name w:val="General"/>
          <w:gallery w:val="placeholder"/>
        </w:category>
        <w:types>
          <w:type w:val="bbPlcHdr"/>
        </w:types>
        <w:behaviors>
          <w:behavior w:val="content"/>
        </w:behaviors>
        <w:guid w:val="{1E0ED5D0-55F0-47EA-BA29-C1C52E95D1A9}"/>
      </w:docPartPr>
      <w:docPartBody>
        <w:p w:rsidR="00B739D5" w:rsidRDefault="007F65A2">
          <w:pPr>
            <w:pStyle w:val="FA8C737B40FD4571B4F8AB780860118F"/>
          </w:pPr>
          <w:r>
            <w:t>02.0</w:t>
          </w:r>
        </w:p>
      </w:docPartBody>
    </w:docPart>
    <w:docPart>
      <w:docPartPr>
        <w:name w:val="107D2C9486F04F44A1668F788F865AF4"/>
        <w:category>
          <w:name w:val="General"/>
          <w:gallery w:val="placeholder"/>
        </w:category>
        <w:types>
          <w:type w:val="bbPlcHdr"/>
        </w:types>
        <w:behaviors>
          <w:behavior w:val="content"/>
        </w:behaviors>
        <w:guid w:val="{0524B830-418A-4FA8-BF3C-3AE35A485819}"/>
      </w:docPartPr>
      <w:docPartBody>
        <w:p w:rsidR="007A1436" w:rsidRDefault="007A1436" w:rsidP="007A1436">
          <w:pPr>
            <w:pStyle w:val="107D2C9486F04F44A1668F788F865AF4"/>
          </w:pPr>
          <w:r w:rsidRPr="0019515F">
            <w:rPr>
              <w:rStyle w:val="PlaceholderText"/>
            </w:rPr>
            <w:t>Klicken Sie hier, um Text einzugeben.</w:t>
          </w:r>
        </w:p>
      </w:docPartBody>
    </w:docPart>
    <w:docPart>
      <w:docPartPr>
        <w:name w:val="AEE3F1413089478BAD04CE61125BED26"/>
        <w:category>
          <w:name w:val="General"/>
          <w:gallery w:val="placeholder"/>
        </w:category>
        <w:types>
          <w:type w:val="bbPlcHdr"/>
        </w:types>
        <w:behaviors>
          <w:behavior w:val="content"/>
        </w:behaviors>
        <w:guid w:val="{CB43ECCC-60D8-40D1-AA99-4C8A3552C349}"/>
      </w:docPartPr>
      <w:docPartBody>
        <w:p w:rsidR="007A1436" w:rsidRDefault="007A1436" w:rsidP="007A1436">
          <w:pPr>
            <w:pStyle w:val="AEE3F1413089478BAD04CE61125BED26"/>
          </w:pPr>
          <w:r>
            <w:t>##.#</w:t>
          </w:r>
        </w:p>
      </w:docPartBody>
    </w:docPart>
    <w:docPart>
      <w:docPartPr>
        <w:name w:val="CBF928E0736D4A809A0A597AED27377A"/>
        <w:category>
          <w:name w:val="General"/>
          <w:gallery w:val="placeholder"/>
        </w:category>
        <w:types>
          <w:type w:val="bbPlcHdr"/>
        </w:types>
        <w:behaviors>
          <w:behavior w:val="content"/>
        </w:behaviors>
        <w:guid w:val="{67E16AE9-04DC-4E77-9D09-8CFD880054F1}"/>
      </w:docPartPr>
      <w:docPartBody>
        <w:p w:rsidR="00E07BAB" w:rsidRDefault="00017ACA" w:rsidP="00017ACA">
          <w:pPr>
            <w:pStyle w:val="CBF928E0736D4A809A0A597AED27377A"/>
          </w:pPr>
          <w:r>
            <w:t>222</w:t>
          </w:r>
          <w:r w:rsidRPr="008721FC">
            <w:rPr>
              <w:rStyle w:val="PlaceholderText"/>
            </w:rPr>
            <w:t>Document reference number</w:t>
          </w:r>
        </w:p>
      </w:docPartBody>
    </w:docPart>
    <w:docPart>
      <w:docPartPr>
        <w:name w:val="46C93374E106446A9B755AD39676056C"/>
        <w:category>
          <w:name w:val="General"/>
          <w:gallery w:val="placeholder"/>
        </w:category>
        <w:types>
          <w:type w:val="bbPlcHdr"/>
        </w:types>
        <w:behaviors>
          <w:behavior w:val="content"/>
        </w:behaviors>
        <w:guid w:val="{40458857-8882-4F35-9FBA-8ECF6083E4D9}"/>
      </w:docPartPr>
      <w:docPartBody>
        <w:p w:rsidR="00E07BAB" w:rsidRDefault="00017ACA" w:rsidP="00017ACA">
          <w:pPr>
            <w:pStyle w:val="46C93374E106446A9B755AD39676056C"/>
          </w:pPr>
          <w:r w:rsidRPr="00773362">
            <w:rPr>
              <w:rStyle w:val="PlaceholderText"/>
              <w:lang w:val="de-DE"/>
            </w:rPr>
            <w:t>Wählen Sie ein Element aus.</w:t>
          </w:r>
        </w:p>
      </w:docPartBody>
    </w:docPart>
    <w:docPart>
      <w:docPartPr>
        <w:name w:val="274D9C239FC94A4FBCA95A1F084D87AE"/>
        <w:category>
          <w:name w:val="General"/>
          <w:gallery w:val="placeholder"/>
        </w:category>
        <w:types>
          <w:type w:val="bbPlcHdr"/>
        </w:types>
        <w:behaviors>
          <w:behavior w:val="content"/>
        </w:behaviors>
        <w:guid w:val="{950F33BD-348C-4506-9F83-E10387799577}"/>
      </w:docPartPr>
      <w:docPartBody>
        <w:p w:rsidR="00E07BAB" w:rsidRDefault="00017ACA" w:rsidP="00017ACA">
          <w:pPr>
            <w:pStyle w:val="274D9C239FC94A4FBCA95A1F084D87AE"/>
          </w:pPr>
          <w:r w:rsidRPr="0019515F">
            <w:rPr>
              <w:rStyle w:val="PlaceholderText"/>
            </w:rPr>
            <w:t>Klicken Sie hier, um Text einzugeben.</w:t>
          </w:r>
        </w:p>
      </w:docPartBody>
    </w:docPart>
    <w:docPart>
      <w:docPartPr>
        <w:name w:val="6EA20015A4F44816842C31B0D1265997"/>
        <w:category>
          <w:name w:val="General"/>
          <w:gallery w:val="placeholder"/>
        </w:category>
        <w:types>
          <w:type w:val="bbPlcHdr"/>
        </w:types>
        <w:behaviors>
          <w:behavior w:val="content"/>
        </w:behaviors>
        <w:guid w:val="{0A05BEC8-7CE9-407E-8AA7-143E2DD448E7}"/>
      </w:docPartPr>
      <w:docPartBody>
        <w:p w:rsidR="00E07BAB" w:rsidRDefault="00017ACA" w:rsidP="00017ACA">
          <w:pPr>
            <w:pStyle w:val="6EA20015A4F44816842C31B0D1265997"/>
          </w:pPr>
          <w:r w:rsidRPr="001B3E66">
            <w:rPr>
              <w:rStyle w:val="PlaceholderText"/>
            </w:rPr>
            <w:t>Choose an item.</w:t>
          </w:r>
        </w:p>
      </w:docPartBody>
    </w:docPart>
    <w:docPart>
      <w:docPartPr>
        <w:name w:val="1899E9A1F6744E30BB92597F5B7861C9"/>
        <w:category>
          <w:name w:val="General"/>
          <w:gallery w:val="placeholder"/>
        </w:category>
        <w:types>
          <w:type w:val="bbPlcHdr"/>
        </w:types>
        <w:behaviors>
          <w:behavior w:val="content"/>
        </w:behaviors>
        <w:guid w:val="{57978516-3BAD-44A0-8F75-5BA5DCE8AA09}"/>
      </w:docPartPr>
      <w:docPartBody>
        <w:p w:rsidR="00E07BAB" w:rsidRDefault="00017ACA" w:rsidP="00017ACA">
          <w:pPr>
            <w:pStyle w:val="1899E9A1F6744E30BB92597F5B7861C9"/>
          </w:pPr>
          <w:r w:rsidRPr="00CE2F3F">
            <w:rPr>
              <w:rStyle w:val="PlaceholderText"/>
            </w:rPr>
            <w:t>Klicken Sie hier, um Text einzugeben.</w:t>
          </w:r>
        </w:p>
      </w:docPartBody>
    </w:docPart>
    <w:docPart>
      <w:docPartPr>
        <w:name w:val="AB46C0D163364D56AE5DA8E0B1135A5F"/>
        <w:category>
          <w:name w:val="General"/>
          <w:gallery w:val="placeholder"/>
        </w:category>
        <w:types>
          <w:type w:val="bbPlcHdr"/>
        </w:types>
        <w:behaviors>
          <w:behavior w:val="content"/>
        </w:behaviors>
        <w:guid w:val="{812D0F53-518B-42EC-919E-9F952D778D76}"/>
      </w:docPartPr>
      <w:docPartBody>
        <w:p w:rsidR="00E07BAB" w:rsidRDefault="00017ACA" w:rsidP="00017ACA">
          <w:pPr>
            <w:pStyle w:val="AB46C0D163364D56AE5DA8E0B1135A5F"/>
          </w:pPr>
          <w:r w:rsidRPr="0019515F">
            <w:rPr>
              <w:rStyle w:val="PlaceholderText"/>
            </w:rPr>
            <w:t>Klicken Sie hier, um Text einzugeben.</w:t>
          </w:r>
        </w:p>
      </w:docPartBody>
    </w:docPart>
    <w:docPart>
      <w:docPartPr>
        <w:name w:val="ABA70F6E83BA4DCB84A9DFD396F97C6B"/>
        <w:category>
          <w:name w:val="General"/>
          <w:gallery w:val="placeholder"/>
        </w:category>
        <w:types>
          <w:type w:val="bbPlcHdr"/>
        </w:types>
        <w:behaviors>
          <w:behavior w:val="content"/>
        </w:behaviors>
        <w:guid w:val="{DDF16D60-831F-4230-A63F-A2EED6928676}"/>
      </w:docPartPr>
      <w:docPartBody>
        <w:p w:rsidR="00E07BAB" w:rsidRDefault="00017ACA" w:rsidP="00017ACA">
          <w:pPr>
            <w:pStyle w:val="ABA70F6E83BA4DCB84A9DFD396F97C6B"/>
          </w:pPr>
          <w:r>
            <w:t>02.0</w:t>
          </w:r>
        </w:p>
      </w:docPartBody>
    </w:docPart>
    <w:docPart>
      <w:docPartPr>
        <w:name w:val="BACB20D56AC344D0A8CCD4D9B3048B84"/>
        <w:category>
          <w:name w:val="General"/>
          <w:gallery w:val="placeholder"/>
        </w:category>
        <w:types>
          <w:type w:val="bbPlcHdr"/>
        </w:types>
        <w:behaviors>
          <w:behavior w:val="content"/>
        </w:behaviors>
        <w:guid w:val="{461F6F63-FD24-4123-9B53-BDA81EBF6CBA}"/>
      </w:docPartPr>
      <w:docPartBody>
        <w:p w:rsidR="00E07BAB" w:rsidRDefault="00017ACA" w:rsidP="00017ACA">
          <w:pPr>
            <w:pStyle w:val="BACB20D56AC344D0A8CCD4D9B3048B84"/>
          </w:pPr>
          <w:r>
            <w:t>222</w:t>
          </w:r>
          <w:r w:rsidRPr="008721FC">
            <w:rPr>
              <w:rStyle w:val="PlaceholderText"/>
            </w:rPr>
            <w:t>Document reference number</w:t>
          </w:r>
        </w:p>
      </w:docPartBody>
    </w:docPart>
    <w:docPart>
      <w:docPartPr>
        <w:name w:val="A847D543D1FF4B7B868EC1533DA8D35E"/>
        <w:category>
          <w:name w:val="General"/>
          <w:gallery w:val="placeholder"/>
        </w:category>
        <w:types>
          <w:type w:val="bbPlcHdr"/>
        </w:types>
        <w:behaviors>
          <w:behavior w:val="content"/>
        </w:behaviors>
        <w:guid w:val="{78B53FC7-4D2E-4841-9FE3-8A192C522A99}"/>
      </w:docPartPr>
      <w:docPartBody>
        <w:p w:rsidR="00E07BAB" w:rsidRDefault="00017ACA" w:rsidP="00017ACA">
          <w:pPr>
            <w:pStyle w:val="A847D543D1FF4B7B868EC1533DA8D35E"/>
          </w:pPr>
          <w:r w:rsidRPr="00773362">
            <w:rPr>
              <w:rStyle w:val="PlaceholderText"/>
              <w:lang w:val="de-DE"/>
            </w:rPr>
            <w:t>Wählen Sie ein Element aus.</w:t>
          </w:r>
        </w:p>
      </w:docPartBody>
    </w:docPart>
    <w:docPart>
      <w:docPartPr>
        <w:name w:val="6C67E48B7F7D4C04BAA76F731A13D509"/>
        <w:category>
          <w:name w:val="General"/>
          <w:gallery w:val="placeholder"/>
        </w:category>
        <w:types>
          <w:type w:val="bbPlcHdr"/>
        </w:types>
        <w:behaviors>
          <w:behavior w:val="content"/>
        </w:behaviors>
        <w:guid w:val="{36B0D4AC-DBC4-4CE8-936A-4721909E5DF9}"/>
      </w:docPartPr>
      <w:docPartBody>
        <w:p w:rsidR="00E07BAB" w:rsidRDefault="00017ACA" w:rsidP="00017ACA">
          <w:pPr>
            <w:pStyle w:val="6C67E48B7F7D4C04BAA76F731A13D509"/>
          </w:pPr>
          <w:r w:rsidRPr="0019515F">
            <w:rPr>
              <w:rStyle w:val="PlaceholderText"/>
            </w:rPr>
            <w:t>Klicken Sie hier, um Text einzugeben.</w:t>
          </w:r>
        </w:p>
      </w:docPartBody>
    </w:docPart>
    <w:docPart>
      <w:docPartPr>
        <w:name w:val="23A6E4C33AD3469AA873E82C3DB7DC2D"/>
        <w:category>
          <w:name w:val="General"/>
          <w:gallery w:val="placeholder"/>
        </w:category>
        <w:types>
          <w:type w:val="bbPlcHdr"/>
        </w:types>
        <w:behaviors>
          <w:behavior w:val="content"/>
        </w:behaviors>
        <w:guid w:val="{5CB21D2B-9F60-4AF8-82E0-B1C7E4C91A7D}"/>
      </w:docPartPr>
      <w:docPartBody>
        <w:p w:rsidR="00E07BAB" w:rsidRDefault="00017ACA" w:rsidP="00017ACA">
          <w:pPr>
            <w:pStyle w:val="23A6E4C33AD3469AA873E82C3DB7DC2D"/>
          </w:pPr>
          <w:r w:rsidRPr="001B3E66">
            <w:rPr>
              <w:rStyle w:val="PlaceholderText"/>
            </w:rPr>
            <w:t>Choose an item.</w:t>
          </w:r>
        </w:p>
      </w:docPartBody>
    </w:docPart>
    <w:docPart>
      <w:docPartPr>
        <w:name w:val="1619387CBFFF404D82ED39DC1044C99E"/>
        <w:category>
          <w:name w:val="General"/>
          <w:gallery w:val="placeholder"/>
        </w:category>
        <w:types>
          <w:type w:val="bbPlcHdr"/>
        </w:types>
        <w:behaviors>
          <w:behavior w:val="content"/>
        </w:behaviors>
        <w:guid w:val="{BFC6939F-7F7A-448C-A3D4-F0D5D2CDF374}"/>
      </w:docPartPr>
      <w:docPartBody>
        <w:p w:rsidR="00E07BAB" w:rsidRDefault="00017ACA" w:rsidP="00017ACA">
          <w:pPr>
            <w:pStyle w:val="1619387CBFFF404D82ED39DC1044C99E"/>
          </w:pPr>
          <w:r w:rsidRPr="00CE2F3F">
            <w:rPr>
              <w:rStyle w:val="PlaceholderText"/>
            </w:rPr>
            <w:t>Klicken Sie hier, um Text einzugeben.</w:t>
          </w:r>
        </w:p>
      </w:docPartBody>
    </w:docPart>
    <w:docPart>
      <w:docPartPr>
        <w:name w:val="16BD50B52E1B4DD49C110A5DBC860A6C"/>
        <w:category>
          <w:name w:val="General"/>
          <w:gallery w:val="placeholder"/>
        </w:category>
        <w:types>
          <w:type w:val="bbPlcHdr"/>
        </w:types>
        <w:behaviors>
          <w:behavior w:val="content"/>
        </w:behaviors>
        <w:guid w:val="{2196E95E-A4C3-41E6-A5C7-2122BBB845B2}"/>
      </w:docPartPr>
      <w:docPartBody>
        <w:p w:rsidR="00E07BAB" w:rsidRDefault="00017ACA" w:rsidP="00017ACA">
          <w:pPr>
            <w:pStyle w:val="16BD50B52E1B4DD49C110A5DBC860A6C"/>
          </w:pPr>
          <w:r w:rsidRPr="0019515F">
            <w:rPr>
              <w:rStyle w:val="PlaceholderText"/>
            </w:rPr>
            <w:t>Klicken Sie hier, um Text einzugeben.</w:t>
          </w:r>
        </w:p>
      </w:docPartBody>
    </w:docPart>
    <w:docPart>
      <w:docPartPr>
        <w:name w:val="86504ECF0D764B2E84793C88C3DCC859"/>
        <w:category>
          <w:name w:val="General"/>
          <w:gallery w:val="placeholder"/>
        </w:category>
        <w:types>
          <w:type w:val="bbPlcHdr"/>
        </w:types>
        <w:behaviors>
          <w:behavior w:val="content"/>
        </w:behaviors>
        <w:guid w:val="{A94DE6DC-89CC-40BB-AB08-153FA8362719}"/>
      </w:docPartPr>
      <w:docPartBody>
        <w:p w:rsidR="00E07BAB" w:rsidRDefault="00017ACA" w:rsidP="00017ACA">
          <w:pPr>
            <w:pStyle w:val="86504ECF0D764B2E84793C88C3DCC859"/>
          </w:pPr>
          <w:r>
            <w:t>02.0</w:t>
          </w:r>
        </w:p>
      </w:docPartBody>
    </w:docPart>
    <w:docPart>
      <w:docPartPr>
        <w:name w:val="174DAE7E5BF0440A97CC5BA937BFB92B"/>
        <w:category>
          <w:name w:val="General"/>
          <w:gallery w:val="placeholder"/>
        </w:category>
        <w:types>
          <w:type w:val="bbPlcHdr"/>
        </w:types>
        <w:behaviors>
          <w:behavior w:val="content"/>
        </w:behaviors>
        <w:guid w:val="{50621190-9909-404E-93D1-E8A3453DDED4}"/>
      </w:docPartPr>
      <w:docPartBody>
        <w:p w:rsidR="00E07BAB" w:rsidRDefault="00017ACA" w:rsidP="00017ACA">
          <w:pPr>
            <w:pStyle w:val="174DAE7E5BF0440A97CC5BA937BFB92B"/>
          </w:pPr>
          <w:r w:rsidRPr="0019515F">
            <w:rPr>
              <w:rStyle w:val="PlaceholderText"/>
            </w:rPr>
            <w:t>Klicken Sie hier, um Text einzugeben.</w:t>
          </w:r>
        </w:p>
      </w:docPartBody>
    </w:docPart>
    <w:docPart>
      <w:docPartPr>
        <w:name w:val="E3EE9B3A5C874A59B7CDE5E4E891989E"/>
        <w:category>
          <w:name w:val="General"/>
          <w:gallery w:val="placeholder"/>
        </w:category>
        <w:types>
          <w:type w:val="bbPlcHdr"/>
        </w:types>
        <w:behaviors>
          <w:behavior w:val="content"/>
        </w:behaviors>
        <w:guid w:val="{6D6CAFFF-906D-4ACE-B209-87578AFE2249}"/>
      </w:docPartPr>
      <w:docPartBody>
        <w:p w:rsidR="00E07BAB" w:rsidRDefault="00017ACA" w:rsidP="00017ACA">
          <w:pPr>
            <w:pStyle w:val="E3EE9B3A5C874A59B7CDE5E4E891989E"/>
          </w:pPr>
          <w:r>
            <w:t>##.#</w:t>
          </w:r>
        </w:p>
      </w:docPartBody>
    </w:docPart>
    <w:docPart>
      <w:docPartPr>
        <w:name w:val="C477CD21D8DD460C932FFF5CE470CEB0"/>
        <w:category>
          <w:name w:val="General"/>
          <w:gallery w:val="placeholder"/>
        </w:category>
        <w:types>
          <w:type w:val="bbPlcHdr"/>
        </w:types>
        <w:behaviors>
          <w:behavior w:val="content"/>
        </w:behaviors>
        <w:guid w:val="{1C8A7509-E578-4048-8FA1-6FBADE9430E5}"/>
      </w:docPartPr>
      <w:docPartBody>
        <w:p w:rsidR="00E07BAB" w:rsidRDefault="00017ACA" w:rsidP="00017ACA">
          <w:pPr>
            <w:pStyle w:val="C477CD21D8DD460C932FFF5CE470CEB0"/>
          </w:pPr>
          <w:r>
            <w:t>222</w:t>
          </w:r>
          <w:r w:rsidRPr="008721FC">
            <w:rPr>
              <w:rStyle w:val="PlaceholderText"/>
            </w:rPr>
            <w:t>Document reference number</w:t>
          </w:r>
        </w:p>
      </w:docPartBody>
    </w:docPart>
    <w:docPart>
      <w:docPartPr>
        <w:name w:val="45DF6453D5374209845BD449AB316130"/>
        <w:category>
          <w:name w:val="General"/>
          <w:gallery w:val="placeholder"/>
        </w:category>
        <w:types>
          <w:type w:val="bbPlcHdr"/>
        </w:types>
        <w:behaviors>
          <w:behavior w:val="content"/>
        </w:behaviors>
        <w:guid w:val="{90F2A4AE-934E-4750-9592-7ED2D8858DC7}"/>
      </w:docPartPr>
      <w:docPartBody>
        <w:p w:rsidR="00E07BAB" w:rsidRDefault="00017ACA" w:rsidP="00017ACA">
          <w:pPr>
            <w:pStyle w:val="45DF6453D5374209845BD449AB316130"/>
          </w:pPr>
          <w:r w:rsidRPr="00773362">
            <w:rPr>
              <w:rStyle w:val="PlaceholderText"/>
              <w:lang w:val="de-DE"/>
            </w:rPr>
            <w:t>Wählen Sie ein Element aus.</w:t>
          </w:r>
        </w:p>
      </w:docPartBody>
    </w:docPart>
    <w:docPart>
      <w:docPartPr>
        <w:name w:val="8B49C248FBC44212BD96F570D167E25D"/>
        <w:category>
          <w:name w:val="General"/>
          <w:gallery w:val="placeholder"/>
        </w:category>
        <w:types>
          <w:type w:val="bbPlcHdr"/>
        </w:types>
        <w:behaviors>
          <w:behavior w:val="content"/>
        </w:behaviors>
        <w:guid w:val="{F48A4564-D6B7-42DC-A19B-BFFA8FE7F892}"/>
      </w:docPartPr>
      <w:docPartBody>
        <w:p w:rsidR="00E07BAB" w:rsidRDefault="00017ACA" w:rsidP="00017ACA">
          <w:pPr>
            <w:pStyle w:val="8B49C248FBC44212BD96F570D167E25D"/>
          </w:pPr>
          <w:r w:rsidRPr="0019515F">
            <w:rPr>
              <w:rStyle w:val="PlaceholderText"/>
            </w:rPr>
            <w:t>Klicken Sie hier, um Text einzugeben.</w:t>
          </w:r>
        </w:p>
      </w:docPartBody>
    </w:docPart>
    <w:docPart>
      <w:docPartPr>
        <w:name w:val="166A67FFD101468EBAD67313EF23661D"/>
        <w:category>
          <w:name w:val="General"/>
          <w:gallery w:val="placeholder"/>
        </w:category>
        <w:types>
          <w:type w:val="bbPlcHdr"/>
        </w:types>
        <w:behaviors>
          <w:behavior w:val="content"/>
        </w:behaviors>
        <w:guid w:val="{20764E5E-F0EF-4A3E-84FB-2E7FD48DA2C3}"/>
      </w:docPartPr>
      <w:docPartBody>
        <w:p w:rsidR="00E07BAB" w:rsidRDefault="00017ACA" w:rsidP="00017ACA">
          <w:pPr>
            <w:pStyle w:val="166A67FFD101468EBAD67313EF23661D"/>
          </w:pPr>
          <w:r w:rsidRPr="001B3E66">
            <w:rPr>
              <w:rStyle w:val="PlaceholderText"/>
            </w:rPr>
            <w:t>Choose an item.</w:t>
          </w:r>
        </w:p>
      </w:docPartBody>
    </w:docPart>
    <w:docPart>
      <w:docPartPr>
        <w:name w:val="8B2B79A64F1543C0B2E2EE47CB487107"/>
        <w:category>
          <w:name w:val="General"/>
          <w:gallery w:val="placeholder"/>
        </w:category>
        <w:types>
          <w:type w:val="bbPlcHdr"/>
        </w:types>
        <w:behaviors>
          <w:behavior w:val="content"/>
        </w:behaviors>
        <w:guid w:val="{8D62FA56-62B8-4845-802D-BC74BAC6BC32}"/>
      </w:docPartPr>
      <w:docPartBody>
        <w:p w:rsidR="00E07BAB" w:rsidRDefault="00017ACA" w:rsidP="00017ACA">
          <w:pPr>
            <w:pStyle w:val="8B2B79A64F1543C0B2E2EE47CB487107"/>
          </w:pPr>
          <w:r w:rsidRPr="00CE2F3F">
            <w:rPr>
              <w:rStyle w:val="PlaceholderText"/>
            </w:rPr>
            <w:t>Klicken Sie hier, um Text einzugeben.</w:t>
          </w:r>
        </w:p>
      </w:docPartBody>
    </w:docPart>
    <w:docPart>
      <w:docPartPr>
        <w:name w:val="9D17C9B3F91C4F6796BF9560B965CE85"/>
        <w:category>
          <w:name w:val="General"/>
          <w:gallery w:val="placeholder"/>
        </w:category>
        <w:types>
          <w:type w:val="bbPlcHdr"/>
        </w:types>
        <w:behaviors>
          <w:behavior w:val="content"/>
        </w:behaviors>
        <w:guid w:val="{B7676481-5DA9-4A6B-B0FF-E486DB257E29}"/>
      </w:docPartPr>
      <w:docPartBody>
        <w:p w:rsidR="00E07BAB" w:rsidRDefault="00017ACA" w:rsidP="00017ACA">
          <w:pPr>
            <w:pStyle w:val="9D17C9B3F91C4F6796BF9560B965CE85"/>
          </w:pPr>
          <w:r w:rsidRPr="0019515F">
            <w:rPr>
              <w:rStyle w:val="PlaceholderText"/>
            </w:rPr>
            <w:t>Klicken Sie hier, um Text einzugeben.</w:t>
          </w:r>
        </w:p>
      </w:docPartBody>
    </w:docPart>
    <w:docPart>
      <w:docPartPr>
        <w:name w:val="C7C837F4257B4642AA6D923DAACE6655"/>
        <w:category>
          <w:name w:val="General"/>
          <w:gallery w:val="placeholder"/>
        </w:category>
        <w:types>
          <w:type w:val="bbPlcHdr"/>
        </w:types>
        <w:behaviors>
          <w:behavior w:val="content"/>
        </w:behaviors>
        <w:guid w:val="{AB719BC5-694D-4259-982E-AA9CDC7E096F}"/>
      </w:docPartPr>
      <w:docPartBody>
        <w:p w:rsidR="00E07BAB" w:rsidRDefault="00017ACA" w:rsidP="00017ACA">
          <w:pPr>
            <w:pStyle w:val="C7C837F4257B4642AA6D923DAACE6655"/>
          </w:pPr>
          <w:r>
            <w:t>02.0</w:t>
          </w:r>
        </w:p>
      </w:docPartBody>
    </w:docPart>
    <w:docPart>
      <w:docPartPr>
        <w:name w:val="02EC66EE620D47248D7E5E5539D08883"/>
        <w:category>
          <w:name w:val="General"/>
          <w:gallery w:val="placeholder"/>
        </w:category>
        <w:types>
          <w:type w:val="bbPlcHdr"/>
        </w:types>
        <w:behaviors>
          <w:behavior w:val="content"/>
        </w:behaviors>
        <w:guid w:val="{A1B3F2C9-91B9-4122-B3AF-8B65AEDE7DD9}"/>
      </w:docPartPr>
      <w:docPartBody>
        <w:p w:rsidR="00E07BAB" w:rsidRDefault="00017ACA" w:rsidP="00017ACA">
          <w:pPr>
            <w:pStyle w:val="02EC66EE620D47248D7E5E5539D08883"/>
          </w:pPr>
          <w:r w:rsidRPr="0019515F">
            <w:rPr>
              <w:rStyle w:val="PlaceholderText"/>
            </w:rPr>
            <w:t>Klicken Sie hier, um Text einzugeben.</w:t>
          </w:r>
        </w:p>
      </w:docPartBody>
    </w:docPart>
    <w:docPart>
      <w:docPartPr>
        <w:name w:val="4EE4BD159B5345799137803C17701A6C"/>
        <w:category>
          <w:name w:val="General"/>
          <w:gallery w:val="placeholder"/>
        </w:category>
        <w:types>
          <w:type w:val="bbPlcHdr"/>
        </w:types>
        <w:behaviors>
          <w:behavior w:val="content"/>
        </w:behaviors>
        <w:guid w:val="{C4B12247-456B-42EE-A99F-CCD43EE54B87}"/>
      </w:docPartPr>
      <w:docPartBody>
        <w:p w:rsidR="00E07BAB" w:rsidRDefault="00017ACA" w:rsidP="00017ACA">
          <w:pPr>
            <w:pStyle w:val="4EE4BD159B5345799137803C17701A6C"/>
          </w:pPr>
          <w:r>
            <w:t>##.#</w:t>
          </w:r>
        </w:p>
      </w:docPartBody>
    </w:docPart>
    <w:docPart>
      <w:docPartPr>
        <w:name w:val="A7EB0936502C4381B561B372BA2088FE"/>
        <w:category>
          <w:name w:val="General"/>
          <w:gallery w:val="placeholder"/>
        </w:category>
        <w:types>
          <w:type w:val="bbPlcHdr"/>
        </w:types>
        <w:behaviors>
          <w:behavior w:val="content"/>
        </w:behaviors>
        <w:guid w:val="{D8A15DD5-BC3A-49FC-A73B-57AD8113256A}"/>
      </w:docPartPr>
      <w:docPartBody>
        <w:p w:rsidR="00E07BAB" w:rsidRDefault="00017ACA" w:rsidP="00017ACA">
          <w:pPr>
            <w:pStyle w:val="A7EB0936502C4381B561B372BA2088FE"/>
          </w:pPr>
          <w:r>
            <w:t>222</w:t>
          </w:r>
          <w:r w:rsidRPr="008721FC">
            <w:rPr>
              <w:rStyle w:val="PlaceholderText"/>
            </w:rPr>
            <w:t>Document reference number</w:t>
          </w:r>
        </w:p>
      </w:docPartBody>
    </w:docPart>
    <w:docPart>
      <w:docPartPr>
        <w:name w:val="E9F2030420584E27952B29D604FB1EFC"/>
        <w:category>
          <w:name w:val="General"/>
          <w:gallery w:val="placeholder"/>
        </w:category>
        <w:types>
          <w:type w:val="bbPlcHdr"/>
        </w:types>
        <w:behaviors>
          <w:behavior w:val="content"/>
        </w:behaviors>
        <w:guid w:val="{4B5189EF-4C86-4E2A-846F-FB4EDF56FCE0}"/>
      </w:docPartPr>
      <w:docPartBody>
        <w:p w:rsidR="00E07BAB" w:rsidRDefault="00017ACA" w:rsidP="00017ACA">
          <w:pPr>
            <w:pStyle w:val="E9F2030420584E27952B29D604FB1EFC"/>
          </w:pPr>
          <w:r w:rsidRPr="00773362">
            <w:rPr>
              <w:rStyle w:val="PlaceholderText"/>
              <w:lang w:val="de-DE"/>
            </w:rPr>
            <w:t>Wählen Sie ein Element aus.</w:t>
          </w:r>
        </w:p>
      </w:docPartBody>
    </w:docPart>
    <w:docPart>
      <w:docPartPr>
        <w:name w:val="678F105F42524AB7859DDEDD6B64B22C"/>
        <w:category>
          <w:name w:val="General"/>
          <w:gallery w:val="placeholder"/>
        </w:category>
        <w:types>
          <w:type w:val="bbPlcHdr"/>
        </w:types>
        <w:behaviors>
          <w:behavior w:val="content"/>
        </w:behaviors>
        <w:guid w:val="{06CC7039-51BE-43A6-B061-300DE50F9038}"/>
      </w:docPartPr>
      <w:docPartBody>
        <w:p w:rsidR="00E07BAB" w:rsidRDefault="00017ACA" w:rsidP="00017ACA">
          <w:pPr>
            <w:pStyle w:val="678F105F42524AB7859DDEDD6B64B22C"/>
          </w:pPr>
          <w:r w:rsidRPr="0019515F">
            <w:rPr>
              <w:rStyle w:val="PlaceholderText"/>
            </w:rPr>
            <w:t>Klicken Sie hier, um Text einzugeben.</w:t>
          </w:r>
        </w:p>
      </w:docPartBody>
    </w:docPart>
    <w:docPart>
      <w:docPartPr>
        <w:name w:val="1A302ABFB42548AA83A373D5771AF3C7"/>
        <w:category>
          <w:name w:val="General"/>
          <w:gallery w:val="placeholder"/>
        </w:category>
        <w:types>
          <w:type w:val="bbPlcHdr"/>
        </w:types>
        <w:behaviors>
          <w:behavior w:val="content"/>
        </w:behaviors>
        <w:guid w:val="{CB283F7E-FC83-4B7A-BF5B-E3601E6BD531}"/>
      </w:docPartPr>
      <w:docPartBody>
        <w:p w:rsidR="00E07BAB" w:rsidRDefault="00017ACA" w:rsidP="00017ACA">
          <w:pPr>
            <w:pStyle w:val="1A302ABFB42548AA83A373D5771AF3C7"/>
          </w:pPr>
          <w:r w:rsidRPr="001B3E66">
            <w:rPr>
              <w:rStyle w:val="PlaceholderText"/>
            </w:rPr>
            <w:t>Choose an item.</w:t>
          </w:r>
        </w:p>
      </w:docPartBody>
    </w:docPart>
    <w:docPart>
      <w:docPartPr>
        <w:name w:val="15594029DDB94460AF9A0362ECD76733"/>
        <w:category>
          <w:name w:val="General"/>
          <w:gallery w:val="placeholder"/>
        </w:category>
        <w:types>
          <w:type w:val="bbPlcHdr"/>
        </w:types>
        <w:behaviors>
          <w:behavior w:val="content"/>
        </w:behaviors>
        <w:guid w:val="{F606049E-2676-410F-9121-8257BF9DF55A}"/>
      </w:docPartPr>
      <w:docPartBody>
        <w:p w:rsidR="00E07BAB" w:rsidRDefault="00017ACA" w:rsidP="00017ACA">
          <w:pPr>
            <w:pStyle w:val="15594029DDB94460AF9A0362ECD76733"/>
          </w:pPr>
          <w:r w:rsidRPr="00CE2F3F">
            <w:rPr>
              <w:rStyle w:val="PlaceholderText"/>
            </w:rPr>
            <w:t>Klicken Sie hier, um Text einzugeben.</w:t>
          </w:r>
        </w:p>
      </w:docPartBody>
    </w:docPart>
    <w:docPart>
      <w:docPartPr>
        <w:name w:val="2DFC9D3713D443DCB4049115D2776067"/>
        <w:category>
          <w:name w:val="General"/>
          <w:gallery w:val="placeholder"/>
        </w:category>
        <w:types>
          <w:type w:val="bbPlcHdr"/>
        </w:types>
        <w:behaviors>
          <w:behavior w:val="content"/>
        </w:behaviors>
        <w:guid w:val="{79DF162B-97C7-4C85-A16A-BB53F0A19719}"/>
      </w:docPartPr>
      <w:docPartBody>
        <w:p w:rsidR="00E07BAB" w:rsidRDefault="00017ACA" w:rsidP="00017ACA">
          <w:pPr>
            <w:pStyle w:val="2DFC9D3713D443DCB4049115D2776067"/>
          </w:pPr>
          <w:r w:rsidRPr="0019515F">
            <w:rPr>
              <w:rStyle w:val="PlaceholderText"/>
            </w:rPr>
            <w:t>Klicken Sie hier, um Text einzugeben.</w:t>
          </w:r>
        </w:p>
      </w:docPartBody>
    </w:docPart>
    <w:docPart>
      <w:docPartPr>
        <w:name w:val="E5BD536E03174A14987D6EA4128FF87A"/>
        <w:category>
          <w:name w:val="General"/>
          <w:gallery w:val="placeholder"/>
        </w:category>
        <w:types>
          <w:type w:val="bbPlcHdr"/>
        </w:types>
        <w:behaviors>
          <w:behavior w:val="content"/>
        </w:behaviors>
        <w:guid w:val="{4296B0A1-0754-4305-9A4D-85897FE3A5DC}"/>
      </w:docPartPr>
      <w:docPartBody>
        <w:p w:rsidR="00E07BAB" w:rsidRDefault="00017ACA" w:rsidP="00017ACA">
          <w:pPr>
            <w:pStyle w:val="E5BD536E03174A14987D6EA4128FF87A"/>
          </w:pPr>
          <w:r>
            <w:t>02.0</w:t>
          </w:r>
        </w:p>
      </w:docPartBody>
    </w:docPart>
    <w:docPart>
      <w:docPartPr>
        <w:name w:val="EBD004D7FBFF4701B52A01C69AB2E8EC"/>
        <w:category>
          <w:name w:val="General"/>
          <w:gallery w:val="placeholder"/>
        </w:category>
        <w:types>
          <w:type w:val="bbPlcHdr"/>
        </w:types>
        <w:behaviors>
          <w:behavior w:val="content"/>
        </w:behaviors>
        <w:guid w:val="{B4CEAB23-B584-43AA-AE74-4111176850BF}"/>
      </w:docPartPr>
      <w:docPartBody>
        <w:p w:rsidR="00E07BAB" w:rsidRDefault="00017ACA" w:rsidP="00017ACA">
          <w:pPr>
            <w:pStyle w:val="EBD004D7FBFF4701B52A01C69AB2E8EC"/>
          </w:pPr>
          <w:r w:rsidRPr="0019515F">
            <w:rPr>
              <w:rStyle w:val="PlaceholderText"/>
            </w:rPr>
            <w:t>Klicken Sie hier, um Text einzugeben.</w:t>
          </w:r>
        </w:p>
      </w:docPartBody>
    </w:docPart>
    <w:docPart>
      <w:docPartPr>
        <w:name w:val="BD1A3E95FC274D50A34DB66EA99B4BCB"/>
        <w:category>
          <w:name w:val="General"/>
          <w:gallery w:val="placeholder"/>
        </w:category>
        <w:types>
          <w:type w:val="bbPlcHdr"/>
        </w:types>
        <w:behaviors>
          <w:behavior w:val="content"/>
        </w:behaviors>
        <w:guid w:val="{7EE74FDD-E2E9-4A48-9729-EA179066131B}"/>
      </w:docPartPr>
      <w:docPartBody>
        <w:p w:rsidR="00E07BAB" w:rsidRDefault="00017ACA" w:rsidP="00017ACA">
          <w:pPr>
            <w:pStyle w:val="BD1A3E95FC274D50A34DB66EA99B4BCB"/>
          </w:pPr>
          <w:r>
            <w:t>##.#</w:t>
          </w:r>
        </w:p>
      </w:docPartBody>
    </w:docPart>
    <w:docPart>
      <w:docPartPr>
        <w:name w:val="F896B519445C4DF08599558E0E57EFD8"/>
        <w:category>
          <w:name w:val="General"/>
          <w:gallery w:val="placeholder"/>
        </w:category>
        <w:types>
          <w:type w:val="bbPlcHdr"/>
        </w:types>
        <w:behaviors>
          <w:behavior w:val="content"/>
        </w:behaviors>
        <w:guid w:val="{B85B77E3-6B5E-4B93-A421-D3582805AF03}"/>
      </w:docPartPr>
      <w:docPartBody>
        <w:p w:rsidR="00E07BAB" w:rsidRDefault="00017ACA" w:rsidP="00017ACA">
          <w:pPr>
            <w:pStyle w:val="F896B519445C4DF08599558E0E57EFD8"/>
          </w:pPr>
          <w:r>
            <w:t>222</w:t>
          </w:r>
          <w:r w:rsidRPr="008721FC">
            <w:rPr>
              <w:rStyle w:val="PlaceholderText"/>
            </w:rPr>
            <w:t>Document reference number</w:t>
          </w:r>
        </w:p>
      </w:docPartBody>
    </w:docPart>
    <w:docPart>
      <w:docPartPr>
        <w:name w:val="BC7277E0FF474C4A95F99586AFC49AE8"/>
        <w:category>
          <w:name w:val="General"/>
          <w:gallery w:val="placeholder"/>
        </w:category>
        <w:types>
          <w:type w:val="bbPlcHdr"/>
        </w:types>
        <w:behaviors>
          <w:behavior w:val="content"/>
        </w:behaviors>
        <w:guid w:val="{C72987EF-A04C-482E-A412-2F9F503B0CE4}"/>
      </w:docPartPr>
      <w:docPartBody>
        <w:p w:rsidR="00E07BAB" w:rsidRDefault="00017ACA" w:rsidP="00017ACA">
          <w:pPr>
            <w:pStyle w:val="BC7277E0FF474C4A95F99586AFC49AE8"/>
          </w:pPr>
          <w:r w:rsidRPr="00773362">
            <w:rPr>
              <w:rStyle w:val="PlaceholderText"/>
              <w:lang w:val="de-DE"/>
            </w:rPr>
            <w:t>Wählen Sie ein Element aus.</w:t>
          </w:r>
        </w:p>
      </w:docPartBody>
    </w:docPart>
    <w:docPart>
      <w:docPartPr>
        <w:name w:val="0410BA9DE5F242B2904F7191F3FEFD8C"/>
        <w:category>
          <w:name w:val="General"/>
          <w:gallery w:val="placeholder"/>
        </w:category>
        <w:types>
          <w:type w:val="bbPlcHdr"/>
        </w:types>
        <w:behaviors>
          <w:behavior w:val="content"/>
        </w:behaviors>
        <w:guid w:val="{BED9DA22-56A3-423F-881F-8508F79A011C}"/>
      </w:docPartPr>
      <w:docPartBody>
        <w:p w:rsidR="00E07BAB" w:rsidRDefault="00017ACA" w:rsidP="00017ACA">
          <w:pPr>
            <w:pStyle w:val="0410BA9DE5F242B2904F7191F3FEFD8C"/>
          </w:pPr>
          <w:r w:rsidRPr="0019515F">
            <w:rPr>
              <w:rStyle w:val="PlaceholderText"/>
            </w:rPr>
            <w:t>Klicken Sie hier, um Text einzugeben.</w:t>
          </w:r>
        </w:p>
      </w:docPartBody>
    </w:docPart>
    <w:docPart>
      <w:docPartPr>
        <w:name w:val="4859DD6970BD42EF9C4E6E58D645AEF8"/>
        <w:category>
          <w:name w:val="General"/>
          <w:gallery w:val="placeholder"/>
        </w:category>
        <w:types>
          <w:type w:val="bbPlcHdr"/>
        </w:types>
        <w:behaviors>
          <w:behavior w:val="content"/>
        </w:behaviors>
        <w:guid w:val="{8326077C-188F-4751-A717-1D73C6B3A7E3}"/>
      </w:docPartPr>
      <w:docPartBody>
        <w:p w:rsidR="00E07BAB" w:rsidRDefault="00017ACA" w:rsidP="00017ACA">
          <w:pPr>
            <w:pStyle w:val="4859DD6970BD42EF9C4E6E58D645AEF8"/>
          </w:pPr>
          <w:r w:rsidRPr="001B3E66">
            <w:rPr>
              <w:rStyle w:val="PlaceholderText"/>
            </w:rPr>
            <w:t>Choose an item.</w:t>
          </w:r>
        </w:p>
      </w:docPartBody>
    </w:docPart>
    <w:docPart>
      <w:docPartPr>
        <w:name w:val="EAB80A1230DA4DBD83A87195AA19F49B"/>
        <w:category>
          <w:name w:val="General"/>
          <w:gallery w:val="placeholder"/>
        </w:category>
        <w:types>
          <w:type w:val="bbPlcHdr"/>
        </w:types>
        <w:behaviors>
          <w:behavior w:val="content"/>
        </w:behaviors>
        <w:guid w:val="{852DEBE9-5A6B-47FD-8B9E-B925C1172D4A}"/>
      </w:docPartPr>
      <w:docPartBody>
        <w:p w:rsidR="00E07BAB" w:rsidRDefault="00017ACA" w:rsidP="00017ACA">
          <w:pPr>
            <w:pStyle w:val="EAB80A1230DA4DBD83A87195AA19F49B"/>
          </w:pPr>
          <w:r w:rsidRPr="00CE2F3F">
            <w:rPr>
              <w:rStyle w:val="PlaceholderText"/>
            </w:rPr>
            <w:t>Klicken Sie hier, um Text einzugeben.</w:t>
          </w:r>
        </w:p>
      </w:docPartBody>
    </w:docPart>
    <w:docPart>
      <w:docPartPr>
        <w:name w:val="10AF77B9AA634E6DA51EB2729CE9390B"/>
        <w:category>
          <w:name w:val="General"/>
          <w:gallery w:val="placeholder"/>
        </w:category>
        <w:types>
          <w:type w:val="bbPlcHdr"/>
        </w:types>
        <w:behaviors>
          <w:behavior w:val="content"/>
        </w:behaviors>
        <w:guid w:val="{FDE4B2CF-B5B6-4B62-A0CD-51CB1923A12A}"/>
      </w:docPartPr>
      <w:docPartBody>
        <w:p w:rsidR="00E07BAB" w:rsidRDefault="00017ACA" w:rsidP="00017ACA">
          <w:pPr>
            <w:pStyle w:val="10AF77B9AA634E6DA51EB2729CE9390B"/>
          </w:pPr>
          <w:r w:rsidRPr="0019515F">
            <w:rPr>
              <w:rStyle w:val="PlaceholderText"/>
            </w:rPr>
            <w:t>Klicken Sie hier, um Text einzugeben.</w:t>
          </w:r>
        </w:p>
      </w:docPartBody>
    </w:docPart>
    <w:docPart>
      <w:docPartPr>
        <w:name w:val="96299BE91536453ABBAB62C1881A37D3"/>
        <w:category>
          <w:name w:val="General"/>
          <w:gallery w:val="placeholder"/>
        </w:category>
        <w:types>
          <w:type w:val="bbPlcHdr"/>
        </w:types>
        <w:behaviors>
          <w:behavior w:val="content"/>
        </w:behaviors>
        <w:guid w:val="{CDE90BD2-C8C6-46A5-A4AE-E4983A2F27E1}"/>
      </w:docPartPr>
      <w:docPartBody>
        <w:p w:rsidR="00E07BAB" w:rsidRDefault="00017ACA" w:rsidP="00017ACA">
          <w:pPr>
            <w:pStyle w:val="96299BE91536453ABBAB62C1881A37D3"/>
          </w:pPr>
          <w:r>
            <w:t>02.0</w:t>
          </w:r>
        </w:p>
      </w:docPartBody>
    </w:docPart>
    <w:docPart>
      <w:docPartPr>
        <w:name w:val="4B11D669BC244E21856CC0418C54ECE0"/>
        <w:category>
          <w:name w:val="General"/>
          <w:gallery w:val="placeholder"/>
        </w:category>
        <w:types>
          <w:type w:val="bbPlcHdr"/>
        </w:types>
        <w:behaviors>
          <w:behavior w:val="content"/>
        </w:behaviors>
        <w:guid w:val="{9A76DCF7-CA04-4B10-896A-A0CACB9B57C6}"/>
      </w:docPartPr>
      <w:docPartBody>
        <w:p w:rsidR="00E07BAB" w:rsidRDefault="00017ACA" w:rsidP="00017ACA">
          <w:pPr>
            <w:pStyle w:val="4B11D669BC244E21856CC0418C54ECE0"/>
          </w:pPr>
          <w:r w:rsidRPr="0019515F">
            <w:rPr>
              <w:rStyle w:val="PlaceholderText"/>
            </w:rPr>
            <w:t>Klicken Sie hier, um Text einzugeben.</w:t>
          </w:r>
        </w:p>
      </w:docPartBody>
    </w:docPart>
    <w:docPart>
      <w:docPartPr>
        <w:name w:val="939E3A7F9D6949FBBED8CA3DFC94F297"/>
        <w:category>
          <w:name w:val="General"/>
          <w:gallery w:val="placeholder"/>
        </w:category>
        <w:types>
          <w:type w:val="bbPlcHdr"/>
        </w:types>
        <w:behaviors>
          <w:behavior w:val="content"/>
        </w:behaviors>
        <w:guid w:val="{ACD10582-3BB6-4404-A59B-1EFCB4BA088A}"/>
      </w:docPartPr>
      <w:docPartBody>
        <w:p w:rsidR="00E07BAB" w:rsidRDefault="00017ACA" w:rsidP="00017ACA">
          <w:pPr>
            <w:pStyle w:val="939E3A7F9D6949FBBED8CA3DFC94F297"/>
          </w:pPr>
          <w:r>
            <w:t>##.#</w:t>
          </w:r>
        </w:p>
      </w:docPartBody>
    </w:docPart>
    <w:docPart>
      <w:docPartPr>
        <w:name w:val="687D5D071C2B439892EC987BFE91D0F6"/>
        <w:category>
          <w:name w:val="General"/>
          <w:gallery w:val="placeholder"/>
        </w:category>
        <w:types>
          <w:type w:val="bbPlcHdr"/>
        </w:types>
        <w:behaviors>
          <w:behavior w:val="content"/>
        </w:behaviors>
        <w:guid w:val="{DD2F5100-4040-48F8-A4F6-83FCE6551406}"/>
      </w:docPartPr>
      <w:docPartBody>
        <w:p w:rsidR="00E07BAB" w:rsidRDefault="00017ACA" w:rsidP="00017ACA">
          <w:pPr>
            <w:pStyle w:val="687D5D071C2B439892EC987BFE91D0F6"/>
          </w:pPr>
          <w:r>
            <w:t>222</w:t>
          </w:r>
          <w:r w:rsidRPr="008721FC">
            <w:rPr>
              <w:rStyle w:val="PlaceholderText"/>
            </w:rPr>
            <w:t>Document reference number</w:t>
          </w:r>
        </w:p>
      </w:docPartBody>
    </w:docPart>
    <w:docPart>
      <w:docPartPr>
        <w:name w:val="67C53834DF6946A889A4017E20D37DFD"/>
        <w:category>
          <w:name w:val="General"/>
          <w:gallery w:val="placeholder"/>
        </w:category>
        <w:types>
          <w:type w:val="bbPlcHdr"/>
        </w:types>
        <w:behaviors>
          <w:behavior w:val="content"/>
        </w:behaviors>
        <w:guid w:val="{0630CFF7-0BE5-4330-B8F5-D8A66B1C8882}"/>
      </w:docPartPr>
      <w:docPartBody>
        <w:p w:rsidR="00E07BAB" w:rsidRDefault="00017ACA" w:rsidP="00017ACA">
          <w:pPr>
            <w:pStyle w:val="67C53834DF6946A889A4017E20D37DFD"/>
          </w:pPr>
          <w:r w:rsidRPr="00773362">
            <w:rPr>
              <w:rStyle w:val="PlaceholderText"/>
              <w:lang w:val="de-DE"/>
            </w:rPr>
            <w:t>Wählen Sie ein Element aus.</w:t>
          </w:r>
        </w:p>
      </w:docPartBody>
    </w:docPart>
    <w:docPart>
      <w:docPartPr>
        <w:name w:val="0735139D47DD498083A2E74102F2E7BB"/>
        <w:category>
          <w:name w:val="General"/>
          <w:gallery w:val="placeholder"/>
        </w:category>
        <w:types>
          <w:type w:val="bbPlcHdr"/>
        </w:types>
        <w:behaviors>
          <w:behavior w:val="content"/>
        </w:behaviors>
        <w:guid w:val="{0A0A1B53-E69B-4ACD-9795-E5B7B4167B64}"/>
      </w:docPartPr>
      <w:docPartBody>
        <w:p w:rsidR="00E07BAB" w:rsidRDefault="00017ACA" w:rsidP="00017ACA">
          <w:pPr>
            <w:pStyle w:val="0735139D47DD498083A2E74102F2E7BB"/>
          </w:pPr>
          <w:r w:rsidRPr="0019515F">
            <w:rPr>
              <w:rStyle w:val="PlaceholderText"/>
            </w:rPr>
            <w:t>Klicken Sie hier, um Text einzugeben.</w:t>
          </w:r>
        </w:p>
      </w:docPartBody>
    </w:docPart>
    <w:docPart>
      <w:docPartPr>
        <w:name w:val="573CEA3F624A4E8CB1BD08E9F32C02C1"/>
        <w:category>
          <w:name w:val="General"/>
          <w:gallery w:val="placeholder"/>
        </w:category>
        <w:types>
          <w:type w:val="bbPlcHdr"/>
        </w:types>
        <w:behaviors>
          <w:behavior w:val="content"/>
        </w:behaviors>
        <w:guid w:val="{0215D798-3312-44EA-A7A4-F31CB068EBB7}"/>
      </w:docPartPr>
      <w:docPartBody>
        <w:p w:rsidR="00E07BAB" w:rsidRDefault="00017ACA" w:rsidP="00017ACA">
          <w:pPr>
            <w:pStyle w:val="573CEA3F624A4E8CB1BD08E9F32C02C1"/>
          </w:pPr>
          <w:r w:rsidRPr="001B3E66">
            <w:rPr>
              <w:rStyle w:val="PlaceholderText"/>
            </w:rPr>
            <w:t>Choose an item.</w:t>
          </w:r>
        </w:p>
      </w:docPartBody>
    </w:docPart>
    <w:docPart>
      <w:docPartPr>
        <w:name w:val="77B2438098214ACC80ACFD8203FB7ADF"/>
        <w:category>
          <w:name w:val="General"/>
          <w:gallery w:val="placeholder"/>
        </w:category>
        <w:types>
          <w:type w:val="bbPlcHdr"/>
        </w:types>
        <w:behaviors>
          <w:behavior w:val="content"/>
        </w:behaviors>
        <w:guid w:val="{DE45F4EB-32A4-4EEE-80F8-449015681AC7}"/>
      </w:docPartPr>
      <w:docPartBody>
        <w:p w:rsidR="00E07BAB" w:rsidRDefault="00017ACA" w:rsidP="00017ACA">
          <w:pPr>
            <w:pStyle w:val="77B2438098214ACC80ACFD8203FB7ADF"/>
          </w:pPr>
          <w:r w:rsidRPr="00CE2F3F">
            <w:rPr>
              <w:rStyle w:val="PlaceholderText"/>
            </w:rPr>
            <w:t>Klicken Sie hier, um Text einzugeben.</w:t>
          </w:r>
        </w:p>
      </w:docPartBody>
    </w:docPart>
    <w:docPart>
      <w:docPartPr>
        <w:name w:val="AFA349DB3C02431D961C736E460B68B8"/>
        <w:category>
          <w:name w:val="General"/>
          <w:gallery w:val="placeholder"/>
        </w:category>
        <w:types>
          <w:type w:val="bbPlcHdr"/>
        </w:types>
        <w:behaviors>
          <w:behavior w:val="content"/>
        </w:behaviors>
        <w:guid w:val="{7F819C44-0C11-470C-81DB-2A03272B8338}"/>
      </w:docPartPr>
      <w:docPartBody>
        <w:p w:rsidR="00E07BAB" w:rsidRDefault="00017ACA" w:rsidP="00017ACA">
          <w:pPr>
            <w:pStyle w:val="AFA349DB3C02431D961C736E460B68B8"/>
          </w:pPr>
          <w:r w:rsidRPr="0019515F">
            <w:rPr>
              <w:rStyle w:val="PlaceholderText"/>
            </w:rPr>
            <w:t>Klicken Sie hier, um Text einzugeben.</w:t>
          </w:r>
        </w:p>
      </w:docPartBody>
    </w:docPart>
    <w:docPart>
      <w:docPartPr>
        <w:name w:val="F0210646B5D44CDB8AAABB909E8A9639"/>
        <w:category>
          <w:name w:val="General"/>
          <w:gallery w:val="placeholder"/>
        </w:category>
        <w:types>
          <w:type w:val="bbPlcHdr"/>
        </w:types>
        <w:behaviors>
          <w:behavior w:val="content"/>
        </w:behaviors>
        <w:guid w:val="{BE9B89EF-F82A-4378-AD98-2C15A482A2A0}"/>
      </w:docPartPr>
      <w:docPartBody>
        <w:p w:rsidR="00E07BAB" w:rsidRDefault="00017ACA" w:rsidP="00017ACA">
          <w:pPr>
            <w:pStyle w:val="F0210646B5D44CDB8AAABB909E8A9639"/>
          </w:pPr>
          <w:r>
            <w:t>02.0</w:t>
          </w:r>
        </w:p>
      </w:docPartBody>
    </w:docPart>
    <w:docPart>
      <w:docPartPr>
        <w:name w:val="0F5F7A582F8D434BB73261D3A830D350"/>
        <w:category>
          <w:name w:val="General"/>
          <w:gallery w:val="placeholder"/>
        </w:category>
        <w:types>
          <w:type w:val="bbPlcHdr"/>
        </w:types>
        <w:behaviors>
          <w:behavior w:val="content"/>
        </w:behaviors>
        <w:guid w:val="{9291DE23-A381-4327-BBC3-2368131AE4A8}"/>
      </w:docPartPr>
      <w:docPartBody>
        <w:p w:rsidR="00E07BAB" w:rsidRDefault="00017ACA" w:rsidP="00017ACA">
          <w:pPr>
            <w:pStyle w:val="0F5F7A582F8D434BB73261D3A830D350"/>
          </w:pPr>
          <w:r w:rsidRPr="0019515F">
            <w:rPr>
              <w:rStyle w:val="PlaceholderText"/>
            </w:rPr>
            <w:t>Klicken Sie hier, um Text einzugeben.</w:t>
          </w:r>
        </w:p>
      </w:docPartBody>
    </w:docPart>
    <w:docPart>
      <w:docPartPr>
        <w:name w:val="ED87DE3BE0974C38B73FAE2ACC00734F"/>
        <w:category>
          <w:name w:val="General"/>
          <w:gallery w:val="placeholder"/>
        </w:category>
        <w:types>
          <w:type w:val="bbPlcHdr"/>
        </w:types>
        <w:behaviors>
          <w:behavior w:val="content"/>
        </w:behaviors>
        <w:guid w:val="{B7F8A3F0-0D6D-4740-9F93-E9F31D00DBBA}"/>
      </w:docPartPr>
      <w:docPartBody>
        <w:p w:rsidR="00E07BAB" w:rsidRDefault="00017ACA" w:rsidP="00017ACA">
          <w:pPr>
            <w:pStyle w:val="ED87DE3BE0974C38B73FAE2ACC00734F"/>
          </w:pPr>
          <w:r>
            <w:t>##.#</w:t>
          </w:r>
        </w:p>
      </w:docPartBody>
    </w:docPart>
    <w:docPart>
      <w:docPartPr>
        <w:name w:val="946EC32E2E594D74A4F654A2A6ACE8AB"/>
        <w:category>
          <w:name w:val="General"/>
          <w:gallery w:val="placeholder"/>
        </w:category>
        <w:types>
          <w:type w:val="bbPlcHdr"/>
        </w:types>
        <w:behaviors>
          <w:behavior w:val="content"/>
        </w:behaviors>
        <w:guid w:val="{6B31D31D-469B-4F1F-9A99-FFDD2421B754}"/>
      </w:docPartPr>
      <w:docPartBody>
        <w:p w:rsidR="00E07BAB" w:rsidRDefault="00017ACA" w:rsidP="00017ACA">
          <w:pPr>
            <w:pStyle w:val="946EC32E2E594D74A4F654A2A6ACE8AB"/>
          </w:pPr>
          <w:r>
            <w:t>222</w:t>
          </w:r>
          <w:r w:rsidRPr="008721FC">
            <w:rPr>
              <w:rStyle w:val="PlaceholderText"/>
            </w:rPr>
            <w:t>Document reference number</w:t>
          </w:r>
        </w:p>
      </w:docPartBody>
    </w:docPart>
    <w:docPart>
      <w:docPartPr>
        <w:name w:val="CC44D5FE1D594826A7B5C68B4F8CB322"/>
        <w:category>
          <w:name w:val="General"/>
          <w:gallery w:val="placeholder"/>
        </w:category>
        <w:types>
          <w:type w:val="bbPlcHdr"/>
        </w:types>
        <w:behaviors>
          <w:behavior w:val="content"/>
        </w:behaviors>
        <w:guid w:val="{F3C2F0C4-9361-4CC7-9AE7-A38662C9C5DA}"/>
      </w:docPartPr>
      <w:docPartBody>
        <w:p w:rsidR="00E07BAB" w:rsidRDefault="00017ACA" w:rsidP="00017ACA">
          <w:pPr>
            <w:pStyle w:val="CC44D5FE1D594826A7B5C68B4F8CB322"/>
          </w:pPr>
          <w:r w:rsidRPr="00773362">
            <w:rPr>
              <w:rStyle w:val="PlaceholderText"/>
              <w:lang w:val="de-DE"/>
            </w:rPr>
            <w:t>Wählen Sie ein Element aus.</w:t>
          </w:r>
        </w:p>
      </w:docPartBody>
    </w:docPart>
    <w:docPart>
      <w:docPartPr>
        <w:name w:val="0C65EA5C3F3A43128F5F3D9708170BD9"/>
        <w:category>
          <w:name w:val="General"/>
          <w:gallery w:val="placeholder"/>
        </w:category>
        <w:types>
          <w:type w:val="bbPlcHdr"/>
        </w:types>
        <w:behaviors>
          <w:behavior w:val="content"/>
        </w:behaviors>
        <w:guid w:val="{6E238E49-9995-4507-9B8C-A005598F03B5}"/>
      </w:docPartPr>
      <w:docPartBody>
        <w:p w:rsidR="00E07BAB" w:rsidRDefault="00017ACA" w:rsidP="00017ACA">
          <w:pPr>
            <w:pStyle w:val="0C65EA5C3F3A43128F5F3D9708170BD9"/>
          </w:pPr>
          <w:r w:rsidRPr="0019515F">
            <w:rPr>
              <w:rStyle w:val="PlaceholderText"/>
            </w:rPr>
            <w:t>Klicken Sie hier, um Text einzugeben.</w:t>
          </w:r>
        </w:p>
      </w:docPartBody>
    </w:docPart>
    <w:docPart>
      <w:docPartPr>
        <w:name w:val="317E692E8FF4497E91300FC3C551596D"/>
        <w:category>
          <w:name w:val="General"/>
          <w:gallery w:val="placeholder"/>
        </w:category>
        <w:types>
          <w:type w:val="bbPlcHdr"/>
        </w:types>
        <w:behaviors>
          <w:behavior w:val="content"/>
        </w:behaviors>
        <w:guid w:val="{545B5709-395F-4ABB-B19D-7534B31B280E}"/>
      </w:docPartPr>
      <w:docPartBody>
        <w:p w:rsidR="00E07BAB" w:rsidRDefault="00017ACA" w:rsidP="00017ACA">
          <w:pPr>
            <w:pStyle w:val="317E692E8FF4497E91300FC3C551596D"/>
          </w:pPr>
          <w:r w:rsidRPr="001B3E66">
            <w:rPr>
              <w:rStyle w:val="PlaceholderText"/>
            </w:rPr>
            <w:t>Choose an item.</w:t>
          </w:r>
        </w:p>
      </w:docPartBody>
    </w:docPart>
    <w:docPart>
      <w:docPartPr>
        <w:name w:val="4C6BEF88EEA34FEE890E2D375D9FAAEA"/>
        <w:category>
          <w:name w:val="General"/>
          <w:gallery w:val="placeholder"/>
        </w:category>
        <w:types>
          <w:type w:val="bbPlcHdr"/>
        </w:types>
        <w:behaviors>
          <w:behavior w:val="content"/>
        </w:behaviors>
        <w:guid w:val="{694C8FCD-51FB-4327-A21E-F019B38AEC5D}"/>
      </w:docPartPr>
      <w:docPartBody>
        <w:p w:rsidR="00E07BAB" w:rsidRDefault="00017ACA" w:rsidP="00017ACA">
          <w:pPr>
            <w:pStyle w:val="4C6BEF88EEA34FEE890E2D375D9FAAEA"/>
          </w:pPr>
          <w:r w:rsidRPr="00CE2F3F">
            <w:rPr>
              <w:rStyle w:val="PlaceholderText"/>
            </w:rPr>
            <w:t>Klicken Sie hier, um Text einzugeben.</w:t>
          </w:r>
        </w:p>
      </w:docPartBody>
    </w:docPart>
    <w:docPart>
      <w:docPartPr>
        <w:name w:val="E017E4169FD44DBFA9343E9C5124DD16"/>
        <w:category>
          <w:name w:val="General"/>
          <w:gallery w:val="placeholder"/>
        </w:category>
        <w:types>
          <w:type w:val="bbPlcHdr"/>
        </w:types>
        <w:behaviors>
          <w:behavior w:val="content"/>
        </w:behaviors>
        <w:guid w:val="{12E32363-CC1C-44D0-AE0C-BF87F165E51C}"/>
      </w:docPartPr>
      <w:docPartBody>
        <w:p w:rsidR="00E07BAB" w:rsidRDefault="00017ACA" w:rsidP="00017ACA">
          <w:pPr>
            <w:pStyle w:val="E017E4169FD44DBFA9343E9C5124DD16"/>
          </w:pPr>
          <w:r w:rsidRPr="0019515F">
            <w:rPr>
              <w:rStyle w:val="PlaceholderText"/>
            </w:rPr>
            <w:t>Klicken Sie hier, um Text einzugeben.</w:t>
          </w:r>
        </w:p>
      </w:docPartBody>
    </w:docPart>
    <w:docPart>
      <w:docPartPr>
        <w:name w:val="38D9989880A748F3A0EA7491829AECAF"/>
        <w:category>
          <w:name w:val="General"/>
          <w:gallery w:val="placeholder"/>
        </w:category>
        <w:types>
          <w:type w:val="bbPlcHdr"/>
        </w:types>
        <w:behaviors>
          <w:behavior w:val="content"/>
        </w:behaviors>
        <w:guid w:val="{4D765FAF-43D6-41B5-A86F-6EDD9C564164}"/>
      </w:docPartPr>
      <w:docPartBody>
        <w:p w:rsidR="00E07BAB" w:rsidRDefault="00017ACA" w:rsidP="00017ACA">
          <w:pPr>
            <w:pStyle w:val="38D9989880A748F3A0EA7491829AECAF"/>
          </w:pPr>
          <w:r>
            <w:t>02.0</w:t>
          </w:r>
        </w:p>
      </w:docPartBody>
    </w:docPart>
    <w:docPart>
      <w:docPartPr>
        <w:name w:val="EE49D39A63F14C2A95079D0151062981"/>
        <w:category>
          <w:name w:val="General"/>
          <w:gallery w:val="placeholder"/>
        </w:category>
        <w:types>
          <w:type w:val="bbPlcHdr"/>
        </w:types>
        <w:behaviors>
          <w:behavior w:val="content"/>
        </w:behaviors>
        <w:guid w:val="{68F47CA6-5894-400B-AEBB-1EA11FE6E40A}"/>
      </w:docPartPr>
      <w:docPartBody>
        <w:p w:rsidR="00E07BAB" w:rsidRDefault="00017ACA" w:rsidP="00017ACA">
          <w:pPr>
            <w:pStyle w:val="EE49D39A63F14C2A95079D0151062981"/>
          </w:pPr>
          <w:r w:rsidRPr="0019515F">
            <w:rPr>
              <w:rStyle w:val="PlaceholderText"/>
            </w:rPr>
            <w:t>Klicken Sie hier, um Text einzugeben.</w:t>
          </w:r>
        </w:p>
      </w:docPartBody>
    </w:docPart>
    <w:docPart>
      <w:docPartPr>
        <w:name w:val="84D6AF895D0E4E9EBDFEB3F25C870BCC"/>
        <w:category>
          <w:name w:val="General"/>
          <w:gallery w:val="placeholder"/>
        </w:category>
        <w:types>
          <w:type w:val="bbPlcHdr"/>
        </w:types>
        <w:behaviors>
          <w:behavior w:val="content"/>
        </w:behaviors>
        <w:guid w:val="{560C6764-6F43-4B89-A132-BC6CF916299E}"/>
      </w:docPartPr>
      <w:docPartBody>
        <w:p w:rsidR="00E07BAB" w:rsidRDefault="00017ACA" w:rsidP="00017ACA">
          <w:pPr>
            <w:pStyle w:val="84D6AF895D0E4E9EBDFEB3F25C870BCC"/>
          </w:pPr>
          <w:r>
            <w:t>##.#</w:t>
          </w:r>
        </w:p>
      </w:docPartBody>
    </w:docPart>
    <w:docPart>
      <w:docPartPr>
        <w:name w:val="A8FE0CEADDD04A9A8F0E647ADE0D27E1"/>
        <w:category>
          <w:name w:val="General"/>
          <w:gallery w:val="placeholder"/>
        </w:category>
        <w:types>
          <w:type w:val="bbPlcHdr"/>
        </w:types>
        <w:behaviors>
          <w:behavior w:val="content"/>
        </w:behaviors>
        <w:guid w:val="{52CA17E4-79A7-4E42-BBA3-D037D95E0D6C}"/>
      </w:docPartPr>
      <w:docPartBody>
        <w:p w:rsidR="00E07BAB" w:rsidRDefault="00017ACA" w:rsidP="00017ACA">
          <w:pPr>
            <w:pStyle w:val="A8FE0CEADDD04A9A8F0E647ADE0D27E1"/>
          </w:pPr>
          <w:r>
            <w:t>222</w:t>
          </w:r>
          <w:r w:rsidRPr="008721FC">
            <w:rPr>
              <w:rStyle w:val="PlaceholderText"/>
            </w:rPr>
            <w:t>Document reference number</w:t>
          </w:r>
        </w:p>
      </w:docPartBody>
    </w:docPart>
    <w:docPart>
      <w:docPartPr>
        <w:name w:val="D6ACA3F2FFFB4AFF9BFF358C6DED8E7B"/>
        <w:category>
          <w:name w:val="General"/>
          <w:gallery w:val="placeholder"/>
        </w:category>
        <w:types>
          <w:type w:val="bbPlcHdr"/>
        </w:types>
        <w:behaviors>
          <w:behavior w:val="content"/>
        </w:behaviors>
        <w:guid w:val="{8BB20D5A-DA7D-40D1-8A71-0CD47F299637}"/>
      </w:docPartPr>
      <w:docPartBody>
        <w:p w:rsidR="00E07BAB" w:rsidRDefault="00017ACA" w:rsidP="00017ACA">
          <w:pPr>
            <w:pStyle w:val="D6ACA3F2FFFB4AFF9BFF358C6DED8E7B"/>
          </w:pPr>
          <w:r w:rsidRPr="00773362">
            <w:rPr>
              <w:rStyle w:val="PlaceholderText"/>
              <w:lang w:val="de-DE"/>
            </w:rPr>
            <w:t>Wählen Sie ein Element aus.</w:t>
          </w:r>
        </w:p>
      </w:docPartBody>
    </w:docPart>
    <w:docPart>
      <w:docPartPr>
        <w:name w:val="0214A3DFA60A46A39ADD55BAB64431BF"/>
        <w:category>
          <w:name w:val="General"/>
          <w:gallery w:val="placeholder"/>
        </w:category>
        <w:types>
          <w:type w:val="bbPlcHdr"/>
        </w:types>
        <w:behaviors>
          <w:behavior w:val="content"/>
        </w:behaviors>
        <w:guid w:val="{918E5D29-B6BD-4C3B-B666-E1F8FCE287D6}"/>
      </w:docPartPr>
      <w:docPartBody>
        <w:p w:rsidR="00E07BAB" w:rsidRDefault="00017ACA" w:rsidP="00017ACA">
          <w:pPr>
            <w:pStyle w:val="0214A3DFA60A46A39ADD55BAB64431BF"/>
          </w:pPr>
          <w:r w:rsidRPr="0019515F">
            <w:rPr>
              <w:rStyle w:val="PlaceholderText"/>
            </w:rPr>
            <w:t>Klicken Sie hier, um Text einzugeben.</w:t>
          </w:r>
        </w:p>
      </w:docPartBody>
    </w:docPart>
    <w:docPart>
      <w:docPartPr>
        <w:name w:val="438AC2E2DC7E4A549BD9B818468DA7BE"/>
        <w:category>
          <w:name w:val="General"/>
          <w:gallery w:val="placeholder"/>
        </w:category>
        <w:types>
          <w:type w:val="bbPlcHdr"/>
        </w:types>
        <w:behaviors>
          <w:behavior w:val="content"/>
        </w:behaviors>
        <w:guid w:val="{475A206E-B047-4EBA-9456-7DABB0120819}"/>
      </w:docPartPr>
      <w:docPartBody>
        <w:p w:rsidR="00E07BAB" w:rsidRDefault="00017ACA" w:rsidP="00017ACA">
          <w:pPr>
            <w:pStyle w:val="438AC2E2DC7E4A549BD9B818468DA7BE"/>
          </w:pPr>
          <w:r w:rsidRPr="001B3E66">
            <w:rPr>
              <w:rStyle w:val="PlaceholderText"/>
            </w:rPr>
            <w:t>Choose an item.</w:t>
          </w:r>
        </w:p>
      </w:docPartBody>
    </w:docPart>
    <w:docPart>
      <w:docPartPr>
        <w:name w:val="18D8CCA75FC14033AB0A1E7117756CCC"/>
        <w:category>
          <w:name w:val="General"/>
          <w:gallery w:val="placeholder"/>
        </w:category>
        <w:types>
          <w:type w:val="bbPlcHdr"/>
        </w:types>
        <w:behaviors>
          <w:behavior w:val="content"/>
        </w:behaviors>
        <w:guid w:val="{3DFDE6A7-01DA-4C99-A91A-065C866CEE37}"/>
      </w:docPartPr>
      <w:docPartBody>
        <w:p w:rsidR="00E07BAB" w:rsidRDefault="00017ACA" w:rsidP="00017ACA">
          <w:pPr>
            <w:pStyle w:val="18D8CCA75FC14033AB0A1E7117756CCC"/>
          </w:pPr>
          <w:r w:rsidRPr="00CE2F3F">
            <w:rPr>
              <w:rStyle w:val="PlaceholderText"/>
            </w:rPr>
            <w:t>Klicken Sie hier, um Text einzugeben.</w:t>
          </w:r>
        </w:p>
      </w:docPartBody>
    </w:docPart>
    <w:docPart>
      <w:docPartPr>
        <w:name w:val="6A71D2527E934D128DAA90D40A341CA8"/>
        <w:category>
          <w:name w:val="General"/>
          <w:gallery w:val="placeholder"/>
        </w:category>
        <w:types>
          <w:type w:val="bbPlcHdr"/>
        </w:types>
        <w:behaviors>
          <w:behavior w:val="content"/>
        </w:behaviors>
        <w:guid w:val="{928BE2F8-488F-41BB-98D1-3492608E49C0}"/>
      </w:docPartPr>
      <w:docPartBody>
        <w:p w:rsidR="00E07BAB" w:rsidRDefault="00017ACA" w:rsidP="00017ACA">
          <w:pPr>
            <w:pStyle w:val="6A71D2527E934D128DAA90D40A341CA8"/>
          </w:pPr>
          <w:r w:rsidRPr="0019515F">
            <w:rPr>
              <w:rStyle w:val="PlaceholderText"/>
            </w:rPr>
            <w:t>Klicken Sie hier, um Text einzugeben.</w:t>
          </w:r>
        </w:p>
      </w:docPartBody>
    </w:docPart>
    <w:docPart>
      <w:docPartPr>
        <w:name w:val="FEA341F8FB73477C894965A0DDA38178"/>
        <w:category>
          <w:name w:val="General"/>
          <w:gallery w:val="placeholder"/>
        </w:category>
        <w:types>
          <w:type w:val="bbPlcHdr"/>
        </w:types>
        <w:behaviors>
          <w:behavior w:val="content"/>
        </w:behaviors>
        <w:guid w:val="{F9DAED5F-8645-441E-8E50-F327DCAB06F4}"/>
      </w:docPartPr>
      <w:docPartBody>
        <w:p w:rsidR="00E07BAB" w:rsidRDefault="00017ACA" w:rsidP="00017ACA">
          <w:pPr>
            <w:pStyle w:val="FEA341F8FB73477C894965A0DDA38178"/>
          </w:pPr>
          <w:r>
            <w:t>02.0</w:t>
          </w:r>
        </w:p>
      </w:docPartBody>
    </w:docPart>
    <w:docPart>
      <w:docPartPr>
        <w:name w:val="D4A548EECEE34853A4DA6C4B1D64BB8E"/>
        <w:category>
          <w:name w:val="General"/>
          <w:gallery w:val="placeholder"/>
        </w:category>
        <w:types>
          <w:type w:val="bbPlcHdr"/>
        </w:types>
        <w:behaviors>
          <w:behavior w:val="content"/>
        </w:behaviors>
        <w:guid w:val="{36FCD314-26DF-49DD-A04F-23EFF6CC448C}"/>
      </w:docPartPr>
      <w:docPartBody>
        <w:p w:rsidR="00E07BAB" w:rsidRDefault="00017ACA" w:rsidP="00017ACA">
          <w:pPr>
            <w:pStyle w:val="D4A548EECEE34853A4DA6C4B1D64BB8E"/>
          </w:pPr>
          <w:r w:rsidRPr="0019515F">
            <w:rPr>
              <w:rStyle w:val="PlaceholderText"/>
            </w:rPr>
            <w:t>Klicken Sie hier, um Text einzugeben.</w:t>
          </w:r>
        </w:p>
      </w:docPartBody>
    </w:docPart>
    <w:docPart>
      <w:docPartPr>
        <w:name w:val="A088F51017634ADBAA06E022D9D7FC07"/>
        <w:category>
          <w:name w:val="General"/>
          <w:gallery w:val="placeholder"/>
        </w:category>
        <w:types>
          <w:type w:val="bbPlcHdr"/>
        </w:types>
        <w:behaviors>
          <w:behavior w:val="content"/>
        </w:behaviors>
        <w:guid w:val="{D677EC53-8CB9-409D-AFF1-97233A587088}"/>
      </w:docPartPr>
      <w:docPartBody>
        <w:p w:rsidR="00E07BAB" w:rsidRDefault="00017ACA" w:rsidP="00017ACA">
          <w:pPr>
            <w:pStyle w:val="A088F51017634ADBAA06E022D9D7FC07"/>
          </w:pP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DDE"/>
    <w:rsid w:val="0000639D"/>
    <w:rsid w:val="00010D04"/>
    <w:rsid w:val="00017ACA"/>
    <w:rsid w:val="00030464"/>
    <w:rsid w:val="00036C50"/>
    <w:rsid w:val="000409DF"/>
    <w:rsid w:val="00060F91"/>
    <w:rsid w:val="00066F45"/>
    <w:rsid w:val="000936DE"/>
    <w:rsid w:val="000937F1"/>
    <w:rsid w:val="000A6E28"/>
    <w:rsid w:val="000B67A8"/>
    <w:rsid w:val="000C5BD5"/>
    <w:rsid w:val="000E3579"/>
    <w:rsid w:val="000F01CE"/>
    <w:rsid w:val="001026A2"/>
    <w:rsid w:val="001042DB"/>
    <w:rsid w:val="00111D3D"/>
    <w:rsid w:val="001239F9"/>
    <w:rsid w:val="00130B7F"/>
    <w:rsid w:val="00144BBF"/>
    <w:rsid w:val="00147D09"/>
    <w:rsid w:val="00147F7F"/>
    <w:rsid w:val="00151D76"/>
    <w:rsid w:val="00162D06"/>
    <w:rsid w:val="0016490A"/>
    <w:rsid w:val="001677A2"/>
    <w:rsid w:val="00180D7A"/>
    <w:rsid w:val="00181AD1"/>
    <w:rsid w:val="001B49F9"/>
    <w:rsid w:val="001C0E34"/>
    <w:rsid w:val="001C14A1"/>
    <w:rsid w:val="001C6292"/>
    <w:rsid w:val="001D050D"/>
    <w:rsid w:val="001D16A6"/>
    <w:rsid w:val="001D371A"/>
    <w:rsid w:val="001D3E67"/>
    <w:rsid w:val="001D4237"/>
    <w:rsid w:val="0020730B"/>
    <w:rsid w:val="00223875"/>
    <w:rsid w:val="00224E66"/>
    <w:rsid w:val="00231BE4"/>
    <w:rsid w:val="002427C8"/>
    <w:rsid w:val="00253D84"/>
    <w:rsid w:val="0026233D"/>
    <w:rsid w:val="00271B25"/>
    <w:rsid w:val="002906C8"/>
    <w:rsid w:val="002943D7"/>
    <w:rsid w:val="00294922"/>
    <w:rsid w:val="002A142C"/>
    <w:rsid w:val="002C57CF"/>
    <w:rsid w:val="002D0647"/>
    <w:rsid w:val="002D0E81"/>
    <w:rsid w:val="002D7E57"/>
    <w:rsid w:val="002E6809"/>
    <w:rsid w:val="002F1B67"/>
    <w:rsid w:val="003044A6"/>
    <w:rsid w:val="003056EA"/>
    <w:rsid w:val="003135DA"/>
    <w:rsid w:val="00327260"/>
    <w:rsid w:val="00327A2B"/>
    <w:rsid w:val="00331689"/>
    <w:rsid w:val="00334DE4"/>
    <w:rsid w:val="00336B1E"/>
    <w:rsid w:val="00342858"/>
    <w:rsid w:val="003542EA"/>
    <w:rsid w:val="00364491"/>
    <w:rsid w:val="003673CB"/>
    <w:rsid w:val="00380576"/>
    <w:rsid w:val="00394F98"/>
    <w:rsid w:val="003A46DC"/>
    <w:rsid w:val="003C09EC"/>
    <w:rsid w:val="003C35D2"/>
    <w:rsid w:val="003E0FB0"/>
    <w:rsid w:val="0040437A"/>
    <w:rsid w:val="00406351"/>
    <w:rsid w:val="00426A76"/>
    <w:rsid w:val="00441C5C"/>
    <w:rsid w:val="00463CA4"/>
    <w:rsid w:val="00471854"/>
    <w:rsid w:val="004807B2"/>
    <w:rsid w:val="004974D0"/>
    <w:rsid w:val="004A77C4"/>
    <w:rsid w:val="004B3260"/>
    <w:rsid w:val="004C2DA4"/>
    <w:rsid w:val="004C7CA3"/>
    <w:rsid w:val="004D6524"/>
    <w:rsid w:val="004F269E"/>
    <w:rsid w:val="0051051A"/>
    <w:rsid w:val="00510D8A"/>
    <w:rsid w:val="005256A3"/>
    <w:rsid w:val="00535A52"/>
    <w:rsid w:val="00537295"/>
    <w:rsid w:val="00537E1A"/>
    <w:rsid w:val="0054139E"/>
    <w:rsid w:val="00541AEC"/>
    <w:rsid w:val="00567D6A"/>
    <w:rsid w:val="005953FF"/>
    <w:rsid w:val="005C212A"/>
    <w:rsid w:val="005D5489"/>
    <w:rsid w:val="005D77E6"/>
    <w:rsid w:val="005E1305"/>
    <w:rsid w:val="005F64BE"/>
    <w:rsid w:val="00600E41"/>
    <w:rsid w:val="00612400"/>
    <w:rsid w:val="00613D3F"/>
    <w:rsid w:val="006140D2"/>
    <w:rsid w:val="00614FD9"/>
    <w:rsid w:val="00625E07"/>
    <w:rsid w:val="00635459"/>
    <w:rsid w:val="00647464"/>
    <w:rsid w:val="006559DB"/>
    <w:rsid w:val="00660679"/>
    <w:rsid w:val="006A52CC"/>
    <w:rsid w:val="006B0D40"/>
    <w:rsid w:val="006B5B4F"/>
    <w:rsid w:val="006B7A8D"/>
    <w:rsid w:val="006C5CB0"/>
    <w:rsid w:val="006C6B81"/>
    <w:rsid w:val="006D3681"/>
    <w:rsid w:val="006D46EE"/>
    <w:rsid w:val="006E671F"/>
    <w:rsid w:val="00707689"/>
    <w:rsid w:val="00717B54"/>
    <w:rsid w:val="00724283"/>
    <w:rsid w:val="007342B7"/>
    <w:rsid w:val="00740E66"/>
    <w:rsid w:val="00790641"/>
    <w:rsid w:val="00791BAE"/>
    <w:rsid w:val="007A1436"/>
    <w:rsid w:val="007A4E6E"/>
    <w:rsid w:val="007A7C6A"/>
    <w:rsid w:val="007B3373"/>
    <w:rsid w:val="007B76F2"/>
    <w:rsid w:val="007C3CED"/>
    <w:rsid w:val="007D3160"/>
    <w:rsid w:val="007D554D"/>
    <w:rsid w:val="007E69A6"/>
    <w:rsid w:val="007F11EC"/>
    <w:rsid w:val="007F2BD5"/>
    <w:rsid w:val="007F65A2"/>
    <w:rsid w:val="00801349"/>
    <w:rsid w:val="008048E0"/>
    <w:rsid w:val="00806A73"/>
    <w:rsid w:val="008132EC"/>
    <w:rsid w:val="0081503E"/>
    <w:rsid w:val="008221EB"/>
    <w:rsid w:val="00824890"/>
    <w:rsid w:val="00824B52"/>
    <w:rsid w:val="00825D40"/>
    <w:rsid w:val="00827AA2"/>
    <w:rsid w:val="00834BCE"/>
    <w:rsid w:val="00862FD4"/>
    <w:rsid w:val="008715EB"/>
    <w:rsid w:val="00871986"/>
    <w:rsid w:val="0087297B"/>
    <w:rsid w:val="00876FF7"/>
    <w:rsid w:val="00877337"/>
    <w:rsid w:val="00877E23"/>
    <w:rsid w:val="008954EB"/>
    <w:rsid w:val="0089666F"/>
    <w:rsid w:val="008C3B25"/>
    <w:rsid w:val="008D6367"/>
    <w:rsid w:val="008F2766"/>
    <w:rsid w:val="008F5F12"/>
    <w:rsid w:val="00921D87"/>
    <w:rsid w:val="0092265B"/>
    <w:rsid w:val="009374CC"/>
    <w:rsid w:val="009432AE"/>
    <w:rsid w:val="00945CAC"/>
    <w:rsid w:val="00950622"/>
    <w:rsid w:val="009535F7"/>
    <w:rsid w:val="0096025A"/>
    <w:rsid w:val="00975A33"/>
    <w:rsid w:val="00977615"/>
    <w:rsid w:val="00983BB1"/>
    <w:rsid w:val="0099263E"/>
    <w:rsid w:val="00994A5B"/>
    <w:rsid w:val="009968B6"/>
    <w:rsid w:val="009A0BA8"/>
    <w:rsid w:val="009A12D2"/>
    <w:rsid w:val="009A33D8"/>
    <w:rsid w:val="009A557A"/>
    <w:rsid w:val="009A777D"/>
    <w:rsid w:val="009B282B"/>
    <w:rsid w:val="009B652E"/>
    <w:rsid w:val="009B76C5"/>
    <w:rsid w:val="009D3C50"/>
    <w:rsid w:val="009D7B7E"/>
    <w:rsid w:val="009E1DF8"/>
    <w:rsid w:val="009F3B08"/>
    <w:rsid w:val="00A058A5"/>
    <w:rsid w:val="00A05C23"/>
    <w:rsid w:val="00A05E82"/>
    <w:rsid w:val="00A13AE9"/>
    <w:rsid w:val="00A17E89"/>
    <w:rsid w:val="00A2277F"/>
    <w:rsid w:val="00A26D60"/>
    <w:rsid w:val="00A30D70"/>
    <w:rsid w:val="00A53B45"/>
    <w:rsid w:val="00A5451E"/>
    <w:rsid w:val="00A72F2B"/>
    <w:rsid w:val="00A87BD6"/>
    <w:rsid w:val="00A91DAA"/>
    <w:rsid w:val="00AA0143"/>
    <w:rsid w:val="00AA3130"/>
    <w:rsid w:val="00AC06E8"/>
    <w:rsid w:val="00AF3779"/>
    <w:rsid w:val="00B01F3F"/>
    <w:rsid w:val="00B10905"/>
    <w:rsid w:val="00B15A37"/>
    <w:rsid w:val="00B24234"/>
    <w:rsid w:val="00B30CBD"/>
    <w:rsid w:val="00B3125D"/>
    <w:rsid w:val="00B33FB3"/>
    <w:rsid w:val="00B44CED"/>
    <w:rsid w:val="00B465A4"/>
    <w:rsid w:val="00B51886"/>
    <w:rsid w:val="00B5610D"/>
    <w:rsid w:val="00B739D5"/>
    <w:rsid w:val="00B865C5"/>
    <w:rsid w:val="00B865E8"/>
    <w:rsid w:val="00B92032"/>
    <w:rsid w:val="00B92771"/>
    <w:rsid w:val="00BA4ED1"/>
    <w:rsid w:val="00BB666F"/>
    <w:rsid w:val="00BD5B5C"/>
    <w:rsid w:val="00C0105B"/>
    <w:rsid w:val="00C10AEE"/>
    <w:rsid w:val="00C24701"/>
    <w:rsid w:val="00C3244F"/>
    <w:rsid w:val="00C524DE"/>
    <w:rsid w:val="00C53E4D"/>
    <w:rsid w:val="00C55435"/>
    <w:rsid w:val="00C56DDE"/>
    <w:rsid w:val="00C64810"/>
    <w:rsid w:val="00C6633E"/>
    <w:rsid w:val="00C72D56"/>
    <w:rsid w:val="00C767B4"/>
    <w:rsid w:val="00C82597"/>
    <w:rsid w:val="00C83FCD"/>
    <w:rsid w:val="00C85A3A"/>
    <w:rsid w:val="00CB4EA6"/>
    <w:rsid w:val="00CB5FD5"/>
    <w:rsid w:val="00CB62A3"/>
    <w:rsid w:val="00CC6E6C"/>
    <w:rsid w:val="00CD190A"/>
    <w:rsid w:val="00CD4955"/>
    <w:rsid w:val="00CD5618"/>
    <w:rsid w:val="00CE1B8B"/>
    <w:rsid w:val="00CE5954"/>
    <w:rsid w:val="00D05C0A"/>
    <w:rsid w:val="00D06E9C"/>
    <w:rsid w:val="00D0721E"/>
    <w:rsid w:val="00D23843"/>
    <w:rsid w:val="00D2648D"/>
    <w:rsid w:val="00D30ECE"/>
    <w:rsid w:val="00D378B5"/>
    <w:rsid w:val="00D40EFA"/>
    <w:rsid w:val="00D4238A"/>
    <w:rsid w:val="00D50E26"/>
    <w:rsid w:val="00D578A6"/>
    <w:rsid w:val="00D5796F"/>
    <w:rsid w:val="00D63CE3"/>
    <w:rsid w:val="00D640D0"/>
    <w:rsid w:val="00D7043D"/>
    <w:rsid w:val="00DC2A47"/>
    <w:rsid w:val="00DD72BC"/>
    <w:rsid w:val="00DE563E"/>
    <w:rsid w:val="00DE78D1"/>
    <w:rsid w:val="00DF1634"/>
    <w:rsid w:val="00E0792C"/>
    <w:rsid w:val="00E07BAB"/>
    <w:rsid w:val="00E152A6"/>
    <w:rsid w:val="00E20157"/>
    <w:rsid w:val="00E236B2"/>
    <w:rsid w:val="00E35018"/>
    <w:rsid w:val="00E36CBA"/>
    <w:rsid w:val="00E42583"/>
    <w:rsid w:val="00E56E66"/>
    <w:rsid w:val="00E67693"/>
    <w:rsid w:val="00E9617D"/>
    <w:rsid w:val="00EA552A"/>
    <w:rsid w:val="00EB0E59"/>
    <w:rsid w:val="00EC5629"/>
    <w:rsid w:val="00ED3828"/>
    <w:rsid w:val="00EE1E8D"/>
    <w:rsid w:val="00EF2F97"/>
    <w:rsid w:val="00EF5C7E"/>
    <w:rsid w:val="00F11008"/>
    <w:rsid w:val="00F150F7"/>
    <w:rsid w:val="00F44671"/>
    <w:rsid w:val="00F45DB2"/>
    <w:rsid w:val="00F47995"/>
    <w:rsid w:val="00F729BF"/>
    <w:rsid w:val="00F77798"/>
    <w:rsid w:val="00FA099B"/>
    <w:rsid w:val="00FA2ACE"/>
    <w:rsid w:val="00FA4805"/>
    <w:rsid w:val="00FC0E99"/>
    <w:rsid w:val="00FD0A9C"/>
    <w:rsid w:val="00FD6182"/>
    <w:rsid w:val="00FD66F9"/>
    <w:rsid w:val="00FE0415"/>
    <w:rsid w:val="00FF30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CB4729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17ACA"/>
    <w:rPr>
      <w:color w:val="808080"/>
    </w:rPr>
  </w:style>
  <w:style w:type="paragraph" w:customStyle="1" w:styleId="6EE863CABD444658AC33BB82EDEC0E37">
    <w:name w:val="6EE863CABD444658AC33BB82EDEC0E37"/>
  </w:style>
  <w:style w:type="paragraph" w:customStyle="1" w:styleId="07D5C4AE59574E2F9C19B504FD95346F">
    <w:name w:val="07D5C4AE59574E2F9C19B504FD95346F"/>
  </w:style>
  <w:style w:type="paragraph" w:customStyle="1" w:styleId="36F367476926461EB5BCC261BF2874EA">
    <w:name w:val="36F367476926461EB5BCC261BF2874EA"/>
  </w:style>
  <w:style w:type="paragraph" w:customStyle="1" w:styleId="8D953F969009486D95343FE2A12F5EB3">
    <w:name w:val="8D953F969009486D95343FE2A12F5EB3"/>
  </w:style>
  <w:style w:type="paragraph" w:customStyle="1" w:styleId="FFC71B37A9F04A70B5801CF85F3B6959">
    <w:name w:val="FFC71B37A9F04A70B5801CF85F3B6959"/>
  </w:style>
  <w:style w:type="paragraph" w:customStyle="1" w:styleId="FFAE513B74794A20967578AE8B08B70B">
    <w:name w:val="FFAE513B74794A20967578AE8B08B70B"/>
  </w:style>
  <w:style w:type="paragraph" w:customStyle="1" w:styleId="FA8C737B40FD4571B4F8AB780860118F">
    <w:name w:val="FA8C737B40FD4571B4F8AB780860118F"/>
  </w:style>
  <w:style w:type="paragraph" w:customStyle="1" w:styleId="107D2C9486F04F44A1668F788F865AF4">
    <w:name w:val="107D2C9486F04F44A1668F788F865AF4"/>
    <w:rsid w:val="007A1436"/>
    <w:pPr>
      <w:spacing w:line="278" w:lineRule="auto"/>
    </w:pPr>
    <w:rPr>
      <w:kern w:val="2"/>
      <w:sz w:val="24"/>
      <w:szCs w:val="24"/>
      <w14:ligatures w14:val="standardContextual"/>
    </w:rPr>
  </w:style>
  <w:style w:type="paragraph" w:customStyle="1" w:styleId="AEE3F1413089478BAD04CE61125BED26">
    <w:name w:val="AEE3F1413089478BAD04CE61125BED26"/>
    <w:rsid w:val="007A1436"/>
    <w:pPr>
      <w:spacing w:line="278" w:lineRule="auto"/>
    </w:pPr>
    <w:rPr>
      <w:kern w:val="2"/>
      <w:sz w:val="24"/>
      <w:szCs w:val="24"/>
      <w14:ligatures w14:val="standardContextual"/>
    </w:rPr>
  </w:style>
  <w:style w:type="paragraph" w:customStyle="1" w:styleId="07DAFC119C0740E9817EF847680CDC6F">
    <w:name w:val="07DAFC119C0740E9817EF847680CDC6F"/>
    <w:rsid w:val="00CD5618"/>
    <w:pPr>
      <w:spacing w:line="278" w:lineRule="auto"/>
    </w:pPr>
    <w:rPr>
      <w:kern w:val="2"/>
      <w:sz w:val="24"/>
      <w:szCs w:val="24"/>
      <w14:ligatures w14:val="standardContextual"/>
    </w:rPr>
  </w:style>
  <w:style w:type="paragraph" w:customStyle="1" w:styleId="1B3D08D718B341968AE4A31306959666">
    <w:name w:val="1B3D08D718B341968AE4A31306959666"/>
    <w:rsid w:val="00CD5618"/>
    <w:pPr>
      <w:spacing w:line="278" w:lineRule="auto"/>
    </w:pPr>
    <w:rPr>
      <w:kern w:val="2"/>
      <w:sz w:val="24"/>
      <w:szCs w:val="24"/>
      <w14:ligatures w14:val="standardContextual"/>
    </w:rPr>
  </w:style>
  <w:style w:type="paragraph" w:customStyle="1" w:styleId="F384B6FD2CC2432CBE9F503FB22AD3D8">
    <w:name w:val="F384B6FD2CC2432CBE9F503FB22AD3D8"/>
    <w:rsid w:val="00CD5618"/>
    <w:pPr>
      <w:spacing w:line="278" w:lineRule="auto"/>
    </w:pPr>
    <w:rPr>
      <w:kern w:val="2"/>
      <w:sz w:val="24"/>
      <w:szCs w:val="24"/>
      <w14:ligatures w14:val="standardContextual"/>
    </w:rPr>
  </w:style>
  <w:style w:type="paragraph" w:customStyle="1" w:styleId="D51719543B644F94ABB874D162CAC695">
    <w:name w:val="D51719543B644F94ABB874D162CAC695"/>
    <w:rsid w:val="00CD5618"/>
    <w:pPr>
      <w:spacing w:line="278" w:lineRule="auto"/>
    </w:pPr>
    <w:rPr>
      <w:kern w:val="2"/>
      <w:sz w:val="24"/>
      <w:szCs w:val="24"/>
      <w14:ligatures w14:val="standardContextual"/>
    </w:rPr>
  </w:style>
  <w:style w:type="paragraph" w:customStyle="1" w:styleId="F2A9371AE24940D5A50F865A370964CE">
    <w:name w:val="F2A9371AE24940D5A50F865A370964CE"/>
    <w:rsid w:val="00CD5618"/>
    <w:pPr>
      <w:spacing w:line="278" w:lineRule="auto"/>
    </w:pPr>
    <w:rPr>
      <w:kern w:val="2"/>
      <w:sz w:val="24"/>
      <w:szCs w:val="24"/>
      <w14:ligatures w14:val="standardContextual"/>
    </w:rPr>
  </w:style>
  <w:style w:type="paragraph" w:customStyle="1" w:styleId="1C0E289562024FF9BD95EC3B1846D68C">
    <w:name w:val="1C0E289562024FF9BD95EC3B1846D68C"/>
    <w:rsid w:val="00CD5618"/>
    <w:pPr>
      <w:spacing w:line="278" w:lineRule="auto"/>
    </w:pPr>
    <w:rPr>
      <w:kern w:val="2"/>
      <w:sz w:val="24"/>
      <w:szCs w:val="24"/>
      <w14:ligatures w14:val="standardContextual"/>
    </w:rPr>
  </w:style>
  <w:style w:type="paragraph" w:customStyle="1" w:styleId="2CC0BAAB07F54B99866BBDDBB3E52661">
    <w:name w:val="2CC0BAAB07F54B99866BBDDBB3E52661"/>
    <w:rsid w:val="00CD5618"/>
    <w:pPr>
      <w:spacing w:line="278" w:lineRule="auto"/>
    </w:pPr>
    <w:rPr>
      <w:kern w:val="2"/>
      <w:sz w:val="24"/>
      <w:szCs w:val="24"/>
      <w14:ligatures w14:val="standardContextual"/>
    </w:rPr>
  </w:style>
  <w:style w:type="paragraph" w:customStyle="1" w:styleId="B3EFF4191EA0420BB15D42E19639D658">
    <w:name w:val="B3EFF4191EA0420BB15D42E19639D658"/>
    <w:rsid w:val="00CD5618"/>
    <w:pPr>
      <w:spacing w:line="278" w:lineRule="auto"/>
    </w:pPr>
    <w:rPr>
      <w:kern w:val="2"/>
      <w:sz w:val="24"/>
      <w:szCs w:val="24"/>
      <w14:ligatures w14:val="standardContextual"/>
    </w:rPr>
  </w:style>
  <w:style w:type="paragraph" w:customStyle="1" w:styleId="A09D0AA6AE9F4FE99BCED629364A091E">
    <w:name w:val="A09D0AA6AE9F4FE99BCED629364A091E"/>
    <w:rsid w:val="00CD5618"/>
    <w:pPr>
      <w:spacing w:line="278" w:lineRule="auto"/>
    </w:pPr>
    <w:rPr>
      <w:kern w:val="2"/>
      <w:sz w:val="24"/>
      <w:szCs w:val="24"/>
      <w14:ligatures w14:val="standardContextual"/>
    </w:rPr>
  </w:style>
  <w:style w:type="paragraph" w:customStyle="1" w:styleId="EA65AE40A94748518414688BC4B9E46D">
    <w:name w:val="EA65AE40A94748518414688BC4B9E46D"/>
    <w:rsid w:val="00CD5618"/>
    <w:pPr>
      <w:spacing w:line="278" w:lineRule="auto"/>
    </w:pPr>
    <w:rPr>
      <w:kern w:val="2"/>
      <w:sz w:val="24"/>
      <w:szCs w:val="24"/>
      <w14:ligatures w14:val="standardContextual"/>
    </w:rPr>
  </w:style>
  <w:style w:type="paragraph" w:customStyle="1" w:styleId="93A35528BD8748BAB2FB5F4D5D6F72A1">
    <w:name w:val="93A35528BD8748BAB2FB5F4D5D6F72A1"/>
    <w:rsid w:val="00CD5618"/>
    <w:pPr>
      <w:spacing w:line="278" w:lineRule="auto"/>
    </w:pPr>
    <w:rPr>
      <w:kern w:val="2"/>
      <w:sz w:val="24"/>
      <w:szCs w:val="24"/>
      <w14:ligatures w14:val="standardContextual"/>
    </w:rPr>
  </w:style>
  <w:style w:type="paragraph" w:customStyle="1" w:styleId="F64A6255B0F74903AD2DA42EB4AFADD0">
    <w:name w:val="F64A6255B0F74903AD2DA42EB4AFADD0"/>
    <w:rsid w:val="00CD5618"/>
    <w:pPr>
      <w:spacing w:line="278" w:lineRule="auto"/>
    </w:pPr>
    <w:rPr>
      <w:kern w:val="2"/>
      <w:sz w:val="24"/>
      <w:szCs w:val="24"/>
      <w14:ligatures w14:val="standardContextual"/>
    </w:rPr>
  </w:style>
  <w:style w:type="paragraph" w:customStyle="1" w:styleId="8AE787C453A24BD4ABFFD673AAC61980">
    <w:name w:val="8AE787C453A24BD4ABFFD673AAC61980"/>
    <w:rsid w:val="00CD5618"/>
    <w:pPr>
      <w:spacing w:line="278" w:lineRule="auto"/>
    </w:pPr>
    <w:rPr>
      <w:kern w:val="2"/>
      <w:sz w:val="24"/>
      <w:szCs w:val="24"/>
      <w14:ligatures w14:val="standardContextual"/>
    </w:rPr>
  </w:style>
  <w:style w:type="paragraph" w:customStyle="1" w:styleId="A0607B3D8AD240D282BD4012D5DD88CE">
    <w:name w:val="A0607B3D8AD240D282BD4012D5DD88CE"/>
    <w:rsid w:val="00CD5618"/>
    <w:pPr>
      <w:spacing w:line="278" w:lineRule="auto"/>
    </w:pPr>
    <w:rPr>
      <w:kern w:val="2"/>
      <w:sz w:val="24"/>
      <w:szCs w:val="24"/>
      <w14:ligatures w14:val="standardContextual"/>
    </w:rPr>
  </w:style>
  <w:style w:type="paragraph" w:customStyle="1" w:styleId="10A940F63EDF440A8F8E812E4AD58686">
    <w:name w:val="10A940F63EDF440A8F8E812E4AD58686"/>
    <w:rsid w:val="00CD5618"/>
    <w:pPr>
      <w:spacing w:line="278" w:lineRule="auto"/>
    </w:pPr>
    <w:rPr>
      <w:kern w:val="2"/>
      <w:sz w:val="24"/>
      <w:szCs w:val="24"/>
      <w14:ligatures w14:val="standardContextual"/>
    </w:rPr>
  </w:style>
  <w:style w:type="paragraph" w:customStyle="1" w:styleId="FFFA2C7AB12A45E3870FAEE4D0086CCD">
    <w:name w:val="FFFA2C7AB12A45E3870FAEE4D0086CCD"/>
    <w:rsid w:val="00CD5618"/>
    <w:pPr>
      <w:spacing w:line="278" w:lineRule="auto"/>
    </w:pPr>
    <w:rPr>
      <w:kern w:val="2"/>
      <w:sz w:val="24"/>
      <w:szCs w:val="24"/>
      <w14:ligatures w14:val="standardContextual"/>
    </w:rPr>
  </w:style>
  <w:style w:type="paragraph" w:customStyle="1" w:styleId="1A8C2E6405274F7D9ED7821E774F4FDE">
    <w:name w:val="1A8C2E6405274F7D9ED7821E774F4FDE"/>
    <w:rsid w:val="00CD5618"/>
    <w:pPr>
      <w:spacing w:line="278" w:lineRule="auto"/>
    </w:pPr>
    <w:rPr>
      <w:kern w:val="2"/>
      <w:sz w:val="24"/>
      <w:szCs w:val="24"/>
      <w14:ligatures w14:val="standardContextual"/>
    </w:rPr>
  </w:style>
  <w:style w:type="paragraph" w:customStyle="1" w:styleId="DC3F3ED4570D4567BFA2950132124EC5">
    <w:name w:val="DC3F3ED4570D4567BFA2950132124EC5"/>
    <w:rsid w:val="00CD5618"/>
    <w:pPr>
      <w:spacing w:line="278" w:lineRule="auto"/>
    </w:pPr>
    <w:rPr>
      <w:kern w:val="2"/>
      <w:sz w:val="24"/>
      <w:szCs w:val="24"/>
      <w14:ligatures w14:val="standardContextual"/>
    </w:rPr>
  </w:style>
  <w:style w:type="paragraph" w:customStyle="1" w:styleId="3F460D32FF0C4DA2AD6011334D54ADAD">
    <w:name w:val="3F460D32FF0C4DA2AD6011334D54ADAD"/>
    <w:rsid w:val="00CD5618"/>
    <w:pPr>
      <w:spacing w:line="278" w:lineRule="auto"/>
    </w:pPr>
    <w:rPr>
      <w:kern w:val="2"/>
      <w:sz w:val="24"/>
      <w:szCs w:val="24"/>
      <w14:ligatures w14:val="standardContextual"/>
    </w:rPr>
  </w:style>
  <w:style w:type="paragraph" w:customStyle="1" w:styleId="028A442D3AB1460295DF711E76842DA4">
    <w:name w:val="028A442D3AB1460295DF711E76842DA4"/>
    <w:rsid w:val="00CD5618"/>
    <w:pPr>
      <w:spacing w:line="278" w:lineRule="auto"/>
    </w:pPr>
    <w:rPr>
      <w:kern w:val="2"/>
      <w:sz w:val="24"/>
      <w:szCs w:val="24"/>
      <w14:ligatures w14:val="standardContextual"/>
    </w:rPr>
  </w:style>
  <w:style w:type="paragraph" w:customStyle="1" w:styleId="294430ED9A6F4A75AC2E0EAD57EB7A66">
    <w:name w:val="294430ED9A6F4A75AC2E0EAD57EB7A66"/>
    <w:rsid w:val="00CD5618"/>
    <w:pPr>
      <w:spacing w:line="278" w:lineRule="auto"/>
    </w:pPr>
    <w:rPr>
      <w:kern w:val="2"/>
      <w:sz w:val="24"/>
      <w:szCs w:val="24"/>
      <w14:ligatures w14:val="standardContextual"/>
    </w:rPr>
  </w:style>
  <w:style w:type="paragraph" w:customStyle="1" w:styleId="6F03EE7929974C66B32F43A2D6B5488F">
    <w:name w:val="6F03EE7929974C66B32F43A2D6B5488F"/>
    <w:rsid w:val="00CD5618"/>
    <w:pPr>
      <w:spacing w:line="278" w:lineRule="auto"/>
    </w:pPr>
    <w:rPr>
      <w:kern w:val="2"/>
      <w:sz w:val="24"/>
      <w:szCs w:val="24"/>
      <w14:ligatures w14:val="standardContextual"/>
    </w:rPr>
  </w:style>
  <w:style w:type="paragraph" w:customStyle="1" w:styleId="F309D1045C84493FBCDBAA268C1FA37E">
    <w:name w:val="F309D1045C84493FBCDBAA268C1FA37E"/>
    <w:rsid w:val="00CD5618"/>
    <w:pPr>
      <w:spacing w:line="278" w:lineRule="auto"/>
    </w:pPr>
    <w:rPr>
      <w:kern w:val="2"/>
      <w:sz w:val="24"/>
      <w:szCs w:val="24"/>
      <w14:ligatures w14:val="standardContextual"/>
    </w:rPr>
  </w:style>
  <w:style w:type="paragraph" w:customStyle="1" w:styleId="183FEF86085640B4969035AB5C391AB4">
    <w:name w:val="183FEF86085640B4969035AB5C391AB4"/>
    <w:rsid w:val="00CD5618"/>
    <w:pPr>
      <w:spacing w:line="278" w:lineRule="auto"/>
    </w:pPr>
    <w:rPr>
      <w:kern w:val="2"/>
      <w:sz w:val="24"/>
      <w:szCs w:val="24"/>
      <w14:ligatures w14:val="standardContextual"/>
    </w:rPr>
  </w:style>
  <w:style w:type="paragraph" w:customStyle="1" w:styleId="FD5A3C5D0470492587556FD13C57BED9">
    <w:name w:val="FD5A3C5D0470492587556FD13C57BED9"/>
    <w:rsid w:val="00CD5618"/>
    <w:pPr>
      <w:spacing w:line="278" w:lineRule="auto"/>
    </w:pPr>
    <w:rPr>
      <w:kern w:val="2"/>
      <w:sz w:val="24"/>
      <w:szCs w:val="24"/>
      <w14:ligatures w14:val="standardContextual"/>
    </w:rPr>
  </w:style>
  <w:style w:type="paragraph" w:customStyle="1" w:styleId="56FF1CFB95474C81ADAD25610C532FA6">
    <w:name w:val="56FF1CFB95474C81ADAD25610C532FA6"/>
    <w:rsid w:val="00CD5618"/>
    <w:pPr>
      <w:spacing w:line="278" w:lineRule="auto"/>
    </w:pPr>
    <w:rPr>
      <w:kern w:val="2"/>
      <w:sz w:val="24"/>
      <w:szCs w:val="24"/>
      <w14:ligatures w14:val="standardContextual"/>
    </w:rPr>
  </w:style>
  <w:style w:type="paragraph" w:customStyle="1" w:styleId="C8F90AC25AB6493C8C3420327EA8649C">
    <w:name w:val="C8F90AC25AB6493C8C3420327EA8649C"/>
    <w:rsid w:val="00CD5618"/>
    <w:pPr>
      <w:spacing w:line="278" w:lineRule="auto"/>
    </w:pPr>
    <w:rPr>
      <w:kern w:val="2"/>
      <w:sz w:val="24"/>
      <w:szCs w:val="24"/>
      <w14:ligatures w14:val="standardContextual"/>
    </w:rPr>
  </w:style>
  <w:style w:type="paragraph" w:customStyle="1" w:styleId="06DC2E413A24482FBDB05DA1257481AE">
    <w:name w:val="06DC2E413A24482FBDB05DA1257481AE"/>
    <w:rsid w:val="00CD5618"/>
    <w:pPr>
      <w:spacing w:line="278" w:lineRule="auto"/>
    </w:pPr>
    <w:rPr>
      <w:kern w:val="2"/>
      <w:sz w:val="24"/>
      <w:szCs w:val="24"/>
      <w14:ligatures w14:val="standardContextual"/>
    </w:rPr>
  </w:style>
  <w:style w:type="paragraph" w:customStyle="1" w:styleId="9EB3913EA7D24FAC8273D449C4A13EBB">
    <w:name w:val="9EB3913EA7D24FAC8273D449C4A13EBB"/>
    <w:rsid w:val="00CD5618"/>
    <w:pPr>
      <w:spacing w:line="278" w:lineRule="auto"/>
    </w:pPr>
    <w:rPr>
      <w:kern w:val="2"/>
      <w:sz w:val="24"/>
      <w:szCs w:val="24"/>
      <w14:ligatures w14:val="standardContextual"/>
    </w:rPr>
  </w:style>
  <w:style w:type="paragraph" w:customStyle="1" w:styleId="833DE9E0A84643AEA630312E705D53AC">
    <w:name w:val="833DE9E0A84643AEA630312E705D53AC"/>
    <w:rsid w:val="00CD5618"/>
    <w:pPr>
      <w:spacing w:line="278" w:lineRule="auto"/>
    </w:pPr>
    <w:rPr>
      <w:kern w:val="2"/>
      <w:sz w:val="24"/>
      <w:szCs w:val="24"/>
      <w14:ligatures w14:val="standardContextual"/>
    </w:rPr>
  </w:style>
  <w:style w:type="paragraph" w:customStyle="1" w:styleId="0CBB44A6319E4991A74E762DF8D79DDC">
    <w:name w:val="0CBB44A6319E4991A74E762DF8D79DDC"/>
    <w:rsid w:val="00CD5618"/>
    <w:pPr>
      <w:spacing w:line="278" w:lineRule="auto"/>
    </w:pPr>
    <w:rPr>
      <w:kern w:val="2"/>
      <w:sz w:val="24"/>
      <w:szCs w:val="24"/>
      <w14:ligatures w14:val="standardContextual"/>
    </w:rPr>
  </w:style>
  <w:style w:type="paragraph" w:customStyle="1" w:styleId="44737104ABC6412A8FC3014AC5BBDB90">
    <w:name w:val="44737104ABC6412A8FC3014AC5BBDB90"/>
    <w:rsid w:val="00CD5618"/>
    <w:pPr>
      <w:spacing w:line="278" w:lineRule="auto"/>
    </w:pPr>
    <w:rPr>
      <w:kern w:val="2"/>
      <w:sz w:val="24"/>
      <w:szCs w:val="24"/>
      <w14:ligatures w14:val="standardContextual"/>
    </w:rPr>
  </w:style>
  <w:style w:type="paragraph" w:customStyle="1" w:styleId="DFB452A1ED0F4CBF987E1E083E838658">
    <w:name w:val="DFB452A1ED0F4CBF987E1E083E838658"/>
    <w:rsid w:val="00CD5618"/>
    <w:pPr>
      <w:spacing w:line="278" w:lineRule="auto"/>
    </w:pPr>
    <w:rPr>
      <w:kern w:val="2"/>
      <w:sz w:val="24"/>
      <w:szCs w:val="24"/>
      <w14:ligatures w14:val="standardContextual"/>
    </w:rPr>
  </w:style>
  <w:style w:type="paragraph" w:customStyle="1" w:styleId="34CBC280E3C2495AAD2DAFC0DE04F9A7">
    <w:name w:val="34CBC280E3C2495AAD2DAFC0DE04F9A7"/>
    <w:rsid w:val="00CD5618"/>
    <w:pPr>
      <w:spacing w:line="278" w:lineRule="auto"/>
    </w:pPr>
    <w:rPr>
      <w:kern w:val="2"/>
      <w:sz w:val="24"/>
      <w:szCs w:val="24"/>
      <w14:ligatures w14:val="standardContextual"/>
    </w:rPr>
  </w:style>
  <w:style w:type="paragraph" w:customStyle="1" w:styleId="EB9190C8AB8D47438E01C817B1F5E451">
    <w:name w:val="EB9190C8AB8D47438E01C817B1F5E451"/>
    <w:rsid w:val="00CD5618"/>
    <w:pPr>
      <w:spacing w:line="278" w:lineRule="auto"/>
    </w:pPr>
    <w:rPr>
      <w:kern w:val="2"/>
      <w:sz w:val="24"/>
      <w:szCs w:val="24"/>
      <w14:ligatures w14:val="standardContextual"/>
    </w:rPr>
  </w:style>
  <w:style w:type="paragraph" w:customStyle="1" w:styleId="92F99530AA9B442CB78639986E259B69">
    <w:name w:val="92F99530AA9B442CB78639986E259B69"/>
    <w:rsid w:val="00CD5618"/>
    <w:pPr>
      <w:spacing w:line="278" w:lineRule="auto"/>
    </w:pPr>
    <w:rPr>
      <w:kern w:val="2"/>
      <w:sz w:val="24"/>
      <w:szCs w:val="24"/>
      <w14:ligatures w14:val="standardContextual"/>
    </w:rPr>
  </w:style>
  <w:style w:type="paragraph" w:customStyle="1" w:styleId="D61DF7975C16403AA8DF17FC2149B0CF">
    <w:name w:val="D61DF7975C16403AA8DF17FC2149B0CF"/>
    <w:rsid w:val="00CD5618"/>
    <w:pPr>
      <w:spacing w:line="278" w:lineRule="auto"/>
    </w:pPr>
    <w:rPr>
      <w:kern w:val="2"/>
      <w:sz w:val="24"/>
      <w:szCs w:val="24"/>
      <w14:ligatures w14:val="standardContextual"/>
    </w:rPr>
  </w:style>
  <w:style w:type="paragraph" w:customStyle="1" w:styleId="5850057C1FE04A1BAF8F7D224FEDBC00">
    <w:name w:val="5850057C1FE04A1BAF8F7D224FEDBC00"/>
    <w:rsid w:val="00CD5618"/>
    <w:pPr>
      <w:spacing w:line="278" w:lineRule="auto"/>
    </w:pPr>
    <w:rPr>
      <w:kern w:val="2"/>
      <w:sz w:val="24"/>
      <w:szCs w:val="24"/>
      <w14:ligatures w14:val="standardContextual"/>
    </w:rPr>
  </w:style>
  <w:style w:type="paragraph" w:customStyle="1" w:styleId="E44AF5F4129E4852A01E094BC9BAAF63">
    <w:name w:val="E44AF5F4129E4852A01E094BC9BAAF63"/>
    <w:rsid w:val="00CD5618"/>
    <w:pPr>
      <w:spacing w:line="278" w:lineRule="auto"/>
    </w:pPr>
    <w:rPr>
      <w:kern w:val="2"/>
      <w:sz w:val="24"/>
      <w:szCs w:val="24"/>
      <w14:ligatures w14:val="standardContextual"/>
    </w:rPr>
  </w:style>
  <w:style w:type="paragraph" w:customStyle="1" w:styleId="AF12A489920E46E187BCDF6935A3E682">
    <w:name w:val="AF12A489920E46E187BCDF6935A3E682"/>
    <w:rsid w:val="00CD5618"/>
    <w:pPr>
      <w:spacing w:line="278" w:lineRule="auto"/>
    </w:pPr>
    <w:rPr>
      <w:kern w:val="2"/>
      <w:sz w:val="24"/>
      <w:szCs w:val="24"/>
      <w14:ligatures w14:val="standardContextual"/>
    </w:rPr>
  </w:style>
  <w:style w:type="paragraph" w:customStyle="1" w:styleId="7C39220A147F4C57996A436EC2E3599A">
    <w:name w:val="7C39220A147F4C57996A436EC2E3599A"/>
    <w:rsid w:val="00CD5618"/>
    <w:pPr>
      <w:spacing w:line="278" w:lineRule="auto"/>
    </w:pPr>
    <w:rPr>
      <w:kern w:val="2"/>
      <w:sz w:val="24"/>
      <w:szCs w:val="24"/>
      <w14:ligatures w14:val="standardContextual"/>
    </w:rPr>
  </w:style>
  <w:style w:type="paragraph" w:customStyle="1" w:styleId="0090423F74B2463C954B67D0F16BCAF2">
    <w:name w:val="0090423F74B2463C954B67D0F16BCAF2"/>
    <w:rsid w:val="00CD5618"/>
    <w:pPr>
      <w:spacing w:line="278" w:lineRule="auto"/>
    </w:pPr>
    <w:rPr>
      <w:kern w:val="2"/>
      <w:sz w:val="24"/>
      <w:szCs w:val="24"/>
      <w14:ligatures w14:val="standardContextual"/>
    </w:rPr>
  </w:style>
  <w:style w:type="paragraph" w:customStyle="1" w:styleId="C9E89FB6BABB47B894A397D9270D9F96">
    <w:name w:val="C9E89FB6BABB47B894A397D9270D9F96"/>
    <w:rsid w:val="00CD5618"/>
    <w:pPr>
      <w:spacing w:line="278" w:lineRule="auto"/>
    </w:pPr>
    <w:rPr>
      <w:kern w:val="2"/>
      <w:sz w:val="24"/>
      <w:szCs w:val="24"/>
      <w14:ligatures w14:val="standardContextual"/>
    </w:rPr>
  </w:style>
  <w:style w:type="paragraph" w:customStyle="1" w:styleId="50AB7F9FF57649A490A77A5BF3A5B1CA">
    <w:name w:val="50AB7F9FF57649A490A77A5BF3A5B1CA"/>
    <w:rsid w:val="00CD5618"/>
    <w:pPr>
      <w:spacing w:line="278" w:lineRule="auto"/>
    </w:pPr>
    <w:rPr>
      <w:kern w:val="2"/>
      <w:sz w:val="24"/>
      <w:szCs w:val="24"/>
      <w14:ligatures w14:val="standardContextual"/>
    </w:rPr>
  </w:style>
  <w:style w:type="paragraph" w:customStyle="1" w:styleId="ABD4C6A18E51424CA78AB50559D50C6D">
    <w:name w:val="ABD4C6A18E51424CA78AB50559D50C6D"/>
    <w:rsid w:val="00CD5618"/>
    <w:pPr>
      <w:spacing w:line="278" w:lineRule="auto"/>
    </w:pPr>
    <w:rPr>
      <w:kern w:val="2"/>
      <w:sz w:val="24"/>
      <w:szCs w:val="24"/>
      <w14:ligatures w14:val="standardContextual"/>
    </w:rPr>
  </w:style>
  <w:style w:type="paragraph" w:customStyle="1" w:styleId="20DB657D3B794C4A92D82A338D2B7E65">
    <w:name w:val="20DB657D3B794C4A92D82A338D2B7E65"/>
    <w:rsid w:val="00CD5618"/>
    <w:pPr>
      <w:spacing w:line="278" w:lineRule="auto"/>
    </w:pPr>
    <w:rPr>
      <w:kern w:val="2"/>
      <w:sz w:val="24"/>
      <w:szCs w:val="24"/>
      <w14:ligatures w14:val="standardContextual"/>
    </w:rPr>
  </w:style>
  <w:style w:type="paragraph" w:customStyle="1" w:styleId="1B40325BEA0C47609C0FBF5F3313A65C">
    <w:name w:val="1B40325BEA0C47609C0FBF5F3313A65C"/>
    <w:rsid w:val="00CD5618"/>
    <w:pPr>
      <w:spacing w:line="278" w:lineRule="auto"/>
    </w:pPr>
    <w:rPr>
      <w:kern w:val="2"/>
      <w:sz w:val="24"/>
      <w:szCs w:val="24"/>
      <w14:ligatures w14:val="standardContextual"/>
    </w:rPr>
  </w:style>
  <w:style w:type="paragraph" w:customStyle="1" w:styleId="A6991393BC664163B2681DCDBDBAF9B5">
    <w:name w:val="A6991393BC664163B2681DCDBDBAF9B5"/>
    <w:rsid w:val="00CD5618"/>
    <w:pPr>
      <w:spacing w:line="278" w:lineRule="auto"/>
    </w:pPr>
    <w:rPr>
      <w:kern w:val="2"/>
      <w:sz w:val="24"/>
      <w:szCs w:val="24"/>
      <w14:ligatures w14:val="standardContextual"/>
    </w:rPr>
  </w:style>
  <w:style w:type="paragraph" w:customStyle="1" w:styleId="3BAE8EFCC02C449580931A9B7DAB4176">
    <w:name w:val="3BAE8EFCC02C449580931A9B7DAB4176"/>
    <w:rsid w:val="00CD5618"/>
    <w:pPr>
      <w:spacing w:line="278" w:lineRule="auto"/>
    </w:pPr>
    <w:rPr>
      <w:kern w:val="2"/>
      <w:sz w:val="24"/>
      <w:szCs w:val="24"/>
      <w14:ligatures w14:val="standardContextual"/>
    </w:rPr>
  </w:style>
  <w:style w:type="paragraph" w:customStyle="1" w:styleId="62253C8192FB4A8B837BE813ED857F32">
    <w:name w:val="62253C8192FB4A8B837BE813ED857F32"/>
    <w:rsid w:val="00CD5618"/>
    <w:pPr>
      <w:spacing w:line="278" w:lineRule="auto"/>
    </w:pPr>
    <w:rPr>
      <w:kern w:val="2"/>
      <w:sz w:val="24"/>
      <w:szCs w:val="24"/>
      <w14:ligatures w14:val="standardContextual"/>
    </w:rPr>
  </w:style>
  <w:style w:type="paragraph" w:customStyle="1" w:styleId="A7D8F6958877472999BCBA7032F692F5">
    <w:name w:val="A7D8F6958877472999BCBA7032F692F5"/>
    <w:rsid w:val="00CD5618"/>
    <w:pPr>
      <w:spacing w:line="278" w:lineRule="auto"/>
    </w:pPr>
    <w:rPr>
      <w:kern w:val="2"/>
      <w:sz w:val="24"/>
      <w:szCs w:val="24"/>
      <w14:ligatures w14:val="standardContextual"/>
    </w:rPr>
  </w:style>
  <w:style w:type="paragraph" w:customStyle="1" w:styleId="FB576C2B94974CC9AD3D811D3C41AB59">
    <w:name w:val="FB576C2B94974CC9AD3D811D3C41AB59"/>
    <w:rsid w:val="00CD5618"/>
    <w:pPr>
      <w:spacing w:line="278" w:lineRule="auto"/>
    </w:pPr>
    <w:rPr>
      <w:kern w:val="2"/>
      <w:sz w:val="24"/>
      <w:szCs w:val="24"/>
      <w14:ligatures w14:val="standardContextual"/>
    </w:rPr>
  </w:style>
  <w:style w:type="paragraph" w:customStyle="1" w:styleId="84E75E4B032B4107BA0AC1ABBDE97EA8">
    <w:name w:val="84E75E4B032B4107BA0AC1ABBDE97EA8"/>
    <w:rsid w:val="00CD5618"/>
    <w:pPr>
      <w:spacing w:line="278" w:lineRule="auto"/>
    </w:pPr>
    <w:rPr>
      <w:kern w:val="2"/>
      <w:sz w:val="24"/>
      <w:szCs w:val="24"/>
      <w14:ligatures w14:val="standardContextual"/>
    </w:rPr>
  </w:style>
  <w:style w:type="paragraph" w:customStyle="1" w:styleId="2759120A0E5F4C6F957AE95D637B8B6F">
    <w:name w:val="2759120A0E5F4C6F957AE95D637B8B6F"/>
    <w:rsid w:val="00CD5618"/>
    <w:pPr>
      <w:spacing w:line="278" w:lineRule="auto"/>
    </w:pPr>
    <w:rPr>
      <w:kern w:val="2"/>
      <w:sz w:val="24"/>
      <w:szCs w:val="24"/>
      <w14:ligatures w14:val="standardContextual"/>
    </w:rPr>
  </w:style>
  <w:style w:type="paragraph" w:customStyle="1" w:styleId="635CC5A74ABC459EAD54279B5D65F8D2">
    <w:name w:val="635CC5A74ABC459EAD54279B5D65F8D2"/>
    <w:rsid w:val="00CD5618"/>
    <w:pPr>
      <w:spacing w:line="278" w:lineRule="auto"/>
    </w:pPr>
    <w:rPr>
      <w:kern w:val="2"/>
      <w:sz w:val="24"/>
      <w:szCs w:val="24"/>
      <w14:ligatures w14:val="standardContextual"/>
    </w:rPr>
  </w:style>
  <w:style w:type="paragraph" w:customStyle="1" w:styleId="4F7E3AEA71D54519A11A486EEA7CF8F7">
    <w:name w:val="4F7E3AEA71D54519A11A486EEA7CF8F7"/>
    <w:rsid w:val="00CD5618"/>
    <w:pPr>
      <w:spacing w:line="278" w:lineRule="auto"/>
    </w:pPr>
    <w:rPr>
      <w:kern w:val="2"/>
      <w:sz w:val="24"/>
      <w:szCs w:val="24"/>
      <w14:ligatures w14:val="standardContextual"/>
    </w:rPr>
  </w:style>
  <w:style w:type="paragraph" w:customStyle="1" w:styleId="26B2D9BFD7E84744AF7D958C7EAC52C3">
    <w:name w:val="26B2D9BFD7E84744AF7D958C7EAC52C3"/>
    <w:rsid w:val="00CD5618"/>
    <w:pPr>
      <w:spacing w:line="278" w:lineRule="auto"/>
    </w:pPr>
    <w:rPr>
      <w:kern w:val="2"/>
      <w:sz w:val="24"/>
      <w:szCs w:val="24"/>
      <w14:ligatures w14:val="standardContextual"/>
    </w:rPr>
  </w:style>
  <w:style w:type="paragraph" w:customStyle="1" w:styleId="C241CF826CEF49A2B838818407C83FE7">
    <w:name w:val="C241CF826CEF49A2B838818407C83FE7"/>
    <w:rsid w:val="00CD5618"/>
    <w:pPr>
      <w:spacing w:line="278" w:lineRule="auto"/>
    </w:pPr>
    <w:rPr>
      <w:kern w:val="2"/>
      <w:sz w:val="24"/>
      <w:szCs w:val="24"/>
      <w14:ligatures w14:val="standardContextual"/>
    </w:rPr>
  </w:style>
  <w:style w:type="paragraph" w:customStyle="1" w:styleId="EC9B33D89261496386875FE8376DF64A">
    <w:name w:val="EC9B33D89261496386875FE8376DF64A"/>
    <w:rsid w:val="00CD5618"/>
    <w:pPr>
      <w:spacing w:line="278" w:lineRule="auto"/>
    </w:pPr>
    <w:rPr>
      <w:kern w:val="2"/>
      <w:sz w:val="24"/>
      <w:szCs w:val="24"/>
      <w14:ligatures w14:val="standardContextual"/>
    </w:rPr>
  </w:style>
  <w:style w:type="paragraph" w:customStyle="1" w:styleId="A3CFC8F057E3452CB55EE3C105B84E6E">
    <w:name w:val="A3CFC8F057E3452CB55EE3C105B84E6E"/>
    <w:rsid w:val="00CD5618"/>
    <w:pPr>
      <w:spacing w:line="278" w:lineRule="auto"/>
    </w:pPr>
    <w:rPr>
      <w:kern w:val="2"/>
      <w:sz w:val="24"/>
      <w:szCs w:val="24"/>
      <w14:ligatures w14:val="standardContextual"/>
    </w:rPr>
  </w:style>
  <w:style w:type="paragraph" w:customStyle="1" w:styleId="F0F226BD5ED14F068727853AE235A1BC">
    <w:name w:val="F0F226BD5ED14F068727853AE235A1BC"/>
    <w:rsid w:val="00CD5618"/>
    <w:pPr>
      <w:spacing w:line="278" w:lineRule="auto"/>
    </w:pPr>
    <w:rPr>
      <w:kern w:val="2"/>
      <w:sz w:val="24"/>
      <w:szCs w:val="24"/>
      <w14:ligatures w14:val="standardContextual"/>
    </w:rPr>
  </w:style>
  <w:style w:type="paragraph" w:customStyle="1" w:styleId="7044B41CF86F423CB90283605A49CD62">
    <w:name w:val="7044B41CF86F423CB90283605A49CD62"/>
    <w:rsid w:val="00CD5618"/>
    <w:pPr>
      <w:spacing w:line="278" w:lineRule="auto"/>
    </w:pPr>
    <w:rPr>
      <w:kern w:val="2"/>
      <w:sz w:val="24"/>
      <w:szCs w:val="24"/>
      <w14:ligatures w14:val="standardContextual"/>
    </w:rPr>
  </w:style>
  <w:style w:type="paragraph" w:customStyle="1" w:styleId="C03A930E369940FFA201A51A3AAF4524">
    <w:name w:val="C03A930E369940FFA201A51A3AAF4524"/>
    <w:rsid w:val="00CD5618"/>
    <w:pPr>
      <w:spacing w:line="278" w:lineRule="auto"/>
    </w:pPr>
    <w:rPr>
      <w:kern w:val="2"/>
      <w:sz w:val="24"/>
      <w:szCs w:val="24"/>
      <w14:ligatures w14:val="standardContextual"/>
    </w:rPr>
  </w:style>
  <w:style w:type="paragraph" w:customStyle="1" w:styleId="68EC1A37B356458E8BE76BED2CCDF6D6">
    <w:name w:val="68EC1A37B356458E8BE76BED2CCDF6D6"/>
    <w:rsid w:val="00CD5618"/>
    <w:pPr>
      <w:spacing w:line="278" w:lineRule="auto"/>
    </w:pPr>
    <w:rPr>
      <w:kern w:val="2"/>
      <w:sz w:val="24"/>
      <w:szCs w:val="24"/>
      <w14:ligatures w14:val="standardContextual"/>
    </w:rPr>
  </w:style>
  <w:style w:type="paragraph" w:customStyle="1" w:styleId="C436260A75F948F6937475392A63FF78">
    <w:name w:val="C436260A75F948F6937475392A63FF78"/>
    <w:rsid w:val="00CD5618"/>
    <w:pPr>
      <w:spacing w:line="278" w:lineRule="auto"/>
    </w:pPr>
    <w:rPr>
      <w:kern w:val="2"/>
      <w:sz w:val="24"/>
      <w:szCs w:val="24"/>
      <w14:ligatures w14:val="standardContextual"/>
    </w:rPr>
  </w:style>
  <w:style w:type="paragraph" w:customStyle="1" w:styleId="744156BFD03541F6B942EBDECF5E4C34">
    <w:name w:val="744156BFD03541F6B942EBDECF5E4C34"/>
    <w:rsid w:val="00CD5618"/>
    <w:pPr>
      <w:spacing w:line="278" w:lineRule="auto"/>
    </w:pPr>
    <w:rPr>
      <w:kern w:val="2"/>
      <w:sz w:val="24"/>
      <w:szCs w:val="24"/>
      <w14:ligatures w14:val="standardContextual"/>
    </w:rPr>
  </w:style>
  <w:style w:type="paragraph" w:customStyle="1" w:styleId="85DE9578AC114AED8C581DEA8008E104">
    <w:name w:val="85DE9578AC114AED8C581DEA8008E104"/>
    <w:rsid w:val="00CD5618"/>
    <w:pPr>
      <w:spacing w:line="278" w:lineRule="auto"/>
    </w:pPr>
    <w:rPr>
      <w:kern w:val="2"/>
      <w:sz w:val="24"/>
      <w:szCs w:val="24"/>
      <w14:ligatures w14:val="standardContextual"/>
    </w:rPr>
  </w:style>
  <w:style w:type="paragraph" w:customStyle="1" w:styleId="F993E49C3F234608936C2E734998ABA7">
    <w:name w:val="F993E49C3F234608936C2E734998ABA7"/>
    <w:rsid w:val="00CD5618"/>
    <w:pPr>
      <w:spacing w:line="278" w:lineRule="auto"/>
    </w:pPr>
    <w:rPr>
      <w:kern w:val="2"/>
      <w:sz w:val="24"/>
      <w:szCs w:val="24"/>
      <w14:ligatures w14:val="standardContextual"/>
    </w:rPr>
  </w:style>
  <w:style w:type="paragraph" w:customStyle="1" w:styleId="F8681BA182954C57A15C6F7AA95AC851">
    <w:name w:val="F8681BA182954C57A15C6F7AA95AC851"/>
    <w:rsid w:val="00CD5618"/>
    <w:pPr>
      <w:spacing w:line="278" w:lineRule="auto"/>
    </w:pPr>
    <w:rPr>
      <w:kern w:val="2"/>
      <w:sz w:val="24"/>
      <w:szCs w:val="24"/>
      <w14:ligatures w14:val="standardContextual"/>
    </w:rPr>
  </w:style>
  <w:style w:type="paragraph" w:customStyle="1" w:styleId="5B263505472F41EFBF038439FB974E29">
    <w:name w:val="5B263505472F41EFBF038439FB974E29"/>
    <w:rsid w:val="00CD5618"/>
    <w:pPr>
      <w:spacing w:line="278" w:lineRule="auto"/>
    </w:pPr>
    <w:rPr>
      <w:kern w:val="2"/>
      <w:sz w:val="24"/>
      <w:szCs w:val="24"/>
      <w14:ligatures w14:val="standardContextual"/>
    </w:rPr>
  </w:style>
  <w:style w:type="paragraph" w:customStyle="1" w:styleId="CBF928E0736D4A809A0A597AED27377A">
    <w:name w:val="CBF928E0736D4A809A0A597AED27377A"/>
    <w:rsid w:val="00017ACA"/>
    <w:pPr>
      <w:spacing w:line="278" w:lineRule="auto"/>
    </w:pPr>
    <w:rPr>
      <w:kern w:val="2"/>
      <w:sz w:val="24"/>
      <w:szCs w:val="24"/>
      <w14:ligatures w14:val="standardContextual"/>
    </w:rPr>
  </w:style>
  <w:style w:type="paragraph" w:customStyle="1" w:styleId="46C93374E106446A9B755AD39676056C">
    <w:name w:val="46C93374E106446A9B755AD39676056C"/>
    <w:rsid w:val="00017ACA"/>
    <w:pPr>
      <w:spacing w:line="278" w:lineRule="auto"/>
    </w:pPr>
    <w:rPr>
      <w:kern w:val="2"/>
      <w:sz w:val="24"/>
      <w:szCs w:val="24"/>
      <w14:ligatures w14:val="standardContextual"/>
    </w:rPr>
  </w:style>
  <w:style w:type="paragraph" w:customStyle="1" w:styleId="274D9C239FC94A4FBCA95A1F084D87AE">
    <w:name w:val="274D9C239FC94A4FBCA95A1F084D87AE"/>
    <w:rsid w:val="00017ACA"/>
    <w:pPr>
      <w:spacing w:line="278" w:lineRule="auto"/>
    </w:pPr>
    <w:rPr>
      <w:kern w:val="2"/>
      <w:sz w:val="24"/>
      <w:szCs w:val="24"/>
      <w14:ligatures w14:val="standardContextual"/>
    </w:rPr>
  </w:style>
  <w:style w:type="paragraph" w:customStyle="1" w:styleId="6EA20015A4F44816842C31B0D1265997">
    <w:name w:val="6EA20015A4F44816842C31B0D1265997"/>
    <w:rsid w:val="00017ACA"/>
    <w:pPr>
      <w:spacing w:line="278" w:lineRule="auto"/>
    </w:pPr>
    <w:rPr>
      <w:kern w:val="2"/>
      <w:sz w:val="24"/>
      <w:szCs w:val="24"/>
      <w14:ligatures w14:val="standardContextual"/>
    </w:rPr>
  </w:style>
  <w:style w:type="paragraph" w:customStyle="1" w:styleId="1899E9A1F6744E30BB92597F5B7861C9">
    <w:name w:val="1899E9A1F6744E30BB92597F5B7861C9"/>
    <w:rsid w:val="00017ACA"/>
    <w:pPr>
      <w:spacing w:line="278" w:lineRule="auto"/>
    </w:pPr>
    <w:rPr>
      <w:kern w:val="2"/>
      <w:sz w:val="24"/>
      <w:szCs w:val="24"/>
      <w14:ligatures w14:val="standardContextual"/>
    </w:rPr>
  </w:style>
  <w:style w:type="paragraph" w:customStyle="1" w:styleId="AB46C0D163364D56AE5DA8E0B1135A5F">
    <w:name w:val="AB46C0D163364D56AE5DA8E0B1135A5F"/>
    <w:rsid w:val="00017ACA"/>
    <w:pPr>
      <w:spacing w:line="278" w:lineRule="auto"/>
    </w:pPr>
    <w:rPr>
      <w:kern w:val="2"/>
      <w:sz w:val="24"/>
      <w:szCs w:val="24"/>
      <w14:ligatures w14:val="standardContextual"/>
    </w:rPr>
  </w:style>
  <w:style w:type="paragraph" w:customStyle="1" w:styleId="ABA70F6E83BA4DCB84A9DFD396F97C6B">
    <w:name w:val="ABA70F6E83BA4DCB84A9DFD396F97C6B"/>
    <w:rsid w:val="00017ACA"/>
    <w:pPr>
      <w:spacing w:line="278" w:lineRule="auto"/>
    </w:pPr>
    <w:rPr>
      <w:kern w:val="2"/>
      <w:sz w:val="24"/>
      <w:szCs w:val="24"/>
      <w14:ligatures w14:val="standardContextual"/>
    </w:rPr>
  </w:style>
  <w:style w:type="paragraph" w:customStyle="1" w:styleId="BACB20D56AC344D0A8CCD4D9B3048B84">
    <w:name w:val="BACB20D56AC344D0A8CCD4D9B3048B84"/>
    <w:rsid w:val="00017ACA"/>
    <w:pPr>
      <w:spacing w:line="278" w:lineRule="auto"/>
    </w:pPr>
    <w:rPr>
      <w:kern w:val="2"/>
      <w:sz w:val="24"/>
      <w:szCs w:val="24"/>
      <w14:ligatures w14:val="standardContextual"/>
    </w:rPr>
  </w:style>
  <w:style w:type="paragraph" w:customStyle="1" w:styleId="A847D543D1FF4B7B868EC1533DA8D35E">
    <w:name w:val="A847D543D1FF4B7B868EC1533DA8D35E"/>
    <w:rsid w:val="00017ACA"/>
    <w:pPr>
      <w:spacing w:line="278" w:lineRule="auto"/>
    </w:pPr>
    <w:rPr>
      <w:kern w:val="2"/>
      <w:sz w:val="24"/>
      <w:szCs w:val="24"/>
      <w14:ligatures w14:val="standardContextual"/>
    </w:rPr>
  </w:style>
  <w:style w:type="paragraph" w:customStyle="1" w:styleId="6C67E48B7F7D4C04BAA76F731A13D509">
    <w:name w:val="6C67E48B7F7D4C04BAA76F731A13D509"/>
    <w:rsid w:val="00017ACA"/>
    <w:pPr>
      <w:spacing w:line="278" w:lineRule="auto"/>
    </w:pPr>
    <w:rPr>
      <w:kern w:val="2"/>
      <w:sz w:val="24"/>
      <w:szCs w:val="24"/>
      <w14:ligatures w14:val="standardContextual"/>
    </w:rPr>
  </w:style>
  <w:style w:type="paragraph" w:customStyle="1" w:styleId="23A6E4C33AD3469AA873E82C3DB7DC2D">
    <w:name w:val="23A6E4C33AD3469AA873E82C3DB7DC2D"/>
    <w:rsid w:val="00017ACA"/>
    <w:pPr>
      <w:spacing w:line="278" w:lineRule="auto"/>
    </w:pPr>
    <w:rPr>
      <w:kern w:val="2"/>
      <w:sz w:val="24"/>
      <w:szCs w:val="24"/>
      <w14:ligatures w14:val="standardContextual"/>
    </w:rPr>
  </w:style>
  <w:style w:type="paragraph" w:customStyle="1" w:styleId="1619387CBFFF404D82ED39DC1044C99E">
    <w:name w:val="1619387CBFFF404D82ED39DC1044C99E"/>
    <w:rsid w:val="00017ACA"/>
    <w:pPr>
      <w:spacing w:line="278" w:lineRule="auto"/>
    </w:pPr>
    <w:rPr>
      <w:kern w:val="2"/>
      <w:sz w:val="24"/>
      <w:szCs w:val="24"/>
      <w14:ligatures w14:val="standardContextual"/>
    </w:rPr>
  </w:style>
  <w:style w:type="paragraph" w:customStyle="1" w:styleId="16BD50B52E1B4DD49C110A5DBC860A6C">
    <w:name w:val="16BD50B52E1B4DD49C110A5DBC860A6C"/>
    <w:rsid w:val="00017ACA"/>
    <w:pPr>
      <w:spacing w:line="278" w:lineRule="auto"/>
    </w:pPr>
    <w:rPr>
      <w:kern w:val="2"/>
      <w:sz w:val="24"/>
      <w:szCs w:val="24"/>
      <w14:ligatures w14:val="standardContextual"/>
    </w:rPr>
  </w:style>
  <w:style w:type="paragraph" w:customStyle="1" w:styleId="86504ECF0D764B2E84793C88C3DCC859">
    <w:name w:val="86504ECF0D764B2E84793C88C3DCC859"/>
    <w:rsid w:val="00017ACA"/>
    <w:pPr>
      <w:spacing w:line="278" w:lineRule="auto"/>
    </w:pPr>
    <w:rPr>
      <w:kern w:val="2"/>
      <w:sz w:val="24"/>
      <w:szCs w:val="24"/>
      <w14:ligatures w14:val="standardContextual"/>
    </w:rPr>
  </w:style>
  <w:style w:type="paragraph" w:customStyle="1" w:styleId="174DAE7E5BF0440A97CC5BA937BFB92B">
    <w:name w:val="174DAE7E5BF0440A97CC5BA937BFB92B"/>
    <w:rsid w:val="00017ACA"/>
    <w:pPr>
      <w:spacing w:line="278" w:lineRule="auto"/>
    </w:pPr>
    <w:rPr>
      <w:kern w:val="2"/>
      <w:sz w:val="24"/>
      <w:szCs w:val="24"/>
      <w14:ligatures w14:val="standardContextual"/>
    </w:rPr>
  </w:style>
  <w:style w:type="paragraph" w:customStyle="1" w:styleId="E3EE9B3A5C874A59B7CDE5E4E891989E">
    <w:name w:val="E3EE9B3A5C874A59B7CDE5E4E891989E"/>
    <w:rsid w:val="00017ACA"/>
    <w:pPr>
      <w:spacing w:line="278" w:lineRule="auto"/>
    </w:pPr>
    <w:rPr>
      <w:kern w:val="2"/>
      <w:sz w:val="24"/>
      <w:szCs w:val="24"/>
      <w14:ligatures w14:val="standardContextual"/>
    </w:rPr>
  </w:style>
  <w:style w:type="paragraph" w:customStyle="1" w:styleId="C477CD21D8DD460C932FFF5CE470CEB0">
    <w:name w:val="C477CD21D8DD460C932FFF5CE470CEB0"/>
    <w:rsid w:val="00017ACA"/>
    <w:pPr>
      <w:spacing w:line="278" w:lineRule="auto"/>
    </w:pPr>
    <w:rPr>
      <w:kern w:val="2"/>
      <w:sz w:val="24"/>
      <w:szCs w:val="24"/>
      <w14:ligatures w14:val="standardContextual"/>
    </w:rPr>
  </w:style>
  <w:style w:type="paragraph" w:customStyle="1" w:styleId="45DF6453D5374209845BD449AB316130">
    <w:name w:val="45DF6453D5374209845BD449AB316130"/>
    <w:rsid w:val="00017ACA"/>
    <w:pPr>
      <w:spacing w:line="278" w:lineRule="auto"/>
    </w:pPr>
    <w:rPr>
      <w:kern w:val="2"/>
      <w:sz w:val="24"/>
      <w:szCs w:val="24"/>
      <w14:ligatures w14:val="standardContextual"/>
    </w:rPr>
  </w:style>
  <w:style w:type="paragraph" w:customStyle="1" w:styleId="8B49C248FBC44212BD96F570D167E25D">
    <w:name w:val="8B49C248FBC44212BD96F570D167E25D"/>
    <w:rsid w:val="00017ACA"/>
    <w:pPr>
      <w:spacing w:line="278" w:lineRule="auto"/>
    </w:pPr>
    <w:rPr>
      <w:kern w:val="2"/>
      <w:sz w:val="24"/>
      <w:szCs w:val="24"/>
      <w14:ligatures w14:val="standardContextual"/>
    </w:rPr>
  </w:style>
  <w:style w:type="paragraph" w:customStyle="1" w:styleId="166A67FFD101468EBAD67313EF23661D">
    <w:name w:val="166A67FFD101468EBAD67313EF23661D"/>
    <w:rsid w:val="00017ACA"/>
    <w:pPr>
      <w:spacing w:line="278" w:lineRule="auto"/>
    </w:pPr>
    <w:rPr>
      <w:kern w:val="2"/>
      <w:sz w:val="24"/>
      <w:szCs w:val="24"/>
      <w14:ligatures w14:val="standardContextual"/>
    </w:rPr>
  </w:style>
  <w:style w:type="paragraph" w:customStyle="1" w:styleId="8B2B79A64F1543C0B2E2EE47CB487107">
    <w:name w:val="8B2B79A64F1543C0B2E2EE47CB487107"/>
    <w:rsid w:val="00017ACA"/>
    <w:pPr>
      <w:spacing w:line="278" w:lineRule="auto"/>
    </w:pPr>
    <w:rPr>
      <w:kern w:val="2"/>
      <w:sz w:val="24"/>
      <w:szCs w:val="24"/>
      <w14:ligatures w14:val="standardContextual"/>
    </w:rPr>
  </w:style>
  <w:style w:type="paragraph" w:customStyle="1" w:styleId="9D17C9B3F91C4F6796BF9560B965CE85">
    <w:name w:val="9D17C9B3F91C4F6796BF9560B965CE85"/>
    <w:rsid w:val="00017ACA"/>
    <w:pPr>
      <w:spacing w:line="278" w:lineRule="auto"/>
    </w:pPr>
    <w:rPr>
      <w:kern w:val="2"/>
      <w:sz w:val="24"/>
      <w:szCs w:val="24"/>
      <w14:ligatures w14:val="standardContextual"/>
    </w:rPr>
  </w:style>
  <w:style w:type="paragraph" w:customStyle="1" w:styleId="C7C837F4257B4642AA6D923DAACE6655">
    <w:name w:val="C7C837F4257B4642AA6D923DAACE6655"/>
    <w:rsid w:val="00017ACA"/>
    <w:pPr>
      <w:spacing w:line="278" w:lineRule="auto"/>
    </w:pPr>
    <w:rPr>
      <w:kern w:val="2"/>
      <w:sz w:val="24"/>
      <w:szCs w:val="24"/>
      <w14:ligatures w14:val="standardContextual"/>
    </w:rPr>
  </w:style>
  <w:style w:type="paragraph" w:customStyle="1" w:styleId="02EC66EE620D47248D7E5E5539D08883">
    <w:name w:val="02EC66EE620D47248D7E5E5539D08883"/>
    <w:rsid w:val="00017ACA"/>
    <w:pPr>
      <w:spacing w:line="278" w:lineRule="auto"/>
    </w:pPr>
    <w:rPr>
      <w:kern w:val="2"/>
      <w:sz w:val="24"/>
      <w:szCs w:val="24"/>
      <w14:ligatures w14:val="standardContextual"/>
    </w:rPr>
  </w:style>
  <w:style w:type="paragraph" w:customStyle="1" w:styleId="4EE4BD159B5345799137803C17701A6C">
    <w:name w:val="4EE4BD159B5345799137803C17701A6C"/>
    <w:rsid w:val="00017ACA"/>
    <w:pPr>
      <w:spacing w:line="278" w:lineRule="auto"/>
    </w:pPr>
    <w:rPr>
      <w:kern w:val="2"/>
      <w:sz w:val="24"/>
      <w:szCs w:val="24"/>
      <w14:ligatures w14:val="standardContextual"/>
    </w:rPr>
  </w:style>
  <w:style w:type="paragraph" w:customStyle="1" w:styleId="A7EB0936502C4381B561B372BA2088FE">
    <w:name w:val="A7EB0936502C4381B561B372BA2088FE"/>
    <w:rsid w:val="00017ACA"/>
    <w:pPr>
      <w:spacing w:line="278" w:lineRule="auto"/>
    </w:pPr>
    <w:rPr>
      <w:kern w:val="2"/>
      <w:sz w:val="24"/>
      <w:szCs w:val="24"/>
      <w14:ligatures w14:val="standardContextual"/>
    </w:rPr>
  </w:style>
  <w:style w:type="paragraph" w:customStyle="1" w:styleId="E9F2030420584E27952B29D604FB1EFC">
    <w:name w:val="E9F2030420584E27952B29D604FB1EFC"/>
    <w:rsid w:val="00017ACA"/>
    <w:pPr>
      <w:spacing w:line="278" w:lineRule="auto"/>
    </w:pPr>
    <w:rPr>
      <w:kern w:val="2"/>
      <w:sz w:val="24"/>
      <w:szCs w:val="24"/>
      <w14:ligatures w14:val="standardContextual"/>
    </w:rPr>
  </w:style>
  <w:style w:type="paragraph" w:customStyle="1" w:styleId="678F105F42524AB7859DDEDD6B64B22C">
    <w:name w:val="678F105F42524AB7859DDEDD6B64B22C"/>
    <w:rsid w:val="00017ACA"/>
    <w:pPr>
      <w:spacing w:line="278" w:lineRule="auto"/>
    </w:pPr>
    <w:rPr>
      <w:kern w:val="2"/>
      <w:sz w:val="24"/>
      <w:szCs w:val="24"/>
      <w14:ligatures w14:val="standardContextual"/>
    </w:rPr>
  </w:style>
  <w:style w:type="paragraph" w:customStyle="1" w:styleId="1A302ABFB42548AA83A373D5771AF3C7">
    <w:name w:val="1A302ABFB42548AA83A373D5771AF3C7"/>
    <w:rsid w:val="00017ACA"/>
    <w:pPr>
      <w:spacing w:line="278" w:lineRule="auto"/>
    </w:pPr>
    <w:rPr>
      <w:kern w:val="2"/>
      <w:sz w:val="24"/>
      <w:szCs w:val="24"/>
      <w14:ligatures w14:val="standardContextual"/>
    </w:rPr>
  </w:style>
  <w:style w:type="paragraph" w:customStyle="1" w:styleId="15594029DDB94460AF9A0362ECD76733">
    <w:name w:val="15594029DDB94460AF9A0362ECD76733"/>
    <w:rsid w:val="00017ACA"/>
    <w:pPr>
      <w:spacing w:line="278" w:lineRule="auto"/>
    </w:pPr>
    <w:rPr>
      <w:kern w:val="2"/>
      <w:sz w:val="24"/>
      <w:szCs w:val="24"/>
      <w14:ligatures w14:val="standardContextual"/>
    </w:rPr>
  </w:style>
  <w:style w:type="paragraph" w:customStyle="1" w:styleId="2DFC9D3713D443DCB4049115D2776067">
    <w:name w:val="2DFC9D3713D443DCB4049115D2776067"/>
    <w:rsid w:val="00017ACA"/>
    <w:pPr>
      <w:spacing w:line="278" w:lineRule="auto"/>
    </w:pPr>
    <w:rPr>
      <w:kern w:val="2"/>
      <w:sz w:val="24"/>
      <w:szCs w:val="24"/>
      <w14:ligatures w14:val="standardContextual"/>
    </w:rPr>
  </w:style>
  <w:style w:type="paragraph" w:customStyle="1" w:styleId="E5BD536E03174A14987D6EA4128FF87A">
    <w:name w:val="E5BD536E03174A14987D6EA4128FF87A"/>
    <w:rsid w:val="00017ACA"/>
    <w:pPr>
      <w:spacing w:line="278" w:lineRule="auto"/>
    </w:pPr>
    <w:rPr>
      <w:kern w:val="2"/>
      <w:sz w:val="24"/>
      <w:szCs w:val="24"/>
      <w14:ligatures w14:val="standardContextual"/>
    </w:rPr>
  </w:style>
  <w:style w:type="paragraph" w:customStyle="1" w:styleId="EBD004D7FBFF4701B52A01C69AB2E8EC">
    <w:name w:val="EBD004D7FBFF4701B52A01C69AB2E8EC"/>
    <w:rsid w:val="00017ACA"/>
    <w:pPr>
      <w:spacing w:line="278" w:lineRule="auto"/>
    </w:pPr>
    <w:rPr>
      <w:kern w:val="2"/>
      <w:sz w:val="24"/>
      <w:szCs w:val="24"/>
      <w14:ligatures w14:val="standardContextual"/>
    </w:rPr>
  </w:style>
  <w:style w:type="paragraph" w:customStyle="1" w:styleId="BD1A3E95FC274D50A34DB66EA99B4BCB">
    <w:name w:val="BD1A3E95FC274D50A34DB66EA99B4BCB"/>
    <w:rsid w:val="00017ACA"/>
    <w:pPr>
      <w:spacing w:line="278" w:lineRule="auto"/>
    </w:pPr>
    <w:rPr>
      <w:kern w:val="2"/>
      <w:sz w:val="24"/>
      <w:szCs w:val="24"/>
      <w14:ligatures w14:val="standardContextual"/>
    </w:rPr>
  </w:style>
  <w:style w:type="paragraph" w:customStyle="1" w:styleId="F896B519445C4DF08599558E0E57EFD8">
    <w:name w:val="F896B519445C4DF08599558E0E57EFD8"/>
    <w:rsid w:val="00017ACA"/>
    <w:pPr>
      <w:spacing w:line="278" w:lineRule="auto"/>
    </w:pPr>
    <w:rPr>
      <w:kern w:val="2"/>
      <w:sz w:val="24"/>
      <w:szCs w:val="24"/>
      <w14:ligatures w14:val="standardContextual"/>
    </w:rPr>
  </w:style>
  <w:style w:type="paragraph" w:customStyle="1" w:styleId="BC7277E0FF474C4A95F99586AFC49AE8">
    <w:name w:val="BC7277E0FF474C4A95F99586AFC49AE8"/>
    <w:rsid w:val="00017ACA"/>
    <w:pPr>
      <w:spacing w:line="278" w:lineRule="auto"/>
    </w:pPr>
    <w:rPr>
      <w:kern w:val="2"/>
      <w:sz w:val="24"/>
      <w:szCs w:val="24"/>
      <w14:ligatures w14:val="standardContextual"/>
    </w:rPr>
  </w:style>
  <w:style w:type="paragraph" w:customStyle="1" w:styleId="0410BA9DE5F242B2904F7191F3FEFD8C">
    <w:name w:val="0410BA9DE5F242B2904F7191F3FEFD8C"/>
    <w:rsid w:val="00017ACA"/>
    <w:pPr>
      <w:spacing w:line="278" w:lineRule="auto"/>
    </w:pPr>
    <w:rPr>
      <w:kern w:val="2"/>
      <w:sz w:val="24"/>
      <w:szCs w:val="24"/>
      <w14:ligatures w14:val="standardContextual"/>
    </w:rPr>
  </w:style>
  <w:style w:type="paragraph" w:customStyle="1" w:styleId="4859DD6970BD42EF9C4E6E58D645AEF8">
    <w:name w:val="4859DD6970BD42EF9C4E6E58D645AEF8"/>
    <w:rsid w:val="00017ACA"/>
    <w:pPr>
      <w:spacing w:line="278" w:lineRule="auto"/>
    </w:pPr>
    <w:rPr>
      <w:kern w:val="2"/>
      <w:sz w:val="24"/>
      <w:szCs w:val="24"/>
      <w14:ligatures w14:val="standardContextual"/>
    </w:rPr>
  </w:style>
  <w:style w:type="paragraph" w:customStyle="1" w:styleId="EAB80A1230DA4DBD83A87195AA19F49B">
    <w:name w:val="EAB80A1230DA4DBD83A87195AA19F49B"/>
    <w:rsid w:val="00017ACA"/>
    <w:pPr>
      <w:spacing w:line="278" w:lineRule="auto"/>
    </w:pPr>
    <w:rPr>
      <w:kern w:val="2"/>
      <w:sz w:val="24"/>
      <w:szCs w:val="24"/>
      <w14:ligatures w14:val="standardContextual"/>
    </w:rPr>
  </w:style>
  <w:style w:type="paragraph" w:customStyle="1" w:styleId="10AF77B9AA634E6DA51EB2729CE9390B">
    <w:name w:val="10AF77B9AA634E6DA51EB2729CE9390B"/>
    <w:rsid w:val="00017ACA"/>
    <w:pPr>
      <w:spacing w:line="278" w:lineRule="auto"/>
    </w:pPr>
    <w:rPr>
      <w:kern w:val="2"/>
      <w:sz w:val="24"/>
      <w:szCs w:val="24"/>
      <w14:ligatures w14:val="standardContextual"/>
    </w:rPr>
  </w:style>
  <w:style w:type="paragraph" w:customStyle="1" w:styleId="96299BE91536453ABBAB62C1881A37D3">
    <w:name w:val="96299BE91536453ABBAB62C1881A37D3"/>
    <w:rsid w:val="00017ACA"/>
    <w:pPr>
      <w:spacing w:line="278" w:lineRule="auto"/>
    </w:pPr>
    <w:rPr>
      <w:kern w:val="2"/>
      <w:sz w:val="24"/>
      <w:szCs w:val="24"/>
      <w14:ligatures w14:val="standardContextual"/>
    </w:rPr>
  </w:style>
  <w:style w:type="paragraph" w:customStyle="1" w:styleId="4B11D669BC244E21856CC0418C54ECE0">
    <w:name w:val="4B11D669BC244E21856CC0418C54ECE0"/>
    <w:rsid w:val="00017ACA"/>
    <w:pPr>
      <w:spacing w:line="278" w:lineRule="auto"/>
    </w:pPr>
    <w:rPr>
      <w:kern w:val="2"/>
      <w:sz w:val="24"/>
      <w:szCs w:val="24"/>
      <w14:ligatures w14:val="standardContextual"/>
    </w:rPr>
  </w:style>
  <w:style w:type="paragraph" w:customStyle="1" w:styleId="939E3A7F9D6949FBBED8CA3DFC94F297">
    <w:name w:val="939E3A7F9D6949FBBED8CA3DFC94F297"/>
    <w:rsid w:val="00017ACA"/>
    <w:pPr>
      <w:spacing w:line="278" w:lineRule="auto"/>
    </w:pPr>
    <w:rPr>
      <w:kern w:val="2"/>
      <w:sz w:val="24"/>
      <w:szCs w:val="24"/>
      <w14:ligatures w14:val="standardContextual"/>
    </w:rPr>
  </w:style>
  <w:style w:type="paragraph" w:customStyle="1" w:styleId="687D5D071C2B439892EC987BFE91D0F6">
    <w:name w:val="687D5D071C2B439892EC987BFE91D0F6"/>
    <w:rsid w:val="00017ACA"/>
    <w:pPr>
      <w:spacing w:line="278" w:lineRule="auto"/>
    </w:pPr>
    <w:rPr>
      <w:kern w:val="2"/>
      <w:sz w:val="24"/>
      <w:szCs w:val="24"/>
      <w14:ligatures w14:val="standardContextual"/>
    </w:rPr>
  </w:style>
  <w:style w:type="paragraph" w:customStyle="1" w:styleId="67C53834DF6946A889A4017E20D37DFD">
    <w:name w:val="67C53834DF6946A889A4017E20D37DFD"/>
    <w:rsid w:val="00017ACA"/>
    <w:pPr>
      <w:spacing w:line="278" w:lineRule="auto"/>
    </w:pPr>
    <w:rPr>
      <w:kern w:val="2"/>
      <w:sz w:val="24"/>
      <w:szCs w:val="24"/>
      <w14:ligatures w14:val="standardContextual"/>
    </w:rPr>
  </w:style>
  <w:style w:type="paragraph" w:customStyle="1" w:styleId="0735139D47DD498083A2E74102F2E7BB">
    <w:name w:val="0735139D47DD498083A2E74102F2E7BB"/>
    <w:rsid w:val="00017ACA"/>
    <w:pPr>
      <w:spacing w:line="278" w:lineRule="auto"/>
    </w:pPr>
    <w:rPr>
      <w:kern w:val="2"/>
      <w:sz w:val="24"/>
      <w:szCs w:val="24"/>
      <w14:ligatures w14:val="standardContextual"/>
    </w:rPr>
  </w:style>
  <w:style w:type="paragraph" w:customStyle="1" w:styleId="573CEA3F624A4E8CB1BD08E9F32C02C1">
    <w:name w:val="573CEA3F624A4E8CB1BD08E9F32C02C1"/>
    <w:rsid w:val="00017ACA"/>
    <w:pPr>
      <w:spacing w:line="278" w:lineRule="auto"/>
    </w:pPr>
    <w:rPr>
      <w:kern w:val="2"/>
      <w:sz w:val="24"/>
      <w:szCs w:val="24"/>
      <w14:ligatures w14:val="standardContextual"/>
    </w:rPr>
  </w:style>
  <w:style w:type="paragraph" w:customStyle="1" w:styleId="77B2438098214ACC80ACFD8203FB7ADF">
    <w:name w:val="77B2438098214ACC80ACFD8203FB7ADF"/>
    <w:rsid w:val="00017ACA"/>
    <w:pPr>
      <w:spacing w:line="278" w:lineRule="auto"/>
    </w:pPr>
    <w:rPr>
      <w:kern w:val="2"/>
      <w:sz w:val="24"/>
      <w:szCs w:val="24"/>
      <w14:ligatures w14:val="standardContextual"/>
    </w:rPr>
  </w:style>
  <w:style w:type="paragraph" w:customStyle="1" w:styleId="AFA349DB3C02431D961C736E460B68B8">
    <w:name w:val="AFA349DB3C02431D961C736E460B68B8"/>
    <w:rsid w:val="00017ACA"/>
    <w:pPr>
      <w:spacing w:line="278" w:lineRule="auto"/>
    </w:pPr>
    <w:rPr>
      <w:kern w:val="2"/>
      <w:sz w:val="24"/>
      <w:szCs w:val="24"/>
      <w14:ligatures w14:val="standardContextual"/>
    </w:rPr>
  </w:style>
  <w:style w:type="paragraph" w:customStyle="1" w:styleId="F0210646B5D44CDB8AAABB909E8A9639">
    <w:name w:val="F0210646B5D44CDB8AAABB909E8A9639"/>
    <w:rsid w:val="00017ACA"/>
    <w:pPr>
      <w:spacing w:line="278" w:lineRule="auto"/>
    </w:pPr>
    <w:rPr>
      <w:kern w:val="2"/>
      <w:sz w:val="24"/>
      <w:szCs w:val="24"/>
      <w14:ligatures w14:val="standardContextual"/>
    </w:rPr>
  </w:style>
  <w:style w:type="paragraph" w:customStyle="1" w:styleId="0F5F7A582F8D434BB73261D3A830D350">
    <w:name w:val="0F5F7A582F8D434BB73261D3A830D350"/>
    <w:rsid w:val="00017ACA"/>
    <w:pPr>
      <w:spacing w:line="278" w:lineRule="auto"/>
    </w:pPr>
    <w:rPr>
      <w:kern w:val="2"/>
      <w:sz w:val="24"/>
      <w:szCs w:val="24"/>
      <w14:ligatures w14:val="standardContextual"/>
    </w:rPr>
  </w:style>
  <w:style w:type="paragraph" w:customStyle="1" w:styleId="ED87DE3BE0974C38B73FAE2ACC00734F">
    <w:name w:val="ED87DE3BE0974C38B73FAE2ACC00734F"/>
    <w:rsid w:val="00017ACA"/>
    <w:pPr>
      <w:spacing w:line="278" w:lineRule="auto"/>
    </w:pPr>
    <w:rPr>
      <w:kern w:val="2"/>
      <w:sz w:val="24"/>
      <w:szCs w:val="24"/>
      <w14:ligatures w14:val="standardContextual"/>
    </w:rPr>
  </w:style>
  <w:style w:type="paragraph" w:customStyle="1" w:styleId="946EC32E2E594D74A4F654A2A6ACE8AB">
    <w:name w:val="946EC32E2E594D74A4F654A2A6ACE8AB"/>
    <w:rsid w:val="00017ACA"/>
    <w:pPr>
      <w:spacing w:line="278" w:lineRule="auto"/>
    </w:pPr>
    <w:rPr>
      <w:kern w:val="2"/>
      <w:sz w:val="24"/>
      <w:szCs w:val="24"/>
      <w14:ligatures w14:val="standardContextual"/>
    </w:rPr>
  </w:style>
  <w:style w:type="paragraph" w:customStyle="1" w:styleId="CC44D5FE1D594826A7B5C68B4F8CB322">
    <w:name w:val="CC44D5FE1D594826A7B5C68B4F8CB322"/>
    <w:rsid w:val="00017ACA"/>
    <w:pPr>
      <w:spacing w:line="278" w:lineRule="auto"/>
    </w:pPr>
    <w:rPr>
      <w:kern w:val="2"/>
      <w:sz w:val="24"/>
      <w:szCs w:val="24"/>
      <w14:ligatures w14:val="standardContextual"/>
    </w:rPr>
  </w:style>
  <w:style w:type="paragraph" w:customStyle="1" w:styleId="0C65EA5C3F3A43128F5F3D9708170BD9">
    <w:name w:val="0C65EA5C3F3A43128F5F3D9708170BD9"/>
    <w:rsid w:val="00017ACA"/>
    <w:pPr>
      <w:spacing w:line="278" w:lineRule="auto"/>
    </w:pPr>
    <w:rPr>
      <w:kern w:val="2"/>
      <w:sz w:val="24"/>
      <w:szCs w:val="24"/>
      <w14:ligatures w14:val="standardContextual"/>
    </w:rPr>
  </w:style>
  <w:style w:type="paragraph" w:customStyle="1" w:styleId="317E692E8FF4497E91300FC3C551596D">
    <w:name w:val="317E692E8FF4497E91300FC3C551596D"/>
    <w:rsid w:val="00017ACA"/>
    <w:pPr>
      <w:spacing w:line="278" w:lineRule="auto"/>
    </w:pPr>
    <w:rPr>
      <w:kern w:val="2"/>
      <w:sz w:val="24"/>
      <w:szCs w:val="24"/>
      <w14:ligatures w14:val="standardContextual"/>
    </w:rPr>
  </w:style>
  <w:style w:type="paragraph" w:customStyle="1" w:styleId="4C6BEF88EEA34FEE890E2D375D9FAAEA">
    <w:name w:val="4C6BEF88EEA34FEE890E2D375D9FAAEA"/>
    <w:rsid w:val="00017ACA"/>
    <w:pPr>
      <w:spacing w:line="278" w:lineRule="auto"/>
    </w:pPr>
    <w:rPr>
      <w:kern w:val="2"/>
      <w:sz w:val="24"/>
      <w:szCs w:val="24"/>
      <w14:ligatures w14:val="standardContextual"/>
    </w:rPr>
  </w:style>
  <w:style w:type="paragraph" w:customStyle="1" w:styleId="E017E4169FD44DBFA9343E9C5124DD16">
    <w:name w:val="E017E4169FD44DBFA9343E9C5124DD16"/>
    <w:rsid w:val="00017ACA"/>
    <w:pPr>
      <w:spacing w:line="278" w:lineRule="auto"/>
    </w:pPr>
    <w:rPr>
      <w:kern w:val="2"/>
      <w:sz w:val="24"/>
      <w:szCs w:val="24"/>
      <w14:ligatures w14:val="standardContextual"/>
    </w:rPr>
  </w:style>
  <w:style w:type="paragraph" w:customStyle="1" w:styleId="38D9989880A748F3A0EA7491829AECAF">
    <w:name w:val="38D9989880A748F3A0EA7491829AECAF"/>
    <w:rsid w:val="00017ACA"/>
    <w:pPr>
      <w:spacing w:line="278" w:lineRule="auto"/>
    </w:pPr>
    <w:rPr>
      <w:kern w:val="2"/>
      <w:sz w:val="24"/>
      <w:szCs w:val="24"/>
      <w14:ligatures w14:val="standardContextual"/>
    </w:rPr>
  </w:style>
  <w:style w:type="paragraph" w:customStyle="1" w:styleId="EE49D39A63F14C2A95079D0151062981">
    <w:name w:val="EE49D39A63F14C2A95079D0151062981"/>
    <w:rsid w:val="00017ACA"/>
    <w:pPr>
      <w:spacing w:line="278" w:lineRule="auto"/>
    </w:pPr>
    <w:rPr>
      <w:kern w:val="2"/>
      <w:sz w:val="24"/>
      <w:szCs w:val="24"/>
      <w14:ligatures w14:val="standardContextual"/>
    </w:rPr>
  </w:style>
  <w:style w:type="paragraph" w:customStyle="1" w:styleId="84D6AF895D0E4E9EBDFEB3F25C870BCC">
    <w:name w:val="84D6AF895D0E4E9EBDFEB3F25C870BCC"/>
    <w:rsid w:val="00017ACA"/>
    <w:pPr>
      <w:spacing w:line="278" w:lineRule="auto"/>
    </w:pPr>
    <w:rPr>
      <w:kern w:val="2"/>
      <w:sz w:val="24"/>
      <w:szCs w:val="24"/>
      <w14:ligatures w14:val="standardContextual"/>
    </w:rPr>
  </w:style>
  <w:style w:type="paragraph" w:customStyle="1" w:styleId="A8FE0CEADDD04A9A8F0E647ADE0D27E1">
    <w:name w:val="A8FE0CEADDD04A9A8F0E647ADE0D27E1"/>
    <w:rsid w:val="00017ACA"/>
    <w:pPr>
      <w:spacing w:line="278" w:lineRule="auto"/>
    </w:pPr>
    <w:rPr>
      <w:kern w:val="2"/>
      <w:sz w:val="24"/>
      <w:szCs w:val="24"/>
      <w14:ligatures w14:val="standardContextual"/>
    </w:rPr>
  </w:style>
  <w:style w:type="paragraph" w:customStyle="1" w:styleId="D6ACA3F2FFFB4AFF9BFF358C6DED8E7B">
    <w:name w:val="D6ACA3F2FFFB4AFF9BFF358C6DED8E7B"/>
    <w:rsid w:val="00017ACA"/>
    <w:pPr>
      <w:spacing w:line="278" w:lineRule="auto"/>
    </w:pPr>
    <w:rPr>
      <w:kern w:val="2"/>
      <w:sz w:val="24"/>
      <w:szCs w:val="24"/>
      <w14:ligatures w14:val="standardContextual"/>
    </w:rPr>
  </w:style>
  <w:style w:type="paragraph" w:customStyle="1" w:styleId="0214A3DFA60A46A39ADD55BAB64431BF">
    <w:name w:val="0214A3DFA60A46A39ADD55BAB64431BF"/>
    <w:rsid w:val="00017ACA"/>
    <w:pPr>
      <w:spacing w:line="278" w:lineRule="auto"/>
    </w:pPr>
    <w:rPr>
      <w:kern w:val="2"/>
      <w:sz w:val="24"/>
      <w:szCs w:val="24"/>
      <w14:ligatures w14:val="standardContextual"/>
    </w:rPr>
  </w:style>
  <w:style w:type="paragraph" w:customStyle="1" w:styleId="438AC2E2DC7E4A549BD9B818468DA7BE">
    <w:name w:val="438AC2E2DC7E4A549BD9B818468DA7BE"/>
    <w:rsid w:val="00017ACA"/>
    <w:pPr>
      <w:spacing w:line="278" w:lineRule="auto"/>
    </w:pPr>
    <w:rPr>
      <w:kern w:val="2"/>
      <w:sz w:val="24"/>
      <w:szCs w:val="24"/>
      <w14:ligatures w14:val="standardContextual"/>
    </w:rPr>
  </w:style>
  <w:style w:type="paragraph" w:customStyle="1" w:styleId="18D8CCA75FC14033AB0A1E7117756CCC">
    <w:name w:val="18D8CCA75FC14033AB0A1E7117756CCC"/>
    <w:rsid w:val="00017ACA"/>
    <w:pPr>
      <w:spacing w:line="278" w:lineRule="auto"/>
    </w:pPr>
    <w:rPr>
      <w:kern w:val="2"/>
      <w:sz w:val="24"/>
      <w:szCs w:val="24"/>
      <w14:ligatures w14:val="standardContextual"/>
    </w:rPr>
  </w:style>
  <w:style w:type="paragraph" w:customStyle="1" w:styleId="6A71D2527E934D128DAA90D40A341CA8">
    <w:name w:val="6A71D2527E934D128DAA90D40A341CA8"/>
    <w:rsid w:val="00017ACA"/>
    <w:pPr>
      <w:spacing w:line="278" w:lineRule="auto"/>
    </w:pPr>
    <w:rPr>
      <w:kern w:val="2"/>
      <w:sz w:val="24"/>
      <w:szCs w:val="24"/>
      <w14:ligatures w14:val="standardContextual"/>
    </w:rPr>
  </w:style>
  <w:style w:type="paragraph" w:customStyle="1" w:styleId="FEA341F8FB73477C894965A0DDA38178">
    <w:name w:val="FEA341F8FB73477C894965A0DDA38178"/>
    <w:rsid w:val="00017ACA"/>
    <w:pPr>
      <w:spacing w:line="278" w:lineRule="auto"/>
    </w:pPr>
    <w:rPr>
      <w:kern w:val="2"/>
      <w:sz w:val="24"/>
      <w:szCs w:val="24"/>
      <w14:ligatures w14:val="standardContextual"/>
    </w:rPr>
  </w:style>
  <w:style w:type="paragraph" w:customStyle="1" w:styleId="D4A548EECEE34853A4DA6C4B1D64BB8E">
    <w:name w:val="D4A548EECEE34853A4DA6C4B1D64BB8E"/>
    <w:rsid w:val="00017ACA"/>
    <w:pPr>
      <w:spacing w:line="278" w:lineRule="auto"/>
    </w:pPr>
    <w:rPr>
      <w:kern w:val="2"/>
      <w:sz w:val="24"/>
      <w:szCs w:val="24"/>
      <w14:ligatures w14:val="standardContextual"/>
    </w:rPr>
  </w:style>
  <w:style w:type="paragraph" w:customStyle="1" w:styleId="A088F51017634ADBAA06E022D9D7FC07">
    <w:name w:val="A088F51017634ADBAA06E022D9D7FC07"/>
    <w:rsid w:val="00017AC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4559c4-8463-4985-927f-f0d558bff8f0" xsi:nil="true"/>
    <lcf76f155ced4ddcb4097134ff3c332f xmlns="819ae873-75e1-413b-9d00-7af9258cf281">
      <Terms xmlns="http://schemas.microsoft.com/office/infopath/2007/PartnerControls"/>
    </lcf76f155ced4ddcb4097134ff3c332f>
    <Approvinghostparty xmlns="819ae873-75e1-413b-9d00-7af9258cf281" xsi:nil="true"/>
    <Formatter_x0028_s_x0029_ xmlns="819ae873-75e1-413b-9d00-7af9258cf281">
      <UserInfo>
        <DisplayName/>
        <AccountId xsi:nil="true"/>
        <AccountType/>
      </UserInfo>
    </Formatter_x0028_s_x0029_>
    <Ready xmlns="819ae873-75e1-413b-9d00-7af9258cf281">true</Ready>
    <Doc_x002e_SymbolNumber xmlns="819ae873-75e1-413b-9d00-7af9258cf281" xsi:nil="true"/>
    <_Flow_SignoffStatus xmlns="819ae873-75e1-413b-9d00-7af9258cf281" xsi:nil="true"/>
    <Status xmlns="819ae873-75e1-413b-9d00-7af9258cf281">true</Status>
    <Teamleademail xmlns="819ae873-75e1-413b-9d00-7af9258cf281">
      <UserInfo>
        <DisplayName/>
        <AccountId xsi:nil="true"/>
        <AccountType/>
      </UserInfo>
    </Teamleademail>
    <Drafter_x0028_s_x0029_ xmlns="819ae873-75e1-413b-9d00-7af9258cf281">
      <UserInfo>
        <DisplayName/>
        <AccountId xsi:nil="true"/>
        <AccountType/>
      </UserInfo>
    </Drafter_x0028_s_x0029_>
  </documentManagement>
</p:properties>
</file>

<file path=customXml/item2.xml><?xml version="1.0" encoding="utf-8"?>
<?mso-contentType ?>
<SharedContentType xmlns="Microsoft.SharePoint.Taxonomy.ContentTypeSync" SourceId="9d8c265a-5436-43a7-80c1-713d2827ffde"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B6730B0802B54A9F00C78B857E1443" ma:contentTypeVersion="30" ma:contentTypeDescription="Create a new document." ma:contentTypeScope="" ma:versionID="c1177e9cb2a011f9b5f85d5c6c9a33b0">
  <xsd:schema xmlns:xsd="http://www.w3.org/2001/XMLSchema" xmlns:xs="http://www.w3.org/2001/XMLSchema" xmlns:p="http://schemas.microsoft.com/office/2006/metadata/properties" xmlns:ns2="819ae873-75e1-413b-9d00-7af9258cf281" xmlns:ns3="eb4559c4-8463-4985-927f-f0d558bff8f0" xmlns:ns4="13d80b15-5f07-43ab-b435-85767a7dac08" targetNamespace="http://schemas.microsoft.com/office/2006/metadata/properties" ma:root="true" ma:fieldsID="babc2604ed609730281bb67d17ce2659" ns2:_="" ns3:_="" ns4:_="">
    <xsd:import namespace="819ae873-75e1-413b-9d00-7af9258cf281"/>
    <xsd:import namespace="eb4559c4-8463-4985-927f-f0d558bff8f0"/>
    <xsd:import namespace="13d80b15-5f07-43ab-b435-85767a7dac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oc_x002e_SymbolNumber"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Ready" minOccurs="0"/>
                <xsd:element ref="ns2:_Flow_SignoffStatus" minOccurs="0"/>
                <xsd:element ref="ns2:Teamleademail" minOccurs="0"/>
                <xsd:element ref="ns2:Drafter_x0028_s_x0029_" minOccurs="0"/>
                <xsd:element ref="ns2:Formatter_x0028_s_x0029_" minOccurs="0"/>
                <xsd:element ref="ns2:Status" minOccurs="0"/>
                <xsd:element ref="ns2:Approvinghostpar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ae873-75e1-413b-9d00-7af9258cf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oc_x002e_SymbolNumber" ma:index="12" nillable="true" ma:displayName="Doc. Symbol Number" ma:format="Dropdown" ma:internalName="Doc_x002e_SymbolNumber">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d8c265a-5436-43a7-80c1-713d2827ffd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ady" ma:index="26" nillable="true" ma:displayName="Ready" ma:default="1" ma:format="Dropdown" ma:internalName="Ready">
      <xsd:simpleType>
        <xsd:restriction base="dms:Boolean"/>
      </xsd:simpleType>
    </xsd:element>
    <xsd:element name="_Flow_SignoffStatus" ma:index="27" nillable="true" ma:displayName="Sign-off status" ma:format="Dropdown" ma:internalName="_x0024_Resources_x003a_core_x002c_Signoff_Status">
      <xsd:simpleType>
        <xsd:restriction base="dms:Choice">
          <xsd:enumeration value="WIP"/>
          <xsd:enumeration value="Ready for clearance"/>
          <xsd:enumeration value="Cleared"/>
          <xsd:enumeration value="Returned"/>
        </xsd:restriction>
      </xsd:simpleType>
    </xsd:element>
    <xsd:element name="Teamleademail" ma:index="28" nillable="true" ma:displayName="Team lead(s)" ma:format="Dropdown" ma:list="UserInfo" ma:SharePointGroup="0" ma:internalName="Teamleademail">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rafter_x0028_s_x0029_" ma:index="29" nillable="true" ma:displayName="Drafter(s)" ma:format="Dropdown" ma:list="UserInfo" ma:SharePointGroup="0" ma:internalName="Draft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matter_x0028_s_x0029_" ma:index="30" nillable="true" ma:displayName="Formatter(s)" ma:format="Dropdown" ma:list="UserInfo" ma:SharePointGroup="0" ma:internalName="Formatter_x0028_s_x0029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1" nillable="true" ma:displayName="Status" ma:default="1" ma:format="Dropdown" ma:internalName="Status">
      <xsd:simpleType>
        <xsd:restriction base="dms:Boolean"/>
      </xsd:simpleType>
    </xsd:element>
    <xsd:element name="Approvinghostparty" ma:index="32" nillable="true" ma:displayName="Approving host party" ma:format="Dropdown" ma:internalName="Approvinghostparty">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559c4-8463-4985-927f-f0d558bff8f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990851-a39d-4e76-9339-d9f3f2815fa8}" ma:internalName="TaxCatchAll" ma:showField="CatchAllData" ma:web="13d80b15-5f07-43ab-b435-85767a7da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d80b15-5f07-43ab-b435-85767a7dac0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76FC7-B83A-4C74-BCD1-4E662AA4CE6F}">
  <ds:schemaRefs>
    <ds:schemaRef ds:uri="http://schemas.microsoft.com/office/2006/metadata/properties"/>
    <ds:schemaRef ds:uri="http://schemas.microsoft.com/office/infopath/2007/PartnerControls"/>
    <ds:schemaRef ds:uri="eb4559c4-8463-4985-927f-f0d558bff8f0"/>
    <ds:schemaRef ds:uri="819ae873-75e1-413b-9d00-7af9258cf281"/>
  </ds:schemaRefs>
</ds:datastoreItem>
</file>

<file path=customXml/itemProps2.xml><?xml version="1.0" encoding="utf-8"?>
<ds:datastoreItem xmlns:ds="http://schemas.openxmlformats.org/officeDocument/2006/customXml" ds:itemID="{4FE1C872-F2D2-4E40-A6AD-99D5D0620809}">
  <ds:schemaRefs>
    <ds:schemaRef ds:uri="Microsoft.SharePoint.Taxonomy.ContentTypeSync"/>
  </ds:schemaRefs>
</ds:datastoreItem>
</file>

<file path=customXml/itemProps3.xml><?xml version="1.0" encoding="utf-8"?>
<ds:datastoreItem xmlns:ds="http://schemas.openxmlformats.org/officeDocument/2006/customXml" ds:itemID="{A53DA59F-7B1D-449B-B479-B612F65E1E95}">
  <ds:schemaRefs>
    <ds:schemaRef ds:uri="http://schemas.microsoft.com/sharepoint/v3/contenttype/forms"/>
  </ds:schemaRefs>
</ds:datastoreItem>
</file>

<file path=customXml/itemProps4.xml><?xml version="1.0" encoding="utf-8"?>
<ds:datastoreItem xmlns:ds="http://schemas.openxmlformats.org/officeDocument/2006/customXml" ds:itemID="{F97FED05-778D-4618-9342-8D2753EDF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ae873-75e1-413b-9d00-7af9258cf281"/>
    <ds:schemaRef ds:uri="eb4559c4-8463-4985-927f-f0d558bff8f0"/>
    <ds:schemaRef ds:uri="13d80b15-5f07-43ab-b435-85767a7da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6B0579-C4F8-468F-B6EC-49E75FFF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CDM_Methodology.dotm</Template>
  <TotalTime>1</TotalTime>
  <Pages>99</Pages>
  <Words>34486</Words>
  <Characters>194507</Characters>
  <Application>Microsoft Office Word</Application>
  <DocSecurity>2</DocSecurity>
  <Lines>5402</Lines>
  <Paragraphs>3013</Paragraphs>
  <ScaleCrop>false</ScaleCrop>
  <Company/>
  <LinksUpToDate>false</LinksUpToDate>
  <CharactersWithSpaces>225980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A6.4-SBM023-A19</dc:title>
  <dc:subject/>
  <dc:creator>UNFCCC</dc:creator>
  <cp:keywords/>
  <cp:lastModifiedBy>Jane Stickdorn</cp:lastModifiedBy>
  <cp:revision>2</cp:revision>
  <cp:lastPrinted>2026-10-14T12:19:00Z</cp:lastPrinted>
  <dcterms:created xsi:type="dcterms:W3CDTF">2026-10-14T12:21:00Z</dcterms:created>
  <dcterms:modified xsi:type="dcterms:W3CDTF">2026-10-14T12:21:00Z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0x0101008FB6730B0802B54A9F00C78B857E1443</vt:lpwstr>
  </property>
  <property fmtid="{D5CDD505-2E9C-101B-9397-08002B2CF9AE}" pid="3" name="MediaServiceImageTags">
    <vt:lpwstr/>
  </property>
  <property fmtid="{D5CDD505-2E9C-101B-9397-08002B2CF9AE}" pid="4" name="docLang">
    <vt:lpwstr>en</vt:lpwstr>
  </property>
  <property fmtid="{D5CDD505-2E9C-101B-9397-08002B2CF9AE}" pid="5" name="_ModernAudienceTargetUserField">
    <vt:lpwstr/>
  </property>
  <property fmtid="{D5CDD505-2E9C-101B-9397-08002B2CF9AE}" pid="6" name="Document">
    <vt:lpwstr>Call for Input</vt:lpwstr>
  </property>
  <property fmtid="{D5CDD505-2E9C-101B-9397-08002B2CF9AE}" pid="7" name="Officer(s)">
    <vt:lpwstr>34;#i:0#.f|membership|bgurung@unfccc.int;#62;#i:0#.f|membership|nmuller@unfccc.int</vt:lpwstr>
  </property>
  <property fmtid="{D5CDD505-2E9C-101B-9397-08002B2CF9AE}" pid="8" name="AA para nr.">
    <vt:lpwstr>9</vt:lpwstr>
  </property>
  <property fmtid="{D5CDD505-2E9C-101B-9397-08002B2CF9AE}" pid="9" name="Team Lead">
    <vt:lpwstr/>
  </property>
  <property fmtid="{D5CDD505-2E9C-101B-9397-08002B2CF9AE}" pid="10" name="Expert(s)">
    <vt:lpwstr>183;#i:0#.f|membership|ntabade_gmail.com#ext#@unfccc365.onmicrosoft.com;#32;#i:0#.f|membership|braulio.pikman_erm.com#ext#@unfccc365.onmicrosoft.com;#181;#i:0#.f|membership|s.thapa_lboro.ac.uk#ext#@unfccc365.onmicrosoft.com</vt:lpwstr>
  </property>
  <property fmtid="{D5CDD505-2E9C-101B-9397-08002B2CF9AE}" pid="11" name="Category">
    <vt:lpwstr>Working document</vt:lpwstr>
  </property>
  <property fmtid="{D5CDD505-2E9C-101B-9397-08002B2CF9AE}" pid="12" name="Peer Reviewer">
    <vt:lpwstr>203;#Eduardo Cardoso Filho</vt:lpwstr>
  </property>
  <property fmtid="{D5CDD505-2E9C-101B-9397-08002B2CF9AE}" pid="13" name="Clearance by">
    <vt:lpwstr>170;#Dhirendra Kumar</vt:lpwstr>
  </property>
  <property fmtid="{D5CDD505-2E9C-101B-9397-08002B2CF9AE}" pid="14" name="Annex Nr.">
    <vt:lpwstr>1</vt:lpwstr>
  </property>
  <property fmtid="{D5CDD505-2E9C-101B-9397-08002B2CF9AE}" pid="15" name="Document Status">
    <vt:lpwstr>4/5 - Formatted</vt:lpwstr>
  </property>
  <property fmtid="{D5CDD505-2E9C-101B-9397-08002B2CF9AE}" pid="16" name="Formatter">
    <vt:lpwstr>176;#Addah Wissen</vt:lpwstr>
  </property>
  <property fmtid="{D5CDD505-2E9C-101B-9397-08002B2CF9AE}" pid="17" name="Lead Officer">
    <vt:lpwstr>34;#Benita Gurung</vt:lpwstr>
  </property>
</Properties>
</file>