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SDMDocRef"/>
    <w:p w14:paraId="7332930B" w14:textId="32AE5CA8" w:rsidR="00A12E1C" w:rsidRPr="005B1E09" w:rsidRDefault="0039641B" w:rsidP="002C7827">
      <w:pPr>
        <w:pStyle w:val="SDMDocRef"/>
      </w:pPr>
      <w:sdt>
        <w:sdtPr>
          <w:alias w:val="SDMDocRef"/>
          <w:tag w:val="SDMDocRef"/>
          <w:id w:val="1716379491"/>
          <w:lock w:val="sdtLocked"/>
          <w:placeholder>
            <w:docPart w:val="024784A0F0C24ADEAC5F33FCE44D9AD4"/>
          </w:placeholder>
        </w:sdtPr>
        <w:sdtEndPr/>
        <w:sdtContent>
          <w:r w:rsidR="00B50490" w:rsidRPr="00B50490">
            <w:t>A6.4-AMM-00</w:t>
          </w:r>
          <w:r w:rsidR="00B50490">
            <w:t>3</w:t>
          </w:r>
        </w:sdtContent>
      </w:sdt>
      <w:bookmarkEnd w:id="0"/>
    </w:p>
    <w:bookmarkStart w:id="1" w:name="SDMConfidentialMark" w:displacedByCustomXml="next"/>
    <w:sdt>
      <w:sdtPr>
        <w:alias w:val="SDMConfidentialMark"/>
        <w:tag w:val="SDMConfidentialMark"/>
        <w:id w:val="174698408"/>
        <w:lock w:val="sdtLocked"/>
        <w:placeholder>
          <w:docPart w:val="745ED77B43CB4636BE3637258B08812F"/>
        </w:placeholder>
        <w:dropDownList>
          <w:listItem w:displayText="Confidential" w:value="Confidential"/>
          <w:listItem w:displayText=" " w:value="  "/>
        </w:dropDownList>
      </w:sdtPr>
      <w:sdtEndPr/>
      <w:sdtContent>
        <w:p w14:paraId="7640009C" w14:textId="7CBE44DA" w:rsidR="00B527EA" w:rsidRPr="00312CAA" w:rsidRDefault="001F47BD" w:rsidP="00802CB9">
          <w:pPr>
            <w:pStyle w:val="SDMConfidentialMark"/>
            <w:tabs>
              <w:tab w:val="left" w:pos="1843"/>
            </w:tabs>
          </w:pPr>
          <w:r>
            <w:t xml:space="preserve"> </w:t>
          </w:r>
        </w:p>
      </w:sdtContent>
    </w:sdt>
    <w:bookmarkEnd w:id="1" w:displacedByCustomXml="prev"/>
    <w:bookmarkStart w:id="2" w:name="SDMTitle1" w:displacedByCustomXml="next"/>
    <w:sdt>
      <w:sdtPr>
        <w:alias w:val="SDMTitle1"/>
        <w:tag w:val="SDMTitle1"/>
        <w:id w:val="-2079670800"/>
        <w:lock w:val="sdtLocked"/>
        <w:placeholder>
          <w:docPart w:val="564CA3EA16E34408B6798A38AE4A3C59"/>
        </w:placeholder>
      </w:sdtPr>
      <w:sdtEndPr/>
      <w:sdtContent>
        <w:bookmarkStart w:id="3" w:name="SDMDocType" w:displacedByCustomXml="prev"/>
        <w:p w14:paraId="10644501" w14:textId="5EBAAF14" w:rsidR="001A1BDD" w:rsidRPr="002C4666" w:rsidRDefault="00853F05" w:rsidP="00705EF6">
          <w:pPr>
            <w:pStyle w:val="SDMTitle1"/>
          </w:pPr>
          <w:r>
            <w:t>Mechanism</w:t>
          </w:r>
          <w:r w:rsidR="0022484F" w:rsidRPr="0022484F">
            <w:t xml:space="preserve"> </w:t>
          </w:r>
          <w:sdt>
            <w:sdtPr>
              <w:alias w:val="SDMDocType"/>
              <w:tag w:val="SDMDocType"/>
              <w:id w:val="-1347470451"/>
              <w:lock w:val="sdtContentLocked"/>
              <w:placeholder>
                <w:docPart w:val="0A7B5906E33644C6BCECC2E99995C8DC"/>
              </w:placeholder>
              <w:dropDownList>
                <w:listItem w:displayText="Standard" w:value="Standard"/>
                <w:listItem w:displayText="Guideline" w:value="Guideline"/>
                <w:listItem w:displayText="Procedure" w:value="Procedure"/>
                <w:listItem w:displayText="Information note" w:value="Information note"/>
                <w:listItem w:displayText="Methodology" w:value="Methodology"/>
                <w:listItem w:displayText="Methodological tool" w:value="Methodological tool"/>
                <w:listItem w:displayText="Meeting report" w:value="Meeting report"/>
              </w:dropDownList>
            </w:sdtPr>
            <w:sdtEndPr/>
            <w:sdtContent>
              <w:r>
                <w:t>m</w:t>
              </w:r>
              <w:r w:rsidR="0022484F" w:rsidRPr="0022484F">
                <w:t>ethodology</w:t>
              </w:r>
            </w:sdtContent>
          </w:sdt>
        </w:p>
        <w:bookmarkEnd w:id="3" w:displacedByCustomXml="next"/>
      </w:sdtContent>
    </w:sdt>
    <w:bookmarkEnd w:id="2" w:displacedByCustomXml="prev"/>
    <w:bookmarkStart w:id="4" w:name="SDMTitle2" w:displacedByCustomXml="next"/>
    <w:sdt>
      <w:sdtPr>
        <w:rPr>
          <w:lang w:val="de-DE"/>
        </w:rPr>
        <w:alias w:val="SDMTitle2"/>
        <w:tag w:val="SDMTitle2"/>
        <w:id w:val="939257648"/>
        <w:lock w:val="sdtLocked"/>
        <w:placeholder>
          <w:docPart w:val="313594FDB5C247088AF9C2B37250BDF3"/>
        </w:placeholder>
      </w:sdtPr>
      <w:sdtEndPr/>
      <w:sdtContent>
        <w:p w14:paraId="71B7F33A" w14:textId="527C7DB0" w:rsidR="001A1BDD" w:rsidRPr="00206FDC" w:rsidRDefault="00B55B4A" w:rsidP="001A1BDD">
          <w:pPr>
            <w:pStyle w:val="SDMTitle2"/>
          </w:pPr>
          <w:r>
            <w:t>Electricity</w:t>
          </w:r>
          <w:r w:rsidRPr="00D27574">
            <w:t xml:space="preserve"> generation from renewable sources</w:t>
          </w:r>
          <w:r>
            <w:t xml:space="preserve"> connected to an electricity system</w:t>
          </w:r>
        </w:p>
      </w:sdtContent>
    </w:sdt>
    <w:bookmarkEnd w:id="4" w:displacedByCustomXml="prev"/>
    <w:bookmarkStart w:id="5" w:name="SDMDocVerLab"/>
    <w:p w14:paraId="38FAFD4B" w14:textId="224C4AF3" w:rsidR="001F76B9" w:rsidRPr="00152FB5" w:rsidRDefault="0039641B" w:rsidP="001F76B9">
      <w:pPr>
        <w:pStyle w:val="SDMTiInfo"/>
      </w:pPr>
      <w:sdt>
        <w:sdtPr>
          <w:alias w:val="SDMDocVersionLabel"/>
          <w:tag w:val="SDMDocVersionLabel"/>
          <w:id w:val="-334845484"/>
          <w:lock w:val="sdtLocked"/>
          <w:placeholder>
            <w:docPart w:val="610848E8AD184D9986E54651A1BEF359"/>
          </w:placeholder>
        </w:sdtPr>
        <w:sdtEndPr/>
        <w:sdtContent>
          <w:r w:rsidR="00787CC6" w:rsidRPr="00152FB5">
            <w:t>Version</w:t>
          </w:r>
          <w:r w:rsidR="007B03AF">
            <w:t xml:space="preserve"> </w:t>
          </w:r>
        </w:sdtContent>
      </w:sdt>
      <w:bookmarkStart w:id="6" w:name="SDMDocVer"/>
      <w:bookmarkEnd w:id="5"/>
      <w:sdt>
        <w:sdtPr>
          <w:alias w:val="SDMDocVer"/>
          <w:tag w:val="SDMDocVer"/>
          <w:id w:val="-2119430389"/>
          <w:lock w:val="sdtLocked"/>
          <w:placeholder>
            <w:docPart w:val="1D8FE2BB60234C2C98D738BB30D920F8"/>
          </w:placeholder>
          <w:showingPlcHdr/>
        </w:sdtPr>
        <w:sdtEndPr/>
        <w:sdtContent>
          <w:r w:rsidR="00144187">
            <w:t>01.0</w:t>
          </w:r>
        </w:sdtContent>
      </w:sdt>
      <w:bookmarkEnd w:id="6"/>
    </w:p>
    <w:bookmarkStart w:id="7" w:name="SDMSectoralScopeLab"/>
    <w:p w14:paraId="52DAA040" w14:textId="4126D2C2" w:rsidR="006F5B88" w:rsidRPr="00260651" w:rsidRDefault="0039641B" w:rsidP="00FB3E72">
      <w:pPr>
        <w:pStyle w:val="SDMTiInfo"/>
        <w:rPr>
          <w:vanish/>
          <w:specVanish/>
        </w:rPr>
      </w:pPr>
      <w:sdt>
        <w:sdtPr>
          <w:alias w:val="SDMSectoralScopeLabel"/>
          <w:tag w:val="SDMSectoralScopeLabel"/>
          <w:id w:val="-1807311883"/>
          <w:placeholder>
            <w:docPart w:val="492722170C1F4D319C753151C187C315"/>
          </w:placeholder>
        </w:sdtPr>
        <w:sdtEndPr/>
        <w:sdtContent>
          <w:r w:rsidR="00635555">
            <w:t xml:space="preserve">Sectoral scope(s): </w:t>
          </w:r>
        </w:sdtContent>
      </w:sdt>
      <w:bookmarkStart w:id="8" w:name="SDMSectoralScope"/>
      <w:bookmarkEnd w:id="7"/>
      <w:sdt>
        <w:sdtPr>
          <w:alias w:val="SDMSectoralScope"/>
          <w:tag w:val="SDMSectoralScope"/>
          <w:id w:val="1979492676"/>
          <w:placeholder>
            <w:docPart w:val="3E949C185EF340D6B1349F3A3FA84A60"/>
          </w:placeholder>
        </w:sdtPr>
        <w:sdtEndPr/>
        <w:sdtContent>
          <w:r w:rsidR="00C63A64">
            <w:t>01</w:t>
          </w:r>
        </w:sdtContent>
      </w:sdt>
      <w:bookmarkEnd w:id="8"/>
    </w:p>
    <w:p w14:paraId="28429656" w14:textId="77777777" w:rsidR="006F5B88" w:rsidRPr="00260651" w:rsidRDefault="006F5B88" w:rsidP="001E266E">
      <w:pPr>
        <w:sectPr w:rsidR="006F5B88" w:rsidRPr="00260651" w:rsidSect="005307EB">
          <w:headerReference w:type="default" r:id="rId12"/>
          <w:pgSz w:w="11907" w:h="16840" w:code="9"/>
          <w:pgMar w:top="1985" w:right="1134" w:bottom="1418" w:left="1418" w:header="1418" w:footer="1418" w:gutter="0"/>
          <w:cols w:space="720"/>
          <w:docGrid w:linePitch="299"/>
        </w:sectPr>
      </w:pPr>
    </w:p>
    <w:p w14:paraId="0021BAB0" w14:textId="77777777" w:rsidR="00235FD4" w:rsidRPr="00CB7EFA" w:rsidRDefault="009F4007" w:rsidP="005B3DA5">
      <w:pPr>
        <w:pStyle w:val="SDMTOCHeading"/>
        <w:tabs>
          <w:tab w:val="clear" w:pos="9356"/>
          <w:tab w:val="right" w:pos="9355"/>
        </w:tabs>
      </w:pPr>
      <w:r w:rsidRPr="00CB7EFA">
        <w:lastRenderedPageBreak/>
        <w:t>TABLE OF CONTENTS</w:t>
      </w:r>
      <w:r w:rsidR="007344BA" w:rsidRPr="00CB7EFA">
        <w:tab/>
      </w:r>
      <w:r w:rsidR="00A37ABA" w:rsidRPr="00CB7EFA">
        <w:t>Page</w:t>
      </w:r>
    </w:p>
    <w:p w14:paraId="4D7C9192" w14:textId="3D748D7C"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r>
        <w:rPr>
          <w:b w:val="0"/>
          <w:caps w:val="0"/>
        </w:rPr>
        <w:fldChar w:fldCharType="begin"/>
      </w:r>
      <w:r>
        <w:rPr>
          <w:b w:val="0"/>
          <w:caps w:val="0"/>
        </w:rPr>
        <w:instrText xml:space="preserve"> TOC \o "1-3" \h \z \t "Heading 1,1, SDMHead1,1,SDMHead2,2,SDMHead3,3,SDMAppTitle,6" </w:instrText>
      </w:r>
      <w:r>
        <w:rPr>
          <w:b w:val="0"/>
          <w:caps w:val="0"/>
        </w:rPr>
        <w:fldChar w:fldCharType="separate"/>
      </w:r>
      <w:hyperlink w:anchor="_Toc236394019" w:history="1">
        <w:r w:rsidRPr="00B140C4">
          <w:rPr>
            <w:rStyle w:val="Hyperlink"/>
            <w:noProof/>
          </w:rPr>
          <w:t>1.</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Introduction</w:t>
        </w:r>
        <w:r>
          <w:rPr>
            <w:noProof/>
            <w:webHidden/>
          </w:rPr>
          <w:tab/>
        </w:r>
        <w:r>
          <w:rPr>
            <w:rStyle w:val="Hyperlink"/>
            <w:noProof/>
          </w:rPr>
          <w:tab/>
        </w:r>
        <w:r>
          <w:rPr>
            <w:noProof/>
            <w:webHidden/>
          </w:rPr>
          <w:fldChar w:fldCharType="begin"/>
        </w:r>
        <w:r>
          <w:rPr>
            <w:noProof/>
            <w:webHidden/>
          </w:rPr>
          <w:instrText xml:space="preserve"> PAGEREF _Toc236394019 \h </w:instrText>
        </w:r>
        <w:r>
          <w:rPr>
            <w:noProof/>
            <w:webHidden/>
          </w:rPr>
        </w:r>
        <w:r>
          <w:rPr>
            <w:noProof/>
            <w:webHidden/>
          </w:rPr>
          <w:fldChar w:fldCharType="separate"/>
        </w:r>
        <w:r w:rsidR="00D0578E">
          <w:rPr>
            <w:noProof/>
            <w:webHidden/>
          </w:rPr>
          <w:t>4</w:t>
        </w:r>
        <w:r>
          <w:rPr>
            <w:noProof/>
            <w:webHidden/>
          </w:rPr>
          <w:fldChar w:fldCharType="end"/>
        </w:r>
      </w:hyperlink>
    </w:p>
    <w:p w14:paraId="3EE976DD" w14:textId="45AF1925"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20" w:history="1">
        <w:r w:rsidRPr="00B140C4">
          <w:rPr>
            <w:rStyle w:val="Hyperlink"/>
            <w:noProof/>
          </w:rPr>
          <w:t>1.1.</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Scope</w:t>
        </w:r>
        <w:r>
          <w:rPr>
            <w:noProof/>
            <w:webHidden/>
          </w:rPr>
          <w:tab/>
        </w:r>
        <w:r>
          <w:rPr>
            <w:rStyle w:val="Hyperlink"/>
            <w:noProof/>
          </w:rPr>
          <w:tab/>
        </w:r>
        <w:r>
          <w:rPr>
            <w:noProof/>
            <w:webHidden/>
          </w:rPr>
          <w:fldChar w:fldCharType="begin"/>
        </w:r>
        <w:r>
          <w:rPr>
            <w:noProof/>
            <w:webHidden/>
          </w:rPr>
          <w:instrText xml:space="preserve"> PAGEREF _Toc236394020 \h </w:instrText>
        </w:r>
        <w:r>
          <w:rPr>
            <w:noProof/>
            <w:webHidden/>
          </w:rPr>
        </w:r>
        <w:r>
          <w:rPr>
            <w:noProof/>
            <w:webHidden/>
          </w:rPr>
          <w:fldChar w:fldCharType="separate"/>
        </w:r>
        <w:r w:rsidR="00D0578E">
          <w:rPr>
            <w:noProof/>
            <w:webHidden/>
          </w:rPr>
          <w:t>4</w:t>
        </w:r>
        <w:r>
          <w:rPr>
            <w:noProof/>
            <w:webHidden/>
          </w:rPr>
          <w:fldChar w:fldCharType="end"/>
        </w:r>
      </w:hyperlink>
    </w:p>
    <w:p w14:paraId="1D81DA8C" w14:textId="4EE7AB80"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21" w:history="1">
        <w:r w:rsidRPr="00B140C4">
          <w:rPr>
            <w:rStyle w:val="Hyperlink"/>
            <w:noProof/>
          </w:rPr>
          <w:t>1.2.</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Entry into force and validity</w:t>
        </w:r>
        <w:r>
          <w:rPr>
            <w:noProof/>
            <w:webHidden/>
          </w:rPr>
          <w:tab/>
        </w:r>
        <w:r>
          <w:rPr>
            <w:rStyle w:val="Hyperlink"/>
            <w:noProof/>
          </w:rPr>
          <w:tab/>
        </w:r>
        <w:r>
          <w:rPr>
            <w:noProof/>
            <w:webHidden/>
          </w:rPr>
          <w:fldChar w:fldCharType="begin"/>
        </w:r>
        <w:r>
          <w:rPr>
            <w:noProof/>
            <w:webHidden/>
          </w:rPr>
          <w:instrText xml:space="preserve"> PAGEREF _Toc236394021 \h </w:instrText>
        </w:r>
        <w:r>
          <w:rPr>
            <w:noProof/>
            <w:webHidden/>
          </w:rPr>
        </w:r>
        <w:r>
          <w:rPr>
            <w:noProof/>
            <w:webHidden/>
          </w:rPr>
          <w:fldChar w:fldCharType="separate"/>
        </w:r>
        <w:r w:rsidR="00D0578E">
          <w:rPr>
            <w:noProof/>
            <w:webHidden/>
          </w:rPr>
          <w:t>4</w:t>
        </w:r>
        <w:r>
          <w:rPr>
            <w:noProof/>
            <w:webHidden/>
          </w:rPr>
          <w:fldChar w:fldCharType="end"/>
        </w:r>
      </w:hyperlink>
    </w:p>
    <w:p w14:paraId="19A9F3AB" w14:textId="496182A8"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22" w:history="1">
        <w:r w:rsidRPr="00B140C4">
          <w:rPr>
            <w:rStyle w:val="Hyperlink"/>
            <w:noProof/>
          </w:rPr>
          <w:t>1.3.</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Applicability of sectoral scopes</w:t>
        </w:r>
        <w:r>
          <w:rPr>
            <w:noProof/>
            <w:webHidden/>
          </w:rPr>
          <w:tab/>
        </w:r>
        <w:r>
          <w:rPr>
            <w:rStyle w:val="Hyperlink"/>
            <w:noProof/>
          </w:rPr>
          <w:tab/>
        </w:r>
        <w:r>
          <w:rPr>
            <w:noProof/>
            <w:webHidden/>
          </w:rPr>
          <w:fldChar w:fldCharType="begin"/>
        </w:r>
        <w:r>
          <w:rPr>
            <w:noProof/>
            <w:webHidden/>
          </w:rPr>
          <w:instrText xml:space="preserve"> PAGEREF _Toc236394022 \h </w:instrText>
        </w:r>
        <w:r>
          <w:rPr>
            <w:noProof/>
            <w:webHidden/>
          </w:rPr>
        </w:r>
        <w:r>
          <w:rPr>
            <w:noProof/>
            <w:webHidden/>
          </w:rPr>
          <w:fldChar w:fldCharType="separate"/>
        </w:r>
        <w:r w:rsidR="00D0578E">
          <w:rPr>
            <w:noProof/>
            <w:webHidden/>
          </w:rPr>
          <w:t>4</w:t>
        </w:r>
        <w:r>
          <w:rPr>
            <w:noProof/>
            <w:webHidden/>
          </w:rPr>
          <w:fldChar w:fldCharType="end"/>
        </w:r>
      </w:hyperlink>
    </w:p>
    <w:p w14:paraId="27F5B38D" w14:textId="354EBDFA"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23" w:history="1">
        <w:r w:rsidRPr="00B140C4">
          <w:rPr>
            <w:rStyle w:val="Hyperlink"/>
            <w:noProof/>
          </w:rPr>
          <w:t>2.</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Definitions</w:t>
        </w:r>
        <w:r>
          <w:rPr>
            <w:noProof/>
            <w:webHidden/>
          </w:rPr>
          <w:tab/>
        </w:r>
        <w:r>
          <w:rPr>
            <w:rStyle w:val="Hyperlink"/>
            <w:noProof/>
          </w:rPr>
          <w:tab/>
        </w:r>
        <w:r>
          <w:rPr>
            <w:noProof/>
            <w:webHidden/>
          </w:rPr>
          <w:fldChar w:fldCharType="begin"/>
        </w:r>
        <w:r>
          <w:rPr>
            <w:noProof/>
            <w:webHidden/>
          </w:rPr>
          <w:instrText xml:space="preserve"> PAGEREF _Toc236394023 \h </w:instrText>
        </w:r>
        <w:r>
          <w:rPr>
            <w:noProof/>
            <w:webHidden/>
          </w:rPr>
        </w:r>
        <w:r>
          <w:rPr>
            <w:noProof/>
            <w:webHidden/>
          </w:rPr>
          <w:fldChar w:fldCharType="separate"/>
        </w:r>
        <w:r w:rsidR="00D0578E">
          <w:rPr>
            <w:noProof/>
            <w:webHidden/>
          </w:rPr>
          <w:t>4</w:t>
        </w:r>
        <w:r>
          <w:rPr>
            <w:noProof/>
            <w:webHidden/>
          </w:rPr>
          <w:fldChar w:fldCharType="end"/>
        </w:r>
      </w:hyperlink>
    </w:p>
    <w:p w14:paraId="17F5E631" w14:textId="740495ED"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24" w:history="1">
        <w:r w:rsidRPr="00B140C4">
          <w:rPr>
            <w:rStyle w:val="Hyperlink"/>
            <w:noProof/>
          </w:rPr>
          <w:t>2.1.</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General terms</w:t>
        </w:r>
        <w:r>
          <w:rPr>
            <w:noProof/>
            <w:webHidden/>
          </w:rPr>
          <w:tab/>
        </w:r>
        <w:r>
          <w:rPr>
            <w:rStyle w:val="Hyperlink"/>
            <w:noProof/>
          </w:rPr>
          <w:tab/>
        </w:r>
        <w:r>
          <w:rPr>
            <w:noProof/>
            <w:webHidden/>
          </w:rPr>
          <w:fldChar w:fldCharType="begin"/>
        </w:r>
        <w:r>
          <w:rPr>
            <w:noProof/>
            <w:webHidden/>
          </w:rPr>
          <w:instrText xml:space="preserve"> PAGEREF _Toc236394024 \h </w:instrText>
        </w:r>
        <w:r>
          <w:rPr>
            <w:noProof/>
            <w:webHidden/>
          </w:rPr>
        </w:r>
        <w:r>
          <w:rPr>
            <w:noProof/>
            <w:webHidden/>
          </w:rPr>
          <w:fldChar w:fldCharType="separate"/>
        </w:r>
        <w:r w:rsidR="00D0578E">
          <w:rPr>
            <w:noProof/>
            <w:webHidden/>
          </w:rPr>
          <w:t>4</w:t>
        </w:r>
        <w:r>
          <w:rPr>
            <w:noProof/>
            <w:webHidden/>
          </w:rPr>
          <w:fldChar w:fldCharType="end"/>
        </w:r>
      </w:hyperlink>
    </w:p>
    <w:p w14:paraId="4F8CA198" w14:textId="51552A77"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25" w:history="1">
        <w:r w:rsidRPr="00B140C4">
          <w:rPr>
            <w:rStyle w:val="Hyperlink"/>
            <w:noProof/>
          </w:rPr>
          <w:t>2.2.</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Methodological terms and definitions</w:t>
        </w:r>
        <w:r>
          <w:rPr>
            <w:noProof/>
            <w:webHidden/>
          </w:rPr>
          <w:tab/>
        </w:r>
        <w:r>
          <w:rPr>
            <w:rStyle w:val="Hyperlink"/>
            <w:noProof/>
          </w:rPr>
          <w:tab/>
        </w:r>
        <w:r>
          <w:rPr>
            <w:noProof/>
            <w:webHidden/>
          </w:rPr>
          <w:fldChar w:fldCharType="begin"/>
        </w:r>
        <w:r>
          <w:rPr>
            <w:noProof/>
            <w:webHidden/>
          </w:rPr>
          <w:instrText xml:space="preserve"> PAGEREF _Toc236394025 \h </w:instrText>
        </w:r>
        <w:r>
          <w:rPr>
            <w:noProof/>
            <w:webHidden/>
          </w:rPr>
        </w:r>
        <w:r>
          <w:rPr>
            <w:noProof/>
            <w:webHidden/>
          </w:rPr>
          <w:fldChar w:fldCharType="separate"/>
        </w:r>
        <w:r w:rsidR="00D0578E">
          <w:rPr>
            <w:noProof/>
            <w:webHidden/>
          </w:rPr>
          <w:t>4</w:t>
        </w:r>
        <w:r>
          <w:rPr>
            <w:noProof/>
            <w:webHidden/>
          </w:rPr>
          <w:fldChar w:fldCharType="end"/>
        </w:r>
      </w:hyperlink>
    </w:p>
    <w:p w14:paraId="61201C1C" w14:textId="145CD93B"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26" w:history="1">
        <w:r w:rsidRPr="00B140C4">
          <w:rPr>
            <w:rStyle w:val="Hyperlink"/>
            <w:noProof/>
          </w:rPr>
          <w:t>3.</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Normative and informative references</w:t>
        </w:r>
        <w:r>
          <w:rPr>
            <w:noProof/>
            <w:webHidden/>
          </w:rPr>
          <w:tab/>
        </w:r>
        <w:r>
          <w:rPr>
            <w:rStyle w:val="Hyperlink"/>
            <w:noProof/>
          </w:rPr>
          <w:tab/>
        </w:r>
        <w:r>
          <w:rPr>
            <w:noProof/>
            <w:webHidden/>
          </w:rPr>
          <w:fldChar w:fldCharType="begin"/>
        </w:r>
        <w:r>
          <w:rPr>
            <w:noProof/>
            <w:webHidden/>
          </w:rPr>
          <w:instrText xml:space="preserve"> PAGEREF _Toc236394026 \h </w:instrText>
        </w:r>
        <w:r>
          <w:rPr>
            <w:noProof/>
            <w:webHidden/>
          </w:rPr>
        </w:r>
        <w:r>
          <w:rPr>
            <w:noProof/>
            <w:webHidden/>
          </w:rPr>
          <w:fldChar w:fldCharType="separate"/>
        </w:r>
        <w:r w:rsidR="00D0578E">
          <w:rPr>
            <w:noProof/>
            <w:webHidden/>
          </w:rPr>
          <w:t>6</w:t>
        </w:r>
        <w:r>
          <w:rPr>
            <w:noProof/>
            <w:webHidden/>
          </w:rPr>
          <w:fldChar w:fldCharType="end"/>
        </w:r>
      </w:hyperlink>
    </w:p>
    <w:p w14:paraId="27E33A7C" w14:textId="18549462"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27" w:history="1">
        <w:r w:rsidRPr="00B140C4">
          <w:rPr>
            <w:rStyle w:val="Hyperlink"/>
            <w:noProof/>
          </w:rPr>
          <w:t>4.</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Applicability</w:t>
        </w:r>
        <w:r>
          <w:rPr>
            <w:noProof/>
            <w:webHidden/>
          </w:rPr>
          <w:tab/>
        </w:r>
        <w:r>
          <w:rPr>
            <w:rStyle w:val="Hyperlink"/>
            <w:noProof/>
          </w:rPr>
          <w:tab/>
        </w:r>
        <w:r>
          <w:rPr>
            <w:noProof/>
            <w:webHidden/>
          </w:rPr>
          <w:fldChar w:fldCharType="begin"/>
        </w:r>
        <w:r>
          <w:rPr>
            <w:noProof/>
            <w:webHidden/>
          </w:rPr>
          <w:instrText xml:space="preserve"> PAGEREF _Toc236394027 \h </w:instrText>
        </w:r>
        <w:r>
          <w:rPr>
            <w:noProof/>
            <w:webHidden/>
          </w:rPr>
        </w:r>
        <w:r>
          <w:rPr>
            <w:noProof/>
            <w:webHidden/>
          </w:rPr>
          <w:fldChar w:fldCharType="separate"/>
        </w:r>
        <w:r w:rsidR="00D0578E">
          <w:rPr>
            <w:noProof/>
            <w:webHidden/>
          </w:rPr>
          <w:t>7</w:t>
        </w:r>
        <w:r>
          <w:rPr>
            <w:noProof/>
            <w:webHidden/>
          </w:rPr>
          <w:fldChar w:fldCharType="end"/>
        </w:r>
      </w:hyperlink>
    </w:p>
    <w:p w14:paraId="5347787E" w14:textId="7E3E2677"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28" w:history="1">
        <w:r w:rsidRPr="00B140C4">
          <w:rPr>
            <w:rStyle w:val="Hyperlink"/>
            <w:noProof/>
          </w:rPr>
          <w:t>5.</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Activity boundary</w:t>
        </w:r>
        <w:r>
          <w:rPr>
            <w:noProof/>
            <w:webHidden/>
          </w:rPr>
          <w:tab/>
        </w:r>
        <w:r>
          <w:rPr>
            <w:rStyle w:val="Hyperlink"/>
            <w:noProof/>
          </w:rPr>
          <w:tab/>
        </w:r>
        <w:r>
          <w:rPr>
            <w:noProof/>
            <w:webHidden/>
          </w:rPr>
          <w:fldChar w:fldCharType="begin"/>
        </w:r>
        <w:r>
          <w:rPr>
            <w:noProof/>
            <w:webHidden/>
          </w:rPr>
          <w:instrText xml:space="preserve"> PAGEREF _Toc236394028 \h </w:instrText>
        </w:r>
        <w:r>
          <w:rPr>
            <w:noProof/>
            <w:webHidden/>
          </w:rPr>
        </w:r>
        <w:r>
          <w:rPr>
            <w:noProof/>
            <w:webHidden/>
          </w:rPr>
          <w:fldChar w:fldCharType="separate"/>
        </w:r>
        <w:r w:rsidR="00D0578E">
          <w:rPr>
            <w:noProof/>
            <w:webHidden/>
          </w:rPr>
          <w:t>10</w:t>
        </w:r>
        <w:r>
          <w:rPr>
            <w:noProof/>
            <w:webHidden/>
          </w:rPr>
          <w:fldChar w:fldCharType="end"/>
        </w:r>
      </w:hyperlink>
    </w:p>
    <w:p w14:paraId="77E6649E" w14:textId="64AEA0B9"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29" w:history="1">
        <w:r w:rsidRPr="00B140C4">
          <w:rPr>
            <w:rStyle w:val="Hyperlink"/>
            <w:noProof/>
          </w:rPr>
          <w:t>6.</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Demonstration of additionality</w:t>
        </w:r>
        <w:r>
          <w:rPr>
            <w:noProof/>
            <w:webHidden/>
          </w:rPr>
          <w:tab/>
        </w:r>
        <w:r>
          <w:rPr>
            <w:rStyle w:val="Hyperlink"/>
            <w:noProof/>
          </w:rPr>
          <w:tab/>
        </w:r>
        <w:r>
          <w:rPr>
            <w:noProof/>
            <w:webHidden/>
          </w:rPr>
          <w:fldChar w:fldCharType="begin"/>
        </w:r>
        <w:r>
          <w:rPr>
            <w:noProof/>
            <w:webHidden/>
          </w:rPr>
          <w:instrText xml:space="preserve"> PAGEREF _Toc236394029 \h </w:instrText>
        </w:r>
        <w:r>
          <w:rPr>
            <w:noProof/>
            <w:webHidden/>
          </w:rPr>
        </w:r>
        <w:r>
          <w:rPr>
            <w:noProof/>
            <w:webHidden/>
          </w:rPr>
          <w:fldChar w:fldCharType="separate"/>
        </w:r>
        <w:r w:rsidR="00D0578E">
          <w:rPr>
            <w:noProof/>
            <w:webHidden/>
          </w:rPr>
          <w:t>12</w:t>
        </w:r>
        <w:r>
          <w:rPr>
            <w:noProof/>
            <w:webHidden/>
          </w:rPr>
          <w:fldChar w:fldCharType="end"/>
        </w:r>
      </w:hyperlink>
    </w:p>
    <w:p w14:paraId="5CAF0259" w14:textId="5B299EE1"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30" w:history="1">
        <w:r w:rsidRPr="00B140C4">
          <w:rPr>
            <w:rStyle w:val="Hyperlink"/>
            <w:noProof/>
          </w:rPr>
          <w:t>6.1.</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Regulatory analysis</w:t>
        </w:r>
        <w:r>
          <w:rPr>
            <w:noProof/>
            <w:webHidden/>
          </w:rPr>
          <w:tab/>
        </w:r>
        <w:r>
          <w:rPr>
            <w:rStyle w:val="Hyperlink"/>
            <w:noProof/>
          </w:rPr>
          <w:tab/>
        </w:r>
        <w:r>
          <w:rPr>
            <w:noProof/>
            <w:webHidden/>
          </w:rPr>
          <w:fldChar w:fldCharType="begin"/>
        </w:r>
        <w:r>
          <w:rPr>
            <w:noProof/>
            <w:webHidden/>
          </w:rPr>
          <w:instrText xml:space="preserve"> PAGEREF _Toc236394030 \h </w:instrText>
        </w:r>
        <w:r>
          <w:rPr>
            <w:noProof/>
            <w:webHidden/>
          </w:rPr>
        </w:r>
        <w:r>
          <w:rPr>
            <w:noProof/>
            <w:webHidden/>
          </w:rPr>
          <w:fldChar w:fldCharType="separate"/>
        </w:r>
        <w:r w:rsidR="00D0578E">
          <w:rPr>
            <w:noProof/>
            <w:webHidden/>
          </w:rPr>
          <w:t>12</w:t>
        </w:r>
        <w:r>
          <w:rPr>
            <w:noProof/>
            <w:webHidden/>
          </w:rPr>
          <w:fldChar w:fldCharType="end"/>
        </w:r>
      </w:hyperlink>
    </w:p>
    <w:p w14:paraId="40FA0166" w14:textId="159E86A7"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31" w:history="1">
        <w:r w:rsidRPr="00B140C4">
          <w:rPr>
            <w:rStyle w:val="Hyperlink"/>
            <w:noProof/>
          </w:rPr>
          <w:t>6.2.</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Assessment of lock-in risk</w:t>
        </w:r>
        <w:r>
          <w:rPr>
            <w:noProof/>
            <w:webHidden/>
          </w:rPr>
          <w:tab/>
        </w:r>
        <w:r>
          <w:rPr>
            <w:rStyle w:val="Hyperlink"/>
            <w:noProof/>
          </w:rPr>
          <w:tab/>
        </w:r>
        <w:r>
          <w:rPr>
            <w:noProof/>
            <w:webHidden/>
          </w:rPr>
          <w:fldChar w:fldCharType="begin"/>
        </w:r>
        <w:r>
          <w:rPr>
            <w:noProof/>
            <w:webHidden/>
          </w:rPr>
          <w:instrText xml:space="preserve"> PAGEREF _Toc236394031 \h </w:instrText>
        </w:r>
        <w:r>
          <w:rPr>
            <w:noProof/>
            <w:webHidden/>
          </w:rPr>
        </w:r>
        <w:r>
          <w:rPr>
            <w:noProof/>
            <w:webHidden/>
          </w:rPr>
          <w:fldChar w:fldCharType="separate"/>
        </w:r>
        <w:r w:rsidR="00D0578E">
          <w:rPr>
            <w:noProof/>
            <w:webHidden/>
          </w:rPr>
          <w:t>13</w:t>
        </w:r>
        <w:r>
          <w:rPr>
            <w:noProof/>
            <w:webHidden/>
          </w:rPr>
          <w:fldChar w:fldCharType="end"/>
        </w:r>
      </w:hyperlink>
    </w:p>
    <w:p w14:paraId="52148390" w14:textId="10F5A084"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32" w:history="1">
        <w:r w:rsidRPr="00B140C4">
          <w:rPr>
            <w:rStyle w:val="Hyperlink"/>
            <w:noProof/>
          </w:rPr>
          <w:t>6.3.</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Investment analysis</w:t>
        </w:r>
        <w:r>
          <w:rPr>
            <w:noProof/>
            <w:webHidden/>
          </w:rPr>
          <w:tab/>
        </w:r>
        <w:r>
          <w:rPr>
            <w:rStyle w:val="Hyperlink"/>
            <w:noProof/>
          </w:rPr>
          <w:tab/>
        </w:r>
        <w:r>
          <w:rPr>
            <w:noProof/>
            <w:webHidden/>
          </w:rPr>
          <w:fldChar w:fldCharType="begin"/>
        </w:r>
        <w:r>
          <w:rPr>
            <w:noProof/>
            <w:webHidden/>
          </w:rPr>
          <w:instrText xml:space="preserve"> PAGEREF _Toc236394032 \h </w:instrText>
        </w:r>
        <w:r>
          <w:rPr>
            <w:noProof/>
            <w:webHidden/>
          </w:rPr>
        </w:r>
        <w:r>
          <w:rPr>
            <w:noProof/>
            <w:webHidden/>
          </w:rPr>
          <w:fldChar w:fldCharType="separate"/>
        </w:r>
        <w:r w:rsidR="00D0578E">
          <w:rPr>
            <w:noProof/>
            <w:webHidden/>
          </w:rPr>
          <w:t>14</w:t>
        </w:r>
        <w:r>
          <w:rPr>
            <w:noProof/>
            <w:webHidden/>
          </w:rPr>
          <w:fldChar w:fldCharType="end"/>
        </w:r>
      </w:hyperlink>
    </w:p>
    <w:p w14:paraId="78081F86" w14:textId="538AB593"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33" w:history="1">
        <w:r w:rsidRPr="00B140C4">
          <w:rPr>
            <w:rStyle w:val="Hyperlink"/>
            <w:noProof/>
          </w:rPr>
          <w:t>6.4.</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Common practice analysis</w:t>
        </w:r>
        <w:r>
          <w:rPr>
            <w:noProof/>
            <w:webHidden/>
          </w:rPr>
          <w:tab/>
        </w:r>
        <w:r>
          <w:rPr>
            <w:rStyle w:val="Hyperlink"/>
            <w:noProof/>
          </w:rPr>
          <w:tab/>
        </w:r>
        <w:r>
          <w:rPr>
            <w:noProof/>
            <w:webHidden/>
          </w:rPr>
          <w:fldChar w:fldCharType="begin"/>
        </w:r>
        <w:r>
          <w:rPr>
            <w:noProof/>
            <w:webHidden/>
          </w:rPr>
          <w:instrText xml:space="preserve"> PAGEREF _Toc236394033 \h </w:instrText>
        </w:r>
        <w:r>
          <w:rPr>
            <w:noProof/>
            <w:webHidden/>
          </w:rPr>
        </w:r>
        <w:r>
          <w:rPr>
            <w:noProof/>
            <w:webHidden/>
          </w:rPr>
          <w:fldChar w:fldCharType="separate"/>
        </w:r>
        <w:r w:rsidR="00D0578E">
          <w:rPr>
            <w:noProof/>
            <w:webHidden/>
          </w:rPr>
          <w:t>15</w:t>
        </w:r>
        <w:r>
          <w:rPr>
            <w:noProof/>
            <w:webHidden/>
          </w:rPr>
          <w:fldChar w:fldCharType="end"/>
        </w:r>
      </w:hyperlink>
    </w:p>
    <w:p w14:paraId="6AAE4D51" w14:textId="31D5D1FC"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34" w:history="1">
        <w:r w:rsidRPr="00B140C4">
          <w:rPr>
            <w:rStyle w:val="Hyperlink"/>
            <w:noProof/>
          </w:rPr>
          <w:t>7.</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Baseline scenario</w:t>
        </w:r>
        <w:r>
          <w:rPr>
            <w:noProof/>
            <w:webHidden/>
          </w:rPr>
          <w:tab/>
        </w:r>
        <w:r>
          <w:rPr>
            <w:rStyle w:val="Hyperlink"/>
            <w:noProof/>
          </w:rPr>
          <w:tab/>
        </w:r>
        <w:r>
          <w:rPr>
            <w:noProof/>
            <w:webHidden/>
          </w:rPr>
          <w:fldChar w:fldCharType="begin"/>
        </w:r>
        <w:r>
          <w:rPr>
            <w:noProof/>
            <w:webHidden/>
          </w:rPr>
          <w:instrText xml:space="preserve"> PAGEREF _Toc236394034 \h </w:instrText>
        </w:r>
        <w:r>
          <w:rPr>
            <w:noProof/>
            <w:webHidden/>
          </w:rPr>
        </w:r>
        <w:r>
          <w:rPr>
            <w:noProof/>
            <w:webHidden/>
          </w:rPr>
          <w:fldChar w:fldCharType="separate"/>
        </w:r>
        <w:r w:rsidR="00D0578E">
          <w:rPr>
            <w:noProof/>
            <w:webHidden/>
          </w:rPr>
          <w:t>17</w:t>
        </w:r>
        <w:r>
          <w:rPr>
            <w:noProof/>
            <w:webHidden/>
          </w:rPr>
          <w:fldChar w:fldCharType="end"/>
        </w:r>
      </w:hyperlink>
    </w:p>
    <w:p w14:paraId="3BD8FD29" w14:textId="6A768F95"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35" w:history="1">
        <w:r w:rsidRPr="00B140C4">
          <w:rPr>
            <w:rStyle w:val="Hyperlink"/>
            <w:noProof/>
          </w:rPr>
          <w:t>7.1.</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Selection of the baseline approaches from paragraph 36 of the rules, modalities and procedures</w:t>
        </w:r>
        <w:r>
          <w:rPr>
            <w:noProof/>
            <w:webHidden/>
          </w:rPr>
          <w:tab/>
        </w:r>
        <w:r>
          <w:rPr>
            <w:rStyle w:val="Hyperlink"/>
            <w:noProof/>
          </w:rPr>
          <w:tab/>
        </w:r>
        <w:r>
          <w:rPr>
            <w:noProof/>
            <w:webHidden/>
          </w:rPr>
          <w:fldChar w:fldCharType="begin"/>
        </w:r>
        <w:r>
          <w:rPr>
            <w:noProof/>
            <w:webHidden/>
          </w:rPr>
          <w:instrText xml:space="preserve"> PAGEREF _Toc236394035 \h </w:instrText>
        </w:r>
        <w:r>
          <w:rPr>
            <w:noProof/>
            <w:webHidden/>
          </w:rPr>
        </w:r>
        <w:r>
          <w:rPr>
            <w:noProof/>
            <w:webHidden/>
          </w:rPr>
          <w:fldChar w:fldCharType="separate"/>
        </w:r>
        <w:r w:rsidR="00D0578E">
          <w:rPr>
            <w:noProof/>
            <w:webHidden/>
          </w:rPr>
          <w:t>17</w:t>
        </w:r>
        <w:r>
          <w:rPr>
            <w:noProof/>
            <w:webHidden/>
          </w:rPr>
          <w:fldChar w:fldCharType="end"/>
        </w:r>
      </w:hyperlink>
    </w:p>
    <w:p w14:paraId="0E74D47B" w14:textId="04A8DE36"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36" w:history="1">
        <w:r w:rsidRPr="00B140C4">
          <w:rPr>
            <w:rStyle w:val="Hyperlink"/>
            <w:noProof/>
          </w:rPr>
          <w:t>7.2.</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Application of the selected approach, prior to implementation of a downward adjustment</w:t>
        </w:r>
        <w:r>
          <w:rPr>
            <w:noProof/>
            <w:webHidden/>
          </w:rPr>
          <w:tab/>
        </w:r>
        <w:r>
          <w:rPr>
            <w:rStyle w:val="Hyperlink"/>
            <w:noProof/>
          </w:rPr>
          <w:tab/>
        </w:r>
        <w:r>
          <w:rPr>
            <w:noProof/>
            <w:webHidden/>
          </w:rPr>
          <w:fldChar w:fldCharType="begin"/>
        </w:r>
        <w:r>
          <w:rPr>
            <w:noProof/>
            <w:webHidden/>
          </w:rPr>
          <w:instrText xml:space="preserve"> PAGEREF _Toc236394036 \h </w:instrText>
        </w:r>
        <w:r>
          <w:rPr>
            <w:noProof/>
            <w:webHidden/>
          </w:rPr>
        </w:r>
        <w:r>
          <w:rPr>
            <w:noProof/>
            <w:webHidden/>
          </w:rPr>
          <w:fldChar w:fldCharType="separate"/>
        </w:r>
        <w:r w:rsidR="00D0578E">
          <w:rPr>
            <w:noProof/>
            <w:webHidden/>
          </w:rPr>
          <w:t>17</w:t>
        </w:r>
        <w:r>
          <w:rPr>
            <w:noProof/>
            <w:webHidden/>
          </w:rPr>
          <w:fldChar w:fldCharType="end"/>
        </w:r>
      </w:hyperlink>
    </w:p>
    <w:p w14:paraId="33082A35" w14:textId="7D67C0F5" w:rsidR="005B6C95" w:rsidRDefault="005B6C95" w:rsidP="005B6C95">
      <w:pPr>
        <w:pStyle w:val="TOC3"/>
        <w:rPr>
          <w:rFonts w:asciiTheme="minorHAnsi" w:eastAsiaTheme="minorEastAsia" w:hAnsiTheme="minorHAnsi" w:cstheme="minorBidi"/>
          <w:noProof/>
          <w:kern w:val="2"/>
          <w:sz w:val="24"/>
          <w:szCs w:val="24"/>
          <w:lang w:val="en-US" w:eastAsia="zh-CN"/>
          <w14:ligatures w14:val="standardContextual"/>
        </w:rPr>
      </w:pPr>
      <w:hyperlink w:anchor="_Toc236394037" w:history="1">
        <w:r w:rsidRPr="00B140C4">
          <w:rPr>
            <w:rStyle w:val="Hyperlink"/>
            <w:noProof/>
          </w:rPr>
          <w:t>7.2.1.</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Procedure for the identification of the baseline scenario</w:t>
        </w:r>
        <w:r>
          <w:rPr>
            <w:noProof/>
            <w:webHidden/>
          </w:rPr>
          <w:tab/>
        </w:r>
        <w:r>
          <w:rPr>
            <w:rStyle w:val="Hyperlink"/>
            <w:noProof/>
          </w:rPr>
          <w:tab/>
        </w:r>
        <w:r>
          <w:rPr>
            <w:noProof/>
            <w:webHidden/>
          </w:rPr>
          <w:fldChar w:fldCharType="begin"/>
        </w:r>
        <w:r>
          <w:rPr>
            <w:noProof/>
            <w:webHidden/>
          </w:rPr>
          <w:instrText xml:space="preserve"> PAGEREF _Toc236394037 \h </w:instrText>
        </w:r>
        <w:r>
          <w:rPr>
            <w:noProof/>
            <w:webHidden/>
          </w:rPr>
        </w:r>
        <w:r>
          <w:rPr>
            <w:noProof/>
            <w:webHidden/>
          </w:rPr>
          <w:fldChar w:fldCharType="separate"/>
        </w:r>
        <w:r w:rsidR="00D0578E">
          <w:rPr>
            <w:noProof/>
            <w:webHidden/>
          </w:rPr>
          <w:t>17</w:t>
        </w:r>
        <w:r>
          <w:rPr>
            <w:noProof/>
            <w:webHidden/>
          </w:rPr>
          <w:fldChar w:fldCharType="end"/>
        </w:r>
      </w:hyperlink>
    </w:p>
    <w:p w14:paraId="5B47FD95" w14:textId="2C280224" w:rsidR="005B6C95" w:rsidRDefault="005B6C95" w:rsidP="005B6C95">
      <w:pPr>
        <w:pStyle w:val="TOC3"/>
        <w:rPr>
          <w:rFonts w:asciiTheme="minorHAnsi" w:eastAsiaTheme="minorEastAsia" w:hAnsiTheme="minorHAnsi" w:cstheme="minorBidi"/>
          <w:noProof/>
          <w:kern w:val="2"/>
          <w:sz w:val="24"/>
          <w:szCs w:val="24"/>
          <w:lang w:val="en-US" w:eastAsia="zh-CN"/>
          <w14:ligatures w14:val="standardContextual"/>
        </w:rPr>
      </w:pPr>
      <w:hyperlink w:anchor="_Toc236394038" w:history="1">
        <w:r w:rsidRPr="00B140C4">
          <w:rPr>
            <w:rStyle w:val="Hyperlink"/>
            <w:noProof/>
          </w:rPr>
          <w:t>7.2.2.</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Calculation of the unadjusted baseline emissions from electricity generation from the Article 6.4 activity</w:t>
        </w:r>
        <w:r>
          <w:rPr>
            <w:noProof/>
            <w:webHidden/>
          </w:rPr>
          <w:tab/>
        </w:r>
        <w:r>
          <w:rPr>
            <w:rStyle w:val="Hyperlink"/>
            <w:noProof/>
          </w:rPr>
          <w:tab/>
        </w:r>
        <w:r>
          <w:rPr>
            <w:noProof/>
            <w:webHidden/>
          </w:rPr>
          <w:fldChar w:fldCharType="begin"/>
        </w:r>
        <w:r>
          <w:rPr>
            <w:noProof/>
            <w:webHidden/>
          </w:rPr>
          <w:instrText xml:space="preserve"> PAGEREF _Toc236394038 \h </w:instrText>
        </w:r>
        <w:r>
          <w:rPr>
            <w:noProof/>
            <w:webHidden/>
          </w:rPr>
        </w:r>
        <w:r>
          <w:rPr>
            <w:noProof/>
            <w:webHidden/>
          </w:rPr>
          <w:fldChar w:fldCharType="separate"/>
        </w:r>
        <w:r w:rsidR="00D0578E">
          <w:rPr>
            <w:noProof/>
            <w:webHidden/>
          </w:rPr>
          <w:t>17</w:t>
        </w:r>
        <w:r>
          <w:rPr>
            <w:noProof/>
            <w:webHidden/>
          </w:rPr>
          <w:fldChar w:fldCharType="end"/>
        </w:r>
      </w:hyperlink>
    </w:p>
    <w:p w14:paraId="73D81E29" w14:textId="56A65B09"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39" w:history="1">
        <w:r w:rsidRPr="00B140C4">
          <w:rPr>
            <w:rStyle w:val="Hyperlink"/>
            <w:noProof/>
          </w:rPr>
          <w:t>7.3.</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Application of the downward adjustment</w:t>
        </w:r>
        <w:r>
          <w:rPr>
            <w:noProof/>
            <w:webHidden/>
          </w:rPr>
          <w:tab/>
        </w:r>
        <w:r>
          <w:rPr>
            <w:rStyle w:val="Hyperlink"/>
            <w:noProof/>
          </w:rPr>
          <w:tab/>
        </w:r>
        <w:r>
          <w:rPr>
            <w:noProof/>
            <w:webHidden/>
          </w:rPr>
          <w:fldChar w:fldCharType="begin"/>
        </w:r>
        <w:r>
          <w:rPr>
            <w:noProof/>
            <w:webHidden/>
          </w:rPr>
          <w:instrText xml:space="preserve"> PAGEREF _Toc236394039 \h </w:instrText>
        </w:r>
        <w:r>
          <w:rPr>
            <w:noProof/>
            <w:webHidden/>
          </w:rPr>
        </w:r>
        <w:r>
          <w:rPr>
            <w:noProof/>
            <w:webHidden/>
          </w:rPr>
          <w:fldChar w:fldCharType="separate"/>
        </w:r>
        <w:r w:rsidR="00D0578E">
          <w:rPr>
            <w:noProof/>
            <w:webHidden/>
          </w:rPr>
          <w:t>19</w:t>
        </w:r>
        <w:r>
          <w:rPr>
            <w:noProof/>
            <w:webHidden/>
          </w:rPr>
          <w:fldChar w:fldCharType="end"/>
        </w:r>
      </w:hyperlink>
    </w:p>
    <w:p w14:paraId="4509ED5A" w14:textId="4CEDB76F" w:rsidR="005B6C95" w:rsidRDefault="005B6C95" w:rsidP="005B6C95">
      <w:pPr>
        <w:pStyle w:val="TOC3"/>
        <w:rPr>
          <w:rFonts w:asciiTheme="minorHAnsi" w:eastAsiaTheme="minorEastAsia" w:hAnsiTheme="minorHAnsi" w:cstheme="minorBidi"/>
          <w:noProof/>
          <w:kern w:val="2"/>
          <w:sz w:val="24"/>
          <w:szCs w:val="24"/>
          <w:lang w:val="en-US" w:eastAsia="zh-CN"/>
          <w14:ligatures w14:val="standardContextual"/>
        </w:rPr>
      </w:pPr>
      <w:hyperlink w:anchor="_Toc236394040" w:history="1">
        <w:r w:rsidRPr="00B140C4">
          <w:rPr>
            <w:rStyle w:val="Hyperlink"/>
            <w:noProof/>
          </w:rPr>
          <w:t>7.3.1.</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Step 1. Determination of the initial downward adjustment (</w:t>
        </w:r>
        <w:r w:rsidRPr="00B140C4">
          <w:rPr>
            <w:rStyle w:val="Hyperlink"/>
            <w:i/>
            <w:iCs/>
            <w:noProof/>
          </w:rPr>
          <w:t>DA</w:t>
        </w:r>
        <w:r w:rsidRPr="00B140C4">
          <w:rPr>
            <w:rStyle w:val="Hyperlink"/>
            <w:i/>
            <w:iCs/>
            <w:noProof/>
            <w:vertAlign w:val="subscript"/>
          </w:rPr>
          <w:t>initial</w:t>
        </w:r>
        <w:r w:rsidRPr="00B140C4">
          <w:rPr>
            <w:rStyle w:val="Hyperlink"/>
            <w:noProof/>
          </w:rPr>
          <w:t>)</w:t>
        </w:r>
        <w:r>
          <w:rPr>
            <w:noProof/>
            <w:webHidden/>
          </w:rPr>
          <w:tab/>
        </w:r>
        <w:r>
          <w:rPr>
            <w:rStyle w:val="Hyperlink"/>
            <w:noProof/>
          </w:rPr>
          <w:tab/>
        </w:r>
        <w:r>
          <w:rPr>
            <w:noProof/>
            <w:webHidden/>
          </w:rPr>
          <w:fldChar w:fldCharType="begin"/>
        </w:r>
        <w:r>
          <w:rPr>
            <w:noProof/>
            <w:webHidden/>
          </w:rPr>
          <w:instrText xml:space="preserve"> PAGEREF _Toc236394040 \h </w:instrText>
        </w:r>
        <w:r>
          <w:rPr>
            <w:noProof/>
            <w:webHidden/>
          </w:rPr>
        </w:r>
        <w:r>
          <w:rPr>
            <w:noProof/>
            <w:webHidden/>
          </w:rPr>
          <w:fldChar w:fldCharType="separate"/>
        </w:r>
        <w:r w:rsidR="00D0578E">
          <w:rPr>
            <w:noProof/>
            <w:webHidden/>
          </w:rPr>
          <w:t>20</w:t>
        </w:r>
        <w:r>
          <w:rPr>
            <w:noProof/>
            <w:webHidden/>
          </w:rPr>
          <w:fldChar w:fldCharType="end"/>
        </w:r>
      </w:hyperlink>
    </w:p>
    <w:p w14:paraId="28E3633F" w14:textId="456C725E" w:rsidR="005B6C95" w:rsidRDefault="005B6C95" w:rsidP="005B6C95">
      <w:pPr>
        <w:pStyle w:val="TOC3"/>
        <w:rPr>
          <w:rFonts w:asciiTheme="minorHAnsi" w:eastAsiaTheme="minorEastAsia" w:hAnsiTheme="minorHAnsi" w:cstheme="minorBidi"/>
          <w:noProof/>
          <w:kern w:val="2"/>
          <w:sz w:val="24"/>
          <w:szCs w:val="24"/>
          <w:lang w:val="en-US" w:eastAsia="zh-CN"/>
          <w14:ligatures w14:val="standardContextual"/>
        </w:rPr>
      </w:pPr>
      <w:hyperlink w:anchor="_Toc236394041" w:history="1">
        <w:r w:rsidRPr="00B140C4">
          <w:rPr>
            <w:rStyle w:val="Hyperlink"/>
            <w:noProof/>
          </w:rPr>
          <w:t>7.3.2.</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Step 2. Determination of the annual increase in the downward adjustment (</w:t>
        </w:r>
        <w:r w:rsidRPr="00B140C4">
          <w:rPr>
            <w:rStyle w:val="Hyperlink"/>
            <w:i/>
            <w:iCs/>
            <w:noProof/>
          </w:rPr>
          <w:t>INDA</w:t>
        </w:r>
        <w:r w:rsidRPr="00B140C4">
          <w:rPr>
            <w:rStyle w:val="Hyperlink"/>
            <w:noProof/>
          </w:rPr>
          <w:t>)</w:t>
        </w:r>
        <w:r>
          <w:rPr>
            <w:noProof/>
            <w:webHidden/>
          </w:rPr>
          <w:tab/>
        </w:r>
        <w:r>
          <w:rPr>
            <w:rStyle w:val="Hyperlink"/>
            <w:noProof/>
          </w:rPr>
          <w:tab/>
        </w:r>
        <w:r>
          <w:rPr>
            <w:noProof/>
            <w:webHidden/>
          </w:rPr>
          <w:fldChar w:fldCharType="begin"/>
        </w:r>
        <w:r>
          <w:rPr>
            <w:noProof/>
            <w:webHidden/>
          </w:rPr>
          <w:instrText xml:space="preserve"> PAGEREF _Toc236394041 \h </w:instrText>
        </w:r>
        <w:r>
          <w:rPr>
            <w:noProof/>
            <w:webHidden/>
          </w:rPr>
        </w:r>
        <w:r>
          <w:rPr>
            <w:noProof/>
            <w:webHidden/>
          </w:rPr>
          <w:fldChar w:fldCharType="separate"/>
        </w:r>
        <w:r w:rsidR="00D0578E">
          <w:rPr>
            <w:noProof/>
            <w:webHidden/>
          </w:rPr>
          <w:t>21</w:t>
        </w:r>
        <w:r>
          <w:rPr>
            <w:noProof/>
            <w:webHidden/>
          </w:rPr>
          <w:fldChar w:fldCharType="end"/>
        </w:r>
      </w:hyperlink>
    </w:p>
    <w:p w14:paraId="366341A7" w14:textId="15E45824" w:rsidR="005B6C95" w:rsidRDefault="005B6C95" w:rsidP="005B6C95">
      <w:pPr>
        <w:pStyle w:val="TOC3"/>
        <w:rPr>
          <w:rFonts w:asciiTheme="minorHAnsi" w:eastAsiaTheme="minorEastAsia" w:hAnsiTheme="minorHAnsi" w:cstheme="minorBidi"/>
          <w:noProof/>
          <w:kern w:val="2"/>
          <w:sz w:val="24"/>
          <w:szCs w:val="24"/>
          <w:lang w:val="en-US" w:eastAsia="zh-CN"/>
          <w14:ligatures w14:val="standardContextual"/>
        </w:rPr>
      </w:pPr>
      <w:hyperlink w:anchor="_Toc236394042" w:history="1">
        <w:r w:rsidRPr="00B140C4">
          <w:rPr>
            <w:rStyle w:val="Hyperlink"/>
            <w:noProof/>
          </w:rPr>
          <w:t>7.3.3.</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rFonts w:eastAsia="Arial"/>
            <w:noProof/>
          </w:rPr>
          <w:t>Step 3. Determination of the downward adjusted baseline emissions (</w:t>
        </w:r>
        <w:r w:rsidRPr="00B140C4">
          <w:rPr>
            <w:rStyle w:val="Hyperlink"/>
            <w:rFonts w:eastAsia="Arial"/>
            <w:i/>
            <w:iCs/>
            <w:noProof/>
          </w:rPr>
          <w:t>BE</w:t>
        </w:r>
        <w:r w:rsidRPr="00B140C4">
          <w:rPr>
            <w:rStyle w:val="Hyperlink"/>
            <w:rFonts w:eastAsia="Arial"/>
            <w:i/>
            <w:iCs/>
            <w:noProof/>
            <w:vertAlign w:val="subscript"/>
          </w:rPr>
          <w:t>adj,EG,y</w:t>
        </w:r>
        <w:r w:rsidRPr="00B140C4">
          <w:rPr>
            <w:rStyle w:val="Hyperlink"/>
            <w:rFonts w:eastAsia="Arial"/>
            <w:noProof/>
          </w:rPr>
          <w:t>)</w:t>
        </w:r>
        <w:r>
          <w:rPr>
            <w:noProof/>
            <w:webHidden/>
          </w:rPr>
          <w:tab/>
        </w:r>
        <w:r>
          <w:rPr>
            <w:rStyle w:val="Hyperlink"/>
            <w:rFonts w:eastAsia="Arial"/>
            <w:noProof/>
          </w:rPr>
          <w:tab/>
        </w:r>
        <w:r>
          <w:rPr>
            <w:noProof/>
            <w:webHidden/>
          </w:rPr>
          <w:fldChar w:fldCharType="begin"/>
        </w:r>
        <w:r>
          <w:rPr>
            <w:noProof/>
            <w:webHidden/>
          </w:rPr>
          <w:instrText xml:space="preserve"> PAGEREF _Toc236394042 \h </w:instrText>
        </w:r>
        <w:r>
          <w:rPr>
            <w:noProof/>
            <w:webHidden/>
          </w:rPr>
        </w:r>
        <w:r>
          <w:rPr>
            <w:noProof/>
            <w:webHidden/>
          </w:rPr>
          <w:fldChar w:fldCharType="separate"/>
        </w:r>
        <w:r w:rsidR="00D0578E">
          <w:rPr>
            <w:noProof/>
            <w:webHidden/>
          </w:rPr>
          <w:t>21</w:t>
        </w:r>
        <w:r>
          <w:rPr>
            <w:noProof/>
            <w:webHidden/>
          </w:rPr>
          <w:fldChar w:fldCharType="end"/>
        </w:r>
      </w:hyperlink>
    </w:p>
    <w:p w14:paraId="18DA6E60" w14:textId="1179BBBD"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43" w:history="1">
        <w:r w:rsidRPr="00B140C4">
          <w:rPr>
            <w:rStyle w:val="Hyperlink"/>
            <w:noProof/>
          </w:rPr>
          <w:t>7.4.</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Determination of a conservative ‘business-as-usual’ (BAU) baseline and comparison of the downward adjusted baseline and the conservative business-as-usual baseline</w:t>
        </w:r>
        <w:r>
          <w:rPr>
            <w:noProof/>
            <w:webHidden/>
          </w:rPr>
          <w:tab/>
        </w:r>
        <w:r>
          <w:rPr>
            <w:rStyle w:val="Hyperlink"/>
            <w:noProof/>
          </w:rPr>
          <w:tab/>
        </w:r>
        <w:r>
          <w:rPr>
            <w:noProof/>
            <w:webHidden/>
          </w:rPr>
          <w:fldChar w:fldCharType="begin"/>
        </w:r>
        <w:r>
          <w:rPr>
            <w:noProof/>
            <w:webHidden/>
          </w:rPr>
          <w:instrText xml:space="preserve"> PAGEREF _Toc236394043 \h </w:instrText>
        </w:r>
        <w:r>
          <w:rPr>
            <w:noProof/>
            <w:webHidden/>
          </w:rPr>
        </w:r>
        <w:r>
          <w:rPr>
            <w:noProof/>
            <w:webHidden/>
          </w:rPr>
          <w:fldChar w:fldCharType="separate"/>
        </w:r>
        <w:r w:rsidR="00D0578E">
          <w:rPr>
            <w:noProof/>
            <w:webHidden/>
          </w:rPr>
          <w:t>22</w:t>
        </w:r>
        <w:r>
          <w:rPr>
            <w:noProof/>
            <w:webHidden/>
          </w:rPr>
          <w:fldChar w:fldCharType="end"/>
        </w:r>
      </w:hyperlink>
    </w:p>
    <w:p w14:paraId="0EC91007" w14:textId="2D88857D"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44" w:history="1">
        <w:r w:rsidRPr="00B140C4">
          <w:rPr>
            <w:rStyle w:val="Hyperlink"/>
            <w:noProof/>
          </w:rPr>
          <w:t>8.</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Activity scenario</w:t>
        </w:r>
        <w:r>
          <w:rPr>
            <w:noProof/>
            <w:webHidden/>
          </w:rPr>
          <w:tab/>
        </w:r>
        <w:r>
          <w:rPr>
            <w:rStyle w:val="Hyperlink"/>
            <w:noProof/>
          </w:rPr>
          <w:tab/>
        </w:r>
        <w:r>
          <w:rPr>
            <w:noProof/>
            <w:webHidden/>
          </w:rPr>
          <w:fldChar w:fldCharType="begin"/>
        </w:r>
        <w:r>
          <w:rPr>
            <w:noProof/>
            <w:webHidden/>
          </w:rPr>
          <w:instrText xml:space="preserve"> PAGEREF _Toc236394044 \h </w:instrText>
        </w:r>
        <w:r>
          <w:rPr>
            <w:noProof/>
            <w:webHidden/>
          </w:rPr>
        </w:r>
        <w:r>
          <w:rPr>
            <w:noProof/>
            <w:webHidden/>
          </w:rPr>
          <w:fldChar w:fldCharType="separate"/>
        </w:r>
        <w:r w:rsidR="00D0578E">
          <w:rPr>
            <w:noProof/>
            <w:webHidden/>
          </w:rPr>
          <w:t>23</w:t>
        </w:r>
        <w:r>
          <w:rPr>
            <w:noProof/>
            <w:webHidden/>
          </w:rPr>
          <w:fldChar w:fldCharType="end"/>
        </w:r>
      </w:hyperlink>
    </w:p>
    <w:p w14:paraId="52788408" w14:textId="6BAA2FF0"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45" w:history="1">
        <w:r w:rsidRPr="00B140C4">
          <w:rPr>
            <w:rStyle w:val="Hyperlink"/>
            <w:noProof/>
          </w:rPr>
          <w:t>8.1.</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lang w:val="en-US"/>
          </w:rPr>
          <w:t>Activity emissions from fossil fuel consumption (</w:t>
        </w:r>
        <w:r w:rsidRPr="00B140C4">
          <w:rPr>
            <w:rStyle w:val="Hyperlink"/>
            <w:i/>
            <w:iCs/>
            <w:noProof/>
            <w:lang w:val="en-US"/>
          </w:rPr>
          <w:t>AE</w:t>
        </w:r>
        <w:r w:rsidRPr="00B140C4">
          <w:rPr>
            <w:rStyle w:val="Hyperlink"/>
            <w:i/>
            <w:iCs/>
            <w:noProof/>
            <w:vertAlign w:val="subscript"/>
            <w:lang w:val="en-US"/>
          </w:rPr>
          <w:t>FC,y</w:t>
        </w:r>
        <w:r w:rsidRPr="00B140C4">
          <w:rPr>
            <w:rStyle w:val="Hyperlink"/>
            <w:noProof/>
            <w:lang w:val="en-US"/>
          </w:rPr>
          <w:t>)</w:t>
        </w:r>
        <w:r>
          <w:rPr>
            <w:noProof/>
            <w:webHidden/>
          </w:rPr>
          <w:tab/>
        </w:r>
        <w:r>
          <w:rPr>
            <w:rStyle w:val="Hyperlink"/>
            <w:noProof/>
            <w:lang w:val="en-US"/>
          </w:rPr>
          <w:tab/>
        </w:r>
        <w:r>
          <w:rPr>
            <w:noProof/>
            <w:webHidden/>
          </w:rPr>
          <w:fldChar w:fldCharType="begin"/>
        </w:r>
        <w:r>
          <w:rPr>
            <w:noProof/>
            <w:webHidden/>
          </w:rPr>
          <w:instrText xml:space="preserve"> PAGEREF _Toc236394045 \h </w:instrText>
        </w:r>
        <w:r>
          <w:rPr>
            <w:noProof/>
            <w:webHidden/>
          </w:rPr>
        </w:r>
        <w:r>
          <w:rPr>
            <w:noProof/>
            <w:webHidden/>
          </w:rPr>
          <w:fldChar w:fldCharType="separate"/>
        </w:r>
        <w:r w:rsidR="00D0578E">
          <w:rPr>
            <w:noProof/>
            <w:webHidden/>
          </w:rPr>
          <w:t>23</w:t>
        </w:r>
        <w:r>
          <w:rPr>
            <w:noProof/>
            <w:webHidden/>
          </w:rPr>
          <w:fldChar w:fldCharType="end"/>
        </w:r>
      </w:hyperlink>
    </w:p>
    <w:p w14:paraId="746DF62D" w14:textId="7A35A5DF"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46" w:history="1">
        <w:r w:rsidRPr="00B140C4">
          <w:rPr>
            <w:rStyle w:val="Hyperlink"/>
            <w:noProof/>
          </w:rPr>
          <w:t>8.2.</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Activity emissions from electricity consumption (</w:t>
        </w:r>
        <w:r w:rsidRPr="00B140C4">
          <w:rPr>
            <w:rStyle w:val="Hyperlink"/>
            <w:i/>
            <w:iCs/>
            <w:noProof/>
          </w:rPr>
          <w:t>AE</w:t>
        </w:r>
        <w:r w:rsidRPr="00B140C4">
          <w:rPr>
            <w:rStyle w:val="Hyperlink"/>
            <w:i/>
            <w:iCs/>
            <w:noProof/>
            <w:vertAlign w:val="subscript"/>
          </w:rPr>
          <w:t>EC,y</w:t>
        </w:r>
        <w:r w:rsidRPr="00B140C4">
          <w:rPr>
            <w:rStyle w:val="Hyperlink"/>
            <w:noProof/>
          </w:rPr>
          <w:t>)</w:t>
        </w:r>
        <w:r>
          <w:rPr>
            <w:noProof/>
            <w:webHidden/>
          </w:rPr>
          <w:tab/>
        </w:r>
        <w:r>
          <w:rPr>
            <w:rStyle w:val="Hyperlink"/>
            <w:noProof/>
          </w:rPr>
          <w:tab/>
        </w:r>
        <w:r>
          <w:rPr>
            <w:noProof/>
            <w:webHidden/>
          </w:rPr>
          <w:fldChar w:fldCharType="begin"/>
        </w:r>
        <w:r>
          <w:rPr>
            <w:noProof/>
            <w:webHidden/>
          </w:rPr>
          <w:instrText xml:space="preserve"> PAGEREF _Toc236394046 \h </w:instrText>
        </w:r>
        <w:r>
          <w:rPr>
            <w:noProof/>
            <w:webHidden/>
          </w:rPr>
        </w:r>
        <w:r>
          <w:rPr>
            <w:noProof/>
            <w:webHidden/>
          </w:rPr>
          <w:fldChar w:fldCharType="separate"/>
        </w:r>
        <w:r w:rsidR="00D0578E">
          <w:rPr>
            <w:noProof/>
            <w:webHidden/>
          </w:rPr>
          <w:t>25</w:t>
        </w:r>
        <w:r>
          <w:rPr>
            <w:noProof/>
            <w:webHidden/>
          </w:rPr>
          <w:fldChar w:fldCharType="end"/>
        </w:r>
      </w:hyperlink>
    </w:p>
    <w:p w14:paraId="398A234B" w14:textId="07F4850B" w:rsidR="005B6C95" w:rsidRDefault="005B6C95" w:rsidP="005B6C95">
      <w:pPr>
        <w:pStyle w:val="TOC2"/>
        <w:rPr>
          <w:rFonts w:asciiTheme="minorHAnsi" w:eastAsiaTheme="minorEastAsia" w:hAnsiTheme="minorHAnsi" w:cstheme="minorBidi"/>
          <w:noProof/>
          <w:kern w:val="2"/>
          <w:sz w:val="24"/>
          <w:szCs w:val="24"/>
          <w:lang w:val="en-US" w:eastAsia="zh-CN"/>
          <w14:ligatures w14:val="standardContextual"/>
        </w:rPr>
      </w:pPr>
      <w:hyperlink w:anchor="_Toc236394047" w:history="1">
        <w:r w:rsidRPr="00B140C4">
          <w:rPr>
            <w:rStyle w:val="Hyperlink"/>
            <w:noProof/>
          </w:rPr>
          <w:t>8.3.</w:t>
        </w:r>
        <w:r>
          <w:rPr>
            <w:rFonts w:asciiTheme="minorHAnsi" w:eastAsiaTheme="minorEastAsia" w:hAnsiTheme="minorHAnsi" w:cstheme="minorBidi"/>
            <w:noProof/>
            <w:kern w:val="2"/>
            <w:sz w:val="24"/>
            <w:szCs w:val="24"/>
            <w:lang w:val="en-US" w:eastAsia="zh-CN"/>
            <w14:ligatures w14:val="standardContextual"/>
          </w:rPr>
          <w:tab/>
        </w:r>
        <w:r w:rsidRPr="00B140C4">
          <w:rPr>
            <w:rStyle w:val="Hyperlink"/>
            <w:noProof/>
          </w:rPr>
          <w:t>Activity emissions from the operation of geothermal power plants (</w:t>
        </w:r>
        <w:r w:rsidRPr="00B140C4">
          <w:rPr>
            <w:rStyle w:val="Hyperlink"/>
            <w:i/>
            <w:iCs/>
            <w:noProof/>
          </w:rPr>
          <w:t>AE</w:t>
        </w:r>
        <w:r w:rsidRPr="00B140C4">
          <w:rPr>
            <w:rStyle w:val="Hyperlink"/>
            <w:i/>
            <w:iCs/>
            <w:noProof/>
            <w:vertAlign w:val="subscript"/>
          </w:rPr>
          <w:t>GP,y</w:t>
        </w:r>
        <w:r w:rsidRPr="00B140C4">
          <w:rPr>
            <w:rStyle w:val="Hyperlink"/>
            <w:noProof/>
          </w:rPr>
          <w:t>)</w:t>
        </w:r>
        <w:r>
          <w:rPr>
            <w:noProof/>
            <w:webHidden/>
          </w:rPr>
          <w:tab/>
        </w:r>
        <w:r>
          <w:rPr>
            <w:rStyle w:val="Hyperlink"/>
            <w:noProof/>
          </w:rPr>
          <w:tab/>
        </w:r>
        <w:r>
          <w:rPr>
            <w:noProof/>
            <w:webHidden/>
          </w:rPr>
          <w:fldChar w:fldCharType="begin"/>
        </w:r>
        <w:r>
          <w:rPr>
            <w:noProof/>
            <w:webHidden/>
          </w:rPr>
          <w:instrText xml:space="preserve"> PAGEREF _Toc236394047 \h </w:instrText>
        </w:r>
        <w:r>
          <w:rPr>
            <w:noProof/>
            <w:webHidden/>
          </w:rPr>
        </w:r>
        <w:r>
          <w:rPr>
            <w:noProof/>
            <w:webHidden/>
          </w:rPr>
          <w:fldChar w:fldCharType="separate"/>
        </w:r>
        <w:r w:rsidR="00D0578E">
          <w:rPr>
            <w:noProof/>
            <w:webHidden/>
          </w:rPr>
          <w:t>26</w:t>
        </w:r>
        <w:r>
          <w:rPr>
            <w:noProof/>
            <w:webHidden/>
          </w:rPr>
          <w:fldChar w:fldCharType="end"/>
        </w:r>
      </w:hyperlink>
    </w:p>
    <w:p w14:paraId="0378D356" w14:textId="102EBBD7"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48" w:history="1">
        <w:r w:rsidRPr="00B140C4">
          <w:rPr>
            <w:rStyle w:val="Hyperlink"/>
            <w:noProof/>
          </w:rPr>
          <w:t>9.</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Leakage</w:t>
        </w:r>
        <w:r>
          <w:rPr>
            <w:noProof/>
            <w:webHidden/>
          </w:rPr>
          <w:tab/>
        </w:r>
        <w:r>
          <w:rPr>
            <w:rStyle w:val="Hyperlink"/>
            <w:noProof/>
          </w:rPr>
          <w:tab/>
        </w:r>
        <w:r>
          <w:rPr>
            <w:noProof/>
            <w:webHidden/>
          </w:rPr>
          <w:fldChar w:fldCharType="begin"/>
        </w:r>
        <w:r>
          <w:rPr>
            <w:noProof/>
            <w:webHidden/>
          </w:rPr>
          <w:instrText xml:space="preserve"> PAGEREF _Toc236394048 \h </w:instrText>
        </w:r>
        <w:r>
          <w:rPr>
            <w:noProof/>
            <w:webHidden/>
          </w:rPr>
        </w:r>
        <w:r>
          <w:rPr>
            <w:noProof/>
            <w:webHidden/>
          </w:rPr>
          <w:fldChar w:fldCharType="separate"/>
        </w:r>
        <w:r w:rsidR="00D0578E">
          <w:rPr>
            <w:noProof/>
            <w:webHidden/>
          </w:rPr>
          <w:t>28</w:t>
        </w:r>
        <w:r>
          <w:rPr>
            <w:noProof/>
            <w:webHidden/>
          </w:rPr>
          <w:fldChar w:fldCharType="end"/>
        </w:r>
      </w:hyperlink>
    </w:p>
    <w:p w14:paraId="4D502A9C" w14:textId="5FEB0E3B"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49" w:history="1">
        <w:r w:rsidRPr="00B140C4">
          <w:rPr>
            <w:rStyle w:val="Hyperlink"/>
            <w:noProof/>
          </w:rPr>
          <w:t>10.</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Emission reductions</w:t>
        </w:r>
        <w:r>
          <w:rPr>
            <w:noProof/>
            <w:webHidden/>
          </w:rPr>
          <w:tab/>
        </w:r>
        <w:r>
          <w:rPr>
            <w:rStyle w:val="Hyperlink"/>
            <w:noProof/>
          </w:rPr>
          <w:tab/>
        </w:r>
        <w:r>
          <w:rPr>
            <w:noProof/>
            <w:webHidden/>
          </w:rPr>
          <w:fldChar w:fldCharType="begin"/>
        </w:r>
        <w:r>
          <w:rPr>
            <w:noProof/>
            <w:webHidden/>
          </w:rPr>
          <w:instrText xml:space="preserve"> PAGEREF _Toc236394049 \h </w:instrText>
        </w:r>
        <w:r>
          <w:rPr>
            <w:noProof/>
            <w:webHidden/>
          </w:rPr>
        </w:r>
        <w:r>
          <w:rPr>
            <w:noProof/>
            <w:webHidden/>
          </w:rPr>
          <w:fldChar w:fldCharType="separate"/>
        </w:r>
        <w:r w:rsidR="00D0578E">
          <w:rPr>
            <w:noProof/>
            <w:webHidden/>
          </w:rPr>
          <w:t>28</w:t>
        </w:r>
        <w:r>
          <w:rPr>
            <w:noProof/>
            <w:webHidden/>
          </w:rPr>
          <w:fldChar w:fldCharType="end"/>
        </w:r>
      </w:hyperlink>
    </w:p>
    <w:p w14:paraId="177F8E7F" w14:textId="755C1783"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50" w:history="1">
        <w:r w:rsidRPr="00B140C4">
          <w:rPr>
            <w:rStyle w:val="Hyperlink"/>
            <w:noProof/>
          </w:rPr>
          <w:t>11.</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Avoidance of double counting</w:t>
        </w:r>
        <w:r>
          <w:rPr>
            <w:noProof/>
            <w:webHidden/>
          </w:rPr>
          <w:tab/>
        </w:r>
        <w:r>
          <w:rPr>
            <w:rStyle w:val="Hyperlink"/>
            <w:noProof/>
          </w:rPr>
          <w:tab/>
        </w:r>
        <w:r>
          <w:rPr>
            <w:noProof/>
            <w:webHidden/>
          </w:rPr>
          <w:fldChar w:fldCharType="begin"/>
        </w:r>
        <w:r>
          <w:rPr>
            <w:noProof/>
            <w:webHidden/>
          </w:rPr>
          <w:instrText xml:space="preserve"> PAGEREF _Toc236394050 \h </w:instrText>
        </w:r>
        <w:r>
          <w:rPr>
            <w:noProof/>
            <w:webHidden/>
          </w:rPr>
        </w:r>
        <w:r>
          <w:rPr>
            <w:noProof/>
            <w:webHidden/>
          </w:rPr>
          <w:fldChar w:fldCharType="separate"/>
        </w:r>
        <w:r w:rsidR="00D0578E">
          <w:rPr>
            <w:noProof/>
            <w:webHidden/>
          </w:rPr>
          <w:t>29</w:t>
        </w:r>
        <w:r>
          <w:rPr>
            <w:noProof/>
            <w:webHidden/>
          </w:rPr>
          <w:fldChar w:fldCharType="end"/>
        </w:r>
      </w:hyperlink>
    </w:p>
    <w:p w14:paraId="138A603A" w14:textId="1849141A"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51" w:history="1">
        <w:r w:rsidRPr="00B140C4">
          <w:rPr>
            <w:rStyle w:val="Hyperlink"/>
            <w:noProof/>
          </w:rPr>
          <w:t>12.</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Demonstration of alignment with the policies, options and implementation plans of the Host Party with regard to its NDC and LT</w:t>
        </w:r>
        <w:r w:rsidRPr="00B140C4">
          <w:rPr>
            <w:rStyle w:val="Hyperlink"/>
            <w:noProof/>
          </w:rPr>
          <w:noBreakHyphen/>
          <w:t>LEDS and the long</w:t>
        </w:r>
        <w:r w:rsidRPr="00B140C4">
          <w:rPr>
            <w:rStyle w:val="Hyperlink"/>
            <w:noProof/>
          </w:rPr>
          <w:noBreakHyphen/>
          <w:t>term temperature goal of the Paris Agreement and long</w:t>
        </w:r>
        <w:r w:rsidRPr="00B140C4">
          <w:rPr>
            <w:rStyle w:val="Hyperlink"/>
            <w:noProof/>
          </w:rPr>
          <w:noBreakHyphen/>
          <w:t>term goals of the Paris Agreement</w:t>
        </w:r>
        <w:r>
          <w:rPr>
            <w:noProof/>
            <w:webHidden/>
          </w:rPr>
          <w:tab/>
        </w:r>
        <w:r>
          <w:rPr>
            <w:rStyle w:val="Hyperlink"/>
            <w:noProof/>
          </w:rPr>
          <w:tab/>
        </w:r>
        <w:r>
          <w:rPr>
            <w:noProof/>
            <w:webHidden/>
          </w:rPr>
          <w:fldChar w:fldCharType="begin"/>
        </w:r>
        <w:r>
          <w:rPr>
            <w:noProof/>
            <w:webHidden/>
          </w:rPr>
          <w:instrText xml:space="preserve"> PAGEREF _Toc236394051 \h </w:instrText>
        </w:r>
        <w:r>
          <w:rPr>
            <w:noProof/>
            <w:webHidden/>
          </w:rPr>
        </w:r>
        <w:r>
          <w:rPr>
            <w:noProof/>
            <w:webHidden/>
          </w:rPr>
          <w:fldChar w:fldCharType="separate"/>
        </w:r>
        <w:r w:rsidR="00D0578E">
          <w:rPr>
            <w:noProof/>
            <w:webHidden/>
          </w:rPr>
          <w:t>30</w:t>
        </w:r>
        <w:r>
          <w:rPr>
            <w:noProof/>
            <w:webHidden/>
          </w:rPr>
          <w:fldChar w:fldCharType="end"/>
        </w:r>
      </w:hyperlink>
    </w:p>
    <w:p w14:paraId="3E9A4C7D" w14:textId="57CC7CD4"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52" w:history="1">
        <w:r w:rsidRPr="00B140C4">
          <w:rPr>
            <w:rStyle w:val="Hyperlink"/>
            <w:noProof/>
          </w:rPr>
          <w:t>13.</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Data and parameters not monitored</w:t>
        </w:r>
        <w:r>
          <w:rPr>
            <w:noProof/>
            <w:webHidden/>
          </w:rPr>
          <w:tab/>
        </w:r>
        <w:r>
          <w:rPr>
            <w:rStyle w:val="Hyperlink"/>
            <w:noProof/>
          </w:rPr>
          <w:tab/>
        </w:r>
        <w:r>
          <w:rPr>
            <w:noProof/>
            <w:webHidden/>
          </w:rPr>
          <w:fldChar w:fldCharType="begin"/>
        </w:r>
        <w:r>
          <w:rPr>
            <w:noProof/>
            <w:webHidden/>
          </w:rPr>
          <w:instrText xml:space="preserve"> PAGEREF _Toc236394052 \h </w:instrText>
        </w:r>
        <w:r>
          <w:rPr>
            <w:noProof/>
            <w:webHidden/>
          </w:rPr>
        </w:r>
        <w:r>
          <w:rPr>
            <w:noProof/>
            <w:webHidden/>
          </w:rPr>
          <w:fldChar w:fldCharType="separate"/>
        </w:r>
        <w:r w:rsidR="00D0578E">
          <w:rPr>
            <w:noProof/>
            <w:webHidden/>
          </w:rPr>
          <w:t>30</w:t>
        </w:r>
        <w:r>
          <w:rPr>
            <w:noProof/>
            <w:webHidden/>
          </w:rPr>
          <w:fldChar w:fldCharType="end"/>
        </w:r>
      </w:hyperlink>
    </w:p>
    <w:p w14:paraId="407532D3" w14:textId="05EA79FC" w:rsidR="005B6C95" w:rsidRDefault="005B6C95" w:rsidP="005B6C95">
      <w:pPr>
        <w:pStyle w:val="TOC1"/>
        <w:rPr>
          <w:rFonts w:asciiTheme="minorHAnsi" w:eastAsiaTheme="minorEastAsia" w:hAnsiTheme="minorHAnsi" w:cstheme="minorBidi"/>
          <w:b w:val="0"/>
          <w:caps w:val="0"/>
          <w:noProof/>
          <w:kern w:val="2"/>
          <w:sz w:val="24"/>
          <w:szCs w:val="24"/>
          <w:lang w:val="en-US" w:eastAsia="zh-CN"/>
          <w14:ligatures w14:val="standardContextual"/>
        </w:rPr>
      </w:pPr>
      <w:hyperlink w:anchor="_Toc236394053" w:history="1">
        <w:r w:rsidRPr="00B140C4">
          <w:rPr>
            <w:rStyle w:val="Hyperlink"/>
            <w:noProof/>
          </w:rPr>
          <w:t>14.</w:t>
        </w:r>
        <w:r>
          <w:rPr>
            <w:rFonts w:asciiTheme="minorHAnsi" w:eastAsiaTheme="minorEastAsia" w:hAnsiTheme="minorHAnsi" w:cstheme="minorBidi"/>
            <w:b w:val="0"/>
            <w:caps w:val="0"/>
            <w:noProof/>
            <w:kern w:val="2"/>
            <w:sz w:val="24"/>
            <w:szCs w:val="24"/>
            <w:lang w:val="en-US" w:eastAsia="zh-CN"/>
            <w14:ligatures w14:val="standardContextual"/>
          </w:rPr>
          <w:tab/>
        </w:r>
        <w:r w:rsidRPr="00B140C4">
          <w:rPr>
            <w:rStyle w:val="Hyperlink"/>
            <w:noProof/>
          </w:rPr>
          <w:t>Data and parameters monitored</w:t>
        </w:r>
        <w:r>
          <w:rPr>
            <w:noProof/>
            <w:webHidden/>
          </w:rPr>
          <w:tab/>
        </w:r>
        <w:r>
          <w:rPr>
            <w:rStyle w:val="Hyperlink"/>
            <w:noProof/>
          </w:rPr>
          <w:tab/>
        </w:r>
        <w:r>
          <w:rPr>
            <w:noProof/>
            <w:webHidden/>
          </w:rPr>
          <w:fldChar w:fldCharType="begin"/>
        </w:r>
        <w:r>
          <w:rPr>
            <w:noProof/>
            <w:webHidden/>
          </w:rPr>
          <w:instrText xml:space="preserve"> PAGEREF _Toc236394053 \h </w:instrText>
        </w:r>
        <w:r>
          <w:rPr>
            <w:noProof/>
            <w:webHidden/>
          </w:rPr>
        </w:r>
        <w:r>
          <w:rPr>
            <w:noProof/>
            <w:webHidden/>
          </w:rPr>
          <w:fldChar w:fldCharType="separate"/>
        </w:r>
        <w:r w:rsidR="00D0578E">
          <w:rPr>
            <w:noProof/>
            <w:webHidden/>
          </w:rPr>
          <w:t>32</w:t>
        </w:r>
        <w:r>
          <w:rPr>
            <w:noProof/>
            <w:webHidden/>
          </w:rPr>
          <w:fldChar w:fldCharType="end"/>
        </w:r>
      </w:hyperlink>
    </w:p>
    <w:p w14:paraId="6B2B9334" w14:textId="7F6CEB84" w:rsidR="005B6C95" w:rsidRDefault="005B6C95" w:rsidP="005B6C95">
      <w:pPr>
        <w:pStyle w:val="TOC6"/>
        <w:rPr>
          <w:rFonts w:asciiTheme="minorHAnsi" w:eastAsiaTheme="minorEastAsia" w:hAnsiTheme="minorHAnsi" w:cstheme="minorBidi"/>
          <w:b w:val="0"/>
          <w:caps w:val="0"/>
          <w:kern w:val="2"/>
          <w:sz w:val="24"/>
          <w:szCs w:val="24"/>
          <w:lang w:val="en-US" w:eastAsia="zh-CN"/>
          <w14:ligatures w14:val="standardContextual"/>
        </w:rPr>
      </w:pPr>
      <w:hyperlink w:anchor="_Toc236394054" w:history="1">
        <w:r w:rsidRPr="00B140C4">
          <w:rPr>
            <w:rStyle w:val="Hyperlink"/>
          </w:rPr>
          <w:t>Appendix 1.</w:t>
        </w:r>
        <w:r>
          <w:rPr>
            <w:rFonts w:asciiTheme="minorHAnsi" w:eastAsiaTheme="minorEastAsia" w:hAnsiTheme="minorHAnsi" w:cstheme="minorBidi"/>
            <w:b w:val="0"/>
            <w:caps w:val="0"/>
            <w:kern w:val="2"/>
            <w:sz w:val="24"/>
            <w:szCs w:val="24"/>
            <w:lang w:val="en-US" w:eastAsia="zh-CN"/>
            <w14:ligatures w14:val="standardContextual"/>
          </w:rPr>
          <w:tab/>
        </w:r>
        <w:r w:rsidRPr="00B140C4">
          <w:rPr>
            <w:rStyle w:val="Hyperlink"/>
          </w:rPr>
          <w:t>Background information on the inclusion and exclusion of emission sources</w:t>
        </w:r>
        <w:r>
          <w:rPr>
            <w:webHidden/>
          </w:rPr>
          <w:tab/>
        </w:r>
        <w:r>
          <w:rPr>
            <w:rStyle w:val="Hyperlink"/>
          </w:rPr>
          <w:tab/>
        </w:r>
        <w:r>
          <w:rPr>
            <w:webHidden/>
          </w:rPr>
          <w:fldChar w:fldCharType="begin"/>
        </w:r>
        <w:r>
          <w:rPr>
            <w:webHidden/>
          </w:rPr>
          <w:instrText xml:space="preserve"> PAGEREF _Toc236394054 \h </w:instrText>
        </w:r>
        <w:r>
          <w:rPr>
            <w:webHidden/>
          </w:rPr>
        </w:r>
        <w:r>
          <w:rPr>
            <w:webHidden/>
          </w:rPr>
          <w:fldChar w:fldCharType="separate"/>
        </w:r>
        <w:r w:rsidR="00D0578E">
          <w:rPr>
            <w:webHidden/>
          </w:rPr>
          <w:t>45</w:t>
        </w:r>
        <w:r>
          <w:rPr>
            <w:webHidden/>
          </w:rPr>
          <w:fldChar w:fldCharType="end"/>
        </w:r>
      </w:hyperlink>
    </w:p>
    <w:p w14:paraId="01BB27D5" w14:textId="1CA6B2C3" w:rsidR="005B6C95" w:rsidRDefault="005B6C95" w:rsidP="005B6C95">
      <w:pPr>
        <w:pStyle w:val="TOC6"/>
        <w:rPr>
          <w:rFonts w:asciiTheme="minorHAnsi" w:eastAsiaTheme="minorEastAsia" w:hAnsiTheme="minorHAnsi" w:cstheme="minorBidi"/>
          <w:b w:val="0"/>
          <w:caps w:val="0"/>
          <w:kern w:val="2"/>
          <w:sz w:val="24"/>
          <w:szCs w:val="24"/>
          <w:lang w:val="en-US" w:eastAsia="zh-CN"/>
          <w14:ligatures w14:val="standardContextual"/>
        </w:rPr>
      </w:pPr>
      <w:hyperlink w:anchor="_Toc236394055" w:history="1">
        <w:r w:rsidRPr="00B140C4">
          <w:rPr>
            <w:rStyle w:val="Hyperlink"/>
          </w:rPr>
          <w:t>Appendix 2.</w:t>
        </w:r>
        <w:r>
          <w:rPr>
            <w:rFonts w:asciiTheme="minorHAnsi" w:eastAsiaTheme="minorEastAsia" w:hAnsiTheme="minorHAnsi" w:cstheme="minorBidi"/>
            <w:b w:val="0"/>
            <w:caps w:val="0"/>
            <w:kern w:val="2"/>
            <w:sz w:val="24"/>
            <w:szCs w:val="24"/>
            <w:lang w:val="en-US" w:eastAsia="zh-CN"/>
            <w14:ligatures w14:val="standardContextual"/>
          </w:rPr>
          <w:tab/>
        </w:r>
        <w:r w:rsidRPr="00B140C4">
          <w:rPr>
            <w:rStyle w:val="Hyperlink"/>
          </w:rPr>
          <w:t>Numerical example of the determination of the downward adjustment</w:t>
        </w:r>
        <w:r>
          <w:rPr>
            <w:webHidden/>
          </w:rPr>
          <w:tab/>
        </w:r>
        <w:r>
          <w:rPr>
            <w:rStyle w:val="Hyperlink"/>
          </w:rPr>
          <w:tab/>
        </w:r>
        <w:r>
          <w:rPr>
            <w:webHidden/>
          </w:rPr>
          <w:fldChar w:fldCharType="begin"/>
        </w:r>
        <w:r>
          <w:rPr>
            <w:webHidden/>
          </w:rPr>
          <w:instrText xml:space="preserve"> PAGEREF _Toc236394055 \h </w:instrText>
        </w:r>
        <w:r>
          <w:rPr>
            <w:webHidden/>
          </w:rPr>
        </w:r>
        <w:r>
          <w:rPr>
            <w:webHidden/>
          </w:rPr>
          <w:fldChar w:fldCharType="separate"/>
        </w:r>
        <w:r w:rsidR="00D0578E">
          <w:rPr>
            <w:webHidden/>
          </w:rPr>
          <w:t>50</w:t>
        </w:r>
        <w:r>
          <w:rPr>
            <w:webHidden/>
          </w:rPr>
          <w:fldChar w:fldCharType="end"/>
        </w:r>
      </w:hyperlink>
    </w:p>
    <w:p w14:paraId="20F08DF3" w14:textId="03F3C643" w:rsidR="00853F05" w:rsidRPr="00CB7EFA" w:rsidRDefault="005B6C95" w:rsidP="00565242">
      <w:pPr>
        <w:rPr>
          <w:rFonts w:cs="Arial"/>
          <w:b/>
          <w:caps/>
          <w:sz w:val="21"/>
          <w:szCs w:val="21"/>
        </w:rPr>
      </w:pPr>
      <w:r>
        <w:rPr>
          <w:rFonts w:cs="Arial"/>
          <w:b/>
          <w:caps/>
          <w:sz w:val="21"/>
          <w:szCs w:val="21"/>
        </w:rPr>
        <w:fldChar w:fldCharType="end"/>
      </w:r>
    </w:p>
    <w:p w14:paraId="74926291" w14:textId="64C69DB0" w:rsidR="00853F05" w:rsidRPr="00CB7EFA" w:rsidRDefault="00853F05" w:rsidP="002454C9">
      <w:pPr>
        <w:sectPr w:rsidR="00853F05" w:rsidRPr="00CB7EFA" w:rsidSect="00AC494B">
          <w:headerReference w:type="even" r:id="rId13"/>
          <w:headerReference w:type="default" r:id="rId14"/>
          <w:footerReference w:type="default" r:id="rId15"/>
          <w:headerReference w:type="first" r:id="rId16"/>
          <w:pgSz w:w="11907" w:h="16840" w:code="9"/>
          <w:pgMar w:top="2552" w:right="1134" w:bottom="1418" w:left="1418" w:header="851" w:footer="567" w:gutter="0"/>
          <w:cols w:space="720"/>
          <w:formProt w:val="0"/>
          <w:docGrid w:linePitch="299"/>
        </w:sectPr>
      </w:pPr>
    </w:p>
    <w:p w14:paraId="59C1CC1A" w14:textId="6F16007E" w:rsidR="00B960DB" w:rsidRPr="00CB7EFA" w:rsidRDefault="00B960DB" w:rsidP="00B960DB">
      <w:pPr>
        <w:pStyle w:val="SDMHead1"/>
      </w:pPr>
      <w:bookmarkStart w:id="9" w:name="_Toc233881707"/>
      <w:bookmarkStart w:id="10" w:name="_Toc233882073"/>
      <w:bookmarkStart w:id="11" w:name="_Toc233884200"/>
      <w:bookmarkStart w:id="12" w:name="_Toc233902809"/>
      <w:bookmarkStart w:id="13" w:name="_Toc233902846"/>
      <w:bookmarkStart w:id="14" w:name="_Toc236391877"/>
      <w:bookmarkStart w:id="15" w:name="_Toc236394019"/>
      <w:r w:rsidRPr="00CB7EFA">
        <w:lastRenderedPageBreak/>
        <w:t>Introduction</w:t>
      </w:r>
      <w:bookmarkEnd w:id="9"/>
      <w:bookmarkEnd w:id="10"/>
      <w:bookmarkEnd w:id="11"/>
      <w:bookmarkEnd w:id="12"/>
      <w:bookmarkEnd w:id="13"/>
      <w:bookmarkEnd w:id="14"/>
      <w:bookmarkEnd w:id="15"/>
    </w:p>
    <w:p w14:paraId="2FBB98B5" w14:textId="77777777" w:rsidR="002C3056" w:rsidRPr="00CB7EFA" w:rsidRDefault="00B960DB" w:rsidP="00853F05">
      <w:pPr>
        <w:pStyle w:val="SDMHead2"/>
      </w:pPr>
      <w:bookmarkStart w:id="16" w:name="_Toc233881708"/>
      <w:bookmarkStart w:id="17" w:name="_Toc233882074"/>
      <w:bookmarkStart w:id="18" w:name="_Toc233884201"/>
      <w:bookmarkStart w:id="19" w:name="_Toc233902810"/>
      <w:bookmarkStart w:id="20" w:name="_Toc233902847"/>
      <w:bookmarkStart w:id="21" w:name="_Toc236391878"/>
      <w:bookmarkStart w:id="22" w:name="_Toc236394020"/>
      <w:r w:rsidRPr="00CB7EFA">
        <w:t>Scope</w:t>
      </w:r>
      <w:bookmarkEnd w:id="16"/>
      <w:bookmarkEnd w:id="17"/>
      <w:bookmarkEnd w:id="18"/>
      <w:bookmarkEnd w:id="19"/>
      <w:bookmarkEnd w:id="20"/>
      <w:bookmarkEnd w:id="21"/>
      <w:bookmarkEnd w:id="22"/>
    </w:p>
    <w:p w14:paraId="04869213" w14:textId="564DD66F" w:rsidR="00E84033" w:rsidRPr="009E48E4" w:rsidRDefault="006D63CC" w:rsidP="009E48E4">
      <w:pPr>
        <w:pStyle w:val="SDMPara"/>
      </w:pPr>
      <w:r w:rsidRPr="009E48E4">
        <w:t>This mechanism methodology applies to Article 6.4 activities that generate electricity from certain types of renewable energy sources connected to an electricity system, including hydropower without the construction of a new reservoir, hydropower constructed in an existing reservoir without changing the volume and surface area of an existing reservoir, wind, solar, and geothermal.</w:t>
      </w:r>
    </w:p>
    <w:p w14:paraId="15193EB0" w14:textId="399E95DB" w:rsidR="00E84033" w:rsidRDefault="00E84033" w:rsidP="00BC6A82">
      <w:pPr>
        <w:pStyle w:val="SDMPara"/>
      </w:pPr>
      <w:r w:rsidRPr="00436D85">
        <w:t>Article 6.4 Emission Reductions (A6.4ERs) issued based on this mechanism methodology represent emission reductions that are not subject to reversal risks.</w:t>
      </w:r>
    </w:p>
    <w:p w14:paraId="482A3103" w14:textId="77777777" w:rsidR="002C3056" w:rsidRPr="00CB7EFA" w:rsidRDefault="00B960DB" w:rsidP="00853F05">
      <w:pPr>
        <w:pStyle w:val="SDMHead2"/>
      </w:pPr>
      <w:bookmarkStart w:id="23" w:name="_Toc233881709"/>
      <w:bookmarkStart w:id="24" w:name="_Toc233882075"/>
      <w:bookmarkStart w:id="25" w:name="_Toc233884202"/>
      <w:bookmarkStart w:id="26" w:name="_Toc233902811"/>
      <w:bookmarkStart w:id="27" w:name="_Toc233902848"/>
      <w:bookmarkStart w:id="28" w:name="_Toc236391879"/>
      <w:bookmarkStart w:id="29" w:name="_Toc236394021"/>
      <w:r w:rsidRPr="00CB7EFA">
        <w:t>Entry into force and validity</w:t>
      </w:r>
      <w:bookmarkEnd w:id="23"/>
      <w:bookmarkEnd w:id="24"/>
      <w:bookmarkEnd w:id="25"/>
      <w:bookmarkEnd w:id="26"/>
      <w:bookmarkEnd w:id="27"/>
      <w:bookmarkEnd w:id="28"/>
      <w:bookmarkEnd w:id="29"/>
    </w:p>
    <w:p w14:paraId="47E80221" w14:textId="02DC5630" w:rsidR="002C3056" w:rsidRPr="00CB7EFA" w:rsidRDefault="00B960DB">
      <w:pPr>
        <w:pStyle w:val="SDMPara"/>
      </w:pPr>
      <w:r w:rsidRPr="00CB7EFA">
        <w:t xml:space="preserve">This mechanism methodology enters into force on </w:t>
      </w:r>
      <w:r w:rsidR="00162111">
        <w:t>30 July 2026</w:t>
      </w:r>
      <w:r w:rsidRPr="00CB7EFA">
        <w:t>.</w:t>
      </w:r>
    </w:p>
    <w:p w14:paraId="547104C5" w14:textId="5BFD4C9D" w:rsidR="002C3056" w:rsidRPr="00CB7EFA" w:rsidRDefault="00B960DB" w:rsidP="00E84033">
      <w:pPr>
        <w:pStyle w:val="SDMPara"/>
      </w:pPr>
      <w:r w:rsidRPr="00CB7EFA">
        <w:t>This mechanism methodology remains valid for five years, until</w:t>
      </w:r>
      <w:r w:rsidR="00162111">
        <w:t xml:space="preserve"> 29 July 2031</w:t>
      </w:r>
      <w:r w:rsidRPr="00CB7EFA">
        <w:t>, unless an earlier date applies if the mechanism methodology is revised or withdrawn in accordance with the “Procedure: Development, revision and clarification of methodologies and methodological tools” (A6.4</w:t>
      </w:r>
      <w:r w:rsidR="002C3056" w:rsidRPr="00CB7EFA">
        <w:noBreakHyphen/>
      </w:r>
      <w:r w:rsidRPr="00CB7EFA">
        <w:t>PROC</w:t>
      </w:r>
      <w:r w:rsidR="002C3056" w:rsidRPr="00CB7EFA">
        <w:noBreakHyphen/>
      </w:r>
      <w:r w:rsidRPr="00CB7EFA">
        <w:t>METH</w:t>
      </w:r>
      <w:r w:rsidR="002C3056" w:rsidRPr="00CB7EFA">
        <w:noBreakHyphen/>
      </w:r>
      <w:r w:rsidRPr="00CB7EFA">
        <w:t>001)</w:t>
      </w:r>
      <w:r w:rsidR="00A947CC">
        <w:t>.</w:t>
      </w:r>
      <w:r w:rsidR="00F94448" w:rsidRPr="00CB7EFA">
        <w:rPr>
          <w:rStyle w:val="FootnoteReference"/>
        </w:rPr>
        <w:footnoteReference w:id="1"/>
      </w:r>
    </w:p>
    <w:p w14:paraId="723BE7E3" w14:textId="2AA69A0F" w:rsidR="00B960DB" w:rsidRPr="00CB7EFA" w:rsidRDefault="00B960DB" w:rsidP="00853F05">
      <w:pPr>
        <w:pStyle w:val="SDMHead2"/>
      </w:pPr>
      <w:bookmarkStart w:id="30" w:name="_Toc233881710"/>
      <w:bookmarkStart w:id="31" w:name="_Toc233882076"/>
      <w:bookmarkStart w:id="32" w:name="_Toc233884203"/>
      <w:bookmarkStart w:id="33" w:name="_Toc233902812"/>
      <w:bookmarkStart w:id="34" w:name="_Toc233902849"/>
      <w:bookmarkStart w:id="35" w:name="_Toc236391880"/>
      <w:bookmarkStart w:id="36" w:name="_Toc236394022"/>
      <w:r w:rsidRPr="00CB7EFA">
        <w:t>Applicability of sectoral scopes</w:t>
      </w:r>
      <w:bookmarkEnd w:id="30"/>
      <w:bookmarkEnd w:id="31"/>
      <w:bookmarkEnd w:id="32"/>
      <w:bookmarkEnd w:id="33"/>
      <w:bookmarkEnd w:id="34"/>
      <w:bookmarkEnd w:id="35"/>
      <w:bookmarkEnd w:id="36"/>
    </w:p>
    <w:p w14:paraId="150764BA" w14:textId="76806C64" w:rsidR="002C3056" w:rsidRPr="00CB7EFA" w:rsidRDefault="00E84033">
      <w:pPr>
        <w:pStyle w:val="SDMPara"/>
      </w:pPr>
      <w:r>
        <w:t>Designated operational entities (DOEs) validating and verifying Article 6.4 activities that use this mechanism methodology shall apply sectoral scope 1: Energy industries (renewable/ non-renewable sources).</w:t>
      </w:r>
    </w:p>
    <w:p w14:paraId="7D57E1D8" w14:textId="77777777" w:rsidR="002C3056" w:rsidRPr="00CB7EFA" w:rsidRDefault="00B960DB" w:rsidP="00B960DB">
      <w:pPr>
        <w:pStyle w:val="SDMHead1"/>
      </w:pPr>
      <w:bookmarkStart w:id="37" w:name="_Toc233881711"/>
      <w:bookmarkStart w:id="38" w:name="_Toc233882077"/>
      <w:bookmarkStart w:id="39" w:name="_Toc233884204"/>
      <w:bookmarkStart w:id="40" w:name="_Toc233902813"/>
      <w:bookmarkStart w:id="41" w:name="_Toc233902850"/>
      <w:bookmarkStart w:id="42" w:name="_Toc236391881"/>
      <w:bookmarkStart w:id="43" w:name="_Toc236394023"/>
      <w:r w:rsidRPr="00CB7EFA">
        <w:t>Definitions</w:t>
      </w:r>
      <w:bookmarkEnd w:id="37"/>
      <w:bookmarkEnd w:id="38"/>
      <w:bookmarkEnd w:id="39"/>
      <w:bookmarkEnd w:id="40"/>
      <w:bookmarkEnd w:id="41"/>
      <w:bookmarkEnd w:id="42"/>
      <w:bookmarkEnd w:id="43"/>
    </w:p>
    <w:p w14:paraId="7AF73284" w14:textId="77777777" w:rsidR="002C3056" w:rsidRPr="00CB7EFA" w:rsidRDefault="00B960DB" w:rsidP="00853F05">
      <w:pPr>
        <w:pStyle w:val="SDMHead2"/>
      </w:pPr>
      <w:bookmarkStart w:id="44" w:name="_Toc233881712"/>
      <w:bookmarkStart w:id="45" w:name="_Toc233882078"/>
      <w:bookmarkStart w:id="46" w:name="_Toc233884205"/>
      <w:bookmarkStart w:id="47" w:name="_Toc233902814"/>
      <w:bookmarkStart w:id="48" w:name="_Toc233902851"/>
      <w:bookmarkStart w:id="49" w:name="_Toc236391882"/>
      <w:bookmarkStart w:id="50" w:name="_Toc236394024"/>
      <w:r w:rsidRPr="00CB7EFA">
        <w:t>General terms</w:t>
      </w:r>
      <w:bookmarkEnd w:id="44"/>
      <w:bookmarkEnd w:id="45"/>
      <w:bookmarkEnd w:id="46"/>
      <w:bookmarkEnd w:id="47"/>
      <w:bookmarkEnd w:id="48"/>
      <w:bookmarkEnd w:id="49"/>
      <w:bookmarkEnd w:id="50"/>
    </w:p>
    <w:p w14:paraId="3E3DDD08" w14:textId="13AD5088" w:rsidR="002C3056" w:rsidRPr="00CB7EFA" w:rsidRDefault="00B960DB" w:rsidP="00EC00DE">
      <w:pPr>
        <w:pStyle w:val="SDMPara"/>
        <w:keepNext/>
      </w:pPr>
      <w:r w:rsidRPr="00CB7EFA">
        <w:t>The following general terms apply in this mechanism methodology</w:t>
      </w:r>
      <w:r w:rsidR="002C3056" w:rsidRPr="00CB7EFA">
        <w:t>:</w:t>
      </w:r>
    </w:p>
    <w:p w14:paraId="5050FE47" w14:textId="6170C4E1" w:rsidR="00B960DB" w:rsidRPr="00CB7EFA" w:rsidRDefault="00B960DB" w:rsidP="003D1222">
      <w:pPr>
        <w:pStyle w:val="SDMSubPara1"/>
      </w:pPr>
      <w:r w:rsidRPr="00CB7EFA">
        <w:t>“Shall” is used to indicate requirements that must be followed;</w:t>
      </w:r>
    </w:p>
    <w:p w14:paraId="2CC8A46C" w14:textId="77777777" w:rsidR="002C3056" w:rsidRPr="00CB7EFA" w:rsidRDefault="00B960DB">
      <w:pPr>
        <w:pStyle w:val="SDMSubPara1"/>
      </w:pPr>
      <w:r w:rsidRPr="00CB7EFA">
        <w:t>“Should” is used to indicate that, among several options, one course of action is recommended as particularly suitable; and</w:t>
      </w:r>
    </w:p>
    <w:p w14:paraId="678C563B" w14:textId="77777777" w:rsidR="002C3056" w:rsidRPr="00CB7EFA" w:rsidRDefault="00B960DB">
      <w:pPr>
        <w:pStyle w:val="SDMSubPara1"/>
      </w:pPr>
      <w:r w:rsidRPr="00CB7EFA">
        <w:t>“May” is used to indicate what is permitted.</w:t>
      </w:r>
    </w:p>
    <w:p w14:paraId="3D9D4B0B" w14:textId="77777777" w:rsidR="002C3056" w:rsidRPr="00CB7EFA" w:rsidRDefault="00B960DB" w:rsidP="00853F05">
      <w:pPr>
        <w:pStyle w:val="SDMHead2"/>
      </w:pPr>
      <w:bookmarkStart w:id="51" w:name="_Toc233881713"/>
      <w:bookmarkStart w:id="52" w:name="_Toc233882079"/>
      <w:bookmarkStart w:id="53" w:name="_Toc233884206"/>
      <w:bookmarkStart w:id="54" w:name="_Toc233902815"/>
      <w:bookmarkStart w:id="55" w:name="_Toc233902852"/>
      <w:bookmarkStart w:id="56" w:name="_Toc236391883"/>
      <w:bookmarkStart w:id="57" w:name="_Toc236394025"/>
      <w:r w:rsidRPr="00CB7EFA">
        <w:t>Methodological terms and definitions</w:t>
      </w:r>
      <w:bookmarkEnd w:id="51"/>
      <w:bookmarkEnd w:id="52"/>
      <w:bookmarkEnd w:id="53"/>
      <w:bookmarkEnd w:id="54"/>
      <w:bookmarkEnd w:id="55"/>
      <w:bookmarkEnd w:id="56"/>
      <w:bookmarkEnd w:id="57"/>
    </w:p>
    <w:p w14:paraId="70B669DA" w14:textId="79A8038E" w:rsidR="002C3056" w:rsidRPr="00CB7EFA" w:rsidRDefault="00B960DB" w:rsidP="00EC00DE">
      <w:pPr>
        <w:pStyle w:val="SDMPara"/>
        <w:keepNext/>
      </w:pPr>
      <w:r w:rsidRPr="00CB7EFA">
        <w:t>The following methodological terms and definitions apply in this mechanism methodology</w:t>
      </w:r>
      <w:r w:rsidR="002C3056" w:rsidRPr="00CB7EFA">
        <w:t>:</w:t>
      </w:r>
    </w:p>
    <w:p w14:paraId="3BAF05E4" w14:textId="4481BD2A" w:rsidR="00E84033" w:rsidRPr="00E84033" w:rsidRDefault="00E84033" w:rsidP="00963BA6">
      <w:pPr>
        <w:pStyle w:val="SDMSubPara1"/>
      </w:pPr>
      <w:r w:rsidRPr="00D231DA">
        <w:rPr>
          <w:rFonts w:eastAsiaTheme="minorEastAsia"/>
          <w:b/>
          <w:bCs/>
          <w:color w:val="000000" w:themeColor="text1"/>
        </w:rPr>
        <w:t>Backup generator</w:t>
      </w:r>
      <w:r w:rsidRPr="00D231DA">
        <w:rPr>
          <w:rFonts w:eastAsiaTheme="minorEastAsia"/>
          <w:color w:val="000000" w:themeColor="text1"/>
        </w:rPr>
        <w:t>: a</w:t>
      </w:r>
      <w:r w:rsidRPr="00D231DA">
        <w:rPr>
          <w:rFonts w:eastAsiaTheme="minorEastAsia"/>
        </w:rPr>
        <w:t xml:space="preserve"> </w:t>
      </w:r>
      <w:r w:rsidRPr="00565A68">
        <w:t>generator</w:t>
      </w:r>
      <w:r w:rsidRPr="00D231DA">
        <w:rPr>
          <w:rFonts w:eastAsiaTheme="minorEastAsia"/>
        </w:rPr>
        <w:t xml:space="preserve"> used in an emergency or contingency event to meet electricity demand of the project equipment at the site of the project power plant;</w:t>
      </w:r>
    </w:p>
    <w:p w14:paraId="48317A5E" w14:textId="15A77DBB" w:rsidR="00E84033" w:rsidRPr="00E84033" w:rsidRDefault="00E84033" w:rsidP="00963BA6">
      <w:pPr>
        <w:pStyle w:val="SDMSubPara1"/>
      </w:pPr>
      <w:r w:rsidRPr="2972558D">
        <w:rPr>
          <w:rFonts w:eastAsiaTheme="minorEastAsia"/>
          <w:b/>
          <w:bCs/>
        </w:rPr>
        <w:lastRenderedPageBreak/>
        <w:t>Binary geothermal power plant</w:t>
      </w:r>
      <w:r w:rsidRPr="2972558D">
        <w:rPr>
          <w:rFonts w:eastAsiaTheme="minorEastAsia"/>
        </w:rPr>
        <w:t xml:space="preserve">: a geothermal technology that utilizes heat from a geothermal fluid through heat </w:t>
      </w:r>
      <w:r w:rsidRPr="00565A68">
        <w:t>exchangers</w:t>
      </w:r>
      <w:r w:rsidRPr="2972558D">
        <w:rPr>
          <w:rFonts w:eastAsiaTheme="minorEastAsia"/>
        </w:rPr>
        <w:t xml:space="preserve"> to vaporise an organic fluid with a low boiling point (e.g., butane or pentane in the Organic Rankine Cycle (ORC) or an ammonia-water mixture in the Kalina cycle) and drive a turbine. Binary geothermal plants are categorised </w:t>
      </w:r>
      <w:r w:rsidRPr="00565A68">
        <w:t>as</w:t>
      </w:r>
      <w:r w:rsidRPr="2972558D">
        <w:rPr>
          <w:rFonts w:eastAsiaTheme="minorEastAsia"/>
        </w:rPr>
        <w:t xml:space="preserve"> closed cycle technologies;</w:t>
      </w:r>
    </w:p>
    <w:p w14:paraId="749D9A12" w14:textId="411410BB" w:rsidR="00E84033" w:rsidRPr="00E84033" w:rsidRDefault="00E84033" w:rsidP="00963BA6">
      <w:pPr>
        <w:pStyle w:val="SDMSubPara1"/>
      </w:pPr>
      <w:r w:rsidRPr="602B44B3">
        <w:rPr>
          <w:rFonts w:eastAsiaTheme="minorEastAsia"/>
          <w:b/>
          <w:bCs/>
        </w:rPr>
        <w:t>Dry steam geothermal power plant:</w:t>
      </w:r>
      <w:r w:rsidRPr="40E30BC4" w:rsidDel="00784400">
        <w:rPr>
          <w:rFonts w:eastAsiaTheme="minorEastAsia"/>
        </w:rPr>
        <w:t xml:space="preserve"> </w:t>
      </w:r>
      <w:r w:rsidRPr="2390F54D">
        <w:rPr>
          <w:rFonts w:eastAsiaTheme="minorEastAsia"/>
        </w:rPr>
        <w:t>a</w:t>
      </w:r>
      <w:r w:rsidRPr="602B44B3">
        <w:rPr>
          <w:rFonts w:eastAsiaTheme="minorEastAsia"/>
        </w:rPr>
        <w:t xml:space="preserve"> geothermal technology that directly utilises dry steam that is piped from production wells to the plant and then to the turbine. Dry steam geothermal plants are </w:t>
      </w:r>
      <w:r w:rsidRPr="00565A68">
        <w:t>categorised</w:t>
      </w:r>
      <w:r w:rsidRPr="602B44B3">
        <w:rPr>
          <w:rFonts w:eastAsiaTheme="minorEastAsia"/>
        </w:rPr>
        <w:t xml:space="preserve"> as open cycle technolog</w:t>
      </w:r>
      <w:r>
        <w:rPr>
          <w:rFonts w:eastAsiaTheme="minorEastAsia"/>
        </w:rPr>
        <w:t>ies</w:t>
      </w:r>
      <w:r w:rsidRPr="602B44B3">
        <w:rPr>
          <w:rFonts w:eastAsiaTheme="minorEastAsia"/>
        </w:rPr>
        <w:t>;</w:t>
      </w:r>
    </w:p>
    <w:p w14:paraId="265B2EDF" w14:textId="71ABB3F3" w:rsidR="00E84033" w:rsidRPr="00E84033" w:rsidRDefault="00E84033" w:rsidP="00963BA6">
      <w:pPr>
        <w:pStyle w:val="SDMSubPara1"/>
      </w:pPr>
      <w:r w:rsidRPr="37BFE766">
        <w:rPr>
          <w:rFonts w:eastAsiaTheme="minorEastAsia"/>
          <w:b/>
          <w:bCs/>
        </w:rPr>
        <w:t>Flash steam geothermal power plant:</w:t>
      </w:r>
      <w:r w:rsidRPr="40E30BC4" w:rsidDel="75B17BC4">
        <w:rPr>
          <w:rFonts w:eastAsiaTheme="minorEastAsia"/>
        </w:rPr>
        <w:t xml:space="preserve"> </w:t>
      </w:r>
      <w:r w:rsidRPr="2390F54D">
        <w:rPr>
          <w:rFonts w:eastAsiaTheme="minorEastAsia"/>
        </w:rPr>
        <w:t>a</w:t>
      </w:r>
      <w:r w:rsidRPr="0029395F">
        <w:rPr>
          <w:rFonts w:eastAsiaTheme="minorEastAsia"/>
        </w:rPr>
        <w:t xml:space="preserve"> geothermal technology that is designed for high-temperature, water-dominated reservoirs</w:t>
      </w:r>
      <w:r w:rsidRPr="40E30BC4">
        <w:rPr>
          <w:rFonts w:eastAsiaTheme="minorEastAsia"/>
        </w:rPr>
        <w:t>.</w:t>
      </w:r>
      <w:r w:rsidRPr="37BFE766">
        <w:rPr>
          <w:rFonts w:eastAsiaTheme="minorEastAsia"/>
        </w:rPr>
        <w:t xml:space="preserve"> In these high-temperature reservoirs, the liquid water component boils, or “</w:t>
      </w:r>
      <w:r w:rsidRPr="00565A68">
        <w:t>flashes</w:t>
      </w:r>
      <w:r w:rsidRPr="37BFE766">
        <w:rPr>
          <w:rFonts w:eastAsiaTheme="minorEastAsia"/>
        </w:rPr>
        <w:t>”, as pressure drops. Separated steam is piped to a turbine to generate electricity and the remaining hot water may be flashed again twice (double flash plant)</w:t>
      </w:r>
      <w:r>
        <w:rPr>
          <w:rFonts w:eastAsiaTheme="minorEastAsia"/>
        </w:rPr>
        <w:t>,</w:t>
      </w:r>
      <w:r w:rsidRPr="37BFE766">
        <w:rPr>
          <w:rFonts w:eastAsiaTheme="minorEastAsia"/>
        </w:rPr>
        <w:t xml:space="preserve"> or three times (triple flash</w:t>
      </w:r>
      <w:r>
        <w:rPr>
          <w:rFonts w:eastAsiaTheme="minorEastAsia"/>
        </w:rPr>
        <w:t xml:space="preserve"> plant</w:t>
      </w:r>
      <w:r w:rsidRPr="37BFE766">
        <w:rPr>
          <w:rFonts w:eastAsiaTheme="minorEastAsia"/>
        </w:rPr>
        <w:t xml:space="preserve">) at progressively lower pressures and temperatures, to obtain more steam. Flash steam geothermal plants are categorised as open cycle </w:t>
      </w:r>
      <w:r w:rsidRPr="2390F54D">
        <w:rPr>
          <w:rFonts w:eastAsiaTheme="minorEastAsia"/>
        </w:rPr>
        <w:t>technologies;</w:t>
      </w:r>
    </w:p>
    <w:p w14:paraId="389685F7" w14:textId="4249894E" w:rsidR="00E84033" w:rsidRPr="00E84033" w:rsidRDefault="00E84033" w:rsidP="00963BA6">
      <w:pPr>
        <w:pStyle w:val="SDMSubPara1"/>
      </w:pPr>
      <w:r w:rsidRPr="606D0FBA">
        <w:rPr>
          <w:rFonts w:eastAsiaTheme="minorEastAsia"/>
          <w:b/>
          <w:bCs/>
          <w:color w:val="000000" w:themeColor="text1"/>
        </w:rPr>
        <w:t>Greenfield power plant:</w:t>
      </w:r>
      <w:r w:rsidRPr="606D0FBA">
        <w:rPr>
          <w:rFonts w:eastAsiaTheme="minorEastAsia"/>
        </w:rPr>
        <w:t xml:space="preserve"> a new power plant that is constructed and operated at a site where no power plant was operated prior to the implementation of the Article 6.4 activity;</w:t>
      </w:r>
    </w:p>
    <w:p w14:paraId="3FC52957" w14:textId="28F07A64" w:rsidR="00E84033" w:rsidRPr="00E84033" w:rsidRDefault="00E84033" w:rsidP="00963BA6">
      <w:pPr>
        <w:pStyle w:val="SDMSubPara1"/>
      </w:pPr>
      <w:r w:rsidRPr="2785112B">
        <w:rPr>
          <w:rFonts w:eastAsiaTheme="minorEastAsia"/>
          <w:b/>
          <w:bCs/>
        </w:rPr>
        <w:t>Hydraulic residence time:</w:t>
      </w:r>
      <w:r w:rsidRPr="2785112B">
        <w:rPr>
          <w:rFonts w:eastAsiaTheme="minorEastAsia"/>
        </w:rPr>
        <w:t xml:space="preserve"> </w:t>
      </w:r>
      <w:r w:rsidRPr="2390F54D">
        <w:rPr>
          <w:rFonts w:eastAsiaTheme="minorEastAsia"/>
        </w:rPr>
        <w:t>the</w:t>
      </w:r>
      <w:r w:rsidRPr="2785112B">
        <w:rPr>
          <w:rFonts w:eastAsiaTheme="minorEastAsia"/>
        </w:rPr>
        <w:t xml:space="preserve"> ratio of </w:t>
      </w:r>
      <w:r w:rsidRPr="00565A68">
        <w:t>reservoir</w:t>
      </w:r>
      <w:r w:rsidRPr="2785112B">
        <w:rPr>
          <w:rFonts w:eastAsiaTheme="minorEastAsia"/>
        </w:rPr>
        <w:t xml:space="preserve"> volume to mean inflow, representing the average time water remains within the reservoir </w:t>
      </w:r>
      <w:r w:rsidR="00124FE5">
        <w:rPr>
          <w:rFonts w:eastAsiaTheme="minorEastAsia"/>
        </w:rPr>
        <w:t>taking into account</w:t>
      </w:r>
      <w:r w:rsidRPr="2785112B">
        <w:rPr>
          <w:rFonts w:eastAsiaTheme="minorEastAsia"/>
        </w:rPr>
        <w:t xml:space="preserve"> </w:t>
      </w:r>
      <w:r w:rsidR="008C1A33" w:rsidRPr="00995EE7">
        <w:rPr>
          <w:rFonts w:eastAsiaTheme="minorEastAsia"/>
        </w:rPr>
        <w:t>various inflow</w:t>
      </w:r>
      <w:r w:rsidR="008C1A33">
        <w:rPr>
          <w:rFonts w:eastAsiaTheme="minorEastAsia"/>
        </w:rPr>
        <w:t xml:space="preserve"> </w:t>
      </w:r>
      <w:r w:rsidRPr="2785112B">
        <w:rPr>
          <w:rFonts w:eastAsiaTheme="minorEastAsia"/>
        </w:rPr>
        <w:t>conditions;</w:t>
      </w:r>
    </w:p>
    <w:p w14:paraId="7CA98AA3" w14:textId="486C01C9" w:rsidR="00E84033" w:rsidRPr="00E84033" w:rsidRDefault="00E84033" w:rsidP="00963BA6">
      <w:pPr>
        <w:pStyle w:val="SDMSubPara1"/>
      </w:pPr>
      <w:r w:rsidRPr="2972558D">
        <w:rPr>
          <w:rFonts w:eastAsiaTheme="minorEastAsia"/>
          <w:b/>
          <w:bCs/>
        </w:rPr>
        <w:t>Installed power generation capacity (or installed capacity):</w:t>
      </w:r>
      <w:r>
        <w:rPr>
          <w:rFonts w:eastAsiaTheme="minorEastAsia"/>
        </w:rPr>
        <w:t xml:space="preserve"> </w:t>
      </w:r>
      <w:r w:rsidRPr="2972558D">
        <w:rPr>
          <w:rFonts w:eastAsiaTheme="minorEastAsia"/>
        </w:rPr>
        <w:t xml:space="preserve">capacity, expressed in Watts or one of its multiples, for which a power unit has been designed to operate at nominal conditions. The installed power generation capacity of a power plant is the sum of the installed power </w:t>
      </w:r>
      <w:r w:rsidRPr="00565A68">
        <w:t>generation</w:t>
      </w:r>
      <w:r w:rsidRPr="2972558D">
        <w:rPr>
          <w:rFonts w:eastAsiaTheme="minorEastAsia"/>
        </w:rPr>
        <w:t xml:space="preserve"> capacities of its power units;</w:t>
      </w:r>
    </w:p>
    <w:p w14:paraId="460E5149" w14:textId="2CF081DA" w:rsidR="00E84033" w:rsidRDefault="00E84033" w:rsidP="00963BA6">
      <w:pPr>
        <w:pStyle w:val="SDMSubPara1"/>
      </w:pPr>
      <w:bookmarkStart w:id="58" w:name="_Ref233021173"/>
      <w:r w:rsidRPr="28359651">
        <w:rPr>
          <w:b/>
          <w:bCs/>
        </w:rPr>
        <w:t>Peatlands:</w:t>
      </w:r>
      <w:r>
        <w:t xml:space="preserve"> wetland ecosystems where soils are dominated by peat. In peatlands net primary production exceeds organic matter decomposition as a result of </w:t>
      </w:r>
      <w:r w:rsidRPr="00B34EAE">
        <w:rPr>
          <w:rFonts w:eastAsiaTheme="minorEastAsia"/>
        </w:rPr>
        <w:t>waterlogged</w:t>
      </w:r>
      <w:r>
        <w:t xml:space="preserve"> conditions, which leads to the accumulation of peat. In absence of a host country definition,</w:t>
      </w:r>
      <w:r w:rsidDel="593CBD90">
        <w:t xml:space="preserve"> peat</w:t>
      </w:r>
      <w:r>
        <w:t xml:space="preserve"> shall be defined as soft, porous or compressed, sedimentary deposit of plant origin with high water content in the natural state (up to about 90 per cent);</w:t>
      </w:r>
      <w:bookmarkEnd w:id="58"/>
    </w:p>
    <w:p w14:paraId="340B62BE" w14:textId="360C2608" w:rsidR="00E84033" w:rsidRPr="00E84033" w:rsidRDefault="00E84033" w:rsidP="00963BA6">
      <w:pPr>
        <w:pStyle w:val="SDMSubPara1"/>
      </w:pPr>
      <w:r w:rsidRPr="602B44B3">
        <w:rPr>
          <w:rFonts w:eastAsiaTheme="minorEastAsia"/>
          <w:b/>
          <w:bCs/>
          <w:lang w:val="en-US" w:eastAsia="en-US"/>
        </w:rPr>
        <w:t>Power plant/unit:</w:t>
      </w:r>
      <w:r w:rsidRPr="602B44B3">
        <w:rPr>
          <w:rFonts w:eastAsiaTheme="minorEastAsia"/>
          <w:lang w:val="en-US" w:eastAsia="en-US"/>
        </w:rPr>
        <w:t xml:space="preserve"> </w:t>
      </w:r>
      <w:r w:rsidRPr="2390F54D">
        <w:rPr>
          <w:rFonts w:eastAsiaTheme="minorEastAsia"/>
          <w:lang w:val="en-US" w:eastAsia="en-US"/>
        </w:rPr>
        <w:t>a</w:t>
      </w:r>
      <w:r w:rsidRPr="602B44B3">
        <w:rPr>
          <w:rFonts w:eastAsiaTheme="minorEastAsia"/>
          <w:lang w:val="en-US" w:eastAsia="en-US"/>
        </w:rPr>
        <w:t xml:space="preserve"> facility that generates electric power. Several power units at one site comprise one power plant, whereas a power unit is characterized by the fact that it can operate independently from other power units at the same site. Where several identical power units (i.e.</w:t>
      </w:r>
      <w:r>
        <w:rPr>
          <w:rFonts w:eastAsiaTheme="minorEastAsia"/>
          <w:lang w:val="en-US" w:eastAsia="en-US"/>
        </w:rPr>
        <w:t>,</w:t>
      </w:r>
      <w:r w:rsidRPr="602B44B3">
        <w:rPr>
          <w:rFonts w:eastAsiaTheme="minorEastAsia"/>
          <w:lang w:val="en-US" w:eastAsia="en-US"/>
        </w:rPr>
        <w:t xml:space="preserve"> </w:t>
      </w:r>
      <w:r w:rsidRPr="00565A68">
        <w:t>with</w:t>
      </w:r>
      <w:r w:rsidRPr="602B44B3">
        <w:rPr>
          <w:rFonts w:eastAsiaTheme="minorEastAsia"/>
          <w:lang w:val="en-US" w:eastAsia="en-US"/>
        </w:rPr>
        <w:t xml:space="preserve"> the same capacity, age and efficiency) are installed at one site, they may be considered as one single power unit;</w:t>
      </w:r>
    </w:p>
    <w:p w14:paraId="17801673" w14:textId="15560327" w:rsidR="00E84033" w:rsidRPr="00E84033" w:rsidRDefault="00E84033" w:rsidP="00963BA6">
      <w:pPr>
        <w:pStyle w:val="SDMSubPara1"/>
      </w:pPr>
      <w:r w:rsidRPr="00FB02B4">
        <w:rPr>
          <w:rFonts w:eastAsiaTheme="minorEastAsia"/>
          <w:b/>
          <w:bCs/>
        </w:rPr>
        <w:t>Reservoir:</w:t>
      </w:r>
      <w:r w:rsidRPr="00FB02B4">
        <w:rPr>
          <w:rFonts w:eastAsiaTheme="minorEastAsia"/>
        </w:rPr>
        <w:t xml:space="preserve"> a natural or artificial </w:t>
      </w:r>
      <w:r w:rsidRPr="00565A68">
        <w:t>water</w:t>
      </w:r>
      <w:r w:rsidRPr="00FB02B4">
        <w:rPr>
          <w:rFonts w:eastAsiaTheme="minorEastAsia"/>
        </w:rPr>
        <w:t xml:space="preserve"> body created to store water, often made by the construction of a dam;</w:t>
      </w:r>
    </w:p>
    <w:p w14:paraId="453EC8F2" w14:textId="339D49DB" w:rsidR="00E84033" w:rsidRPr="00E84033" w:rsidRDefault="00E84033" w:rsidP="00963BA6">
      <w:pPr>
        <w:pStyle w:val="SDMSubPara1"/>
      </w:pPr>
      <w:r w:rsidRPr="002326B2">
        <w:rPr>
          <w:rFonts w:eastAsiaTheme="minorEastAsia"/>
          <w:b/>
          <w:bCs/>
        </w:rPr>
        <w:t>Run-of-river hydropower plant:</w:t>
      </w:r>
      <w:r w:rsidRPr="002326B2">
        <w:rPr>
          <w:rFonts w:eastAsiaTheme="minorEastAsia"/>
        </w:rPr>
        <w:t xml:space="preserve"> </w:t>
      </w:r>
      <w:r w:rsidRPr="2390F54D">
        <w:rPr>
          <w:rFonts w:eastAsiaTheme="minorEastAsia"/>
        </w:rPr>
        <w:t>a hydropower</w:t>
      </w:r>
      <w:r w:rsidRPr="002326B2">
        <w:rPr>
          <w:rFonts w:eastAsiaTheme="minorEastAsia"/>
        </w:rPr>
        <w:t xml:space="preserve"> plant that draws the energy for electricity production mainly from the </w:t>
      </w:r>
      <w:r w:rsidRPr="00565A68">
        <w:t>available</w:t>
      </w:r>
      <w:r w:rsidRPr="002326B2">
        <w:rPr>
          <w:rFonts w:eastAsiaTheme="minorEastAsia"/>
        </w:rPr>
        <w:t xml:space="preserve"> flow of the river, such that the </w:t>
      </w:r>
      <w:r w:rsidRPr="002326B2">
        <w:rPr>
          <w:rFonts w:eastAsiaTheme="minorEastAsia"/>
        </w:rPr>
        <w:lastRenderedPageBreak/>
        <w:t>generation profile will, to varying degrees, be dictated by local river flow conditions;</w:t>
      </w:r>
      <w:r w:rsidRPr="002326B2">
        <w:rPr>
          <w:rStyle w:val="FootnoteReference"/>
          <w:rFonts w:eastAsiaTheme="minorEastAsia"/>
        </w:rPr>
        <w:footnoteReference w:id="2"/>
      </w:r>
      <w:r w:rsidRPr="002326B2">
        <w:rPr>
          <w:rFonts w:eastAsiaTheme="minorEastAsia"/>
        </w:rPr>
        <w:t xml:space="preserve"> and</w:t>
      </w:r>
    </w:p>
    <w:p w14:paraId="08941588" w14:textId="6018BDE5" w:rsidR="00E84033" w:rsidRDefault="00E84033" w:rsidP="00963BA6">
      <w:pPr>
        <w:pStyle w:val="SDMSubPara1"/>
      </w:pPr>
      <w:r w:rsidRPr="2785112B">
        <w:rPr>
          <w:rFonts w:eastAsiaTheme="minorEastAsia"/>
          <w:b/>
          <w:bCs/>
        </w:rPr>
        <w:t>Storage duration:</w:t>
      </w:r>
      <w:r>
        <w:t xml:space="preserve"> the equivalent time, expressed in hours, for which a hydropower plant can operate at rated turbine discharge using only its usable storage volume between maximum and minimum operating levels, assuming zero inflow.</w:t>
      </w:r>
    </w:p>
    <w:p w14:paraId="67AAD79E" w14:textId="26EA392C" w:rsidR="002C3056" w:rsidRPr="00CB7EFA" w:rsidRDefault="00B960DB" w:rsidP="00963BA6">
      <w:pPr>
        <w:pStyle w:val="SDMPara"/>
      </w:pPr>
      <w:r w:rsidRPr="00CB7EFA">
        <w:t>Furthermore, the terms in the “Glossary: Article 6.4 mechanism terms” (A6.4</w:t>
      </w:r>
      <w:r w:rsidR="002C3056" w:rsidRPr="00CB7EFA">
        <w:noBreakHyphen/>
      </w:r>
      <w:r w:rsidRPr="00CB7EFA">
        <w:t>GLOS</w:t>
      </w:r>
      <w:r w:rsidR="002C3056" w:rsidRPr="00CB7EFA">
        <w:noBreakHyphen/>
      </w:r>
      <w:r w:rsidRPr="00CB7EFA">
        <w:t>GOV</w:t>
      </w:r>
      <w:r w:rsidR="002C3056" w:rsidRPr="00CB7EFA">
        <w:noBreakHyphen/>
      </w:r>
      <w:r w:rsidRPr="00CB7EFA">
        <w:t>001)</w:t>
      </w:r>
      <w:r w:rsidR="00F94448" w:rsidRPr="00CB7EFA">
        <w:rPr>
          <w:rStyle w:val="FootnoteReference"/>
        </w:rPr>
        <w:footnoteReference w:id="3"/>
      </w:r>
      <w:r w:rsidR="003001DA">
        <w:t xml:space="preserve"> </w:t>
      </w:r>
      <w:r w:rsidRPr="00CB7EFA">
        <w:t xml:space="preserve">and the definitions and terms in this mechanism methodology referred to in section </w:t>
      </w:r>
      <w:r w:rsidR="00E84033">
        <w:t>3</w:t>
      </w:r>
      <w:r w:rsidRPr="00CB7EFA">
        <w:t>, shall apply.</w:t>
      </w:r>
    </w:p>
    <w:p w14:paraId="222E5791" w14:textId="77777777" w:rsidR="002C3056" w:rsidRPr="00CB7EFA" w:rsidRDefault="00B960DB" w:rsidP="00B960DB">
      <w:pPr>
        <w:pStyle w:val="SDMHead1"/>
      </w:pPr>
      <w:bookmarkStart w:id="59" w:name="_Toc233881714"/>
      <w:bookmarkStart w:id="60" w:name="_Toc233882080"/>
      <w:bookmarkStart w:id="61" w:name="_Toc233884207"/>
      <w:bookmarkStart w:id="62" w:name="_Toc233902816"/>
      <w:bookmarkStart w:id="63" w:name="_Toc233902853"/>
      <w:bookmarkStart w:id="64" w:name="_Toc236391884"/>
      <w:bookmarkStart w:id="65" w:name="_Toc236394026"/>
      <w:r w:rsidRPr="00CB7EFA">
        <w:t>Normative and informative references</w:t>
      </w:r>
      <w:bookmarkEnd w:id="59"/>
      <w:bookmarkEnd w:id="60"/>
      <w:bookmarkEnd w:id="61"/>
      <w:bookmarkEnd w:id="62"/>
      <w:bookmarkEnd w:id="63"/>
      <w:bookmarkEnd w:id="64"/>
      <w:bookmarkEnd w:id="65"/>
    </w:p>
    <w:p w14:paraId="3116B59F" w14:textId="4F425C9E" w:rsidR="00E84033" w:rsidRDefault="00E84033" w:rsidP="00F41785">
      <w:pPr>
        <w:pStyle w:val="SDMPara"/>
      </w:pPr>
      <w:r>
        <w:t>The mechanism methodology is based on elements from version 22.0 of the Clean Development Mechanism (CDM) methodology “ACM0002: Grid-connected electricity generation from renewable sources"</w:t>
      </w:r>
      <w:r>
        <w:rPr>
          <w:rStyle w:val="FootnoteReference"/>
        </w:rPr>
        <w:footnoteReference w:id="4"/>
      </w:r>
      <w:r>
        <w:t xml:space="preserve"> and version 18.0 of the small-scale CDM methodology “AMS-I.D.: Grid connected renewable electricity generation”.</w:t>
      </w:r>
      <w:r>
        <w:rPr>
          <w:rStyle w:val="FootnoteReference"/>
        </w:rPr>
        <w:footnoteReference w:id="5"/>
      </w:r>
    </w:p>
    <w:p w14:paraId="42687B19" w14:textId="57FEAE9F" w:rsidR="002C3056" w:rsidRPr="00CB7EFA" w:rsidRDefault="00E84033" w:rsidP="00EC00DE">
      <w:pPr>
        <w:pStyle w:val="SDMPara"/>
        <w:keepNext/>
      </w:pPr>
      <w:bookmarkStart w:id="66" w:name="_Ref232540863"/>
      <w:r w:rsidRPr="2785112B">
        <w:rPr>
          <w:rFonts w:eastAsiaTheme="minorEastAsia"/>
        </w:rPr>
        <w:t xml:space="preserve">The </w:t>
      </w:r>
      <w:r w:rsidRPr="00565A68">
        <w:t>following</w:t>
      </w:r>
      <w:r w:rsidRPr="2785112B">
        <w:rPr>
          <w:rFonts w:eastAsiaTheme="minorEastAsia"/>
        </w:rPr>
        <w:t xml:space="preserve"> documents are indispensable for the application of this mechanism </w:t>
      </w:r>
      <w:r w:rsidRPr="00F41785">
        <w:t>methodology</w:t>
      </w:r>
      <w:r w:rsidRPr="2785112B">
        <w:rPr>
          <w:rFonts w:eastAsiaTheme="minorEastAsia"/>
        </w:rPr>
        <w:t>. When applying this mechanism methodology, a valid version of the documents listed below shall be used:</w:t>
      </w:r>
      <w:bookmarkEnd w:id="66"/>
    </w:p>
    <w:p w14:paraId="15B4B688" w14:textId="5F82D8F7" w:rsidR="00B960DB" w:rsidRPr="00CB7EFA" w:rsidRDefault="00E84033" w:rsidP="00963BA6">
      <w:pPr>
        <w:pStyle w:val="SDMSubPara1"/>
      </w:pPr>
      <w:r>
        <w:rPr>
          <w:rFonts w:eastAsiaTheme="minorEastAsia"/>
        </w:rPr>
        <w:t>“</w:t>
      </w:r>
      <w:r w:rsidRPr="00B52A7C">
        <w:rPr>
          <w:rFonts w:eastAsiaTheme="minorEastAsia"/>
        </w:rPr>
        <w:t>Methodological tool: Common practice analysis</w:t>
      </w:r>
      <w:r>
        <w:rPr>
          <w:rFonts w:eastAsiaTheme="minorEastAsia"/>
        </w:rPr>
        <w:t>” (</w:t>
      </w:r>
      <w:r w:rsidRPr="00B52A7C">
        <w:rPr>
          <w:rFonts w:eastAsiaTheme="minorEastAsia"/>
        </w:rPr>
        <w:t>A6.4-AMT-001</w:t>
      </w:r>
      <w:r>
        <w:rPr>
          <w:rFonts w:eastAsiaTheme="minorEastAsia"/>
        </w:rPr>
        <w:t>);</w:t>
      </w:r>
      <w:r>
        <w:rPr>
          <w:rStyle w:val="FootnoteReference"/>
          <w:rFonts w:eastAsiaTheme="minorEastAsia"/>
        </w:rPr>
        <w:footnoteReference w:id="6"/>
      </w:r>
    </w:p>
    <w:p w14:paraId="24BDA5F9" w14:textId="1A9519E0" w:rsidR="00E84033" w:rsidRDefault="00E84033" w:rsidP="00963BA6">
      <w:pPr>
        <w:pStyle w:val="SDMSubPara1"/>
      </w:pPr>
      <w:r>
        <w:rPr>
          <w:rFonts w:eastAsiaTheme="minorEastAsia"/>
        </w:rPr>
        <w:t>“</w:t>
      </w:r>
      <w:r w:rsidRPr="00B52A7C">
        <w:rPr>
          <w:rFonts w:eastAsiaTheme="minorEastAsia"/>
        </w:rPr>
        <w:t>Methodological tool: Investment analysis</w:t>
      </w:r>
      <w:r>
        <w:rPr>
          <w:rFonts w:eastAsiaTheme="minorEastAsia"/>
        </w:rPr>
        <w:t>” (</w:t>
      </w:r>
      <w:r w:rsidRPr="00B52A7C">
        <w:rPr>
          <w:rFonts w:eastAsiaTheme="minorEastAsia"/>
        </w:rPr>
        <w:t>A6.4-AMT-002</w:t>
      </w:r>
      <w:r>
        <w:rPr>
          <w:rFonts w:eastAsiaTheme="minorEastAsia"/>
        </w:rPr>
        <w:t>)</w:t>
      </w:r>
      <w:r w:rsidRPr="00B52A7C">
        <w:rPr>
          <w:rFonts w:eastAsiaTheme="minorEastAsia"/>
        </w:rPr>
        <w:t>;</w:t>
      </w:r>
      <w:r>
        <w:rPr>
          <w:rStyle w:val="FootnoteReference"/>
          <w:rFonts w:eastAsiaTheme="minorEastAsia"/>
        </w:rPr>
        <w:footnoteReference w:id="7"/>
      </w:r>
    </w:p>
    <w:p w14:paraId="7FE33464" w14:textId="77777777" w:rsidR="00E84033" w:rsidRDefault="00E84033" w:rsidP="00E84033">
      <w:pPr>
        <w:pStyle w:val="SDMSubPara1"/>
        <w:rPr>
          <w:rFonts w:eastAsiaTheme="minorEastAsia"/>
        </w:rPr>
      </w:pPr>
      <w:r>
        <w:rPr>
          <w:rFonts w:eastAsiaTheme="minorEastAsia"/>
        </w:rPr>
        <w:t>“</w:t>
      </w:r>
      <w:r w:rsidRPr="00B52A7C">
        <w:rPr>
          <w:rFonts w:eastAsiaTheme="minorEastAsia"/>
        </w:rPr>
        <w:t>Methodological tool</w:t>
      </w:r>
      <w:r>
        <w:rPr>
          <w:rFonts w:eastAsiaTheme="minorEastAsia"/>
        </w:rPr>
        <w:t>:</w:t>
      </w:r>
      <w:r w:rsidRPr="2785112B">
        <w:rPr>
          <w:rFonts w:eastAsiaTheme="minorEastAsia"/>
        </w:rPr>
        <w:t xml:space="preserve"> Emissions from electricity generation and consumption</w:t>
      </w:r>
      <w:r>
        <w:rPr>
          <w:rFonts w:eastAsiaTheme="minorEastAsia"/>
        </w:rPr>
        <w:t>” (</w:t>
      </w:r>
      <w:r w:rsidRPr="2785112B">
        <w:rPr>
          <w:rFonts w:eastAsiaTheme="minorEastAsia"/>
        </w:rPr>
        <w:t>A6.4-AMT-007</w:t>
      </w:r>
      <w:r>
        <w:rPr>
          <w:rFonts w:eastAsiaTheme="minorEastAsia"/>
        </w:rPr>
        <w:t>);</w:t>
      </w:r>
      <w:r>
        <w:rPr>
          <w:rStyle w:val="FootnoteReference"/>
          <w:rFonts w:eastAsiaTheme="minorEastAsia"/>
        </w:rPr>
        <w:footnoteReference w:id="8"/>
      </w:r>
      <w:r>
        <w:rPr>
          <w:rFonts w:eastAsiaTheme="minorEastAsia"/>
        </w:rPr>
        <w:t xml:space="preserve"> and</w:t>
      </w:r>
    </w:p>
    <w:p w14:paraId="4A5DDDE8" w14:textId="77777777" w:rsidR="00E84033" w:rsidRPr="007A69D2" w:rsidRDefault="00E84033" w:rsidP="003D1222">
      <w:pPr>
        <w:pStyle w:val="SDMSubPara1"/>
        <w:rPr>
          <w:rFonts w:eastAsiaTheme="minorEastAsia"/>
        </w:rPr>
      </w:pPr>
      <w:r w:rsidRPr="007A69D2">
        <w:rPr>
          <w:rFonts w:eastAsiaTheme="minorEastAsia"/>
        </w:rPr>
        <w:t>“Methodological tool: Analysis of lock-in risk</w:t>
      </w:r>
      <w:r w:rsidRPr="468467EB">
        <w:rPr>
          <w:rFonts w:eastAsiaTheme="minorEastAsia"/>
        </w:rPr>
        <w:t>” (</w:t>
      </w:r>
      <w:r w:rsidRPr="00694397">
        <w:rPr>
          <w:rFonts w:eastAsiaTheme="minorEastAsia"/>
        </w:rPr>
        <w:t>A6.4-AMT-008</w:t>
      </w:r>
      <w:r>
        <w:rPr>
          <w:rFonts w:eastAsiaTheme="minorEastAsia"/>
        </w:rPr>
        <w:t>).</w:t>
      </w:r>
      <w:r>
        <w:rPr>
          <w:rStyle w:val="FootnoteReference"/>
          <w:rFonts w:eastAsiaTheme="minorEastAsia"/>
        </w:rPr>
        <w:footnoteReference w:id="9"/>
      </w:r>
    </w:p>
    <w:p w14:paraId="70ECEDEF" w14:textId="77777777" w:rsidR="002C3056" w:rsidRPr="00CB7EFA" w:rsidRDefault="00B960DB" w:rsidP="00EC00DE">
      <w:pPr>
        <w:pStyle w:val="SDMPara"/>
        <w:keepNext/>
      </w:pPr>
      <w:r w:rsidRPr="00CB7EFA">
        <w:lastRenderedPageBreak/>
        <w:t>The following documents provide background information of this mechanism methodology</w:t>
      </w:r>
      <w:r w:rsidR="002C3056" w:rsidRPr="00CB7EFA">
        <w:t>:</w:t>
      </w:r>
    </w:p>
    <w:p w14:paraId="7C9506AD" w14:textId="63DEC315" w:rsidR="00E84033" w:rsidRDefault="00E84033" w:rsidP="00963BA6">
      <w:pPr>
        <w:pStyle w:val="SDMSubPara1"/>
      </w:pPr>
      <w:r w:rsidRPr="00F757F9">
        <w:rPr>
          <w:rFonts w:eastAsia="Arial"/>
        </w:rPr>
        <w:t>Intergovernmental</w:t>
      </w:r>
      <w:r w:rsidRPr="00684A1D">
        <w:rPr>
          <w:lang w:val="en-US"/>
        </w:rPr>
        <w:t xml:space="preserve"> Panel on Climate Change (IPCC), </w:t>
      </w:r>
      <w:r w:rsidRPr="00F1657A">
        <w:rPr>
          <w:lang w:val="en-US"/>
        </w:rPr>
        <w:t>Special Report on Renewable Energy Sources and Climate Change Mitigation</w:t>
      </w:r>
      <w:r w:rsidRPr="00684A1D">
        <w:rPr>
          <w:lang w:val="en-US"/>
        </w:rPr>
        <w:t xml:space="preserve"> (Cambridge and New York, Cambridge University Press, 2011)</w:t>
      </w:r>
      <w:r>
        <w:t>;</w:t>
      </w:r>
      <w:r>
        <w:rPr>
          <w:rStyle w:val="FootnoteReference"/>
        </w:rPr>
        <w:footnoteReference w:id="10"/>
      </w:r>
    </w:p>
    <w:p w14:paraId="444668E5" w14:textId="77777777" w:rsidR="00E84033" w:rsidRDefault="00E84033" w:rsidP="00E84033">
      <w:pPr>
        <w:pStyle w:val="SDMSubPara1"/>
        <w:rPr>
          <w:rFonts w:eastAsiaTheme="minorEastAsia"/>
        </w:rPr>
      </w:pPr>
      <w:r w:rsidRPr="007A0427">
        <w:t>Intergovernmental Panel on Climate Change (20</w:t>
      </w:r>
      <w:r>
        <w:t>06</w:t>
      </w:r>
      <w:r w:rsidRPr="007A0427">
        <w:t>)</w:t>
      </w:r>
      <w:r>
        <w:t>.</w:t>
      </w:r>
      <w:r w:rsidRPr="007A0427">
        <w:t xml:space="preserve"> 2006 IPCC Guidelines for National Greenhouse Gas Inventories. Volume </w:t>
      </w:r>
      <w:r>
        <w:t>2</w:t>
      </w:r>
      <w:r w:rsidRPr="007A0427">
        <w:t xml:space="preserve">: </w:t>
      </w:r>
      <w:r>
        <w:t>Energy</w:t>
      </w:r>
      <w:r w:rsidRPr="007A0427">
        <w:t>. IPCC, Geneva, Switzerland</w:t>
      </w:r>
      <w:r>
        <w:t>;</w:t>
      </w:r>
      <w:r>
        <w:rPr>
          <w:rStyle w:val="FootnoteReference"/>
        </w:rPr>
        <w:footnoteReference w:id="11"/>
      </w:r>
      <w:r>
        <w:t xml:space="preserve"> and</w:t>
      </w:r>
    </w:p>
    <w:p w14:paraId="5C32FB6C" w14:textId="77777777" w:rsidR="00E84033" w:rsidRPr="000C45C2" w:rsidRDefault="00E84033" w:rsidP="00E84033">
      <w:pPr>
        <w:pStyle w:val="SDMSubPara1"/>
        <w:rPr>
          <w:rFonts w:eastAsiaTheme="minorEastAsia"/>
        </w:rPr>
      </w:pPr>
      <w:r w:rsidRPr="00565A68">
        <w:rPr>
          <w:rFonts w:eastAsiaTheme="minorEastAsia"/>
        </w:rPr>
        <w:t>Intergovernmental Panel on Climate Change (2019). 2019 Refinement to the 2006 IPCC</w:t>
      </w:r>
      <w:r>
        <w:t xml:space="preserve"> Guidelines for National Greenhouse Gas Inventories</w:t>
      </w:r>
      <w:r w:rsidRPr="007A0427">
        <w:t xml:space="preserve">. Volume </w:t>
      </w:r>
      <w:r>
        <w:t>1</w:t>
      </w:r>
      <w:r w:rsidRPr="007A0427">
        <w:t xml:space="preserve">: </w:t>
      </w:r>
      <w:r w:rsidRPr="00C07313">
        <w:t>General Guidance and Reporting</w:t>
      </w:r>
      <w:r w:rsidRPr="007A0427">
        <w:t>. IPCC, Geneva, Switzerland.</w:t>
      </w:r>
      <w:r>
        <w:rPr>
          <w:rStyle w:val="FootnoteReference"/>
        </w:rPr>
        <w:footnoteReference w:id="12"/>
      </w:r>
    </w:p>
    <w:p w14:paraId="1F82D00B" w14:textId="77777777" w:rsidR="002C3056" w:rsidRPr="00CB7EFA" w:rsidRDefault="00B960DB" w:rsidP="00B960DB">
      <w:pPr>
        <w:pStyle w:val="SDMHead1"/>
      </w:pPr>
      <w:bookmarkStart w:id="67" w:name="_Toc233881715"/>
      <w:bookmarkStart w:id="68" w:name="_Toc233882081"/>
      <w:bookmarkStart w:id="69" w:name="_Toc233884208"/>
      <w:bookmarkStart w:id="70" w:name="_Toc233902817"/>
      <w:bookmarkStart w:id="71" w:name="_Toc233902854"/>
      <w:bookmarkStart w:id="72" w:name="_Toc236391885"/>
      <w:bookmarkStart w:id="73" w:name="_Toc236394027"/>
      <w:r w:rsidRPr="00CB7EFA">
        <w:t>Applicability</w:t>
      </w:r>
      <w:bookmarkEnd w:id="67"/>
      <w:bookmarkEnd w:id="68"/>
      <w:bookmarkEnd w:id="69"/>
      <w:bookmarkEnd w:id="70"/>
      <w:bookmarkEnd w:id="71"/>
      <w:bookmarkEnd w:id="72"/>
      <w:bookmarkEnd w:id="73"/>
    </w:p>
    <w:p w14:paraId="051DCAB1" w14:textId="77777777" w:rsidR="009D1387" w:rsidRDefault="009D1387" w:rsidP="009D1387">
      <w:pPr>
        <w:pStyle w:val="SDMPara"/>
        <w:rPr>
          <w:rFonts w:eastAsiaTheme="minorEastAsia"/>
          <w:lang w:val="en-US"/>
        </w:rPr>
      </w:pPr>
      <w:bookmarkStart w:id="74" w:name="_Ref224578018"/>
      <w:bookmarkStart w:id="75" w:name="_Ref233141135"/>
      <w:r w:rsidRPr="31C8FB4F">
        <w:rPr>
          <w:rFonts w:eastAsiaTheme="minorEastAsia"/>
        </w:rPr>
        <w:t xml:space="preserve">This </w:t>
      </w:r>
      <w:r w:rsidRPr="00565A68">
        <w:t>mechanism</w:t>
      </w:r>
      <w:r w:rsidRPr="31C8FB4F">
        <w:rPr>
          <w:rFonts w:eastAsiaTheme="minorEastAsia"/>
        </w:rPr>
        <w:t xml:space="preserve"> methodology is applicable to Article 6.4 activities that install a </w:t>
      </w:r>
      <w:r>
        <w:t>greenfield power plant that generates electricity from renewable sources and feeds all the net electricity generated into an electricity system.</w:t>
      </w:r>
      <w:bookmarkEnd w:id="74"/>
      <w:r w:rsidRPr="00572A32">
        <w:rPr>
          <w:rStyle w:val="FootnoteReference"/>
          <w:rFonts w:eastAsiaTheme="minorEastAsia"/>
        </w:rPr>
        <w:t xml:space="preserve"> </w:t>
      </w:r>
      <w:r>
        <w:rPr>
          <w:rStyle w:val="FootnoteReference"/>
          <w:rFonts w:eastAsiaTheme="minorEastAsia"/>
        </w:rPr>
        <w:footnoteReference w:id="13"/>
      </w:r>
      <w:bookmarkEnd w:id="75"/>
    </w:p>
    <w:p w14:paraId="62F59508" w14:textId="77777777" w:rsidR="009D1387" w:rsidRDefault="009D1387" w:rsidP="009D1387">
      <w:pPr>
        <w:pStyle w:val="SDMPara"/>
        <w:rPr>
          <w:rFonts w:eastAsiaTheme="minorEastAsia"/>
        </w:rPr>
      </w:pPr>
      <w:bookmarkStart w:id="76" w:name="_Ref233803884"/>
      <w:r w:rsidRPr="00322DBB">
        <w:rPr>
          <w:rFonts w:eastAsiaTheme="minorEastAsia"/>
        </w:rPr>
        <w:t xml:space="preserve">The types of renewable energy power plants eligible under this mechanism methodology are </w:t>
      </w:r>
      <w:r w:rsidRPr="00565A68">
        <w:t>hydropower</w:t>
      </w:r>
      <w:r w:rsidRPr="00322DBB">
        <w:rPr>
          <w:rFonts w:eastAsiaTheme="minorEastAsia"/>
        </w:rPr>
        <w:t xml:space="preserve"> plants, </w:t>
      </w:r>
      <w:r w:rsidRPr="00322DBB">
        <w:t>w</w:t>
      </w:r>
      <w:r w:rsidRPr="00322DBB">
        <w:rPr>
          <w:rFonts w:eastAsiaTheme="minorEastAsia"/>
        </w:rPr>
        <w:t>ind power plants, solar photovoltaic power plants, solar thermal power plants, and geothermal power plants.</w:t>
      </w:r>
      <w:bookmarkEnd w:id="76"/>
    </w:p>
    <w:p w14:paraId="47F7B66A" w14:textId="74D5A419" w:rsidR="009D1387" w:rsidRPr="009D1387" w:rsidRDefault="009D1387" w:rsidP="00EC00DE">
      <w:pPr>
        <w:pStyle w:val="SDMPara"/>
        <w:keepNext/>
      </w:pPr>
      <w:bookmarkStart w:id="77" w:name="_Ref232540213"/>
      <w:bookmarkStart w:id="78" w:name="_Ref236324694"/>
      <w:r w:rsidRPr="0093433E">
        <w:rPr>
          <w:lang w:val="en-US"/>
        </w:rPr>
        <w:t xml:space="preserve">This </w:t>
      </w:r>
      <w:r w:rsidRPr="00565A68">
        <w:t>methodology</w:t>
      </w:r>
      <w:r w:rsidRPr="0093433E">
        <w:rPr>
          <w:lang w:val="en-US"/>
        </w:rPr>
        <w:t xml:space="preserve"> may also be applied to power plants that incorporate </w:t>
      </w:r>
      <w:r w:rsidRPr="00306DD5">
        <w:rPr>
          <w:lang w:val="en-US"/>
        </w:rPr>
        <w:t>a</w:t>
      </w:r>
      <w:r w:rsidRPr="0093433E">
        <w:rPr>
          <w:lang w:val="en-US"/>
        </w:rPr>
        <w:t xml:space="preserve"> battery energy </w:t>
      </w:r>
      <w:r w:rsidRPr="005429EC">
        <w:rPr>
          <w:rFonts w:eastAsiaTheme="minorEastAsia"/>
        </w:rPr>
        <w:t>storage</w:t>
      </w:r>
      <w:r w:rsidRPr="0093433E">
        <w:rPr>
          <w:lang w:val="en-US"/>
        </w:rPr>
        <w:t xml:space="preserve"> system (BESS).</w:t>
      </w:r>
      <w:r w:rsidR="008A18E5">
        <w:rPr>
          <w:rStyle w:val="FootnoteReference"/>
          <w:rFonts w:eastAsiaTheme="minorEastAsia"/>
        </w:rPr>
        <w:footnoteReference w:id="14"/>
      </w:r>
      <w:r w:rsidRPr="0093433E">
        <w:rPr>
          <w:lang w:val="en-US"/>
        </w:rPr>
        <w:t xml:space="preserve"> The BESS shall be:</w:t>
      </w:r>
      <w:bookmarkEnd w:id="77"/>
      <w:bookmarkEnd w:id="78"/>
    </w:p>
    <w:p w14:paraId="5089BDE9" w14:textId="77777777" w:rsidR="009D1387" w:rsidRDefault="009D1387" w:rsidP="009D1387">
      <w:pPr>
        <w:pStyle w:val="SDMSubPara1"/>
      </w:pPr>
      <w:r>
        <w:t>Located at the same site as the renewable energy power plant;</w:t>
      </w:r>
    </w:p>
    <w:p w14:paraId="4F477BB8" w14:textId="77777777" w:rsidR="009D1387" w:rsidRDefault="009D1387" w:rsidP="009D1387">
      <w:pPr>
        <w:pStyle w:val="SDMSubPara1"/>
      </w:pPr>
      <w:r>
        <w:t>Solely charged with electricity provided by the Article 6.4 renewable power generation plant; and</w:t>
      </w:r>
    </w:p>
    <w:p w14:paraId="57E7C6DD" w14:textId="04622727" w:rsidR="009D1387" w:rsidRDefault="009D1387" w:rsidP="009D1387">
      <w:pPr>
        <w:pStyle w:val="SDMSubPara1"/>
      </w:pPr>
      <w:r>
        <w:t>Installed before the electricity metering point for the Article 6.4 activity.</w:t>
      </w:r>
    </w:p>
    <w:p w14:paraId="19ADE047" w14:textId="36E4FF38" w:rsidR="009D1387" w:rsidRDefault="009D1387" w:rsidP="00853F05">
      <w:pPr>
        <w:pStyle w:val="SDMPara"/>
      </w:pPr>
      <w:bookmarkStart w:id="79" w:name="_Ref224578050"/>
      <w:r w:rsidRPr="00BC5E5A">
        <w:rPr>
          <w:rFonts w:eastAsiaTheme="minorEastAsia"/>
        </w:rPr>
        <w:lastRenderedPageBreak/>
        <w:t xml:space="preserve">In the </w:t>
      </w:r>
      <w:r w:rsidRPr="00565A68">
        <w:t>case</w:t>
      </w:r>
      <w:r w:rsidRPr="00BC5E5A">
        <w:rPr>
          <w:rFonts w:eastAsiaTheme="minorEastAsia"/>
        </w:rPr>
        <w:t xml:space="preserve"> of hydropower plants, one of the following conditions</w:t>
      </w:r>
      <w:r>
        <w:rPr>
          <w:rFonts w:eastAsiaTheme="minorEastAsia"/>
        </w:rPr>
        <w:t xml:space="preserve"> below</w:t>
      </w:r>
      <w:r w:rsidRPr="00BC5E5A">
        <w:rPr>
          <w:rFonts w:eastAsiaTheme="minorEastAsia"/>
        </w:rPr>
        <w:t xml:space="preserve"> shall apply</w:t>
      </w:r>
      <w:r>
        <w:rPr>
          <w:rFonts w:eastAsiaTheme="minorEastAsia"/>
        </w:rPr>
        <w:t>:</w:t>
      </w:r>
      <w:r>
        <w:rPr>
          <w:rStyle w:val="FootnoteReference"/>
          <w:rFonts w:eastAsiaTheme="minorEastAsia"/>
        </w:rPr>
        <w:footnoteReference w:id="15"/>
      </w:r>
      <w:bookmarkEnd w:id="79"/>
    </w:p>
    <w:p w14:paraId="1177A2B5" w14:textId="4B7798F0" w:rsidR="009D1387" w:rsidRPr="009D1387" w:rsidRDefault="009D1387" w:rsidP="009D1387">
      <w:pPr>
        <w:pStyle w:val="SDMSubPara1"/>
      </w:pPr>
      <w:bookmarkStart w:id="80" w:name="_Ref233803911"/>
      <w:r w:rsidRPr="002E1C85">
        <w:rPr>
          <w:rFonts w:eastAsia="MS Mincho"/>
          <w:lang w:eastAsia="ja-JP"/>
        </w:rPr>
        <w:t xml:space="preserve">The Article 6.4 </w:t>
      </w:r>
      <w:r w:rsidRPr="002E1C85">
        <w:rPr>
          <w:rFonts w:eastAsiaTheme="minorEastAsia"/>
        </w:rPr>
        <w:t>activity involves the establishment of a run-of-river hydropower plant for which all of the following conditions are satisfied:</w:t>
      </w:r>
      <w:r>
        <w:rPr>
          <w:rStyle w:val="FootnoteReference"/>
          <w:rFonts w:eastAsiaTheme="minorEastAsia"/>
        </w:rPr>
        <w:footnoteReference w:id="16"/>
      </w:r>
      <w:bookmarkEnd w:id="80"/>
    </w:p>
    <w:p w14:paraId="274E7C34" w14:textId="77777777" w:rsidR="009D1387" w:rsidRDefault="009D1387" w:rsidP="00BB0469">
      <w:pPr>
        <w:pStyle w:val="SDMSubPara2"/>
      </w:pPr>
      <w:r w:rsidRPr="002E1C85">
        <w:t xml:space="preserve">The storage duration is not larger </w:t>
      </w:r>
      <w:r w:rsidRPr="009F6E8F">
        <w:t xml:space="preserve">than </w:t>
      </w:r>
      <w:r w:rsidRPr="009F6E8F">
        <w:rPr>
          <w:rFonts w:eastAsiaTheme="minorEastAsia"/>
        </w:rPr>
        <w:t>24</w:t>
      </w:r>
      <w:r>
        <w:rPr>
          <w:rFonts w:eastAsiaTheme="minorEastAsia"/>
        </w:rPr>
        <w:t xml:space="preserve"> </w:t>
      </w:r>
      <w:r w:rsidRPr="002E1C85">
        <w:t>hours;</w:t>
      </w:r>
    </w:p>
    <w:p w14:paraId="08FFA08C" w14:textId="77777777" w:rsidR="009D1387" w:rsidRDefault="009D1387" w:rsidP="009D1387">
      <w:pPr>
        <w:pStyle w:val="SDMSubPara2"/>
        <w:rPr>
          <w:rFonts w:eastAsiaTheme="minorEastAsia"/>
        </w:rPr>
      </w:pPr>
      <w:r w:rsidRPr="2785112B">
        <w:rPr>
          <w:rFonts w:eastAsiaTheme="minorEastAsia"/>
        </w:rPr>
        <w:t xml:space="preserve">The </w:t>
      </w:r>
      <w:r w:rsidRPr="00565A68">
        <w:t>hydraulic</w:t>
      </w:r>
      <w:r w:rsidRPr="2785112B">
        <w:rPr>
          <w:rFonts w:eastAsiaTheme="minorEastAsia"/>
        </w:rPr>
        <w:t xml:space="preserve"> residence time is below </w:t>
      </w:r>
      <w:r w:rsidRPr="009F6E8F">
        <w:rPr>
          <w:rFonts w:eastAsiaTheme="minorEastAsia"/>
        </w:rPr>
        <w:t>2</w:t>
      </w:r>
      <w:r w:rsidRPr="2785112B">
        <w:rPr>
          <w:rFonts w:eastAsiaTheme="minorEastAsia"/>
        </w:rPr>
        <w:t xml:space="preserve"> days; and</w:t>
      </w:r>
    </w:p>
    <w:p w14:paraId="51BEE38A" w14:textId="77777777" w:rsidR="009D1387" w:rsidRPr="00C76ED2" w:rsidRDefault="009D1387" w:rsidP="009D1387">
      <w:pPr>
        <w:pStyle w:val="SDMSubPara2"/>
        <w:rPr>
          <w:rFonts w:eastAsiaTheme="minorEastAsia"/>
        </w:rPr>
      </w:pPr>
      <w:r w:rsidRPr="00565A68">
        <w:t>The</w:t>
      </w:r>
      <w:r w:rsidRPr="2785112B">
        <w:rPr>
          <w:rFonts w:eastAsiaTheme="minorEastAsia"/>
        </w:rPr>
        <w:t xml:space="preserve"> implementation of the Article 6.4 activity does not involve the flooding of forests</w:t>
      </w:r>
      <w:r>
        <w:rPr>
          <w:rStyle w:val="FootnoteReference"/>
          <w:rFonts w:eastAsiaTheme="minorEastAsia"/>
        </w:rPr>
        <w:footnoteReference w:id="17"/>
      </w:r>
      <w:r w:rsidRPr="00B52A7C">
        <w:rPr>
          <w:rFonts w:eastAsiaTheme="minorEastAsia"/>
        </w:rPr>
        <w:t xml:space="preserve"> </w:t>
      </w:r>
      <w:r w:rsidRPr="2785112B">
        <w:rPr>
          <w:rFonts w:eastAsiaTheme="minorEastAsia"/>
        </w:rPr>
        <w:t>or peatlands</w:t>
      </w:r>
      <w:r>
        <w:rPr>
          <w:rFonts w:eastAsiaTheme="minorEastAsia"/>
        </w:rPr>
        <w:t>; or</w:t>
      </w:r>
    </w:p>
    <w:p w14:paraId="4A253992" w14:textId="5E22DCC5" w:rsidR="009D1387" w:rsidRDefault="009D1387" w:rsidP="00EC00DE">
      <w:pPr>
        <w:pStyle w:val="SDMSubPara1"/>
        <w:keepNext/>
      </w:pPr>
      <w:r>
        <w:rPr>
          <w:rFonts w:eastAsia="MS Mincho"/>
          <w:lang w:eastAsia="ja-JP"/>
        </w:rPr>
        <w:t>T</w:t>
      </w:r>
      <w:r w:rsidRPr="2785112B">
        <w:rPr>
          <w:rFonts w:eastAsia="MS Mincho"/>
          <w:lang w:eastAsia="ja-JP"/>
        </w:rPr>
        <w:t xml:space="preserve">he </w:t>
      </w:r>
      <w:r>
        <w:rPr>
          <w:rFonts w:eastAsia="MS Mincho" w:hint="eastAsia"/>
          <w:lang w:eastAsia="ja-JP"/>
        </w:rPr>
        <w:t>Article 6.</w:t>
      </w:r>
      <w:r w:rsidRPr="032D336B">
        <w:rPr>
          <w:rFonts w:eastAsia="MS Mincho"/>
          <w:lang w:eastAsia="ja-JP"/>
        </w:rPr>
        <w:t xml:space="preserve">4 </w:t>
      </w:r>
      <w:r>
        <w:rPr>
          <w:rFonts w:eastAsiaTheme="minorEastAsia"/>
        </w:rPr>
        <w:t>activity</w:t>
      </w:r>
      <w:r w:rsidRPr="00C76ED2" w:rsidDel="000C1096">
        <w:rPr>
          <w:rFonts w:eastAsiaTheme="minorEastAsia"/>
        </w:rPr>
        <w:t xml:space="preserve"> </w:t>
      </w:r>
      <w:r w:rsidRPr="2785112B">
        <w:rPr>
          <w:rFonts w:eastAsia="MS Mincho"/>
          <w:lang w:eastAsia="ja-JP"/>
        </w:rPr>
        <w:t>is</w:t>
      </w:r>
      <w:r w:rsidRPr="2785112B">
        <w:rPr>
          <w:rFonts w:eastAsiaTheme="minorEastAsia"/>
        </w:rPr>
        <w:t xml:space="preserve"> </w:t>
      </w:r>
      <w:r w:rsidRPr="00C76ED2">
        <w:rPr>
          <w:rFonts w:eastAsiaTheme="minorEastAsia"/>
        </w:rPr>
        <w:t xml:space="preserve">implemented </w:t>
      </w:r>
      <w:r w:rsidRPr="2785112B">
        <w:rPr>
          <w:rFonts w:eastAsiaTheme="minorEastAsia"/>
        </w:rPr>
        <w:t xml:space="preserve">at </w:t>
      </w:r>
      <w:r>
        <w:rPr>
          <w:rFonts w:eastAsiaTheme="minorEastAsia"/>
        </w:rPr>
        <w:t xml:space="preserve">one or more </w:t>
      </w:r>
      <w:r w:rsidRPr="00C76ED2">
        <w:rPr>
          <w:rFonts w:eastAsiaTheme="minorEastAsia"/>
        </w:rPr>
        <w:t xml:space="preserve">existing </w:t>
      </w:r>
      <w:r w:rsidRPr="2785112B">
        <w:rPr>
          <w:rFonts w:eastAsiaTheme="minorEastAsia"/>
        </w:rPr>
        <w:t>reservoir(s) for which all of the following conditions are satisfied:</w:t>
      </w:r>
    </w:p>
    <w:p w14:paraId="57216322" w14:textId="7BF34416" w:rsidR="009D1387" w:rsidRDefault="009D1387" w:rsidP="00EC00DE">
      <w:pPr>
        <w:pStyle w:val="SDMSubPara2"/>
        <w:keepNext/>
      </w:pPr>
      <w:bookmarkStart w:id="81" w:name="_Ref233801689"/>
      <w:r w:rsidRPr="009D1387">
        <w:t>One of the following two conditions apply:</w:t>
      </w:r>
      <w:bookmarkEnd w:id="81"/>
    </w:p>
    <w:p w14:paraId="39EB2F83" w14:textId="77777777" w:rsidR="009D1387" w:rsidRDefault="009D1387" w:rsidP="00B7054D">
      <w:pPr>
        <w:pStyle w:val="SDMSubPara3"/>
      </w:pPr>
      <w:r>
        <w:t>The reservoir(s) have been established at least 10 years prior to the start date of the Article 6.4 activity; or</w:t>
      </w:r>
    </w:p>
    <w:p w14:paraId="0E8A7615" w14:textId="77777777" w:rsidR="009D1387" w:rsidRDefault="009D1387" w:rsidP="009D1387">
      <w:pPr>
        <w:pStyle w:val="SDMSubPara3"/>
      </w:pPr>
      <w:r>
        <w:t>The reservoir(s) have been established at least 3 years prior to the start date of the Article 6.4 activity and it can be demonstrated that the reservoir(s) have been planned, approved and financed without a power plant.</w:t>
      </w:r>
    </w:p>
    <w:p w14:paraId="03FA9EA4" w14:textId="0E320398" w:rsidR="009D1387" w:rsidRPr="009D1387" w:rsidRDefault="009D1387" w:rsidP="009D1387">
      <w:pPr>
        <w:pStyle w:val="SDMSubPara2"/>
      </w:pPr>
      <w:bookmarkStart w:id="82" w:name="_Ref233803934"/>
      <w:r w:rsidRPr="2785112B">
        <w:rPr>
          <w:rFonts w:eastAsiaTheme="minorEastAsia"/>
        </w:rPr>
        <w:t xml:space="preserve">The </w:t>
      </w:r>
      <w:r w:rsidRPr="0055735A">
        <w:t>implementation</w:t>
      </w:r>
      <w:r w:rsidRPr="2785112B">
        <w:rPr>
          <w:rFonts w:eastAsiaTheme="minorEastAsia"/>
        </w:rPr>
        <w:t xml:space="preserve"> of the Article 6.4 activity does not lead to </w:t>
      </w:r>
      <w:r>
        <w:rPr>
          <w:rFonts w:eastAsiaTheme="minorEastAsia"/>
        </w:rPr>
        <w:t xml:space="preserve">an increase </w:t>
      </w:r>
      <w:r w:rsidRPr="00C76ED2">
        <w:rPr>
          <w:rFonts w:eastAsiaTheme="minorEastAsia"/>
        </w:rPr>
        <w:t xml:space="preserve">in the </w:t>
      </w:r>
      <w:r>
        <w:rPr>
          <w:rFonts w:eastAsiaTheme="minorEastAsia"/>
        </w:rPr>
        <w:t xml:space="preserve">average </w:t>
      </w:r>
      <w:r w:rsidRPr="00C76ED2">
        <w:rPr>
          <w:rFonts w:eastAsiaTheme="minorEastAsia"/>
        </w:rPr>
        <w:t xml:space="preserve">volume of </w:t>
      </w:r>
      <w:r>
        <w:rPr>
          <w:rFonts w:eastAsiaTheme="minorEastAsia"/>
        </w:rPr>
        <w:t>water in</w:t>
      </w:r>
      <w:r w:rsidRPr="00C76ED2">
        <w:rPr>
          <w:rFonts w:eastAsiaTheme="minorEastAsia"/>
        </w:rPr>
        <w:t xml:space="preserve"> the </w:t>
      </w:r>
      <w:r>
        <w:rPr>
          <w:rFonts w:eastAsiaTheme="minorEastAsia"/>
        </w:rPr>
        <w:t>existing</w:t>
      </w:r>
      <w:r w:rsidRPr="00C76ED2">
        <w:rPr>
          <w:rFonts w:eastAsiaTheme="minorEastAsia"/>
        </w:rPr>
        <w:t xml:space="preserve"> reservoir</w:t>
      </w:r>
      <w:r>
        <w:rPr>
          <w:rFonts w:eastAsiaTheme="minorEastAsia"/>
        </w:rPr>
        <w:t>, relative to pre-activity levels. This shall be assessed ex-ante in the PDD based on the design of the reservoir and the Article 6.4 activity. Where the volume of water changes within a calendar year due to seasonal variations, this requirement shall be satisfied throughout all seasons;</w:t>
      </w:r>
      <w:bookmarkEnd w:id="82"/>
    </w:p>
    <w:p w14:paraId="5985C727" w14:textId="2F692B34" w:rsidR="009D1387" w:rsidRPr="009D1387" w:rsidRDefault="009D1387" w:rsidP="009D1387">
      <w:pPr>
        <w:pStyle w:val="SDMSubPara2"/>
      </w:pPr>
      <w:bookmarkStart w:id="83" w:name="_Ref233804236"/>
      <w:r w:rsidRPr="324B6A29">
        <w:rPr>
          <w:rFonts w:eastAsiaTheme="minorEastAsia"/>
        </w:rPr>
        <w:t xml:space="preserve">The implementation of the Article 6.4 activity does not </w:t>
      </w:r>
      <w:r>
        <w:rPr>
          <w:rFonts w:eastAsiaTheme="minorEastAsia"/>
        </w:rPr>
        <w:t>reduce</w:t>
      </w:r>
      <w:r w:rsidRPr="324B6A29">
        <w:rPr>
          <w:rFonts w:eastAsiaTheme="minorEastAsia"/>
        </w:rPr>
        <w:t xml:space="preserve"> the availability of water for irrigation</w:t>
      </w:r>
      <w:r>
        <w:rPr>
          <w:rFonts w:eastAsiaTheme="minorEastAsia"/>
        </w:rPr>
        <w:t>; and</w:t>
      </w:r>
      <w:bookmarkEnd w:id="83"/>
    </w:p>
    <w:p w14:paraId="329E6653" w14:textId="50974BA4" w:rsidR="009D1387" w:rsidRDefault="009D1387" w:rsidP="009D1387">
      <w:pPr>
        <w:pStyle w:val="SDMSubPara2"/>
      </w:pPr>
      <w:bookmarkStart w:id="84" w:name="_Ref233804244"/>
      <w:r>
        <w:rPr>
          <w:rFonts w:eastAsiaTheme="minorEastAsia"/>
        </w:rPr>
        <w:lastRenderedPageBreak/>
        <w:t>T</w:t>
      </w:r>
      <w:r w:rsidRPr="324B6A29">
        <w:rPr>
          <w:rFonts w:eastAsiaTheme="minorEastAsia"/>
        </w:rPr>
        <w:t>he hydropower plant operate</w:t>
      </w:r>
      <w:r>
        <w:rPr>
          <w:rFonts w:eastAsiaTheme="minorEastAsia"/>
        </w:rPr>
        <w:t>s</w:t>
      </w:r>
      <w:r w:rsidRPr="324B6A29">
        <w:rPr>
          <w:rFonts w:eastAsiaTheme="minorEastAsia"/>
        </w:rPr>
        <w:t xml:space="preserve"> in full compliance with the reservoir’s authorized operating rules and water rights.</w:t>
      </w:r>
      <w:bookmarkEnd w:id="84"/>
    </w:p>
    <w:p w14:paraId="3632FCB9" w14:textId="77777777" w:rsidR="008B0754" w:rsidRDefault="008B0754" w:rsidP="00EC00DE">
      <w:pPr>
        <w:pStyle w:val="SDMPara"/>
        <w:keepNext/>
      </w:pPr>
      <w:bookmarkStart w:id="85" w:name="_Ref233800722"/>
      <w:bookmarkStart w:id="86" w:name="_Ref233803101"/>
      <w:r>
        <w:t>In the case of hydropower plants, furthermore:</w:t>
      </w:r>
      <w:bookmarkEnd w:id="85"/>
    </w:p>
    <w:p w14:paraId="73CCEB07" w14:textId="79C83415" w:rsidR="008B0754" w:rsidRDefault="008B0754" w:rsidP="008B0754">
      <w:pPr>
        <w:pStyle w:val="SDMSubPara1"/>
      </w:pPr>
      <w:r>
        <w:t>The plant has an installed electricity generation capacity of up to 15 MW or, where available, any lower threshold used by the host Party for defining small-scale hydro power; and</w:t>
      </w:r>
    </w:p>
    <w:p w14:paraId="1BE18056" w14:textId="21E0F1FA" w:rsidR="008B0754" w:rsidRDefault="008B0754" w:rsidP="008B0754">
      <w:pPr>
        <w:pStyle w:val="SDMSubPara1"/>
      </w:pPr>
      <w:r>
        <w:t>The implementation of the Article 6.4 activity is not designed in way that it could lead to a reduction in electricity generation at upstream or downstream hydropower plants that rely on the same water resource by demonstrating that the implementation of the activity does not change the water resource distribution within the water system.</w:t>
      </w:r>
    </w:p>
    <w:p w14:paraId="5999CBE9" w14:textId="77777777" w:rsidR="00801096" w:rsidRDefault="009D1387" w:rsidP="009D1387">
      <w:pPr>
        <w:pStyle w:val="SDMPara"/>
      </w:pPr>
      <w:bookmarkStart w:id="87" w:name="_Ref236324727"/>
      <w:r>
        <w:t>In the case of solar photovoltaic power plants and solar thermal power plants, the power plants are not installed on land that has been classified as agricultural land or forestland by relevant authorities.</w:t>
      </w:r>
      <w:bookmarkEnd w:id="86"/>
      <w:bookmarkEnd w:id="87"/>
    </w:p>
    <w:p w14:paraId="462A5AD4" w14:textId="77777777" w:rsidR="009D1387" w:rsidRDefault="009D1387" w:rsidP="009D1387">
      <w:pPr>
        <w:pStyle w:val="SDMPara"/>
      </w:pPr>
      <w:bookmarkStart w:id="88" w:name="_Ref233804064"/>
      <w:r>
        <w:t>In the case of binary geothermal power plants, hydrocarbons and not any fluorinated gases are used as working fluid.</w:t>
      </w:r>
      <w:bookmarkEnd w:id="88"/>
    </w:p>
    <w:p w14:paraId="61EB4790" w14:textId="77777777" w:rsidR="009D1387" w:rsidRDefault="009D1387" w:rsidP="00EC00DE">
      <w:pPr>
        <w:pStyle w:val="SDMPara"/>
        <w:keepNext/>
      </w:pPr>
      <w:r>
        <w:t>Furthermore, the mechanism methodology is only applicable under the following conditions:</w:t>
      </w:r>
    </w:p>
    <w:p w14:paraId="7885296E" w14:textId="77777777" w:rsidR="009D1387" w:rsidRDefault="009D1387" w:rsidP="009D1387">
      <w:pPr>
        <w:pStyle w:val="SDMSubPara1"/>
      </w:pPr>
      <w:bookmarkStart w:id="89" w:name="_Ref232540710"/>
      <w:r>
        <w:t xml:space="preserve">The activity participants have not entered </w:t>
      </w:r>
      <w:r w:rsidRPr="009A7F49">
        <w:t xml:space="preserve">into </w:t>
      </w:r>
      <w:r>
        <w:t xml:space="preserve">any agreements to supply the electricity from the </w:t>
      </w:r>
      <w:r w:rsidRPr="00BA62EA">
        <w:rPr>
          <w:rFonts w:eastAsia="MS Mincho"/>
          <w:lang w:eastAsia="ja-JP"/>
        </w:rPr>
        <w:t xml:space="preserve">Article 6.4 </w:t>
      </w:r>
      <w:r w:rsidRPr="00BA62EA">
        <w:rPr>
          <w:rFonts w:eastAsiaTheme="minorEastAsia"/>
        </w:rPr>
        <w:t>activity</w:t>
      </w:r>
      <w:r>
        <w:t xml:space="preserve"> through the electricity system to specific consumers;</w:t>
      </w:r>
      <w:r>
        <w:rPr>
          <w:rStyle w:val="FootnoteReference"/>
        </w:rPr>
        <w:footnoteReference w:id="18"/>
      </w:r>
      <w:bookmarkEnd w:id="89"/>
    </w:p>
    <w:p w14:paraId="27934E6F" w14:textId="77777777" w:rsidR="009D1387" w:rsidRPr="002F16A9" w:rsidRDefault="009D1387" w:rsidP="009D1387">
      <w:pPr>
        <w:pStyle w:val="SDMSubPara1"/>
      </w:pPr>
      <w:bookmarkStart w:id="90" w:name="_Ref232540717"/>
      <w:r w:rsidRPr="002F16A9">
        <w:t>The equipment</w:t>
      </w:r>
      <w:bookmarkStart w:id="91" w:name="_Ref233801829"/>
      <w:r w:rsidRPr="002F16A9">
        <w:rPr>
          <w:rStyle w:val="FootnoteReference"/>
        </w:rPr>
        <w:footnoteReference w:id="19"/>
      </w:r>
      <w:bookmarkEnd w:id="91"/>
      <w:r w:rsidRPr="002F16A9">
        <w:t xml:space="preserve"> installed under the Article 6.4 activity </w:t>
      </w:r>
      <w:r>
        <w:t>is:</w:t>
      </w:r>
      <w:r w:rsidRPr="002F16A9">
        <w:rPr>
          <w:rStyle w:val="FootnoteReference"/>
        </w:rPr>
        <w:footnoteReference w:id="20"/>
      </w:r>
      <w:bookmarkEnd w:id="90"/>
    </w:p>
    <w:p w14:paraId="52FD51B5" w14:textId="77777777" w:rsidR="009D1387" w:rsidRPr="002F16A9" w:rsidRDefault="009D1387" w:rsidP="009D1387">
      <w:pPr>
        <w:pStyle w:val="SDMSubPara2"/>
      </w:pPr>
      <w:r w:rsidRPr="002F16A9">
        <w:t>Newly produced; and</w:t>
      </w:r>
    </w:p>
    <w:p w14:paraId="5B3474D4" w14:textId="2A31B0CA" w:rsidR="009D1387" w:rsidRPr="002F16A9" w:rsidRDefault="009D1387" w:rsidP="009D1387">
      <w:pPr>
        <w:pStyle w:val="SDMSubPara2"/>
      </w:pPr>
      <w:bookmarkStart w:id="92" w:name="_Ref233801878"/>
      <w:r w:rsidRPr="002F16A9">
        <w:t>Demonstrably unused, meaning that it has not previously been installed, commissioned, or operated in any other plant</w:t>
      </w:r>
      <w:bookmarkEnd w:id="92"/>
      <w:r w:rsidR="00275DB9">
        <w:t>.</w:t>
      </w:r>
    </w:p>
    <w:p w14:paraId="0672CE53" w14:textId="6AB22738" w:rsidR="009D1387" w:rsidRDefault="009D1387" w:rsidP="009D1387">
      <w:pPr>
        <w:pStyle w:val="SDMSubPara1"/>
      </w:pPr>
      <w:bookmarkStart w:id="93" w:name="_Ref232540446"/>
      <w:r>
        <w:t xml:space="preserve">Where the investment comparison analysis is applied in section </w:t>
      </w:r>
      <w:r w:rsidR="004E6CAE">
        <w:t>6.3</w:t>
      </w:r>
      <w:r>
        <w:t xml:space="preserve"> below, the most financially viable scenario is </w:t>
      </w:r>
      <w:r w:rsidRPr="00E5653C">
        <w:t>electricity generation by existing o</w:t>
      </w:r>
      <w:r>
        <w:t>r</w:t>
      </w:r>
      <w:r w:rsidRPr="00E5653C">
        <w:t xml:space="preserve"> new grid-connected power plants and, in the case of hydropower plants implemented at one or more existing reservoir(s), operating the reservoir(s) at its/their current size and using it/them for the same purpose as that prior to the implementation of the Article</w:t>
      </w:r>
      <w:r>
        <w:t> </w:t>
      </w:r>
      <w:r w:rsidRPr="00E5653C">
        <w:t>6.4 activity</w:t>
      </w:r>
      <w:bookmarkEnd w:id="93"/>
      <w:r w:rsidRPr="00E5653C">
        <w:t>;</w:t>
      </w:r>
    </w:p>
    <w:p w14:paraId="3E56147A" w14:textId="11FE86A2" w:rsidR="009D1387" w:rsidRPr="009D1387" w:rsidRDefault="009D1387" w:rsidP="00690A70">
      <w:pPr>
        <w:pStyle w:val="SDMSubPara1"/>
      </w:pPr>
      <w:bookmarkStart w:id="94" w:name="_Ref232448149"/>
      <w:r w:rsidRPr="009D1387">
        <w:rPr>
          <w:rFonts w:eastAsiaTheme="minorEastAsia"/>
        </w:rPr>
        <w:lastRenderedPageBreak/>
        <w:t xml:space="preserve">If the </w:t>
      </w:r>
      <w:r w:rsidRPr="00F013C1">
        <w:t>Article</w:t>
      </w:r>
      <w:r w:rsidRPr="009D1387">
        <w:rPr>
          <w:rFonts w:eastAsiaTheme="minorEastAsia"/>
        </w:rPr>
        <w:t xml:space="preserve"> 6.4 project power plant is equipped with backup generator(s)</w:t>
      </w:r>
      <w:r w:rsidRPr="00F013C1">
        <w:t>,</w:t>
      </w:r>
      <w:r w:rsidRPr="009D1387">
        <w:rPr>
          <w:rFonts w:eastAsiaTheme="minorEastAsia"/>
        </w:rPr>
        <w:t xml:space="preserve"> </w:t>
      </w:r>
      <w:r w:rsidRPr="00F013C1">
        <w:t>the backup generator(s</w:t>
      </w:r>
      <w:r w:rsidRPr="00294479">
        <w:t>) is</w:t>
      </w:r>
      <w:r w:rsidRPr="00F013C1">
        <w:t xml:space="preserve"> used </w:t>
      </w:r>
      <w:r w:rsidRPr="009D1387">
        <w:rPr>
          <w:rFonts w:eastAsiaTheme="minorEastAsia"/>
        </w:rPr>
        <w:t>solely for maintaining system continuity and safety during emergency or contingency events, and not for supplying electricity to end-users;</w:t>
      </w:r>
      <w:bookmarkEnd w:id="94"/>
    </w:p>
    <w:p w14:paraId="2D28E581" w14:textId="77777777" w:rsidR="009D1387" w:rsidRPr="00F013C1" w:rsidRDefault="009D1387" w:rsidP="009D1387">
      <w:pPr>
        <w:pStyle w:val="SDMSubPara1"/>
        <w:rPr>
          <w:rFonts w:eastAsiaTheme="minorEastAsia"/>
        </w:rPr>
      </w:pPr>
      <w:r w:rsidRPr="00F013C1">
        <w:t>The mechanism methodology is applied to a project;</w:t>
      </w:r>
      <w:r w:rsidRPr="009A6878">
        <w:rPr>
          <w:rStyle w:val="FootnoteReference"/>
        </w:rPr>
        <w:footnoteReference w:id="21"/>
      </w:r>
      <w:r w:rsidRPr="00F013C1">
        <w:t xml:space="preserve"> and</w:t>
      </w:r>
    </w:p>
    <w:p w14:paraId="14F94987" w14:textId="77777777" w:rsidR="009D1387" w:rsidRDefault="009D1387" w:rsidP="009D1387">
      <w:pPr>
        <w:pStyle w:val="SDMSubPara1"/>
        <w:rPr>
          <w:rFonts w:eastAsiaTheme="minorEastAsia"/>
        </w:rPr>
      </w:pPr>
      <w:bookmarkStart w:id="95" w:name="_Ref232540532"/>
      <w:r w:rsidRPr="00F013C1">
        <w:rPr>
          <w:rFonts w:eastAsiaTheme="minorEastAsia"/>
        </w:rPr>
        <w:t xml:space="preserve">The </w:t>
      </w:r>
      <w:r w:rsidRPr="00ED3CE0">
        <w:t>mechanism</w:t>
      </w:r>
      <w:r w:rsidRPr="00F013C1">
        <w:rPr>
          <w:rFonts w:eastAsiaTheme="minorEastAsia"/>
        </w:rPr>
        <w:t xml:space="preserve"> methodology is used </w:t>
      </w:r>
      <w:r>
        <w:rPr>
          <w:rFonts w:eastAsia="MS Mincho" w:hint="eastAsia"/>
          <w:lang w:eastAsia="ja-JP"/>
        </w:rPr>
        <w:t xml:space="preserve">on </w:t>
      </w:r>
      <w:r w:rsidRPr="00F013C1">
        <w:rPr>
          <w:rFonts w:eastAsiaTheme="minorEastAsia"/>
        </w:rPr>
        <w:t xml:space="preserve">a standalone basis and not in combination with other </w:t>
      </w:r>
      <w:r w:rsidRPr="00F64EBC">
        <w:rPr>
          <w:rFonts w:eastAsiaTheme="minorEastAsia"/>
        </w:rPr>
        <w:t>methodologies</w:t>
      </w:r>
      <w:r w:rsidRPr="00F013C1">
        <w:rPr>
          <w:rFonts w:eastAsiaTheme="minorEastAsia"/>
        </w:rPr>
        <w:t>, unless the other methodology(ies) specify(ies) how the interaction with this mechanism methodology is taken into account.</w:t>
      </w:r>
      <w:bookmarkEnd w:id="95"/>
    </w:p>
    <w:p w14:paraId="0C19276B" w14:textId="77777777" w:rsidR="009D1387" w:rsidRDefault="009D1387" w:rsidP="00EC00DE">
      <w:pPr>
        <w:pStyle w:val="SDMPara"/>
        <w:keepNext/>
      </w:pPr>
      <w:bookmarkStart w:id="96" w:name="_Ref233804125"/>
      <w:r>
        <w:t>The mechanism methodology is not applicable to:</w:t>
      </w:r>
      <w:bookmarkEnd w:id="96"/>
    </w:p>
    <w:p w14:paraId="3C09EEFD" w14:textId="77777777" w:rsidR="009D1387" w:rsidRDefault="009D1387" w:rsidP="009D1387">
      <w:pPr>
        <w:pStyle w:val="SDMSubPara1"/>
      </w:pPr>
      <w:r>
        <w:t>Activities that involve switching from fossil fuels to renewable energy sources at the site of the activity;</w:t>
      </w:r>
    </w:p>
    <w:p w14:paraId="642245D0" w14:textId="77777777" w:rsidR="009D1387" w:rsidRDefault="009D1387" w:rsidP="009D1387">
      <w:pPr>
        <w:pStyle w:val="SDMSubPara1"/>
      </w:pPr>
      <w:r>
        <w:t>Activities that involve any biomass consumption; and</w:t>
      </w:r>
    </w:p>
    <w:p w14:paraId="11DD179B" w14:textId="77777777" w:rsidR="009D1387" w:rsidRDefault="009D1387" w:rsidP="009D1387">
      <w:pPr>
        <w:pStyle w:val="SDMSubPara1"/>
      </w:pPr>
      <w:r>
        <w:t>Activities that involve any fossil fuel consumption, except for the use in solar thermal power plants, geothermal power plants or back-up generator(s).</w:t>
      </w:r>
    </w:p>
    <w:p w14:paraId="48010727" w14:textId="77777777" w:rsidR="009D1387" w:rsidRDefault="009D1387" w:rsidP="00EC00DE">
      <w:pPr>
        <w:pStyle w:val="SDMPara"/>
        <w:keepNext/>
      </w:pPr>
      <w:r>
        <w:t>The above provisions shall be demonstrated as follows:</w:t>
      </w:r>
    </w:p>
    <w:p w14:paraId="6A7C2F71" w14:textId="0D643F20" w:rsidR="009D1387" w:rsidRDefault="009D1387" w:rsidP="009D1387">
      <w:pPr>
        <w:pStyle w:val="SDMSubPara1"/>
      </w:pPr>
      <w:r>
        <w:t xml:space="preserve">The provisions in paragraphs </w:t>
      </w:r>
      <w:r w:rsidR="00F36AB5">
        <w:rPr>
          <w:cs/>
        </w:rPr>
        <w:fldChar w:fldCharType="begin"/>
      </w:r>
      <w:r w:rsidR="00F36AB5">
        <w:instrText xml:space="preserve"> REF _Ref233803884 \w \h </w:instrText>
      </w:r>
      <w:r w:rsidR="00F36AB5">
        <w:rPr>
          <w:cs/>
        </w:rPr>
      </w:r>
      <w:r w:rsidR="00F36AB5">
        <w:rPr>
          <w:cs/>
        </w:rPr>
        <w:fldChar w:fldCharType="separate"/>
      </w:r>
      <w:r w:rsidR="00D0578E">
        <w:rPr>
          <w:cs/>
        </w:rPr>
        <w:t>‎</w:t>
      </w:r>
      <w:r w:rsidR="00D0578E">
        <w:t>13</w:t>
      </w:r>
      <w:r w:rsidR="00F36AB5">
        <w:rPr>
          <w:cs/>
        </w:rPr>
        <w:fldChar w:fldCharType="end"/>
      </w:r>
      <w:r>
        <w:t>,</w:t>
      </w:r>
      <w:r w:rsidR="005429EC">
        <w:t xml:space="preserve"> </w:t>
      </w:r>
      <w:r w:rsidR="00A46802">
        <w:fldChar w:fldCharType="begin"/>
      </w:r>
      <w:r w:rsidR="00A46802">
        <w:instrText xml:space="preserve"> REF _Ref236324694 \r \h </w:instrText>
      </w:r>
      <w:r w:rsidR="00A46802">
        <w:fldChar w:fldCharType="separate"/>
      </w:r>
      <w:r w:rsidR="00D0578E">
        <w:rPr>
          <w:cs/>
        </w:rPr>
        <w:t>‎</w:t>
      </w:r>
      <w:r w:rsidR="00D0578E">
        <w:t>14</w:t>
      </w:r>
      <w:r w:rsidR="00A46802">
        <w:fldChar w:fldCharType="end"/>
      </w:r>
      <w:r w:rsidR="006C6386">
        <w:rPr>
          <w:lang w:val="en-US"/>
        </w:rPr>
        <w:t xml:space="preserve">, </w:t>
      </w:r>
      <w:r w:rsidR="00264A0F">
        <w:fldChar w:fldCharType="begin"/>
      </w:r>
      <w:r w:rsidR="00264A0F">
        <w:rPr>
          <w:lang w:val="en-US"/>
        </w:rPr>
        <w:instrText xml:space="preserve"> REF _Ref233803911 \w \h </w:instrText>
      </w:r>
      <w:r w:rsidR="00264A0F">
        <w:fldChar w:fldCharType="separate"/>
      </w:r>
      <w:r w:rsidR="00D0578E">
        <w:rPr>
          <w:cs/>
          <w:lang w:val="en-US"/>
        </w:rPr>
        <w:t>‎</w:t>
      </w:r>
      <w:r w:rsidR="00D0578E">
        <w:rPr>
          <w:lang w:val="en-US"/>
        </w:rPr>
        <w:t>15(a)</w:t>
      </w:r>
      <w:r w:rsidR="00264A0F">
        <w:fldChar w:fldCharType="end"/>
      </w:r>
      <w:r>
        <w:t xml:space="preserve">, </w:t>
      </w:r>
      <w:r w:rsidR="00264A0F">
        <w:fldChar w:fldCharType="begin"/>
      </w:r>
      <w:r w:rsidR="00264A0F">
        <w:instrText xml:space="preserve"> REF _Ref233801689 \w \h </w:instrText>
      </w:r>
      <w:r w:rsidR="00264A0F">
        <w:fldChar w:fldCharType="separate"/>
      </w:r>
      <w:r w:rsidR="00D0578E">
        <w:rPr>
          <w:cs/>
        </w:rPr>
        <w:t>‎</w:t>
      </w:r>
      <w:r w:rsidR="00D0578E">
        <w:t>15(b)(i)</w:t>
      </w:r>
      <w:r w:rsidR="00264A0F">
        <w:fldChar w:fldCharType="end"/>
      </w:r>
      <w:r>
        <w:t>-</w:t>
      </w:r>
      <w:r w:rsidR="00264A0F">
        <w:fldChar w:fldCharType="begin"/>
      </w:r>
      <w:r w:rsidR="00264A0F">
        <w:instrText xml:space="preserve"> REF _Ref233803934 \n \h </w:instrText>
      </w:r>
      <w:r w:rsidR="00264A0F">
        <w:fldChar w:fldCharType="separate"/>
      </w:r>
      <w:r w:rsidR="00D0578E">
        <w:rPr>
          <w:cs/>
        </w:rPr>
        <w:t>‎</w:t>
      </w:r>
      <w:r w:rsidR="00D0578E">
        <w:t>(ii)</w:t>
      </w:r>
      <w:r w:rsidR="00264A0F">
        <w:fldChar w:fldCharType="end"/>
      </w:r>
      <w:r>
        <w:t xml:space="preserve">, </w:t>
      </w:r>
      <w:r w:rsidR="00D02521">
        <w:fldChar w:fldCharType="begin"/>
      </w:r>
      <w:r w:rsidR="00D02521">
        <w:instrText xml:space="preserve"> REF _Ref233800722 \n \h </w:instrText>
      </w:r>
      <w:r w:rsidR="00D02521">
        <w:fldChar w:fldCharType="separate"/>
      </w:r>
      <w:r w:rsidR="00D0578E">
        <w:rPr>
          <w:cs/>
        </w:rPr>
        <w:t>‎</w:t>
      </w:r>
      <w:r w:rsidR="00D0578E">
        <w:t>16</w:t>
      </w:r>
      <w:r w:rsidR="00D02521">
        <w:fldChar w:fldCharType="end"/>
      </w:r>
      <w:r w:rsidR="00845182">
        <w:t>,</w:t>
      </w:r>
      <w:r w:rsidR="00354BA6">
        <w:t xml:space="preserve"> </w:t>
      </w:r>
      <w:r w:rsidR="00354BA6">
        <w:fldChar w:fldCharType="begin"/>
      </w:r>
      <w:r w:rsidR="00354BA6">
        <w:instrText xml:space="preserve"> REF _Ref236324727 \r \h </w:instrText>
      </w:r>
      <w:r w:rsidR="00354BA6">
        <w:fldChar w:fldCharType="separate"/>
      </w:r>
      <w:r w:rsidR="00D0578E">
        <w:rPr>
          <w:cs/>
        </w:rPr>
        <w:t>‎</w:t>
      </w:r>
      <w:r w:rsidR="00D0578E">
        <w:t>17</w:t>
      </w:r>
      <w:r w:rsidR="00354BA6">
        <w:fldChar w:fldCharType="end"/>
      </w:r>
      <w:r w:rsidR="00354BA6">
        <w:t xml:space="preserve">, </w:t>
      </w:r>
      <w:r w:rsidR="00156ADF">
        <w:fldChar w:fldCharType="begin"/>
      </w:r>
      <w:r w:rsidR="00156ADF">
        <w:instrText xml:space="preserve"> REF _Ref233804064 \n \h </w:instrText>
      </w:r>
      <w:r w:rsidR="00156ADF">
        <w:fldChar w:fldCharType="separate"/>
      </w:r>
      <w:r w:rsidR="00D0578E">
        <w:rPr>
          <w:cs/>
        </w:rPr>
        <w:t>‎</w:t>
      </w:r>
      <w:r w:rsidR="00D0578E">
        <w:t>18</w:t>
      </w:r>
      <w:r w:rsidR="00156ADF">
        <w:fldChar w:fldCharType="end"/>
      </w:r>
      <w:r>
        <w:t xml:space="preserve">, </w:t>
      </w:r>
      <w:r w:rsidR="00156ADF">
        <w:fldChar w:fldCharType="begin"/>
      </w:r>
      <w:r w:rsidR="00156ADF">
        <w:instrText xml:space="preserve"> REF _Ref232540717 \w \h </w:instrText>
      </w:r>
      <w:r w:rsidR="00156ADF">
        <w:fldChar w:fldCharType="separate"/>
      </w:r>
      <w:r w:rsidR="00D0578E">
        <w:rPr>
          <w:cs/>
        </w:rPr>
        <w:t>‎</w:t>
      </w:r>
      <w:r w:rsidR="00D0578E">
        <w:t>19(b)</w:t>
      </w:r>
      <w:r w:rsidR="00156ADF">
        <w:fldChar w:fldCharType="end"/>
      </w:r>
      <w:r>
        <w:t>-</w:t>
      </w:r>
      <w:r w:rsidR="00156ADF">
        <w:fldChar w:fldCharType="begin"/>
      </w:r>
      <w:r w:rsidR="00156ADF">
        <w:instrText xml:space="preserve"> REF _Ref232540532 \n \h </w:instrText>
      </w:r>
      <w:r w:rsidR="00156ADF">
        <w:fldChar w:fldCharType="separate"/>
      </w:r>
      <w:r w:rsidR="00D0578E">
        <w:rPr>
          <w:cs/>
        </w:rPr>
        <w:t>‎</w:t>
      </w:r>
      <w:r w:rsidR="00D0578E">
        <w:t>(f)</w:t>
      </w:r>
      <w:r w:rsidR="00156ADF">
        <w:fldChar w:fldCharType="end"/>
      </w:r>
      <w:r>
        <w:t xml:space="preserve"> and </w:t>
      </w:r>
      <w:r w:rsidR="00156ADF">
        <w:fldChar w:fldCharType="begin"/>
      </w:r>
      <w:r w:rsidR="00156ADF">
        <w:instrText xml:space="preserve"> REF _Ref233804125 \n \h </w:instrText>
      </w:r>
      <w:r w:rsidR="00156ADF">
        <w:fldChar w:fldCharType="separate"/>
      </w:r>
      <w:r w:rsidR="00D0578E">
        <w:rPr>
          <w:cs/>
        </w:rPr>
        <w:t>‎</w:t>
      </w:r>
      <w:r w:rsidR="00D0578E">
        <w:t>20</w:t>
      </w:r>
      <w:r w:rsidR="00156ADF">
        <w:fldChar w:fldCharType="end"/>
      </w:r>
      <w:r w:rsidR="00156ADF">
        <w:t xml:space="preserve"> </w:t>
      </w:r>
      <w:r>
        <w:t>shall be demonstrated in the Project Design Document (PDD) and be assessed at the initial validation; and</w:t>
      </w:r>
    </w:p>
    <w:p w14:paraId="440EA4D4" w14:textId="69BC1395" w:rsidR="00D16316" w:rsidRPr="00D16316" w:rsidRDefault="009D1387" w:rsidP="00D16316">
      <w:pPr>
        <w:pStyle w:val="SDMSubPara1"/>
      </w:pPr>
      <w:r>
        <w:t xml:space="preserve">The provisions in paragraphs </w:t>
      </w:r>
      <w:r>
        <w:rPr>
          <w:cs/>
        </w:rPr>
        <w:t>‎</w:t>
      </w:r>
      <w:r w:rsidR="00845182">
        <w:fldChar w:fldCharType="begin"/>
      </w:r>
      <w:r w:rsidR="00845182">
        <w:instrText xml:space="preserve"> REF _Ref233804236 \w \h </w:instrText>
      </w:r>
      <w:r w:rsidR="00845182">
        <w:fldChar w:fldCharType="separate"/>
      </w:r>
      <w:r w:rsidR="00D0578E">
        <w:rPr>
          <w:cs/>
        </w:rPr>
        <w:t>‎</w:t>
      </w:r>
      <w:r w:rsidR="00D0578E">
        <w:t>15(b)(iii)</w:t>
      </w:r>
      <w:r w:rsidR="00845182">
        <w:fldChar w:fldCharType="end"/>
      </w:r>
      <w:r w:rsidR="00845182">
        <w:t>-</w:t>
      </w:r>
      <w:r w:rsidR="00845182">
        <w:fldChar w:fldCharType="begin"/>
      </w:r>
      <w:r w:rsidR="00845182">
        <w:instrText xml:space="preserve"> REF _Ref233804244 \n \h </w:instrText>
      </w:r>
      <w:r w:rsidR="00845182">
        <w:fldChar w:fldCharType="separate"/>
      </w:r>
      <w:r w:rsidR="00D0578E">
        <w:rPr>
          <w:cs/>
        </w:rPr>
        <w:t>‎</w:t>
      </w:r>
      <w:r w:rsidR="00D0578E">
        <w:t>(iv)</w:t>
      </w:r>
      <w:r w:rsidR="00845182">
        <w:fldChar w:fldCharType="end"/>
      </w:r>
      <w:r>
        <w:t xml:space="preserve">, </w:t>
      </w:r>
      <w:r w:rsidR="002D2788">
        <w:fldChar w:fldCharType="begin"/>
      </w:r>
      <w:r w:rsidR="002D2788">
        <w:instrText xml:space="preserve"> REF _Ref233800722 \n \h </w:instrText>
      </w:r>
      <w:r w:rsidR="002D2788">
        <w:fldChar w:fldCharType="separate"/>
      </w:r>
      <w:r w:rsidR="00D0578E">
        <w:rPr>
          <w:cs/>
        </w:rPr>
        <w:t>‎</w:t>
      </w:r>
      <w:r w:rsidR="00D0578E">
        <w:t>16</w:t>
      </w:r>
      <w:r w:rsidR="002D2788">
        <w:fldChar w:fldCharType="end"/>
      </w:r>
      <w:r w:rsidR="002D2788">
        <w:t>,</w:t>
      </w:r>
      <w:r w:rsidR="00A46802">
        <w:t xml:space="preserve"> </w:t>
      </w:r>
      <w:r w:rsidR="00A46802">
        <w:fldChar w:fldCharType="begin"/>
      </w:r>
      <w:r w:rsidR="00A46802">
        <w:instrText xml:space="preserve"> REF _Ref236324727 \r \h </w:instrText>
      </w:r>
      <w:r w:rsidR="00A46802">
        <w:fldChar w:fldCharType="separate"/>
      </w:r>
      <w:r w:rsidR="00D0578E">
        <w:rPr>
          <w:cs/>
        </w:rPr>
        <w:t>‎</w:t>
      </w:r>
      <w:r w:rsidR="00D0578E">
        <w:t>17</w:t>
      </w:r>
      <w:r w:rsidR="00A46802">
        <w:fldChar w:fldCharType="end"/>
      </w:r>
      <w:r w:rsidR="00A46802">
        <w:t>,</w:t>
      </w:r>
      <w:r w:rsidR="002D2788">
        <w:t xml:space="preserve"> </w:t>
      </w:r>
      <w:r w:rsidR="002D2788">
        <w:fldChar w:fldCharType="begin"/>
      </w:r>
      <w:r w:rsidR="002D2788">
        <w:instrText xml:space="preserve"> REF _Ref233804064 \n \h </w:instrText>
      </w:r>
      <w:r w:rsidR="002D2788">
        <w:fldChar w:fldCharType="separate"/>
      </w:r>
      <w:r w:rsidR="00D0578E">
        <w:rPr>
          <w:cs/>
        </w:rPr>
        <w:t>‎</w:t>
      </w:r>
      <w:r w:rsidR="00D0578E">
        <w:t>18</w:t>
      </w:r>
      <w:r w:rsidR="002D2788">
        <w:fldChar w:fldCharType="end"/>
      </w:r>
      <w:r>
        <w:t xml:space="preserve">, and </w:t>
      </w:r>
      <w:r w:rsidR="00AE2048">
        <w:fldChar w:fldCharType="begin"/>
      </w:r>
      <w:r w:rsidR="00AE2048">
        <w:instrText xml:space="preserve"> REF _Ref232540710 \w \h </w:instrText>
      </w:r>
      <w:r w:rsidR="00AE2048">
        <w:fldChar w:fldCharType="separate"/>
      </w:r>
      <w:r w:rsidR="00D0578E">
        <w:rPr>
          <w:cs/>
        </w:rPr>
        <w:t>‎</w:t>
      </w:r>
      <w:r w:rsidR="00D0578E">
        <w:t>19(a)</w:t>
      </w:r>
      <w:r w:rsidR="00AE2048">
        <w:fldChar w:fldCharType="end"/>
      </w:r>
      <w:r w:rsidR="00AE2048">
        <w:t>-</w:t>
      </w:r>
      <w:r w:rsidR="00AE2048">
        <w:fldChar w:fldCharType="begin"/>
      </w:r>
      <w:r w:rsidR="00AE2048">
        <w:instrText xml:space="preserve"> REF _Ref232448149 \n \h </w:instrText>
      </w:r>
      <w:r w:rsidR="00AE2048">
        <w:fldChar w:fldCharType="separate"/>
      </w:r>
      <w:r w:rsidR="00D0578E">
        <w:rPr>
          <w:cs/>
        </w:rPr>
        <w:t>‎</w:t>
      </w:r>
      <w:r w:rsidR="00D0578E">
        <w:t>(d)</w:t>
      </w:r>
      <w:r w:rsidR="00AE2048">
        <w:fldChar w:fldCharType="end"/>
      </w:r>
      <w:r>
        <w:t xml:space="preserve"> shall be demonstrated in each monitoring report and be assessed at each verification.</w:t>
      </w:r>
    </w:p>
    <w:p w14:paraId="7138280E" w14:textId="2DD5A58B" w:rsidR="009D1387" w:rsidRDefault="009D1387" w:rsidP="009D1387">
      <w:pPr>
        <w:pStyle w:val="SDMPara"/>
      </w:pPr>
      <w:r>
        <w:t xml:space="preserve">The applicability conditions included in the methodological tools referred to in paragraph </w:t>
      </w:r>
      <w:r>
        <w:rPr>
          <w:cs/>
        </w:rPr>
        <w:t>‎</w:t>
      </w:r>
      <w:r>
        <w:t>10 also apply.</w:t>
      </w:r>
    </w:p>
    <w:p w14:paraId="232D3EF9" w14:textId="77777777" w:rsidR="00B960DB" w:rsidRPr="00CB7EFA" w:rsidRDefault="00B960DB" w:rsidP="00B960DB">
      <w:pPr>
        <w:pStyle w:val="SDMHead1"/>
      </w:pPr>
      <w:bookmarkStart w:id="97" w:name="_Toc233881716"/>
      <w:bookmarkStart w:id="98" w:name="_Toc233882082"/>
      <w:bookmarkStart w:id="99" w:name="_Toc233884209"/>
      <w:bookmarkStart w:id="100" w:name="_Toc233902818"/>
      <w:bookmarkStart w:id="101" w:name="_Toc233902855"/>
      <w:bookmarkStart w:id="102" w:name="_Toc236391886"/>
      <w:bookmarkStart w:id="103" w:name="_Toc236394028"/>
      <w:r w:rsidRPr="00CB7EFA">
        <w:t>Activity boundary</w:t>
      </w:r>
      <w:bookmarkEnd w:id="97"/>
      <w:bookmarkEnd w:id="98"/>
      <w:bookmarkEnd w:id="99"/>
      <w:bookmarkEnd w:id="100"/>
      <w:bookmarkEnd w:id="101"/>
      <w:bookmarkEnd w:id="102"/>
      <w:bookmarkEnd w:id="103"/>
    </w:p>
    <w:p w14:paraId="2AA2C0E4" w14:textId="3FA5894C" w:rsidR="009D1387" w:rsidRDefault="009D1387" w:rsidP="009D1387">
      <w:pPr>
        <w:pStyle w:val="SDMPara"/>
      </w:pPr>
      <w:r>
        <w:t>The activity boundary of the Article 6.4 activity shall include the site of the Article 6.4 project power plant and all power units physically connected to the electricity system</w:t>
      </w:r>
      <w:r w:rsidRPr="2E2C9338">
        <w:rPr>
          <w:rFonts w:eastAsiaTheme="minorEastAsia"/>
          <w:vertAlign w:val="superscript"/>
        </w:rPr>
        <w:footnoteReference w:id="22"/>
      </w:r>
      <w:r>
        <w:t xml:space="preserve"> to which the Article 6.4 project power plant is connected.</w:t>
      </w:r>
    </w:p>
    <w:p w14:paraId="40CEB1EF" w14:textId="77777777" w:rsidR="009D1387" w:rsidRDefault="009D1387" w:rsidP="009D1387">
      <w:pPr>
        <w:pStyle w:val="SDMPara"/>
      </w:pPr>
      <w:r>
        <w:t>Activity participants shall include in the PDD the location of the Article 6.4 activity in the form of Keyhole Markup Language (KML) files or similar formats, represented as one or more polygon(s), by specifying the coordinates of the geographic boundary using a known coordinate system or any other established method.</w:t>
      </w:r>
    </w:p>
    <w:p w14:paraId="548D0620" w14:textId="74CFEAB9" w:rsidR="009D1387" w:rsidRDefault="009D1387" w:rsidP="009D1387">
      <w:pPr>
        <w:pStyle w:val="SDMPara"/>
      </w:pPr>
      <w:r>
        <w:t xml:space="preserve">The greenhouse gases (GHGs) and emission sources included in or excluded from the activity boundary are shown in the </w:t>
      </w:r>
      <w:r w:rsidR="007B245C">
        <w:t>table below</w:t>
      </w:r>
      <w:r>
        <w:t>.</w:t>
      </w:r>
    </w:p>
    <w:p w14:paraId="28FBB82A" w14:textId="19BF375D" w:rsidR="009A5750" w:rsidRPr="004D7AFF" w:rsidRDefault="009A5750" w:rsidP="001A1BAB">
      <w:pPr>
        <w:pStyle w:val="Caption"/>
      </w:pPr>
      <w:bookmarkStart w:id="104" w:name="_Ref337496875"/>
      <w:r>
        <w:lastRenderedPageBreak/>
        <w:t>Table</w:t>
      </w:r>
      <w:bookmarkEnd w:id="104"/>
      <w:r>
        <w:rPr>
          <w:noProof/>
        </w:rPr>
        <w:t>.</w:t>
      </w:r>
      <w:r>
        <w:tab/>
      </w:r>
      <w:r w:rsidRPr="009A5750">
        <w:t>Emission sources included in or excluded from the activity boundary</w:t>
      </w:r>
    </w:p>
    <w:tbl>
      <w:tblPr>
        <w:tblStyle w:val="SDMTable"/>
        <w:tblW w:w="8618" w:type="dxa"/>
        <w:tblLayout w:type="fixed"/>
        <w:tblLook w:val="04A0" w:firstRow="1" w:lastRow="0" w:firstColumn="1" w:lastColumn="0" w:noHBand="0" w:noVBand="1"/>
      </w:tblPr>
      <w:tblGrid>
        <w:gridCol w:w="704"/>
        <w:gridCol w:w="2268"/>
        <w:gridCol w:w="709"/>
        <w:gridCol w:w="1417"/>
        <w:gridCol w:w="1701"/>
        <w:gridCol w:w="1819"/>
      </w:tblGrid>
      <w:tr w:rsidR="00F3030A" w14:paraId="3BCED57A" w14:textId="77777777" w:rsidTr="009A5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auto"/>
              <w:right w:val="single" w:sz="4" w:space="0" w:color="auto"/>
            </w:tcBorders>
            <w:vAlign w:val="top"/>
          </w:tcPr>
          <w:p w14:paraId="2B6C203A" w14:textId="77777777" w:rsidR="00F3030A" w:rsidRDefault="00F3030A" w:rsidP="009A5750">
            <w:pPr>
              <w:pStyle w:val="SDMTableBoxParaNotNumbered"/>
            </w:pPr>
          </w:p>
        </w:tc>
        <w:tc>
          <w:tcPr>
            <w:tcW w:w="2268" w:type="dxa"/>
            <w:tcBorders>
              <w:left w:val="single" w:sz="4" w:space="0" w:color="auto"/>
              <w:bottom w:val="single" w:sz="4" w:space="0" w:color="auto"/>
              <w:right w:val="single" w:sz="4" w:space="0" w:color="auto"/>
            </w:tcBorders>
            <w:vAlign w:val="top"/>
          </w:tcPr>
          <w:p w14:paraId="6E1D1DB8" w14:textId="26996304" w:rsidR="00F3030A" w:rsidRDefault="00F3030A" w:rsidP="009A5750">
            <w:pPr>
              <w:pStyle w:val="SDMTableBoxParaNotNumbered"/>
              <w:cnfStyle w:val="100000000000" w:firstRow="1" w:lastRow="0" w:firstColumn="0" w:lastColumn="0" w:oddVBand="0" w:evenVBand="0" w:oddHBand="0" w:evenHBand="0" w:firstRowFirstColumn="0" w:firstRowLastColumn="0" w:lastRowFirstColumn="0" w:lastRowLastColumn="0"/>
            </w:pPr>
            <w:r w:rsidRPr="00D34C50">
              <w:rPr>
                <w:rFonts w:cs="Arial"/>
              </w:rPr>
              <w:t>Source</w:t>
            </w:r>
          </w:p>
        </w:tc>
        <w:tc>
          <w:tcPr>
            <w:tcW w:w="709" w:type="dxa"/>
            <w:tcBorders>
              <w:left w:val="single" w:sz="4" w:space="0" w:color="auto"/>
              <w:bottom w:val="single" w:sz="4" w:space="0" w:color="auto"/>
              <w:right w:val="single" w:sz="4" w:space="0" w:color="auto"/>
            </w:tcBorders>
            <w:vAlign w:val="top"/>
          </w:tcPr>
          <w:p w14:paraId="6E0A1513" w14:textId="65785FBA" w:rsidR="00F3030A" w:rsidRDefault="00F3030A" w:rsidP="009A5750">
            <w:pPr>
              <w:pStyle w:val="SDMTableBoxParaNotNumbered"/>
              <w:cnfStyle w:val="100000000000" w:firstRow="1" w:lastRow="0" w:firstColumn="0" w:lastColumn="0" w:oddVBand="0" w:evenVBand="0" w:oddHBand="0" w:evenHBand="0" w:firstRowFirstColumn="0" w:firstRowLastColumn="0" w:lastRowFirstColumn="0" w:lastRowLastColumn="0"/>
            </w:pPr>
            <w:r w:rsidRPr="00D34C50">
              <w:rPr>
                <w:rFonts w:cs="Arial"/>
              </w:rPr>
              <w:t>GHG</w:t>
            </w:r>
          </w:p>
        </w:tc>
        <w:tc>
          <w:tcPr>
            <w:tcW w:w="1417" w:type="dxa"/>
            <w:tcBorders>
              <w:left w:val="single" w:sz="4" w:space="0" w:color="auto"/>
              <w:bottom w:val="single" w:sz="4" w:space="0" w:color="auto"/>
              <w:right w:val="single" w:sz="4" w:space="0" w:color="auto"/>
            </w:tcBorders>
            <w:vAlign w:val="top"/>
          </w:tcPr>
          <w:p w14:paraId="13D77636" w14:textId="55FD4327" w:rsidR="00F3030A" w:rsidRDefault="00F3030A" w:rsidP="009A5750">
            <w:pPr>
              <w:pStyle w:val="SDMTableBoxParaNotNumbered"/>
              <w:cnfStyle w:val="100000000000" w:firstRow="1" w:lastRow="0" w:firstColumn="0" w:lastColumn="0" w:oddVBand="0" w:evenVBand="0" w:oddHBand="0" w:evenHBand="0" w:firstRowFirstColumn="0" w:firstRowLastColumn="0" w:lastRowFirstColumn="0" w:lastRowLastColumn="0"/>
            </w:pPr>
            <w:r w:rsidRPr="00D34C50">
              <w:rPr>
                <w:rFonts w:cs="Arial"/>
              </w:rPr>
              <w:t>Included?</w:t>
            </w:r>
          </w:p>
        </w:tc>
        <w:tc>
          <w:tcPr>
            <w:tcW w:w="1701" w:type="dxa"/>
            <w:tcBorders>
              <w:left w:val="single" w:sz="4" w:space="0" w:color="auto"/>
              <w:bottom w:val="single" w:sz="4" w:space="0" w:color="auto"/>
              <w:right w:val="single" w:sz="4" w:space="0" w:color="auto"/>
            </w:tcBorders>
            <w:vAlign w:val="top"/>
          </w:tcPr>
          <w:p w14:paraId="4BDEB648" w14:textId="70060E2D" w:rsidR="00F3030A" w:rsidRDefault="00F3030A" w:rsidP="009A5750">
            <w:pPr>
              <w:pStyle w:val="SDMTableBoxParaNotNumbered"/>
              <w:cnfStyle w:val="100000000000" w:firstRow="1" w:lastRow="0" w:firstColumn="0" w:lastColumn="0" w:oddVBand="0" w:evenVBand="0" w:oddHBand="0" w:evenHBand="0" w:firstRowFirstColumn="0" w:firstRowLastColumn="0" w:lastRowFirstColumn="0" w:lastRowLastColumn="0"/>
            </w:pPr>
            <w:r w:rsidRPr="00D34C50">
              <w:rPr>
                <w:rFonts w:cs="Arial"/>
              </w:rPr>
              <w:t>Controlled / Related to / Affected by?</w:t>
            </w:r>
          </w:p>
        </w:tc>
        <w:tc>
          <w:tcPr>
            <w:tcW w:w="1819" w:type="dxa"/>
            <w:tcBorders>
              <w:left w:val="single" w:sz="4" w:space="0" w:color="auto"/>
              <w:bottom w:val="single" w:sz="4" w:space="0" w:color="auto"/>
            </w:tcBorders>
            <w:vAlign w:val="top"/>
          </w:tcPr>
          <w:p w14:paraId="3A03B8A1" w14:textId="335ABA7A" w:rsidR="00F3030A" w:rsidRDefault="00F3030A" w:rsidP="009A5750">
            <w:pPr>
              <w:pStyle w:val="SDMTableBoxParaNotNumbered"/>
              <w:cnfStyle w:val="100000000000" w:firstRow="1" w:lastRow="0" w:firstColumn="0" w:lastColumn="0" w:oddVBand="0" w:evenVBand="0" w:oddHBand="0" w:evenHBand="0" w:firstRowFirstColumn="0" w:firstRowLastColumn="0" w:lastRowFirstColumn="0" w:lastRowLastColumn="0"/>
            </w:pPr>
            <w:r w:rsidRPr="00D34C50">
              <w:rPr>
                <w:rFonts w:cs="Arial"/>
              </w:rPr>
              <w:t>Justification / Explanation</w:t>
            </w:r>
          </w:p>
        </w:tc>
      </w:tr>
      <w:tr w:rsidR="00F3030A" w14:paraId="71A822F4" w14:textId="77777777" w:rsidTr="009A5750">
        <w:trPr>
          <w:trHeight w:val="864"/>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4" w:space="0" w:color="auto"/>
            </w:tcBorders>
            <w:textDirection w:val="btLr"/>
          </w:tcPr>
          <w:p w14:paraId="08E06CC2" w14:textId="2945827B" w:rsidR="00F3030A" w:rsidRDefault="00F3030A" w:rsidP="00F3030A">
            <w:pPr>
              <w:pStyle w:val="SDMTableBoxParaNotNumbered"/>
              <w:ind w:left="113" w:right="113"/>
              <w:jc w:val="center"/>
            </w:pPr>
            <w:r>
              <w:t>BASELINE</w:t>
            </w:r>
          </w:p>
        </w:tc>
        <w:tc>
          <w:tcPr>
            <w:tcW w:w="2268" w:type="dxa"/>
            <w:vMerge w:val="restart"/>
            <w:tcBorders>
              <w:top w:val="single" w:sz="4" w:space="0" w:color="auto"/>
            </w:tcBorders>
          </w:tcPr>
          <w:p w14:paraId="24B9143D" w14:textId="77F847B7"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w:t>
            </w:r>
            <w:r w:rsidRPr="005B5B1C">
              <w:rPr>
                <w:rFonts w:cs="Arial"/>
                <w:vertAlign w:val="subscript"/>
              </w:rPr>
              <w:t>2</w:t>
            </w:r>
            <w:r w:rsidRPr="005B5B1C">
              <w:rPr>
                <w:rFonts w:cs="Arial"/>
              </w:rPr>
              <w:t xml:space="preserve"> emissions from electricity generation in fossil fuel fired power plants that are displaced due to the activity</w:t>
            </w:r>
          </w:p>
        </w:tc>
        <w:tc>
          <w:tcPr>
            <w:tcW w:w="709" w:type="dxa"/>
            <w:tcBorders>
              <w:top w:val="single" w:sz="4" w:space="0" w:color="auto"/>
            </w:tcBorders>
          </w:tcPr>
          <w:p w14:paraId="6B4A1FC1" w14:textId="17B935D1"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w:t>
            </w:r>
            <w:r w:rsidRPr="005B5B1C">
              <w:rPr>
                <w:rFonts w:cs="Arial"/>
                <w:vertAlign w:val="subscript"/>
              </w:rPr>
              <w:t>2</w:t>
            </w:r>
          </w:p>
        </w:tc>
        <w:tc>
          <w:tcPr>
            <w:tcW w:w="1417" w:type="dxa"/>
            <w:tcBorders>
              <w:top w:val="single" w:sz="4" w:space="0" w:color="auto"/>
            </w:tcBorders>
          </w:tcPr>
          <w:p w14:paraId="15B126C7" w14:textId="37524E6B"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Yes</w:t>
            </w:r>
          </w:p>
        </w:tc>
        <w:tc>
          <w:tcPr>
            <w:tcW w:w="1701" w:type="dxa"/>
            <w:tcBorders>
              <w:top w:val="single" w:sz="4" w:space="0" w:color="auto"/>
            </w:tcBorders>
          </w:tcPr>
          <w:p w14:paraId="482956EA" w14:textId="6B974140"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Affected by</w:t>
            </w:r>
          </w:p>
        </w:tc>
        <w:tc>
          <w:tcPr>
            <w:tcW w:w="1819" w:type="dxa"/>
            <w:tcBorders>
              <w:top w:val="single" w:sz="4" w:space="0" w:color="auto"/>
            </w:tcBorders>
          </w:tcPr>
          <w:p w14:paraId="74F838CE" w14:textId="24AF210C"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D34C50">
              <w:rPr>
                <w:rFonts w:cs="Arial"/>
                <w:szCs w:val="22"/>
              </w:rPr>
              <w:t>The major source of emissions in the baseline</w:t>
            </w:r>
          </w:p>
        </w:tc>
      </w:tr>
      <w:tr w:rsidR="00F3030A" w14:paraId="63CAC2E5" w14:textId="77777777" w:rsidTr="009A5750">
        <w:trPr>
          <w:trHeight w:val="778"/>
        </w:trPr>
        <w:tc>
          <w:tcPr>
            <w:cnfStyle w:val="001000000000" w:firstRow="0" w:lastRow="0" w:firstColumn="1" w:lastColumn="0" w:oddVBand="0" w:evenVBand="0" w:oddHBand="0" w:evenHBand="0" w:firstRowFirstColumn="0" w:firstRowLastColumn="0" w:lastRowFirstColumn="0" w:lastRowLastColumn="0"/>
            <w:tcW w:w="704" w:type="dxa"/>
            <w:vMerge/>
          </w:tcPr>
          <w:p w14:paraId="5A51EF0A" w14:textId="77777777" w:rsidR="00F3030A" w:rsidRDefault="00F3030A" w:rsidP="00F3030A">
            <w:pPr>
              <w:pStyle w:val="SDMTableBoxParaNotNumbered"/>
            </w:pPr>
          </w:p>
        </w:tc>
        <w:tc>
          <w:tcPr>
            <w:tcW w:w="2268" w:type="dxa"/>
            <w:vMerge/>
          </w:tcPr>
          <w:p w14:paraId="144C2AFA" w14:textId="77777777"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49197237" w14:textId="6D93994E"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CH</w:t>
            </w:r>
            <w:r w:rsidRPr="005B5B1C">
              <w:rPr>
                <w:rFonts w:cs="Arial"/>
                <w:vertAlign w:val="subscript"/>
              </w:rPr>
              <w:t>4</w:t>
            </w:r>
          </w:p>
        </w:tc>
        <w:tc>
          <w:tcPr>
            <w:tcW w:w="1417" w:type="dxa"/>
          </w:tcPr>
          <w:p w14:paraId="703F8710" w14:textId="526D3E45"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No</w:t>
            </w:r>
          </w:p>
        </w:tc>
        <w:tc>
          <w:tcPr>
            <w:tcW w:w="1701" w:type="dxa"/>
          </w:tcPr>
          <w:p w14:paraId="502D5DE8" w14:textId="43FABD80"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Affected by</w:t>
            </w:r>
          </w:p>
        </w:tc>
        <w:tc>
          <w:tcPr>
            <w:tcW w:w="1819" w:type="dxa"/>
            <w:vMerge w:val="restart"/>
          </w:tcPr>
          <w:p w14:paraId="7778791A" w14:textId="0544A894"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D34C50">
              <w:rPr>
                <w:rFonts w:cs="Arial"/>
                <w:szCs w:val="22"/>
              </w:rPr>
              <w:t>Excluded for simplification and conservativeness</w:t>
            </w:r>
          </w:p>
        </w:tc>
      </w:tr>
      <w:tr w:rsidR="00F3030A" w14:paraId="1D0F6573" w14:textId="77777777" w:rsidTr="009A5750">
        <w:trPr>
          <w:trHeight w:val="492"/>
        </w:trPr>
        <w:tc>
          <w:tcPr>
            <w:cnfStyle w:val="001000000000" w:firstRow="0" w:lastRow="0" w:firstColumn="1" w:lastColumn="0" w:oddVBand="0" w:evenVBand="0" w:oddHBand="0" w:evenHBand="0" w:firstRowFirstColumn="0" w:firstRowLastColumn="0" w:lastRowFirstColumn="0" w:lastRowLastColumn="0"/>
            <w:tcW w:w="704" w:type="dxa"/>
            <w:vMerge/>
          </w:tcPr>
          <w:p w14:paraId="74A3AD1F" w14:textId="77777777" w:rsidR="00F3030A" w:rsidRDefault="00F3030A" w:rsidP="00F3030A">
            <w:pPr>
              <w:pStyle w:val="SDMTableBoxParaNotNumbered"/>
            </w:pPr>
          </w:p>
        </w:tc>
        <w:tc>
          <w:tcPr>
            <w:tcW w:w="2268" w:type="dxa"/>
            <w:vMerge/>
          </w:tcPr>
          <w:p w14:paraId="4635679C" w14:textId="77777777"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09D4B480" w14:textId="3603D769"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w:t>
            </w:r>
            <w:r w:rsidRPr="005B5B1C">
              <w:rPr>
                <w:rFonts w:cs="Arial"/>
                <w:vertAlign w:val="subscript"/>
              </w:rPr>
              <w:t>2</w:t>
            </w:r>
            <w:r w:rsidRPr="005B5B1C">
              <w:rPr>
                <w:rFonts w:cs="Arial"/>
              </w:rPr>
              <w:t>O</w:t>
            </w:r>
          </w:p>
        </w:tc>
        <w:tc>
          <w:tcPr>
            <w:tcW w:w="1417" w:type="dxa"/>
          </w:tcPr>
          <w:p w14:paraId="401D4A66" w14:textId="4C6B9FF9"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No</w:t>
            </w:r>
          </w:p>
        </w:tc>
        <w:tc>
          <w:tcPr>
            <w:tcW w:w="1701" w:type="dxa"/>
          </w:tcPr>
          <w:p w14:paraId="3EBBF1DD" w14:textId="57E50293"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Affected by</w:t>
            </w:r>
          </w:p>
        </w:tc>
        <w:tc>
          <w:tcPr>
            <w:tcW w:w="1819" w:type="dxa"/>
            <w:vMerge/>
          </w:tcPr>
          <w:p w14:paraId="4B3A77B6" w14:textId="77777777" w:rsidR="00F3030A" w:rsidRDefault="00F3030A" w:rsidP="00F3030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4743F74F" w14:textId="77777777" w:rsidTr="009A5750">
        <w:tc>
          <w:tcPr>
            <w:cnfStyle w:val="001000000000" w:firstRow="0" w:lastRow="0" w:firstColumn="1" w:lastColumn="0" w:oddVBand="0" w:evenVBand="0" w:oddHBand="0" w:evenHBand="0" w:firstRowFirstColumn="0" w:firstRowLastColumn="0" w:lastRowFirstColumn="0" w:lastRowLastColumn="0"/>
            <w:tcW w:w="704" w:type="dxa"/>
            <w:vMerge w:val="restart"/>
            <w:textDirection w:val="btLr"/>
          </w:tcPr>
          <w:p w14:paraId="72B3A891" w14:textId="01B3015D" w:rsidR="005E0AA3" w:rsidRDefault="005E0AA3" w:rsidP="003A5966">
            <w:pPr>
              <w:pStyle w:val="SDMTableBoxParaNotNumbered"/>
              <w:keepNext/>
              <w:keepLines/>
              <w:ind w:left="113" w:right="113"/>
              <w:jc w:val="center"/>
            </w:pPr>
            <w:r>
              <w:t>ACTIVITY</w:t>
            </w:r>
          </w:p>
        </w:tc>
        <w:tc>
          <w:tcPr>
            <w:tcW w:w="2268" w:type="dxa"/>
            <w:vMerge w:val="restart"/>
          </w:tcPr>
          <w:p w14:paraId="7156C0ED" w14:textId="45347C11" w:rsidR="005E0AA3" w:rsidRDefault="005E0AA3" w:rsidP="003A5966">
            <w:pPr>
              <w:pStyle w:val="SDMTableBoxParaNotNumbered"/>
              <w:keepNext/>
              <w:keepLines/>
              <w:cnfStyle w:val="000000000000" w:firstRow="0" w:lastRow="0" w:firstColumn="0" w:lastColumn="0" w:oddVBand="0" w:evenVBand="0" w:oddHBand="0" w:evenHBand="0" w:firstRowFirstColumn="0" w:firstRowLastColumn="0" w:lastRowFirstColumn="0" w:lastRowLastColumn="0"/>
            </w:pPr>
            <w:r w:rsidRPr="005B5B1C">
              <w:rPr>
                <w:rFonts w:cs="Arial"/>
              </w:rPr>
              <w:t>For dry or flash steam geothermal power plants, emissions of CH</w:t>
            </w:r>
            <w:r w:rsidRPr="005B5B1C">
              <w:rPr>
                <w:rFonts w:cs="Arial"/>
                <w:vertAlign w:val="subscript"/>
              </w:rPr>
              <w:t>4</w:t>
            </w:r>
            <w:r w:rsidRPr="005B5B1C">
              <w:rPr>
                <w:rFonts w:cs="Arial"/>
              </w:rPr>
              <w:t xml:space="preserve"> and CO</w:t>
            </w:r>
            <w:r w:rsidRPr="005B5B1C">
              <w:rPr>
                <w:rFonts w:cs="Arial"/>
                <w:vertAlign w:val="subscript"/>
              </w:rPr>
              <w:t>2</w:t>
            </w:r>
            <w:r w:rsidRPr="005B5B1C">
              <w:rPr>
                <w:rFonts w:cs="Arial"/>
              </w:rPr>
              <w:t xml:space="preserve"> from non-condensable gases contained in geothermal steam</w:t>
            </w:r>
          </w:p>
        </w:tc>
        <w:tc>
          <w:tcPr>
            <w:tcW w:w="709" w:type="dxa"/>
          </w:tcPr>
          <w:p w14:paraId="283446D9" w14:textId="44276642" w:rsidR="005E0AA3" w:rsidRDefault="005E0AA3" w:rsidP="003A5966">
            <w:pPr>
              <w:pStyle w:val="SDMTableBoxParaNotNumbered"/>
              <w:keepNext/>
              <w:keepLines/>
              <w:cnfStyle w:val="000000000000" w:firstRow="0" w:lastRow="0" w:firstColumn="0" w:lastColumn="0" w:oddVBand="0" w:evenVBand="0" w:oddHBand="0" w:evenHBand="0" w:firstRowFirstColumn="0" w:firstRowLastColumn="0" w:lastRowFirstColumn="0" w:lastRowLastColumn="0"/>
            </w:pPr>
            <w:r w:rsidRPr="005B5B1C">
              <w:rPr>
                <w:rFonts w:cs="Arial"/>
              </w:rPr>
              <w:t>CO</w:t>
            </w:r>
            <w:r w:rsidRPr="005B5B1C">
              <w:rPr>
                <w:rFonts w:cs="Arial"/>
                <w:vertAlign w:val="subscript"/>
              </w:rPr>
              <w:t>2</w:t>
            </w:r>
          </w:p>
        </w:tc>
        <w:tc>
          <w:tcPr>
            <w:tcW w:w="1417" w:type="dxa"/>
          </w:tcPr>
          <w:p w14:paraId="788ECB52" w14:textId="368ACDFD" w:rsidR="005E0AA3" w:rsidRDefault="005E0AA3" w:rsidP="003A5966">
            <w:pPr>
              <w:pStyle w:val="SDMTableBoxParaNotNumbered"/>
              <w:keepNext/>
              <w:keepLines/>
              <w:cnfStyle w:val="000000000000" w:firstRow="0" w:lastRow="0" w:firstColumn="0" w:lastColumn="0" w:oddVBand="0" w:evenVBand="0" w:oddHBand="0" w:evenHBand="0" w:firstRowFirstColumn="0" w:firstRowLastColumn="0" w:lastRowFirstColumn="0" w:lastRowLastColumn="0"/>
            </w:pPr>
            <w:r w:rsidRPr="005B5B1C">
              <w:rPr>
                <w:rFonts w:cs="Arial"/>
              </w:rPr>
              <w:t>Yes</w:t>
            </w:r>
          </w:p>
        </w:tc>
        <w:tc>
          <w:tcPr>
            <w:tcW w:w="1701" w:type="dxa"/>
          </w:tcPr>
          <w:p w14:paraId="191AF67D" w14:textId="060D3EDA" w:rsidR="005E0AA3" w:rsidRDefault="005E0AA3" w:rsidP="003A5966">
            <w:pPr>
              <w:pStyle w:val="SDMTableBoxParaNotNumbered"/>
              <w:keepNext/>
              <w:keepLines/>
              <w:cnfStyle w:val="000000000000" w:firstRow="0" w:lastRow="0" w:firstColumn="0" w:lastColumn="0" w:oddVBand="0" w:evenVBand="0" w:oddHBand="0" w:evenHBand="0" w:firstRowFirstColumn="0" w:firstRowLastColumn="0" w:lastRowFirstColumn="0" w:lastRowLastColumn="0"/>
            </w:pPr>
            <w:r w:rsidRPr="005B5B1C">
              <w:rPr>
                <w:rFonts w:cs="Arial"/>
              </w:rPr>
              <w:t>Controlled</w:t>
            </w:r>
          </w:p>
        </w:tc>
        <w:tc>
          <w:tcPr>
            <w:tcW w:w="1819" w:type="dxa"/>
            <w:vMerge w:val="restart"/>
          </w:tcPr>
          <w:p w14:paraId="3A6EC9E4" w14:textId="296D7F3B" w:rsidR="005E0AA3" w:rsidRDefault="005E0AA3" w:rsidP="003A5966">
            <w:pPr>
              <w:pStyle w:val="SDMTableBoxParaNotNumbered"/>
              <w:keepNext/>
              <w:keepLines/>
              <w:cnfStyle w:val="000000000000" w:firstRow="0" w:lastRow="0" w:firstColumn="0" w:lastColumn="0" w:oddVBand="0" w:evenVBand="0" w:oddHBand="0" w:evenHBand="0" w:firstRowFirstColumn="0" w:firstRowLastColumn="0" w:lastRowFirstColumn="0" w:lastRowLastColumn="0"/>
            </w:pPr>
            <w:r w:rsidRPr="00D34C50">
              <w:rPr>
                <w:rFonts w:cs="Arial"/>
                <w:szCs w:val="22"/>
              </w:rPr>
              <w:t>Main emission source</w:t>
            </w:r>
          </w:p>
        </w:tc>
      </w:tr>
      <w:tr w:rsidR="005E0AA3" w14:paraId="14003F47"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1573767B" w14:textId="77777777" w:rsidR="005E0AA3" w:rsidRDefault="005E0AA3" w:rsidP="00F3030A">
            <w:pPr>
              <w:pStyle w:val="SDMTableBoxParaNotNumbered"/>
            </w:pPr>
          </w:p>
        </w:tc>
        <w:tc>
          <w:tcPr>
            <w:tcW w:w="2268" w:type="dxa"/>
            <w:vMerge/>
          </w:tcPr>
          <w:p w14:paraId="09950BED" w14:textId="77777777"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35F74243" w14:textId="4530DFCD"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CH</w:t>
            </w:r>
            <w:r w:rsidRPr="005B5B1C">
              <w:rPr>
                <w:rFonts w:cs="Arial"/>
                <w:vertAlign w:val="subscript"/>
              </w:rPr>
              <w:t>4</w:t>
            </w:r>
          </w:p>
        </w:tc>
        <w:tc>
          <w:tcPr>
            <w:tcW w:w="1417" w:type="dxa"/>
          </w:tcPr>
          <w:p w14:paraId="69B5E2E6" w14:textId="7F06948F"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Yes</w:t>
            </w:r>
          </w:p>
        </w:tc>
        <w:tc>
          <w:tcPr>
            <w:tcW w:w="1701" w:type="dxa"/>
          </w:tcPr>
          <w:p w14:paraId="01CE743D" w14:textId="3A7E3107"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Controlled</w:t>
            </w:r>
          </w:p>
        </w:tc>
        <w:tc>
          <w:tcPr>
            <w:tcW w:w="1819" w:type="dxa"/>
            <w:vMerge/>
          </w:tcPr>
          <w:p w14:paraId="684E041A" w14:textId="77777777"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66F66C82"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68884B80" w14:textId="77777777" w:rsidR="005E0AA3" w:rsidRDefault="005E0AA3" w:rsidP="00F3030A">
            <w:pPr>
              <w:pStyle w:val="SDMTableBoxParaNotNumbered"/>
            </w:pPr>
          </w:p>
        </w:tc>
        <w:tc>
          <w:tcPr>
            <w:tcW w:w="2268" w:type="dxa"/>
            <w:vMerge/>
          </w:tcPr>
          <w:p w14:paraId="4FC55CFE" w14:textId="77777777"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618D60E7" w14:textId="162BB5C8"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w:t>
            </w:r>
            <w:r w:rsidRPr="005B5B1C">
              <w:rPr>
                <w:rFonts w:cs="Arial"/>
                <w:vertAlign w:val="subscript"/>
              </w:rPr>
              <w:t>2</w:t>
            </w:r>
            <w:r w:rsidRPr="005B5B1C">
              <w:rPr>
                <w:rFonts w:cs="Arial"/>
              </w:rPr>
              <w:t>O</w:t>
            </w:r>
          </w:p>
        </w:tc>
        <w:tc>
          <w:tcPr>
            <w:tcW w:w="1417" w:type="dxa"/>
          </w:tcPr>
          <w:p w14:paraId="07CB5596" w14:textId="25E98423"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No</w:t>
            </w:r>
          </w:p>
        </w:tc>
        <w:tc>
          <w:tcPr>
            <w:tcW w:w="1701" w:type="dxa"/>
          </w:tcPr>
          <w:p w14:paraId="1E9F22E7" w14:textId="0A7EFB53"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Controlled</w:t>
            </w:r>
          </w:p>
        </w:tc>
        <w:tc>
          <w:tcPr>
            <w:tcW w:w="1819" w:type="dxa"/>
          </w:tcPr>
          <w:p w14:paraId="5A0AAF5D" w14:textId="44FCDCDA" w:rsidR="005E0AA3" w:rsidRDefault="005E0AA3" w:rsidP="00F3030A">
            <w:pPr>
              <w:pStyle w:val="SDMTableBoxParaNotNumbered"/>
              <w:cnfStyle w:val="000000000000" w:firstRow="0" w:lastRow="0" w:firstColumn="0" w:lastColumn="0" w:oddVBand="0" w:evenVBand="0" w:oddHBand="0" w:evenHBand="0" w:firstRowFirstColumn="0" w:firstRowLastColumn="0" w:lastRowFirstColumn="0" w:lastRowLastColumn="0"/>
            </w:pPr>
            <w:r w:rsidRPr="00D34C50">
              <w:rPr>
                <w:rFonts w:cs="Arial"/>
                <w:szCs w:val="22"/>
              </w:rPr>
              <w:t>Excluded for simplification</w:t>
            </w:r>
          </w:p>
        </w:tc>
      </w:tr>
      <w:tr w:rsidR="005E0AA3" w14:paraId="3B54B3BC" w14:textId="77777777" w:rsidTr="009A5750">
        <w:trPr>
          <w:trHeight w:val="510"/>
        </w:trPr>
        <w:tc>
          <w:tcPr>
            <w:cnfStyle w:val="001000000000" w:firstRow="0" w:lastRow="0" w:firstColumn="1" w:lastColumn="0" w:oddVBand="0" w:evenVBand="0" w:oddHBand="0" w:evenHBand="0" w:firstRowFirstColumn="0" w:firstRowLastColumn="0" w:lastRowFirstColumn="0" w:lastRowLastColumn="0"/>
            <w:tcW w:w="704" w:type="dxa"/>
            <w:vMerge/>
          </w:tcPr>
          <w:p w14:paraId="1A2B6334" w14:textId="77777777" w:rsidR="005E0AA3" w:rsidRDefault="005E0AA3" w:rsidP="00C00D7C">
            <w:pPr>
              <w:pStyle w:val="SDMTableBoxParaNotNumbered"/>
            </w:pPr>
          </w:p>
        </w:tc>
        <w:tc>
          <w:tcPr>
            <w:tcW w:w="2268" w:type="dxa"/>
            <w:vMerge w:val="restart"/>
          </w:tcPr>
          <w:p w14:paraId="0D8970CD" w14:textId="524035B7"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For binary geothermal power plants, fugitive emissions of CH</w:t>
            </w:r>
            <w:r w:rsidRPr="005B5B1C">
              <w:rPr>
                <w:rFonts w:cs="Arial"/>
                <w:vertAlign w:val="subscript"/>
              </w:rPr>
              <w:t>4</w:t>
            </w:r>
            <w:r w:rsidRPr="005B5B1C">
              <w:rPr>
                <w:rFonts w:cs="Arial"/>
              </w:rPr>
              <w:t xml:space="preserve"> and CO</w:t>
            </w:r>
            <w:r w:rsidRPr="005B5B1C">
              <w:rPr>
                <w:rFonts w:cs="Arial"/>
                <w:vertAlign w:val="subscript"/>
              </w:rPr>
              <w:t>2</w:t>
            </w:r>
            <w:r w:rsidRPr="005B5B1C">
              <w:rPr>
                <w:rFonts w:cs="Arial"/>
              </w:rPr>
              <w:t xml:space="preserve"> from non-condensable gases contained in geothermal steam</w:t>
            </w:r>
          </w:p>
        </w:tc>
        <w:tc>
          <w:tcPr>
            <w:tcW w:w="709" w:type="dxa"/>
          </w:tcPr>
          <w:p w14:paraId="6CB910B5" w14:textId="7B56C5CD"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w:t>
            </w:r>
            <w:r w:rsidRPr="005B5B1C">
              <w:rPr>
                <w:rFonts w:cs="Arial"/>
                <w:vertAlign w:val="subscript"/>
              </w:rPr>
              <w:t>2</w:t>
            </w:r>
          </w:p>
        </w:tc>
        <w:tc>
          <w:tcPr>
            <w:tcW w:w="1417" w:type="dxa"/>
          </w:tcPr>
          <w:p w14:paraId="12C2DE5A" w14:textId="4AEF3598"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Yes</w:t>
            </w:r>
          </w:p>
        </w:tc>
        <w:tc>
          <w:tcPr>
            <w:tcW w:w="1701" w:type="dxa"/>
          </w:tcPr>
          <w:p w14:paraId="58D8DA11" w14:textId="55E7E641"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Controlled</w:t>
            </w:r>
          </w:p>
        </w:tc>
        <w:tc>
          <w:tcPr>
            <w:tcW w:w="1819" w:type="dxa"/>
            <w:vMerge w:val="restart"/>
          </w:tcPr>
          <w:p w14:paraId="1232A0EF" w14:textId="4BFBC15B"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Main emission source</w:t>
            </w:r>
          </w:p>
        </w:tc>
      </w:tr>
      <w:tr w:rsidR="005E0AA3" w14:paraId="38B290F5" w14:textId="77777777" w:rsidTr="009A5750">
        <w:trPr>
          <w:trHeight w:val="497"/>
        </w:trPr>
        <w:tc>
          <w:tcPr>
            <w:cnfStyle w:val="001000000000" w:firstRow="0" w:lastRow="0" w:firstColumn="1" w:lastColumn="0" w:oddVBand="0" w:evenVBand="0" w:oddHBand="0" w:evenHBand="0" w:firstRowFirstColumn="0" w:firstRowLastColumn="0" w:lastRowFirstColumn="0" w:lastRowLastColumn="0"/>
            <w:tcW w:w="704" w:type="dxa"/>
            <w:vMerge/>
          </w:tcPr>
          <w:p w14:paraId="3B801501" w14:textId="77777777" w:rsidR="005E0AA3" w:rsidRDefault="005E0AA3" w:rsidP="00C00D7C">
            <w:pPr>
              <w:pStyle w:val="SDMTableBoxParaNotNumbered"/>
            </w:pPr>
          </w:p>
        </w:tc>
        <w:tc>
          <w:tcPr>
            <w:tcW w:w="2268" w:type="dxa"/>
            <w:vMerge/>
          </w:tcPr>
          <w:p w14:paraId="3BB29BCF" w14:textId="77777777"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4E1022E0" w14:textId="3C7923E1"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CH</w:t>
            </w:r>
            <w:r w:rsidRPr="005B5B1C">
              <w:rPr>
                <w:rFonts w:cs="Arial"/>
                <w:vertAlign w:val="subscript"/>
              </w:rPr>
              <w:t>4</w:t>
            </w:r>
          </w:p>
        </w:tc>
        <w:tc>
          <w:tcPr>
            <w:tcW w:w="1417" w:type="dxa"/>
          </w:tcPr>
          <w:p w14:paraId="5C16BA93" w14:textId="0E624788"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Yes</w:t>
            </w:r>
          </w:p>
        </w:tc>
        <w:tc>
          <w:tcPr>
            <w:tcW w:w="1701" w:type="dxa"/>
          </w:tcPr>
          <w:p w14:paraId="6F007304" w14:textId="6B5EE93F"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Controlled</w:t>
            </w:r>
          </w:p>
        </w:tc>
        <w:tc>
          <w:tcPr>
            <w:tcW w:w="1819" w:type="dxa"/>
            <w:vMerge/>
          </w:tcPr>
          <w:p w14:paraId="7F494394" w14:textId="77777777"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307E719A"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356FDB26" w14:textId="77777777" w:rsidR="005E0AA3" w:rsidRDefault="005E0AA3" w:rsidP="00C00D7C">
            <w:pPr>
              <w:pStyle w:val="SDMTableBoxParaNotNumbered"/>
            </w:pPr>
          </w:p>
        </w:tc>
        <w:tc>
          <w:tcPr>
            <w:tcW w:w="2268" w:type="dxa"/>
            <w:vMerge/>
          </w:tcPr>
          <w:p w14:paraId="1F3719F9" w14:textId="77777777"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1FEC1EC8" w14:textId="3327029C"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w:t>
            </w:r>
            <w:r w:rsidRPr="005B5B1C">
              <w:rPr>
                <w:rFonts w:cs="Arial"/>
                <w:vertAlign w:val="subscript"/>
              </w:rPr>
              <w:t>2</w:t>
            </w:r>
            <w:r w:rsidRPr="005B5B1C">
              <w:rPr>
                <w:rFonts w:cs="Arial"/>
              </w:rPr>
              <w:t>O</w:t>
            </w:r>
          </w:p>
        </w:tc>
        <w:tc>
          <w:tcPr>
            <w:tcW w:w="1417" w:type="dxa"/>
          </w:tcPr>
          <w:p w14:paraId="40659069" w14:textId="7A9BE3B9"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No</w:t>
            </w:r>
          </w:p>
        </w:tc>
        <w:tc>
          <w:tcPr>
            <w:tcW w:w="1701" w:type="dxa"/>
          </w:tcPr>
          <w:p w14:paraId="1361D700" w14:textId="497C343B"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Controlled</w:t>
            </w:r>
          </w:p>
        </w:tc>
        <w:tc>
          <w:tcPr>
            <w:tcW w:w="1819" w:type="dxa"/>
          </w:tcPr>
          <w:p w14:paraId="2B81E016" w14:textId="1236BEC8" w:rsidR="005E0AA3" w:rsidRDefault="005E0AA3" w:rsidP="00C00D7C">
            <w:pPr>
              <w:pStyle w:val="SDMTableBoxParaNotNumbered"/>
              <w:cnfStyle w:val="000000000000" w:firstRow="0" w:lastRow="0" w:firstColumn="0" w:lastColumn="0" w:oddVBand="0" w:evenVBand="0" w:oddHBand="0" w:evenHBand="0" w:firstRowFirstColumn="0" w:firstRowLastColumn="0" w:lastRowFirstColumn="0" w:lastRowLastColumn="0"/>
            </w:pPr>
            <w:r w:rsidRPr="00D34C50">
              <w:rPr>
                <w:rFonts w:cs="Arial"/>
                <w:szCs w:val="22"/>
              </w:rPr>
              <w:t>Excluded for simplification</w:t>
            </w:r>
          </w:p>
        </w:tc>
      </w:tr>
      <w:tr w:rsidR="005E0AA3" w14:paraId="1FC32CCB" w14:textId="77777777" w:rsidTr="009A5750">
        <w:trPr>
          <w:trHeight w:val="1423"/>
        </w:trPr>
        <w:tc>
          <w:tcPr>
            <w:cnfStyle w:val="001000000000" w:firstRow="0" w:lastRow="0" w:firstColumn="1" w:lastColumn="0" w:oddVBand="0" w:evenVBand="0" w:oddHBand="0" w:evenHBand="0" w:firstRowFirstColumn="0" w:firstRowLastColumn="0" w:lastRowFirstColumn="0" w:lastRowLastColumn="0"/>
            <w:tcW w:w="704" w:type="dxa"/>
            <w:vMerge/>
          </w:tcPr>
          <w:p w14:paraId="7DD8F0F7" w14:textId="77777777" w:rsidR="005E0AA3" w:rsidRDefault="005E0AA3" w:rsidP="00554CCF">
            <w:pPr>
              <w:pStyle w:val="SDMTableBoxParaNotNumbered"/>
            </w:pPr>
          </w:p>
        </w:tc>
        <w:tc>
          <w:tcPr>
            <w:tcW w:w="2268" w:type="dxa"/>
          </w:tcPr>
          <w:p w14:paraId="06A133A3" w14:textId="23944EF7" w:rsidR="005E0AA3" w:rsidRDefault="005E0AA3" w:rsidP="00554CC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For binary geothermal power plants, fugitive emissions of hydrocarbons such as n-butane and isopentane (working fluid) contained in the heat exchangers</w:t>
            </w:r>
          </w:p>
        </w:tc>
        <w:tc>
          <w:tcPr>
            <w:tcW w:w="709" w:type="dxa"/>
          </w:tcPr>
          <w:p w14:paraId="7146AA16" w14:textId="39905661" w:rsidR="005E0AA3" w:rsidRDefault="005E0AA3" w:rsidP="00554CCF">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szCs w:val="22"/>
              </w:rPr>
              <w:t>H</w:t>
            </w:r>
            <w:r w:rsidRPr="00D34C50">
              <w:rPr>
                <w:rFonts w:cs="Arial"/>
                <w:szCs w:val="22"/>
              </w:rPr>
              <w:t>ydrocarbon</w:t>
            </w:r>
            <w:r>
              <w:rPr>
                <w:rFonts w:cs="Arial"/>
                <w:szCs w:val="22"/>
              </w:rPr>
              <w:t xml:space="preserve"> </w:t>
            </w:r>
            <w:r w:rsidRPr="00D34C50">
              <w:rPr>
                <w:rFonts w:cs="Arial"/>
                <w:szCs w:val="22"/>
              </w:rPr>
              <w:t>refrigerant</w:t>
            </w:r>
          </w:p>
        </w:tc>
        <w:tc>
          <w:tcPr>
            <w:tcW w:w="1417" w:type="dxa"/>
          </w:tcPr>
          <w:p w14:paraId="3EF7FED6" w14:textId="714E9011" w:rsidR="005E0AA3" w:rsidRDefault="005E0AA3" w:rsidP="00554CCF">
            <w:pPr>
              <w:pStyle w:val="SDMTableBoxParaNotNumbered"/>
              <w:cnfStyle w:val="000000000000" w:firstRow="0" w:lastRow="0" w:firstColumn="0" w:lastColumn="0" w:oddVBand="0" w:evenVBand="0" w:oddHBand="0" w:evenHBand="0" w:firstRowFirstColumn="0" w:firstRowLastColumn="0" w:lastRowFirstColumn="0" w:lastRowLastColumn="0"/>
            </w:pPr>
            <w:r w:rsidRPr="00D34C50">
              <w:rPr>
                <w:rFonts w:eastAsia="MS Mincho" w:cs="Arial"/>
                <w:szCs w:val="18"/>
                <w:lang w:eastAsia="en-US"/>
              </w:rPr>
              <w:t>Yes</w:t>
            </w:r>
          </w:p>
        </w:tc>
        <w:tc>
          <w:tcPr>
            <w:tcW w:w="1701" w:type="dxa"/>
          </w:tcPr>
          <w:p w14:paraId="4AF8207F" w14:textId="6DF9CB4B" w:rsidR="005E0AA3" w:rsidRDefault="005E0AA3" w:rsidP="00554CC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Controlled</w:t>
            </w:r>
          </w:p>
        </w:tc>
        <w:tc>
          <w:tcPr>
            <w:tcW w:w="1819" w:type="dxa"/>
          </w:tcPr>
          <w:p w14:paraId="2C03904A" w14:textId="22F8E479" w:rsidR="005E0AA3" w:rsidRDefault="005E0AA3" w:rsidP="00554CC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Main emission source</w:t>
            </w:r>
          </w:p>
        </w:tc>
      </w:tr>
      <w:tr w:rsidR="005E0AA3" w14:paraId="3523E60A"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1D9A2D48" w14:textId="77777777" w:rsidR="005E0AA3" w:rsidRDefault="005E0AA3" w:rsidP="005B1326">
            <w:pPr>
              <w:pStyle w:val="SDMTableBoxParaNotNumbered"/>
            </w:pPr>
          </w:p>
        </w:tc>
        <w:tc>
          <w:tcPr>
            <w:tcW w:w="2268" w:type="dxa"/>
            <w:vMerge w:val="restart"/>
          </w:tcPr>
          <w:p w14:paraId="3EC7EC36" w14:textId="32DAC9D9"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E</w:t>
            </w:r>
            <w:r w:rsidRPr="00BF79F9">
              <w:rPr>
                <w:rFonts w:cs="Arial"/>
              </w:rPr>
              <w:t>missions from combustion of fossil fuels in solar thermal power plants</w:t>
            </w:r>
            <w:r>
              <w:rPr>
                <w:rFonts w:cs="Arial"/>
              </w:rPr>
              <w:t>,</w:t>
            </w:r>
            <w:r w:rsidRPr="00BF79F9">
              <w:rPr>
                <w:rFonts w:cs="Arial"/>
              </w:rPr>
              <w:t xml:space="preserve"> geothermal power plants</w:t>
            </w:r>
            <w:r>
              <w:rPr>
                <w:rFonts w:cs="Arial"/>
              </w:rPr>
              <w:t xml:space="preserve"> or </w:t>
            </w:r>
            <w:r w:rsidRPr="00BF79F9">
              <w:rPr>
                <w:rFonts w:cs="Arial"/>
              </w:rPr>
              <w:t>back-up generators</w:t>
            </w:r>
          </w:p>
        </w:tc>
        <w:tc>
          <w:tcPr>
            <w:tcW w:w="709" w:type="dxa"/>
          </w:tcPr>
          <w:p w14:paraId="16BDB148" w14:textId="6BD4245A"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w:t>
            </w:r>
            <w:r w:rsidRPr="005B5B1C">
              <w:rPr>
                <w:rFonts w:cs="Arial"/>
                <w:vertAlign w:val="subscript"/>
              </w:rPr>
              <w:t>2</w:t>
            </w:r>
          </w:p>
        </w:tc>
        <w:tc>
          <w:tcPr>
            <w:tcW w:w="1417" w:type="dxa"/>
          </w:tcPr>
          <w:p w14:paraId="0646CC95" w14:textId="448388F5"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Yes</w:t>
            </w:r>
          </w:p>
        </w:tc>
        <w:tc>
          <w:tcPr>
            <w:tcW w:w="1701" w:type="dxa"/>
          </w:tcPr>
          <w:p w14:paraId="65233729" w14:textId="0529E704"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Controlled</w:t>
            </w:r>
          </w:p>
        </w:tc>
        <w:tc>
          <w:tcPr>
            <w:tcW w:w="1819" w:type="dxa"/>
          </w:tcPr>
          <w:p w14:paraId="1308013B" w14:textId="4A907E22"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Main emission source</w:t>
            </w:r>
          </w:p>
        </w:tc>
      </w:tr>
      <w:tr w:rsidR="005E0AA3" w14:paraId="3B6B3771" w14:textId="77777777" w:rsidTr="009A5750">
        <w:trPr>
          <w:trHeight w:val="458"/>
        </w:trPr>
        <w:tc>
          <w:tcPr>
            <w:cnfStyle w:val="001000000000" w:firstRow="0" w:lastRow="0" w:firstColumn="1" w:lastColumn="0" w:oddVBand="0" w:evenVBand="0" w:oddHBand="0" w:evenHBand="0" w:firstRowFirstColumn="0" w:firstRowLastColumn="0" w:lastRowFirstColumn="0" w:lastRowLastColumn="0"/>
            <w:tcW w:w="704" w:type="dxa"/>
            <w:vMerge/>
          </w:tcPr>
          <w:p w14:paraId="3D3CCA8D" w14:textId="77777777" w:rsidR="005E0AA3" w:rsidRDefault="005E0AA3" w:rsidP="005B1326">
            <w:pPr>
              <w:pStyle w:val="SDMTableBoxParaNotNumbered"/>
            </w:pPr>
          </w:p>
        </w:tc>
        <w:tc>
          <w:tcPr>
            <w:tcW w:w="2268" w:type="dxa"/>
            <w:vMerge/>
          </w:tcPr>
          <w:p w14:paraId="6033508C" w14:textId="77777777"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2BA5F615" w14:textId="339026EC"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CH</w:t>
            </w:r>
            <w:r w:rsidRPr="005B5B1C">
              <w:rPr>
                <w:rFonts w:cs="Arial"/>
                <w:vertAlign w:val="subscript"/>
              </w:rPr>
              <w:t>4</w:t>
            </w:r>
          </w:p>
        </w:tc>
        <w:tc>
          <w:tcPr>
            <w:tcW w:w="1417" w:type="dxa"/>
          </w:tcPr>
          <w:p w14:paraId="18DE5AB3" w14:textId="3C31F47E"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Yes</w:t>
            </w:r>
          </w:p>
        </w:tc>
        <w:tc>
          <w:tcPr>
            <w:tcW w:w="1701" w:type="dxa"/>
          </w:tcPr>
          <w:p w14:paraId="254A3B0D" w14:textId="637D478F"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Controlled</w:t>
            </w:r>
          </w:p>
        </w:tc>
        <w:tc>
          <w:tcPr>
            <w:tcW w:w="1819" w:type="dxa"/>
            <w:vMerge w:val="restart"/>
          </w:tcPr>
          <w:p w14:paraId="2BC83A24" w14:textId="5810A7CE"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Minor emission source</w:t>
            </w:r>
          </w:p>
        </w:tc>
      </w:tr>
      <w:tr w:rsidR="005E0AA3" w14:paraId="3F64ABD4"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1B3AC504" w14:textId="77777777" w:rsidR="005E0AA3" w:rsidRDefault="005E0AA3" w:rsidP="005B1326">
            <w:pPr>
              <w:pStyle w:val="SDMTableBoxParaNotNumbered"/>
            </w:pPr>
          </w:p>
        </w:tc>
        <w:tc>
          <w:tcPr>
            <w:tcW w:w="2268" w:type="dxa"/>
            <w:vMerge/>
          </w:tcPr>
          <w:p w14:paraId="38A4F190" w14:textId="77777777"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2AD3E340" w14:textId="582F2538"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w:t>
            </w:r>
            <w:r w:rsidRPr="005B5B1C">
              <w:rPr>
                <w:rFonts w:cs="Arial"/>
                <w:vertAlign w:val="subscript"/>
              </w:rPr>
              <w:t>2</w:t>
            </w:r>
            <w:r w:rsidRPr="005B5B1C">
              <w:rPr>
                <w:rFonts w:cs="Arial"/>
              </w:rPr>
              <w:t>O</w:t>
            </w:r>
          </w:p>
        </w:tc>
        <w:tc>
          <w:tcPr>
            <w:tcW w:w="1417" w:type="dxa"/>
          </w:tcPr>
          <w:p w14:paraId="1DC1E219" w14:textId="23B3C13E"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Yes</w:t>
            </w:r>
          </w:p>
        </w:tc>
        <w:tc>
          <w:tcPr>
            <w:tcW w:w="1701" w:type="dxa"/>
          </w:tcPr>
          <w:p w14:paraId="320B9660" w14:textId="42093094"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Controlled</w:t>
            </w:r>
          </w:p>
        </w:tc>
        <w:tc>
          <w:tcPr>
            <w:tcW w:w="1819" w:type="dxa"/>
            <w:vMerge/>
          </w:tcPr>
          <w:p w14:paraId="0194AAAF" w14:textId="77777777" w:rsidR="005E0AA3" w:rsidRDefault="005E0AA3" w:rsidP="005B1326">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64337D76" w14:textId="77777777" w:rsidTr="009A5750">
        <w:trPr>
          <w:trHeight w:val="387"/>
        </w:trPr>
        <w:tc>
          <w:tcPr>
            <w:cnfStyle w:val="001000000000" w:firstRow="0" w:lastRow="0" w:firstColumn="1" w:lastColumn="0" w:oddVBand="0" w:evenVBand="0" w:oddHBand="0" w:evenHBand="0" w:firstRowFirstColumn="0" w:firstRowLastColumn="0" w:lastRowFirstColumn="0" w:lastRowLastColumn="0"/>
            <w:tcW w:w="704" w:type="dxa"/>
            <w:vMerge w:val="restart"/>
            <w:textDirection w:val="btLr"/>
          </w:tcPr>
          <w:p w14:paraId="1420BCF6" w14:textId="2860E0D9" w:rsidR="005E0AA3" w:rsidRDefault="005E0AA3" w:rsidP="005E0AA3">
            <w:pPr>
              <w:pStyle w:val="SDMTableBoxParaNotNumbered"/>
              <w:ind w:left="113" w:right="113"/>
              <w:jc w:val="center"/>
            </w:pPr>
            <w:r>
              <w:t>LEAKAGE</w:t>
            </w:r>
          </w:p>
        </w:tc>
        <w:tc>
          <w:tcPr>
            <w:tcW w:w="2268" w:type="dxa"/>
            <w:vMerge w:val="restart"/>
          </w:tcPr>
          <w:p w14:paraId="46FDD93F" w14:textId="65DA3116"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Upstream emissions from construction of the activity</w:t>
            </w:r>
          </w:p>
        </w:tc>
        <w:tc>
          <w:tcPr>
            <w:tcW w:w="709" w:type="dxa"/>
          </w:tcPr>
          <w:p w14:paraId="1384225A" w14:textId="2575E0CE"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w:t>
            </w:r>
            <w:r w:rsidRPr="005B5B1C">
              <w:rPr>
                <w:rFonts w:cs="Arial"/>
                <w:vertAlign w:val="subscript"/>
              </w:rPr>
              <w:t>2</w:t>
            </w:r>
          </w:p>
        </w:tc>
        <w:tc>
          <w:tcPr>
            <w:tcW w:w="1417" w:type="dxa"/>
          </w:tcPr>
          <w:p w14:paraId="4F268FB7" w14:textId="363DF995"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No</w:t>
            </w:r>
          </w:p>
        </w:tc>
        <w:tc>
          <w:tcPr>
            <w:tcW w:w="1701" w:type="dxa"/>
          </w:tcPr>
          <w:p w14:paraId="15644217" w14:textId="029C8C32"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Affected by</w:t>
            </w:r>
          </w:p>
        </w:tc>
        <w:tc>
          <w:tcPr>
            <w:tcW w:w="1819" w:type="dxa"/>
            <w:vMerge w:val="restart"/>
          </w:tcPr>
          <w:p w14:paraId="42482154" w14:textId="74D14C74"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Excluded for simplification, refer to the appendix for the reasoning</w:t>
            </w:r>
          </w:p>
        </w:tc>
      </w:tr>
      <w:tr w:rsidR="005E0AA3" w14:paraId="3EDDC58B" w14:textId="77777777" w:rsidTr="009A5750">
        <w:trPr>
          <w:trHeight w:val="363"/>
        </w:trPr>
        <w:tc>
          <w:tcPr>
            <w:cnfStyle w:val="001000000000" w:firstRow="0" w:lastRow="0" w:firstColumn="1" w:lastColumn="0" w:oddVBand="0" w:evenVBand="0" w:oddHBand="0" w:evenHBand="0" w:firstRowFirstColumn="0" w:firstRowLastColumn="0" w:lastRowFirstColumn="0" w:lastRowLastColumn="0"/>
            <w:tcW w:w="704" w:type="dxa"/>
            <w:vMerge/>
          </w:tcPr>
          <w:p w14:paraId="266111ED" w14:textId="77777777" w:rsidR="005E0AA3" w:rsidRDefault="005E0AA3" w:rsidP="00396C8F">
            <w:pPr>
              <w:pStyle w:val="SDMTableBoxParaNotNumbered"/>
            </w:pPr>
          </w:p>
        </w:tc>
        <w:tc>
          <w:tcPr>
            <w:tcW w:w="2268" w:type="dxa"/>
            <w:vMerge/>
          </w:tcPr>
          <w:p w14:paraId="74F986D0" w14:textId="77777777"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23B5D1F9" w14:textId="4ABAFD15"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CH</w:t>
            </w:r>
            <w:r w:rsidRPr="005B5B1C">
              <w:rPr>
                <w:rFonts w:cs="Arial"/>
                <w:vertAlign w:val="subscript"/>
              </w:rPr>
              <w:t>4</w:t>
            </w:r>
          </w:p>
        </w:tc>
        <w:tc>
          <w:tcPr>
            <w:tcW w:w="1417" w:type="dxa"/>
          </w:tcPr>
          <w:p w14:paraId="11451367" w14:textId="028BDAD6"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No</w:t>
            </w:r>
          </w:p>
        </w:tc>
        <w:tc>
          <w:tcPr>
            <w:tcW w:w="1701" w:type="dxa"/>
          </w:tcPr>
          <w:p w14:paraId="22061702" w14:textId="4A5703CE"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Affected by</w:t>
            </w:r>
          </w:p>
        </w:tc>
        <w:tc>
          <w:tcPr>
            <w:tcW w:w="1819" w:type="dxa"/>
            <w:vMerge/>
          </w:tcPr>
          <w:p w14:paraId="5EAD713B" w14:textId="77777777"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39C8E8D7" w14:textId="77777777" w:rsidTr="009A5750">
        <w:trPr>
          <w:trHeight w:val="357"/>
        </w:trPr>
        <w:tc>
          <w:tcPr>
            <w:cnfStyle w:val="001000000000" w:firstRow="0" w:lastRow="0" w:firstColumn="1" w:lastColumn="0" w:oddVBand="0" w:evenVBand="0" w:oddHBand="0" w:evenHBand="0" w:firstRowFirstColumn="0" w:firstRowLastColumn="0" w:lastRowFirstColumn="0" w:lastRowLastColumn="0"/>
            <w:tcW w:w="704" w:type="dxa"/>
            <w:vMerge/>
          </w:tcPr>
          <w:p w14:paraId="5CF0288E" w14:textId="77777777" w:rsidR="005E0AA3" w:rsidRDefault="005E0AA3" w:rsidP="00396C8F">
            <w:pPr>
              <w:pStyle w:val="SDMTableBoxParaNotNumbered"/>
            </w:pPr>
          </w:p>
        </w:tc>
        <w:tc>
          <w:tcPr>
            <w:tcW w:w="2268" w:type="dxa"/>
            <w:vMerge/>
          </w:tcPr>
          <w:p w14:paraId="0450BF3C" w14:textId="77777777"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28C506A3" w14:textId="0739DB4C"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w:t>
            </w:r>
            <w:r w:rsidRPr="005B5B1C">
              <w:rPr>
                <w:rFonts w:cs="Arial"/>
                <w:vertAlign w:val="subscript"/>
              </w:rPr>
              <w:t>2</w:t>
            </w:r>
            <w:r w:rsidRPr="005B5B1C">
              <w:rPr>
                <w:rFonts w:cs="Arial"/>
              </w:rPr>
              <w:t>O</w:t>
            </w:r>
          </w:p>
        </w:tc>
        <w:tc>
          <w:tcPr>
            <w:tcW w:w="1417" w:type="dxa"/>
          </w:tcPr>
          <w:p w14:paraId="299C6AA4" w14:textId="519E947A"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No</w:t>
            </w:r>
          </w:p>
        </w:tc>
        <w:tc>
          <w:tcPr>
            <w:tcW w:w="1701" w:type="dxa"/>
          </w:tcPr>
          <w:p w14:paraId="70B3DDBB" w14:textId="4BB2EA0E"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Affected by</w:t>
            </w:r>
          </w:p>
        </w:tc>
        <w:tc>
          <w:tcPr>
            <w:tcW w:w="1819" w:type="dxa"/>
            <w:vMerge/>
          </w:tcPr>
          <w:p w14:paraId="3F4E4C10" w14:textId="77777777" w:rsidR="005E0AA3" w:rsidRDefault="005E0AA3" w:rsidP="00396C8F">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4A66C525"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6B995093" w14:textId="77777777" w:rsidR="005E0AA3" w:rsidRDefault="005E0AA3" w:rsidP="006C0D92">
            <w:pPr>
              <w:pStyle w:val="SDMTableBoxParaNotNumbered"/>
            </w:pPr>
          </w:p>
        </w:tc>
        <w:tc>
          <w:tcPr>
            <w:tcW w:w="2268" w:type="dxa"/>
            <w:vMerge w:val="restart"/>
          </w:tcPr>
          <w:p w14:paraId="73B51AC0" w14:textId="45EED0BA"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Upstream emissions from the production, transport and installation of a BESS</w:t>
            </w:r>
          </w:p>
        </w:tc>
        <w:tc>
          <w:tcPr>
            <w:tcW w:w="709" w:type="dxa"/>
          </w:tcPr>
          <w:p w14:paraId="05D021A1" w14:textId="5AEDC829"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CO</w:t>
            </w:r>
            <w:r w:rsidRPr="00560F45">
              <w:rPr>
                <w:rFonts w:cs="Arial"/>
                <w:vertAlign w:val="subscript"/>
              </w:rPr>
              <w:t>2</w:t>
            </w:r>
          </w:p>
        </w:tc>
        <w:tc>
          <w:tcPr>
            <w:tcW w:w="1417" w:type="dxa"/>
          </w:tcPr>
          <w:p w14:paraId="1CA6C3EE" w14:textId="6F24B99D"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Yes</w:t>
            </w:r>
          </w:p>
        </w:tc>
        <w:tc>
          <w:tcPr>
            <w:tcW w:w="1701" w:type="dxa"/>
          </w:tcPr>
          <w:p w14:paraId="44B73BE8" w14:textId="6EF1AB60"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Affected by</w:t>
            </w:r>
          </w:p>
        </w:tc>
        <w:tc>
          <w:tcPr>
            <w:tcW w:w="1819" w:type="dxa"/>
            <w:vMerge w:val="restart"/>
          </w:tcPr>
          <w:p w14:paraId="448200D5" w14:textId="3E578471"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Can be a significant emission source</w:t>
            </w:r>
          </w:p>
        </w:tc>
      </w:tr>
      <w:tr w:rsidR="005E0AA3" w14:paraId="77774647"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63A5E725" w14:textId="77777777" w:rsidR="005E0AA3" w:rsidRDefault="005E0AA3" w:rsidP="006C0D92">
            <w:pPr>
              <w:pStyle w:val="SDMTableBoxParaNotNumbered"/>
            </w:pPr>
          </w:p>
        </w:tc>
        <w:tc>
          <w:tcPr>
            <w:tcW w:w="2268" w:type="dxa"/>
            <w:vMerge/>
          </w:tcPr>
          <w:p w14:paraId="6EA153F3" w14:textId="77777777"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3E1E857E" w14:textId="48487F14"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CH</w:t>
            </w:r>
            <w:r w:rsidRPr="00560F45">
              <w:rPr>
                <w:rFonts w:cs="Arial"/>
                <w:vertAlign w:val="subscript"/>
              </w:rPr>
              <w:t>4</w:t>
            </w:r>
          </w:p>
        </w:tc>
        <w:tc>
          <w:tcPr>
            <w:tcW w:w="1417" w:type="dxa"/>
          </w:tcPr>
          <w:p w14:paraId="33F40220" w14:textId="20401030"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Yes</w:t>
            </w:r>
          </w:p>
        </w:tc>
        <w:tc>
          <w:tcPr>
            <w:tcW w:w="1701" w:type="dxa"/>
          </w:tcPr>
          <w:p w14:paraId="330246D0" w14:textId="54B9C6D2"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Affected by</w:t>
            </w:r>
          </w:p>
        </w:tc>
        <w:tc>
          <w:tcPr>
            <w:tcW w:w="1819" w:type="dxa"/>
            <w:vMerge/>
          </w:tcPr>
          <w:p w14:paraId="79637473" w14:textId="77777777"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643F1447"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35CFFE37" w14:textId="77777777" w:rsidR="005E0AA3" w:rsidRDefault="005E0AA3" w:rsidP="006C0D92">
            <w:pPr>
              <w:pStyle w:val="SDMTableBoxParaNotNumbered"/>
            </w:pPr>
          </w:p>
        </w:tc>
        <w:tc>
          <w:tcPr>
            <w:tcW w:w="2268" w:type="dxa"/>
            <w:vMerge/>
          </w:tcPr>
          <w:p w14:paraId="07585788" w14:textId="77777777"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63229DD3" w14:textId="760D47C5"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N</w:t>
            </w:r>
            <w:r w:rsidRPr="00560F45">
              <w:rPr>
                <w:rFonts w:cs="Arial"/>
                <w:vertAlign w:val="subscript"/>
              </w:rPr>
              <w:t>2</w:t>
            </w:r>
            <w:r w:rsidRPr="00560F45">
              <w:rPr>
                <w:rFonts w:cs="Arial"/>
              </w:rPr>
              <w:t>O</w:t>
            </w:r>
          </w:p>
        </w:tc>
        <w:tc>
          <w:tcPr>
            <w:tcW w:w="1417" w:type="dxa"/>
          </w:tcPr>
          <w:p w14:paraId="420D81F1" w14:textId="76873677"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Yes</w:t>
            </w:r>
          </w:p>
        </w:tc>
        <w:tc>
          <w:tcPr>
            <w:tcW w:w="1701" w:type="dxa"/>
          </w:tcPr>
          <w:p w14:paraId="1B3ECFAC" w14:textId="3C4174A2"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r w:rsidRPr="00560F45">
              <w:rPr>
                <w:rFonts w:cs="Arial"/>
              </w:rPr>
              <w:t>Affected by</w:t>
            </w:r>
          </w:p>
        </w:tc>
        <w:tc>
          <w:tcPr>
            <w:tcW w:w="1819" w:type="dxa"/>
            <w:vMerge/>
          </w:tcPr>
          <w:p w14:paraId="53B1BA26" w14:textId="77777777" w:rsidR="005E0AA3" w:rsidRDefault="005E0AA3" w:rsidP="006C0D92">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261C178E"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62F9C4C7" w14:textId="77777777" w:rsidR="005E0AA3" w:rsidRDefault="005E0AA3" w:rsidP="00FE7DC5">
            <w:pPr>
              <w:pStyle w:val="SDMTableBoxParaNotNumbered"/>
            </w:pPr>
          </w:p>
        </w:tc>
        <w:tc>
          <w:tcPr>
            <w:tcW w:w="2268" w:type="dxa"/>
            <w:vMerge w:val="restart"/>
          </w:tcPr>
          <w:p w14:paraId="22FEF018" w14:textId="69DFA885"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2390F54D">
              <w:rPr>
                <w:rFonts w:cs="Arial"/>
              </w:rPr>
              <w:t>Wake</w:t>
            </w:r>
            <w:r w:rsidRPr="005B5B1C">
              <w:rPr>
                <w:rFonts w:cs="Arial"/>
              </w:rPr>
              <w:t xml:space="preserve"> effect</w:t>
            </w:r>
            <w:r>
              <w:rPr>
                <w:rFonts w:cs="Arial"/>
              </w:rPr>
              <w:t>s</w:t>
            </w:r>
            <w:r w:rsidRPr="005B5B1C">
              <w:rPr>
                <w:rFonts w:cs="Arial"/>
              </w:rPr>
              <w:t xml:space="preserve"> of wind power plants</w:t>
            </w:r>
          </w:p>
        </w:tc>
        <w:tc>
          <w:tcPr>
            <w:tcW w:w="709" w:type="dxa"/>
          </w:tcPr>
          <w:p w14:paraId="294D8E7B" w14:textId="299704E4"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w:t>
            </w:r>
            <w:r w:rsidRPr="005B5B1C">
              <w:rPr>
                <w:rFonts w:cs="Arial"/>
                <w:vertAlign w:val="subscript"/>
              </w:rPr>
              <w:t>2</w:t>
            </w:r>
          </w:p>
        </w:tc>
        <w:tc>
          <w:tcPr>
            <w:tcW w:w="1417" w:type="dxa"/>
          </w:tcPr>
          <w:p w14:paraId="1F5FBC48" w14:textId="21A36078"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Yes</w:t>
            </w:r>
          </w:p>
        </w:tc>
        <w:tc>
          <w:tcPr>
            <w:tcW w:w="1701" w:type="dxa"/>
          </w:tcPr>
          <w:p w14:paraId="36C6E774" w14:textId="13B89391"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Affected by</w:t>
            </w:r>
          </w:p>
        </w:tc>
        <w:tc>
          <w:tcPr>
            <w:tcW w:w="1819" w:type="dxa"/>
          </w:tcPr>
          <w:p w14:paraId="07AA2A0E" w14:textId="165BECDE"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Accounted for when quantifying the amount of electricity generated</w:t>
            </w:r>
          </w:p>
        </w:tc>
      </w:tr>
      <w:tr w:rsidR="005E0AA3" w14:paraId="2A14DDFE"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1EC06C78" w14:textId="77777777" w:rsidR="005E0AA3" w:rsidRDefault="005E0AA3" w:rsidP="00FE7DC5">
            <w:pPr>
              <w:pStyle w:val="SDMTableBoxParaNotNumbered"/>
            </w:pPr>
          </w:p>
        </w:tc>
        <w:tc>
          <w:tcPr>
            <w:tcW w:w="2268" w:type="dxa"/>
            <w:vMerge/>
          </w:tcPr>
          <w:p w14:paraId="570DEED1" w14:textId="77777777"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4C8F9CBF" w14:textId="2B01EF74"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CH</w:t>
            </w:r>
            <w:r w:rsidRPr="005B5B1C">
              <w:rPr>
                <w:rFonts w:cs="Arial"/>
                <w:vertAlign w:val="subscript"/>
              </w:rPr>
              <w:t>4</w:t>
            </w:r>
          </w:p>
        </w:tc>
        <w:tc>
          <w:tcPr>
            <w:tcW w:w="1417" w:type="dxa"/>
          </w:tcPr>
          <w:p w14:paraId="3C7D168A" w14:textId="044BFD73"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No</w:t>
            </w:r>
          </w:p>
        </w:tc>
        <w:tc>
          <w:tcPr>
            <w:tcW w:w="1701" w:type="dxa"/>
          </w:tcPr>
          <w:p w14:paraId="25D68D18" w14:textId="7246E31D"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Affected by</w:t>
            </w:r>
          </w:p>
        </w:tc>
        <w:tc>
          <w:tcPr>
            <w:tcW w:w="1819" w:type="dxa"/>
            <w:vMerge w:val="restart"/>
          </w:tcPr>
          <w:p w14:paraId="32EF86D8" w14:textId="37FFC0B9"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00D34C50">
              <w:rPr>
                <w:rFonts w:cs="Arial"/>
                <w:szCs w:val="22"/>
              </w:rPr>
              <w:t>Excluded for simplification</w:t>
            </w:r>
          </w:p>
        </w:tc>
      </w:tr>
      <w:tr w:rsidR="005E0AA3" w14:paraId="10AF272A"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7D9524B9" w14:textId="77777777" w:rsidR="005E0AA3" w:rsidRDefault="005E0AA3" w:rsidP="00FE7DC5">
            <w:pPr>
              <w:pStyle w:val="SDMTableBoxParaNotNumbered"/>
            </w:pPr>
          </w:p>
        </w:tc>
        <w:tc>
          <w:tcPr>
            <w:tcW w:w="2268" w:type="dxa"/>
            <w:vMerge/>
          </w:tcPr>
          <w:p w14:paraId="5DAECA09" w14:textId="77777777"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1589ACCA" w14:textId="2483D489"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w:t>
            </w:r>
            <w:r w:rsidRPr="005B5B1C">
              <w:rPr>
                <w:rFonts w:cs="Arial"/>
                <w:vertAlign w:val="subscript"/>
              </w:rPr>
              <w:t>2</w:t>
            </w:r>
            <w:r w:rsidRPr="005B5B1C">
              <w:rPr>
                <w:rFonts w:cs="Arial"/>
              </w:rPr>
              <w:t>O</w:t>
            </w:r>
          </w:p>
        </w:tc>
        <w:tc>
          <w:tcPr>
            <w:tcW w:w="1417" w:type="dxa"/>
          </w:tcPr>
          <w:p w14:paraId="5DB67BFA" w14:textId="707D4F21"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No</w:t>
            </w:r>
          </w:p>
        </w:tc>
        <w:tc>
          <w:tcPr>
            <w:tcW w:w="1701" w:type="dxa"/>
          </w:tcPr>
          <w:p w14:paraId="3CBF014F" w14:textId="12518A25"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Affected by</w:t>
            </w:r>
          </w:p>
        </w:tc>
        <w:tc>
          <w:tcPr>
            <w:tcW w:w="1819" w:type="dxa"/>
            <w:vMerge/>
          </w:tcPr>
          <w:p w14:paraId="06A2053A" w14:textId="77777777" w:rsidR="005E0AA3" w:rsidRDefault="005E0AA3" w:rsidP="00FE7DC5">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3004D660"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7299D6EE" w14:textId="77777777" w:rsidR="005E0AA3" w:rsidRDefault="005E0AA3" w:rsidP="00420CE7">
            <w:pPr>
              <w:pStyle w:val="SDMTableBoxParaNotNumbered"/>
            </w:pPr>
          </w:p>
        </w:tc>
        <w:tc>
          <w:tcPr>
            <w:tcW w:w="2268" w:type="dxa"/>
            <w:vMerge w:val="restart"/>
          </w:tcPr>
          <w:p w14:paraId="12D74CF1" w14:textId="06C7576F"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Rebound effects</w:t>
            </w:r>
          </w:p>
        </w:tc>
        <w:tc>
          <w:tcPr>
            <w:tcW w:w="709" w:type="dxa"/>
          </w:tcPr>
          <w:p w14:paraId="68AF835A" w14:textId="5606427A"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CO</w:t>
            </w:r>
            <w:r w:rsidRPr="005B5B1C">
              <w:rPr>
                <w:rFonts w:cs="Arial"/>
                <w:vertAlign w:val="subscript"/>
              </w:rPr>
              <w:t>2</w:t>
            </w:r>
          </w:p>
        </w:tc>
        <w:tc>
          <w:tcPr>
            <w:tcW w:w="1417" w:type="dxa"/>
          </w:tcPr>
          <w:p w14:paraId="304F10AD" w14:textId="49313290"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No</w:t>
            </w:r>
          </w:p>
        </w:tc>
        <w:tc>
          <w:tcPr>
            <w:tcW w:w="1701" w:type="dxa"/>
          </w:tcPr>
          <w:p w14:paraId="643F95C9" w14:textId="7F6D9BE5"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Affected by</w:t>
            </w:r>
          </w:p>
        </w:tc>
        <w:tc>
          <w:tcPr>
            <w:tcW w:w="1819" w:type="dxa"/>
            <w:vMerge w:val="restart"/>
          </w:tcPr>
          <w:p w14:paraId="76623129" w14:textId="30E274E9"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sidRPr="00E00EE9">
              <w:rPr>
                <w:rFonts w:cs="Arial"/>
              </w:rPr>
              <w:t>Excluded for simplification, refer to the appendix for the reasoning</w:t>
            </w:r>
          </w:p>
        </w:tc>
      </w:tr>
      <w:tr w:rsidR="005E0AA3" w14:paraId="1FABEB11"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6046E344" w14:textId="77777777" w:rsidR="005E0AA3" w:rsidRDefault="005E0AA3" w:rsidP="00420CE7">
            <w:pPr>
              <w:pStyle w:val="SDMTableBoxParaNotNumbered"/>
            </w:pPr>
          </w:p>
        </w:tc>
        <w:tc>
          <w:tcPr>
            <w:tcW w:w="2268" w:type="dxa"/>
            <w:vMerge/>
          </w:tcPr>
          <w:p w14:paraId="1A89813F" w14:textId="77777777"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283003B0" w14:textId="2B029B60"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CH</w:t>
            </w:r>
            <w:r w:rsidRPr="005B5B1C">
              <w:rPr>
                <w:rFonts w:cs="Arial"/>
                <w:vertAlign w:val="subscript"/>
              </w:rPr>
              <w:t>4</w:t>
            </w:r>
          </w:p>
        </w:tc>
        <w:tc>
          <w:tcPr>
            <w:tcW w:w="1417" w:type="dxa"/>
          </w:tcPr>
          <w:p w14:paraId="550A3A72" w14:textId="1E0F7D08"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No</w:t>
            </w:r>
          </w:p>
        </w:tc>
        <w:tc>
          <w:tcPr>
            <w:tcW w:w="1701" w:type="dxa"/>
          </w:tcPr>
          <w:p w14:paraId="04711A82" w14:textId="533C5680"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Affected by</w:t>
            </w:r>
          </w:p>
        </w:tc>
        <w:tc>
          <w:tcPr>
            <w:tcW w:w="1819" w:type="dxa"/>
            <w:vMerge/>
          </w:tcPr>
          <w:p w14:paraId="0212A0B5" w14:textId="77777777"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p>
        </w:tc>
      </w:tr>
      <w:tr w:rsidR="005E0AA3" w14:paraId="6570B0F8" w14:textId="77777777" w:rsidTr="009A5750">
        <w:tc>
          <w:tcPr>
            <w:cnfStyle w:val="001000000000" w:firstRow="0" w:lastRow="0" w:firstColumn="1" w:lastColumn="0" w:oddVBand="0" w:evenVBand="0" w:oddHBand="0" w:evenHBand="0" w:firstRowFirstColumn="0" w:firstRowLastColumn="0" w:lastRowFirstColumn="0" w:lastRowLastColumn="0"/>
            <w:tcW w:w="704" w:type="dxa"/>
            <w:vMerge/>
          </w:tcPr>
          <w:p w14:paraId="708FF1E7" w14:textId="77777777" w:rsidR="005E0AA3" w:rsidRDefault="005E0AA3" w:rsidP="00420CE7">
            <w:pPr>
              <w:pStyle w:val="SDMTableBoxParaNotNumbered"/>
            </w:pPr>
          </w:p>
        </w:tc>
        <w:tc>
          <w:tcPr>
            <w:tcW w:w="2268" w:type="dxa"/>
            <w:vMerge/>
          </w:tcPr>
          <w:p w14:paraId="5D401BFC" w14:textId="77777777"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09" w:type="dxa"/>
          </w:tcPr>
          <w:p w14:paraId="7F7E7021" w14:textId="4CCF47FD"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sidRPr="005B5B1C">
              <w:rPr>
                <w:rFonts w:cs="Arial"/>
              </w:rPr>
              <w:t>N</w:t>
            </w:r>
            <w:r w:rsidRPr="005B5B1C">
              <w:rPr>
                <w:rFonts w:cs="Arial"/>
                <w:vertAlign w:val="subscript"/>
              </w:rPr>
              <w:t>2</w:t>
            </w:r>
            <w:r w:rsidRPr="005B5B1C">
              <w:rPr>
                <w:rFonts w:cs="Arial"/>
              </w:rPr>
              <w:t>O</w:t>
            </w:r>
          </w:p>
        </w:tc>
        <w:tc>
          <w:tcPr>
            <w:tcW w:w="1417" w:type="dxa"/>
          </w:tcPr>
          <w:p w14:paraId="30A09D2C" w14:textId="4709866F"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No</w:t>
            </w:r>
          </w:p>
        </w:tc>
        <w:tc>
          <w:tcPr>
            <w:tcW w:w="1701" w:type="dxa"/>
          </w:tcPr>
          <w:p w14:paraId="1CBA6C24" w14:textId="53771BC7"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r>
              <w:rPr>
                <w:rFonts w:cs="Arial"/>
              </w:rPr>
              <w:t>Affected by</w:t>
            </w:r>
          </w:p>
        </w:tc>
        <w:tc>
          <w:tcPr>
            <w:tcW w:w="1819" w:type="dxa"/>
            <w:vMerge/>
          </w:tcPr>
          <w:p w14:paraId="36D35BAC" w14:textId="77777777" w:rsidR="005E0AA3" w:rsidRDefault="005E0AA3" w:rsidP="00420CE7">
            <w:pPr>
              <w:pStyle w:val="SDMTableBoxParaNotNumbered"/>
              <w:cnfStyle w:val="000000000000" w:firstRow="0" w:lastRow="0" w:firstColumn="0" w:lastColumn="0" w:oddVBand="0" w:evenVBand="0" w:oddHBand="0" w:evenHBand="0" w:firstRowFirstColumn="0" w:firstRowLastColumn="0" w:lastRowFirstColumn="0" w:lastRowLastColumn="0"/>
            </w:pPr>
          </w:p>
        </w:tc>
      </w:tr>
    </w:tbl>
    <w:p w14:paraId="0E5D15F4" w14:textId="77777777" w:rsidR="002C3056" w:rsidRPr="00CB7EFA" w:rsidRDefault="00B960DB" w:rsidP="00B960DB">
      <w:pPr>
        <w:pStyle w:val="SDMHead1"/>
      </w:pPr>
      <w:bookmarkStart w:id="105" w:name="_Toc233881717"/>
      <w:bookmarkStart w:id="106" w:name="_Toc233882083"/>
      <w:bookmarkStart w:id="107" w:name="_Toc233884210"/>
      <w:bookmarkStart w:id="108" w:name="_Toc233902819"/>
      <w:bookmarkStart w:id="109" w:name="_Toc233902856"/>
      <w:bookmarkStart w:id="110" w:name="_Toc236391887"/>
      <w:bookmarkStart w:id="111" w:name="_Toc236394029"/>
      <w:r w:rsidRPr="00CB7EFA">
        <w:t>Demonstration of additionality</w:t>
      </w:r>
      <w:bookmarkEnd w:id="105"/>
      <w:bookmarkEnd w:id="106"/>
      <w:bookmarkEnd w:id="107"/>
      <w:bookmarkEnd w:id="108"/>
      <w:bookmarkEnd w:id="109"/>
      <w:bookmarkEnd w:id="110"/>
      <w:bookmarkEnd w:id="111"/>
    </w:p>
    <w:p w14:paraId="70E09231" w14:textId="45A1939C" w:rsidR="00B960DB" w:rsidRPr="00CB7EFA" w:rsidRDefault="00B960DB" w:rsidP="00EC00DE">
      <w:pPr>
        <w:pStyle w:val="SDMPara"/>
        <w:keepNext/>
      </w:pPr>
      <w:r w:rsidRPr="00CB7EFA">
        <w:t>To demonstrate additionality, activity participants shall apply:</w:t>
      </w:r>
    </w:p>
    <w:p w14:paraId="72555989" w14:textId="03426745" w:rsidR="00B960DB" w:rsidRPr="00CB7EFA" w:rsidRDefault="00B960DB" w:rsidP="00523CB0">
      <w:pPr>
        <w:pStyle w:val="SDMSubPara1"/>
      </w:pPr>
      <w:r w:rsidRPr="00CB7EFA">
        <w:t>A regulatory analysis (</w:t>
      </w:r>
      <w:r w:rsidR="007B245C">
        <w:t>sub</w:t>
      </w:r>
      <w:r w:rsidRPr="00CB7EFA">
        <w:t xml:space="preserve">section </w:t>
      </w:r>
      <w:r w:rsidRPr="00CB7EFA">
        <w:rPr>
          <w:cs/>
        </w:rPr>
        <w:t>‎</w:t>
      </w:r>
      <w:r w:rsidR="007B245C">
        <w:t>6.1</w:t>
      </w:r>
      <w:r w:rsidRPr="00CB7EFA">
        <w:t xml:space="preserve"> below)</w:t>
      </w:r>
      <w:r w:rsidR="008E1E93">
        <w:t>;</w:t>
      </w:r>
    </w:p>
    <w:p w14:paraId="4F58C0CC" w14:textId="25806941" w:rsidR="00B960DB" w:rsidRPr="00CB7EFA" w:rsidRDefault="00B960DB" w:rsidP="00523CB0">
      <w:pPr>
        <w:pStyle w:val="SDMSubPara1"/>
      </w:pPr>
      <w:r w:rsidRPr="00CB7EFA">
        <w:t>A lock</w:t>
      </w:r>
      <w:r w:rsidR="002C3056" w:rsidRPr="00CB7EFA">
        <w:noBreakHyphen/>
      </w:r>
      <w:r w:rsidRPr="00CB7EFA">
        <w:t>in analysis (</w:t>
      </w:r>
      <w:r w:rsidR="007B245C">
        <w:t>sub</w:t>
      </w:r>
      <w:r w:rsidRPr="00CB7EFA">
        <w:t xml:space="preserve">section </w:t>
      </w:r>
      <w:r w:rsidR="007B245C">
        <w:t>6.2</w:t>
      </w:r>
      <w:r w:rsidRPr="00CB7EFA">
        <w:t xml:space="preserve"> below)</w:t>
      </w:r>
      <w:r w:rsidR="008E1E93">
        <w:t>;</w:t>
      </w:r>
    </w:p>
    <w:p w14:paraId="1AE93ED5" w14:textId="4A52BC61" w:rsidR="00B960DB" w:rsidRPr="00CB7EFA" w:rsidRDefault="00B960DB" w:rsidP="00523CB0">
      <w:pPr>
        <w:pStyle w:val="SDMSubPara1"/>
      </w:pPr>
      <w:r w:rsidRPr="00CB7EFA">
        <w:t>An investment analysis (</w:t>
      </w:r>
      <w:r w:rsidR="007B245C">
        <w:t>sub</w:t>
      </w:r>
      <w:r w:rsidRPr="00CB7EFA">
        <w:t xml:space="preserve">section </w:t>
      </w:r>
      <w:r w:rsidR="007B245C">
        <w:t>6.2</w:t>
      </w:r>
      <w:r w:rsidR="00B87163" w:rsidRPr="00CB7EFA">
        <w:t xml:space="preserve"> </w:t>
      </w:r>
      <w:r w:rsidRPr="00CB7EFA">
        <w:t>below)</w:t>
      </w:r>
      <w:r w:rsidR="008E1E93">
        <w:t>;</w:t>
      </w:r>
    </w:p>
    <w:p w14:paraId="32F7B21D" w14:textId="6311B6F1" w:rsidR="00B960DB" w:rsidRPr="00CB7EFA" w:rsidRDefault="00B960DB" w:rsidP="00523CB0">
      <w:pPr>
        <w:pStyle w:val="SDMSubPara1"/>
      </w:pPr>
      <w:r w:rsidRPr="00CB7EFA">
        <w:t>A common practice analysis (</w:t>
      </w:r>
      <w:r w:rsidR="007B245C">
        <w:t>sub</w:t>
      </w:r>
      <w:r w:rsidRPr="00CB7EFA">
        <w:t xml:space="preserve">section </w:t>
      </w:r>
      <w:r w:rsidR="007B245C">
        <w:t>6.4</w:t>
      </w:r>
      <w:r w:rsidR="00B87163" w:rsidRPr="00CB7EFA">
        <w:t xml:space="preserve"> </w:t>
      </w:r>
      <w:r w:rsidRPr="00CB7EFA">
        <w:t>below)</w:t>
      </w:r>
      <w:r w:rsidR="008E1E93">
        <w:t>.</w:t>
      </w:r>
    </w:p>
    <w:p w14:paraId="766084AC" w14:textId="11C0095E" w:rsidR="002C3056" w:rsidRPr="00CB7EFA" w:rsidRDefault="00B960DB" w:rsidP="00523CB0">
      <w:pPr>
        <w:pStyle w:val="SDMPara"/>
      </w:pPr>
      <w:r w:rsidRPr="00CB7EFA">
        <w:t xml:space="preserve">The proposed Article 6.4 activity shall only be considered additional if all </w:t>
      </w:r>
      <w:r w:rsidR="005834DE" w:rsidRPr="7882A70A">
        <w:rPr>
          <w:rFonts w:eastAsiaTheme="minorEastAsia"/>
        </w:rPr>
        <w:t>four</w:t>
      </w:r>
      <w:r w:rsidR="005834DE" w:rsidRPr="2785112B">
        <w:rPr>
          <w:rFonts w:eastAsiaTheme="minorEastAsia"/>
        </w:rPr>
        <w:t xml:space="preserve"> analyses are concluded positively.</w:t>
      </w:r>
    </w:p>
    <w:p w14:paraId="0978E014" w14:textId="22E64F35" w:rsidR="00BF1644" w:rsidRDefault="00BF1644" w:rsidP="00BF1644">
      <w:pPr>
        <w:pStyle w:val="SDMHead2"/>
      </w:pPr>
      <w:bookmarkStart w:id="112" w:name="_Toc233881718"/>
      <w:bookmarkStart w:id="113" w:name="_Toc233882084"/>
      <w:bookmarkStart w:id="114" w:name="_Toc233884211"/>
      <w:bookmarkStart w:id="115" w:name="_Toc233902820"/>
      <w:bookmarkStart w:id="116" w:name="_Toc233902857"/>
      <w:bookmarkStart w:id="117" w:name="_Toc236391888"/>
      <w:bookmarkStart w:id="118" w:name="_Toc236394030"/>
      <w:r>
        <w:t>Regulatory analysis</w:t>
      </w:r>
      <w:bookmarkEnd w:id="112"/>
      <w:bookmarkEnd w:id="113"/>
      <w:bookmarkEnd w:id="114"/>
      <w:bookmarkEnd w:id="115"/>
      <w:bookmarkEnd w:id="116"/>
      <w:bookmarkEnd w:id="117"/>
      <w:bookmarkEnd w:id="118"/>
    </w:p>
    <w:p w14:paraId="671279F5" w14:textId="11E36595" w:rsidR="00BF1644" w:rsidRDefault="00837A85" w:rsidP="00EC00DE">
      <w:pPr>
        <w:pStyle w:val="SDMPara"/>
        <w:keepNext/>
      </w:pPr>
      <w:bookmarkStart w:id="119" w:name="_Ref224037289"/>
      <w:bookmarkStart w:id="120" w:name="_Ref224579688"/>
      <w:r w:rsidRPr="007261C1">
        <w:rPr>
          <w:rFonts w:eastAsiaTheme="minorEastAsia"/>
          <w:color w:val="000000"/>
          <w:bdr w:val="none" w:sz="0" w:space="0" w:color="auto" w:frame="1"/>
        </w:rPr>
        <w:t>Activity</w:t>
      </w:r>
      <w:r w:rsidRPr="00D97826">
        <w:t xml:space="preserve"> participants shall review relevant legal requirements in the host Party applicable to</w:t>
      </w:r>
      <w:r w:rsidRPr="00D97826" w:rsidDel="00F735A3">
        <w:t xml:space="preserve"> </w:t>
      </w:r>
      <w:r w:rsidRPr="00D97826">
        <w:rPr>
          <w:rFonts w:eastAsiaTheme="minorEastAsia"/>
        </w:rPr>
        <w:t>the proposed Article 6.4 activity and possible alternative scenarios to the Article 6.4 activity,</w:t>
      </w:r>
      <w:r w:rsidRPr="00D97826">
        <w:t xml:space="preserve"> and shall demonstrate and justify, for each relevant legal requirement, that either</w:t>
      </w:r>
      <w:bookmarkEnd w:id="119"/>
      <w:r w:rsidRPr="00D97826">
        <w:t>:</w:t>
      </w:r>
      <w:bookmarkEnd w:id="120"/>
    </w:p>
    <w:p w14:paraId="144D8927" w14:textId="62B849F2" w:rsidR="00837A85" w:rsidRDefault="008A78B4" w:rsidP="00837A85">
      <w:pPr>
        <w:pStyle w:val="SDMSubPara1"/>
      </w:pPr>
      <w:r>
        <w:t xml:space="preserve">The </w:t>
      </w:r>
      <w:r w:rsidRPr="0022558F">
        <w:t>law or regulation refers to or formally integrates the mechanism as an instrument for implementation</w:t>
      </w:r>
      <w:r>
        <w:t>;</w:t>
      </w:r>
      <w:r w:rsidRPr="0022558F">
        <w:rPr>
          <w:rStyle w:val="FootnoteReference"/>
        </w:rPr>
        <w:footnoteReference w:id="23"/>
      </w:r>
      <w:r w:rsidRPr="0022558F">
        <w:t xml:space="preserve"> </w:t>
      </w:r>
      <w:r>
        <w:t>or</w:t>
      </w:r>
    </w:p>
    <w:p w14:paraId="7844CE3F" w14:textId="49F9A0F3" w:rsidR="008A78B4" w:rsidRDefault="004B317A" w:rsidP="00EC00DE">
      <w:pPr>
        <w:pStyle w:val="SDMSubPara1"/>
        <w:keepNext/>
      </w:pPr>
      <w:r>
        <w:t>The</w:t>
      </w:r>
      <w:r w:rsidRPr="00F040C9">
        <w:t xml:space="preserve"> emission reductions resulting from the Article 6.4 activity would not occur as a result of </w:t>
      </w:r>
      <w:r>
        <w:t>the</w:t>
      </w:r>
      <w:r w:rsidRPr="00F040C9">
        <w:t xml:space="preserve"> legal requirement</w:t>
      </w:r>
      <w:r w:rsidRPr="0022558F">
        <w:t>, by confirming that</w:t>
      </w:r>
      <w:r>
        <w:t xml:space="preserve"> all of the following conditions are </w:t>
      </w:r>
      <w:r w:rsidRPr="008D1B45">
        <w:t>met</w:t>
      </w:r>
      <w:r>
        <w:t>:</w:t>
      </w:r>
    </w:p>
    <w:p w14:paraId="70A8BFA0" w14:textId="2D94F073" w:rsidR="004B317A" w:rsidRPr="00505C39" w:rsidRDefault="00505C39" w:rsidP="004B317A">
      <w:pPr>
        <w:pStyle w:val="SDMSubPara2"/>
      </w:pPr>
      <w:r w:rsidRPr="002E126D">
        <w:rPr>
          <w:rFonts w:eastAsia="SimSun"/>
          <w:lang w:eastAsia="zh-CN"/>
        </w:rPr>
        <w:t>The legal requirement does not explicitly require the installation of renewable power plants at the site where the Article 6.4 activity is implemented;</w:t>
      </w:r>
    </w:p>
    <w:p w14:paraId="7A106FAE" w14:textId="7A3EEFFB" w:rsidR="00505C39" w:rsidRDefault="002877B0" w:rsidP="004B317A">
      <w:pPr>
        <w:pStyle w:val="SDMSubPara2"/>
      </w:pPr>
      <w:r w:rsidRPr="002E126D">
        <w:rPr>
          <w:rFonts w:eastAsia="SimSun"/>
        </w:rPr>
        <w:t xml:space="preserve">The legal requirement does not indirectly require the implementation of the Article 6.4 activity, or another form of renewable electricity generation, such </w:t>
      </w:r>
      <w:r w:rsidRPr="002E126D">
        <w:rPr>
          <w:rFonts w:eastAsia="SimSun"/>
        </w:rPr>
        <w:lastRenderedPageBreak/>
        <w:t>as through obligations for the activity participants to achieve a certain greenhouse gas performance</w:t>
      </w:r>
      <w:r>
        <w:t>; and</w:t>
      </w:r>
    </w:p>
    <w:p w14:paraId="53011D04" w14:textId="6CC2FF70" w:rsidR="001B2334" w:rsidRDefault="001B2334" w:rsidP="004B317A">
      <w:pPr>
        <w:pStyle w:val="SDMSubPara2"/>
      </w:pPr>
      <w:r w:rsidRPr="2785112B">
        <w:rPr>
          <w:rFonts w:eastAsia="SimSun"/>
          <w:lang w:eastAsia="zh-CN"/>
        </w:rPr>
        <w:t xml:space="preserve">The Article 6.4 activity </w:t>
      </w:r>
      <w:r>
        <w:rPr>
          <w:rFonts w:eastAsia="SimSun"/>
          <w:lang w:eastAsia="zh-CN"/>
        </w:rPr>
        <w:t>neither</w:t>
      </w:r>
      <w:r w:rsidRPr="2785112B">
        <w:rPr>
          <w:rFonts w:eastAsia="SimSun"/>
          <w:lang w:eastAsia="zh-CN"/>
        </w:rPr>
        <w:t xml:space="preserve"> participate</w:t>
      </w:r>
      <w:r>
        <w:rPr>
          <w:rFonts w:eastAsia="SimSun"/>
          <w:lang w:eastAsia="zh-CN"/>
        </w:rPr>
        <w:t>s</w:t>
      </w:r>
      <w:r w:rsidRPr="2785112B">
        <w:rPr>
          <w:rFonts w:eastAsia="SimSun"/>
          <w:lang w:eastAsia="zh-CN"/>
        </w:rPr>
        <w:t xml:space="preserve"> in a support scheme</w:t>
      </w:r>
      <w:r>
        <w:rPr>
          <w:rFonts w:eastAsia="SimSun"/>
          <w:lang w:eastAsia="zh-CN"/>
        </w:rPr>
        <w:t>,</w:t>
      </w:r>
      <w:r w:rsidRPr="2785112B">
        <w:rPr>
          <w:rFonts w:eastAsia="SimSun"/>
          <w:lang w:eastAsia="zh-CN"/>
        </w:rPr>
        <w:t xml:space="preserve"> </w:t>
      </w:r>
      <w:r>
        <w:rPr>
          <w:rFonts w:eastAsia="SimSun"/>
          <w:lang w:eastAsia="zh-CN"/>
        </w:rPr>
        <w:t xml:space="preserve">nor is not subject to a penalty scheme, </w:t>
      </w:r>
      <w:r w:rsidRPr="2785112B">
        <w:rPr>
          <w:rFonts w:eastAsia="SimSun"/>
          <w:lang w:eastAsia="zh-CN"/>
        </w:rPr>
        <w:t xml:space="preserve">that is designed to achieve a quantitative target or outcome, such as a competitive bidding </w:t>
      </w:r>
      <w:r w:rsidRPr="2390F54D">
        <w:rPr>
          <w:rFonts w:eastAsia="SimSun"/>
          <w:lang w:eastAsia="zh-CN"/>
        </w:rPr>
        <w:t>process</w:t>
      </w:r>
      <w:r w:rsidRPr="2785112B">
        <w:rPr>
          <w:rFonts w:eastAsia="SimSun"/>
          <w:lang w:eastAsia="zh-CN"/>
        </w:rPr>
        <w:t xml:space="preserve"> </w:t>
      </w:r>
      <w:r>
        <w:rPr>
          <w:rFonts w:eastAsia="SimSun"/>
          <w:lang w:eastAsia="zh-CN"/>
        </w:rPr>
        <w:t xml:space="preserve">(e.g., renewable electricity auctions) </w:t>
      </w:r>
      <w:r w:rsidRPr="2785112B">
        <w:rPr>
          <w:rFonts w:eastAsia="SimSun"/>
          <w:lang w:eastAsia="zh-CN"/>
        </w:rPr>
        <w:t>for the installation of a certain capacity of renewable power plants.</w:t>
      </w:r>
    </w:p>
    <w:p w14:paraId="020A2A3C" w14:textId="40A8E298" w:rsidR="001B2334" w:rsidRDefault="00B55F9E" w:rsidP="00523CB0">
      <w:pPr>
        <w:pStyle w:val="SDMPara"/>
      </w:pPr>
      <w:bookmarkStart w:id="121" w:name="_Ref224037294"/>
      <w:r w:rsidRPr="002A4ED5">
        <w:t xml:space="preserve">If one or more of the legal requirements </w:t>
      </w:r>
      <w:r>
        <w:t>identified</w:t>
      </w:r>
      <w:r w:rsidRPr="002A4ED5">
        <w:t xml:space="preserve"> in </w:t>
      </w:r>
      <w:r>
        <w:t xml:space="preserve">paragraph </w:t>
      </w:r>
      <w:r w:rsidR="00173B7A">
        <w:rPr>
          <w:highlight w:val="yellow"/>
        </w:rPr>
        <w:fldChar w:fldCharType="begin"/>
      </w:r>
      <w:r w:rsidR="00173B7A">
        <w:instrText xml:space="preserve"> REF _Ref224579688 \n \h </w:instrText>
      </w:r>
      <w:r w:rsidR="00173B7A">
        <w:rPr>
          <w:highlight w:val="yellow"/>
        </w:rPr>
      </w:r>
      <w:r w:rsidR="00173B7A">
        <w:rPr>
          <w:highlight w:val="yellow"/>
        </w:rPr>
        <w:fldChar w:fldCharType="separate"/>
      </w:r>
      <w:r w:rsidR="00D0578E">
        <w:rPr>
          <w:cs/>
        </w:rPr>
        <w:t>‎</w:t>
      </w:r>
      <w:r w:rsidR="00D0578E">
        <w:t>28</w:t>
      </w:r>
      <w:r w:rsidR="00173B7A">
        <w:rPr>
          <w:highlight w:val="yellow"/>
        </w:rPr>
        <w:fldChar w:fldCharType="end"/>
      </w:r>
      <w:r w:rsidR="00173B7A">
        <w:t xml:space="preserve"> </w:t>
      </w:r>
      <w:r>
        <w:t>do not meet the requirements of that paragraph</w:t>
      </w:r>
      <w:r w:rsidRPr="002A4ED5">
        <w:t>, then A6.4ERs cannot be claimed</w:t>
      </w:r>
      <w:r>
        <w:t>.</w:t>
      </w:r>
      <w:bookmarkEnd w:id="121"/>
    </w:p>
    <w:p w14:paraId="1BD9AEFE" w14:textId="6376FEB6" w:rsidR="001B2334" w:rsidRPr="004D4188" w:rsidRDefault="004D4188" w:rsidP="00523CB0">
      <w:pPr>
        <w:pStyle w:val="SDMPara"/>
      </w:pPr>
      <w:r w:rsidRPr="285882D2">
        <w:rPr>
          <w:rFonts w:eastAsiaTheme="minorEastAsia"/>
          <w:color w:val="000000" w:themeColor="text1"/>
        </w:rPr>
        <w:t xml:space="preserve">Activity participants shall assess the requirements of </w:t>
      </w:r>
      <w:r>
        <w:t xml:space="preserve">paragraph </w:t>
      </w:r>
      <w:r w:rsidR="00173B7A">
        <w:rPr>
          <w:highlight w:val="yellow"/>
        </w:rPr>
        <w:fldChar w:fldCharType="begin"/>
      </w:r>
      <w:r w:rsidR="00173B7A">
        <w:instrText xml:space="preserve"> REF _Ref224579688 \n \h </w:instrText>
      </w:r>
      <w:r w:rsidR="00173B7A">
        <w:rPr>
          <w:highlight w:val="yellow"/>
        </w:rPr>
      </w:r>
      <w:r w:rsidR="00173B7A">
        <w:rPr>
          <w:highlight w:val="yellow"/>
        </w:rPr>
        <w:fldChar w:fldCharType="separate"/>
      </w:r>
      <w:r w:rsidR="00D0578E">
        <w:rPr>
          <w:cs/>
        </w:rPr>
        <w:t>‎</w:t>
      </w:r>
      <w:r w:rsidR="00D0578E">
        <w:t>28</w:t>
      </w:r>
      <w:r w:rsidR="00173B7A">
        <w:rPr>
          <w:highlight w:val="yellow"/>
        </w:rPr>
        <w:fldChar w:fldCharType="end"/>
      </w:r>
      <w:r>
        <w:t xml:space="preserve"> </w:t>
      </w:r>
      <w:r w:rsidRPr="285882D2">
        <w:rPr>
          <w:rFonts w:eastAsiaTheme="minorEastAsia"/>
          <w:color w:val="000000" w:themeColor="text1"/>
        </w:rPr>
        <w:t xml:space="preserve">for each monitoring period. Crediting shall cease on the date when a new relevant legal requirement </w:t>
      </w:r>
      <w:r>
        <w:rPr>
          <w:rFonts w:eastAsiaTheme="minorEastAsia"/>
          <w:color w:val="000000" w:themeColor="text1"/>
        </w:rPr>
        <w:t>becomes applicable</w:t>
      </w:r>
      <w:r w:rsidRPr="285882D2">
        <w:rPr>
          <w:rFonts w:eastAsiaTheme="minorEastAsia"/>
          <w:color w:val="000000" w:themeColor="text1"/>
        </w:rPr>
        <w:t>.</w:t>
      </w:r>
    </w:p>
    <w:p w14:paraId="4F1C31E5" w14:textId="33AF75FA" w:rsidR="004D4188" w:rsidRPr="004D4188" w:rsidRDefault="004D4188" w:rsidP="004D4188">
      <w:pPr>
        <w:pStyle w:val="SDMHead2"/>
      </w:pPr>
      <w:bookmarkStart w:id="122" w:name="_Toc233881719"/>
      <w:bookmarkStart w:id="123" w:name="_Toc233882085"/>
      <w:bookmarkStart w:id="124" w:name="_Toc233884212"/>
      <w:bookmarkStart w:id="125" w:name="_Toc233902821"/>
      <w:bookmarkStart w:id="126" w:name="_Toc233902858"/>
      <w:bookmarkStart w:id="127" w:name="_Toc236391889"/>
      <w:bookmarkStart w:id="128" w:name="_Toc236394031"/>
      <w:r w:rsidRPr="004D4188">
        <w:t>Assessment</w:t>
      </w:r>
      <w:r>
        <w:rPr>
          <w:rFonts w:eastAsiaTheme="minorEastAsia"/>
          <w:color w:val="000000" w:themeColor="text1"/>
        </w:rPr>
        <w:t xml:space="preserve"> of lock-in risk</w:t>
      </w:r>
      <w:bookmarkEnd w:id="122"/>
      <w:bookmarkEnd w:id="123"/>
      <w:bookmarkEnd w:id="124"/>
      <w:bookmarkEnd w:id="125"/>
      <w:bookmarkEnd w:id="126"/>
      <w:bookmarkEnd w:id="127"/>
      <w:bookmarkEnd w:id="128"/>
    </w:p>
    <w:p w14:paraId="5C689DF7" w14:textId="0346FE78" w:rsidR="004D4188" w:rsidRPr="004520BE" w:rsidRDefault="004520BE" w:rsidP="00EC00DE">
      <w:pPr>
        <w:pStyle w:val="SDMPara"/>
        <w:keepNext/>
      </w:pPr>
      <w:r w:rsidRPr="5A50DC01">
        <w:rPr>
          <w:rFonts w:eastAsiaTheme="minorEastAsia"/>
        </w:rPr>
        <w:t>In</w:t>
      </w:r>
      <w:r>
        <w:rPr>
          <w:rFonts w:eastAsiaTheme="minorEastAsia"/>
        </w:rPr>
        <w:t xml:space="preserve"> the</w:t>
      </w:r>
      <w:r w:rsidRPr="5A50DC01">
        <w:rPr>
          <w:rFonts w:eastAsiaTheme="minorEastAsia"/>
        </w:rPr>
        <w:t xml:space="preserve"> case of geothermal power plants, activity participant</w:t>
      </w:r>
      <w:r>
        <w:rPr>
          <w:rFonts w:eastAsiaTheme="minorEastAsia"/>
        </w:rPr>
        <w:t>s</w:t>
      </w:r>
      <w:r w:rsidRPr="5A50DC01">
        <w:rPr>
          <w:rFonts w:eastAsiaTheme="minorEastAsia"/>
        </w:rPr>
        <w:t xml:space="preserve"> shall conduct </w:t>
      </w:r>
      <w:r>
        <w:rPr>
          <w:rFonts w:eastAsiaTheme="minorEastAsia"/>
        </w:rPr>
        <w:t xml:space="preserve">a </w:t>
      </w:r>
      <w:r w:rsidRPr="5A50DC01">
        <w:rPr>
          <w:rFonts w:eastAsiaTheme="minorEastAsia"/>
        </w:rPr>
        <w:t>lock-in risk analysis using a valid version of the “Methodological tool: Analysis of lock-in risk”</w:t>
      </w:r>
      <w:r w:rsidR="00173B7A">
        <w:rPr>
          <w:rFonts w:eastAsiaTheme="minorEastAsia"/>
        </w:rPr>
        <w:t xml:space="preserve"> (A6.4-AMT-008)</w:t>
      </w:r>
      <w:r w:rsidRPr="5A50DC01">
        <w:rPr>
          <w:rFonts w:eastAsiaTheme="minorEastAsia"/>
        </w:rPr>
        <w:t>.</w:t>
      </w:r>
      <w:r>
        <w:rPr>
          <w:rStyle w:val="FootnoteReference"/>
          <w:rFonts w:eastAsiaTheme="minorEastAsia"/>
        </w:rPr>
        <w:footnoteReference w:id="24"/>
      </w:r>
      <w:r w:rsidRPr="5A50DC01">
        <w:rPr>
          <w:rFonts w:eastAsiaTheme="minorEastAsia"/>
        </w:rPr>
        <w:t xml:space="preserve"> </w:t>
      </w:r>
      <w:r w:rsidRPr="2785112B">
        <w:rPr>
          <w:rFonts w:eastAsiaTheme="minorEastAsia"/>
          <w:lang w:eastAsia="ja-JP"/>
        </w:rPr>
        <w:t>In applying the tool, activity participants shall</w:t>
      </w:r>
      <w:r w:rsidRPr="37E05249">
        <w:rPr>
          <w:rFonts w:eastAsiaTheme="minorEastAsia"/>
          <w:lang w:eastAsia="ja-JP"/>
        </w:rPr>
        <w:t xml:space="preserve"> </w:t>
      </w:r>
      <w:r w:rsidRPr="0724C3A5">
        <w:rPr>
          <w:rFonts w:eastAsiaTheme="minorEastAsia"/>
          <w:lang w:eastAsia="ja-JP"/>
        </w:rPr>
        <w:t>implement all of the following specifications</w:t>
      </w:r>
      <w:r w:rsidRPr="2785112B">
        <w:rPr>
          <w:rFonts w:eastAsiaTheme="minorEastAsia"/>
        </w:rPr>
        <w:t>:</w:t>
      </w:r>
    </w:p>
    <w:p w14:paraId="42478778" w14:textId="334D4F38" w:rsidR="004520BE" w:rsidRPr="002C42F0" w:rsidRDefault="002C42F0" w:rsidP="004520BE">
      <w:pPr>
        <w:pStyle w:val="SDMSubPara1"/>
      </w:pPr>
      <w:r w:rsidRPr="00E0728F">
        <w:rPr>
          <w:b/>
          <w:lang w:val="en-US"/>
        </w:rPr>
        <w:t>Technology to be assessed:</w:t>
      </w:r>
      <w:r w:rsidRPr="00E0728F">
        <w:rPr>
          <w:lang w:val="en-US"/>
        </w:rPr>
        <w:t xml:space="preserve"> assess the lock-in risk for geothermal power </w:t>
      </w:r>
      <w:r>
        <w:rPr>
          <w:lang w:val="en-US"/>
        </w:rPr>
        <w:t>plants</w:t>
      </w:r>
      <w:r w:rsidRPr="00E0728F">
        <w:rPr>
          <w:lang w:val="en-US"/>
        </w:rPr>
        <w:t>;</w:t>
      </w:r>
    </w:p>
    <w:p w14:paraId="37E1059B" w14:textId="16F83952" w:rsidR="002C42F0" w:rsidRDefault="00866388" w:rsidP="004520BE">
      <w:pPr>
        <w:pStyle w:val="SDMSubPara1"/>
      </w:pPr>
      <w:r w:rsidRPr="00F702DE">
        <w:rPr>
          <w:b/>
          <w:bCs/>
        </w:rPr>
        <w:t xml:space="preserve">Lifetime: </w:t>
      </w:r>
      <w:r w:rsidRPr="00330D47">
        <w:rPr>
          <w:bCs/>
          <w:lang w:val="en-US"/>
        </w:rPr>
        <w:t>consider</w:t>
      </w:r>
      <w:r w:rsidRPr="00F702DE">
        <w:t xml:space="preserve"> the o</w:t>
      </w:r>
      <w:r w:rsidRPr="00F702DE">
        <w:rPr>
          <w:rFonts w:eastAsia="Arial"/>
        </w:rPr>
        <w:t>perational</w:t>
      </w:r>
      <w:r w:rsidRPr="00F702DE">
        <w:t xml:space="preserve"> lifetime;</w:t>
      </w:r>
    </w:p>
    <w:p w14:paraId="5E76407D" w14:textId="4DB91589" w:rsidR="00866388" w:rsidRPr="00EF3B9E" w:rsidRDefault="00EF3B9E" w:rsidP="00D55E5F">
      <w:pPr>
        <w:pStyle w:val="SDMSubPara1"/>
      </w:pPr>
      <w:r w:rsidRPr="432C97F9">
        <w:rPr>
          <w:rFonts w:eastAsia="Arial"/>
          <w:b/>
          <w:bCs/>
        </w:rPr>
        <w:t>Calculation of the greenhouse gas emissions intensity:</w:t>
      </w:r>
      <w:r>
        <w:rPr>
          <w:rStyle w:val="FootnoteReference"/>
          <w:rFonts w:eastAsia="Arial"/>
          <w:b/>
          <w:bCs/>
        </w:rPr>
        <w:footnoteReference w:id="25"/>
      </w:r>
    </w:p>
    <w:p w14:paraId="5BCC1045" w14:textId="79A6F0DB" w:rsidR="00EF3B9E" w:rsidRPr="008B764C" w:rsidRDefault="008B764C" w:rsidP="00EF3B9E">
      <w:pPr>
        <w:pStyle w:val="SDMSubPara2"/>
      </w:pPr>
      <w:r w:rsidRPr="00E0728F">
        <w:rPr>
          <w:rFonts w:eastAsia="SimSun"/>
          <w:lang w:val="en-US" w:eastAsia="zh-CN"/>
        </w:rPr>
        <w:t xml:space="preserve">Calculate the emission intensity of the Article 6.4 activity by dividing the </w:t>
      </w:r>
      <w:r>
        <w:rPr>
          <w:rFonts w:eastAsia="SimSun"/>
          <w:lang w:val="en-US" w:eastAsia="zh-CN"/>
        </w:rPr>
        <w:t>activity</w:t>
      </w:r>
      <w:r w:rsidRPr="00E0728F">
        <w:rPr>
          <w:rFonts w:eastAsia="SimSun"/>
          <w:lang w:val="en-US" w:eastAsia="zh-CN"/>
        </w:rPr>
        <w:t xml:space="preserve"> emissions determined in section</w:t>
      </w:r>
      <w:r w:rsidR="00307D92">
        <w:rPr>
          <w:rFonts w:eastAsia="SimSun"/>
          <w:lang w:val="en-US" w:eastAsia="zh-CN"/>
        </w:rPr>
        <w:t xml:space="preserve"> </w:t>
      </w:r>
      <w:r w:rsidR="00561974">
        <w:rPr>
          <w:rFonts w:eastAsia="SimSun"/>
          <w:lang w:val="en-US" w:eastAsia="zh-CN"/>
        </w:rPr>
        <w:t>8</w:t>
      </w:r>
      <w:r w:rsidRPr="00E0728F">
        <w:rPr>
          <w:rFonts w:eastAsia="SimSun"/>
          <w:lang w:val="en-US" w:eastAsia="zh-CN"/>
        </w:rPr>
        <w:t xml:space="preserve"> by the activity’s annual electricity generation;</w:t>
      </w:r>
    </w:p>
    <w:p w14:paraId="743C5C3F" w14:textId="5AA5C4C1" w:rsidR="008B764C" w:rsidRDefault="00307D92" w:rsidP="00EF3B9E">
      <w:pPr>
        <w:pStyle w:val="SDMSubPara2"/>
      </w:pPr>
      <w:r>
        <w:t xml:space="preserve">Use </w:t>
      </w:r>
      <w:r w:rsidRPr="00E0728F">
        <w:rPr>
          <w:rFonts w:eastAsia="Arial"/>
          <w:color w:val="000000" w:themeColor="text1"/>
          <w:lang w:val="en-US"/>
        </w:rPr>
        <w:t>the emission factor of the electricity system, as determined in section</w:t>
      </w:r>
      <w:r>
        <w:rPr>
          <w:rFonts w:eastAsia="Arial"/>
          <w:color w:val="000000" w:themeColor="text1"/>
          <w:lang w:val="en-US"/>
        </w:rPr>
        <w:t xml:space="preserve"> </w:t>
      </w:r>
      <w:r w:rsidRPr="00285696">
        <w:rPr>
          <w:rFonts w:eastAsia="Arial"/>
          <w:color w:val="000000" w:themeColor="text1"/>
          <w:lang w:val="en-US"/>
        </w:rPr>
        <w:t>7.2.2</w:t>
      </w:r>
      <w:r w:rsidRPr="00E0728F">
        <w:rPr>
          <w:rFonts w:eastAsia="Arial"/>
          <w:color w:val="000000" w:themeColor="text1"/>
          <w:lang w:val="en-US"/>
        </w:rPr>
        <w:t xml:space="preserve"> as t</w:t>
      </w:r>
      <w:r>
        <w:t>he emission intensity for BAU; and</w:t>
      </w:r>
    </w:p>
    <w:p w14:paraId="79F1EF38" w14:textId="5B33E93D" w:rsidR="00307D92" w:rsidRDefault="00C43C00" w:rsidP="00EF3B9E">
      <w:pPr>
        <w:pStyle w:val="SDMSubPara2"/>
      </w:pPr>
      <w:r>
        <w:t>Take a value of zero for the emission intensity for the lowest-emissions intensity alternative</w:t>
      </w:r>
      <w:r w:rsidR="008E1E93">
        <w:t>.</w:t>
      </w:r>
    </w:p>
    <w:p w14:paraId="6ED45F6A" w14:textId="3C0E0396" w:rsidR="001B2334" w:rsidRPr="00E415C4" w:rsidRDefault="00E415C4" w:rsidP="00C43C00">
      <w:pPr>
        <w:pStyle w:val="SDMSubPara1"/>
      </w:pPr>
      <w:r w:rsidRPr="00155863">
        <w:rPr>
          <w:b/>
          <w:bCs/>
          <w:lang w:val="en-US"/>
        </w:rPr>
        <w:t>Assessment of resources:</w:t>
      </w:r>
      <w:r w:rsidRPr="5A50DC01">
        <w:rPr>
          <w:lang w:val="en-US"/>
        </w:rPr>
        <w:t xml:space="preserve"> </w:t>
      </w:r>
      <w:r>
        <w:rPr>
          <w:lang w:val="en-US"/>
        </w:rPr>
        <w:t xml:space="preserve">do </w:t>
      </w:r>
      <w:r w:rsidRPr="5A50DC01">
        <w:rPr>
          <w:lang w:val="en-US"/>
        </w:rPr>
        <w:t xml:space="preserve">not </w:t>
      </w:r>
      <w:r w:rsidRPr="00F757F9">
        <w:rPr>
          <w:rFonts w:eastAsia="Arial"/>
        </w:rPr>
        <w:t>conduct</w:t>
      </w:r>
      <w:r w:rsidRPr="5A50DC01">
        <w:rPr>
          <w:lang w:val="en-US"/>
        </w:rPr>
        <w:t xml:space="preserve"> this assessment</w:t>
      </w:r>
      <w:r>
        <w:rPr>
          <w:lang w:val="en-US"/>
        </w:rPr>
        <w:t>;</w:t>
      </w:r>
      <w:r>
        <w:rPr>
          <w:rStyle w:val="FootnoteReference"/>
          <w:lang w:val="en-US"/>
        </w:rPr>
        <w:footnoteReference w:id="26"/>
      </w:r>
      <w:r>
        <w:rPr>
          <w:lang w:val="en-US"/>
        </w:rPr>
        <w:t xml:space="preserve"> and</w:t>
      </w:r>
    </w:p>
    <w:p w14:paraId="79F4D51C" w14:textId="7E2428B2" w:rsidR="00E415C4" w:rsidRDefault="001D6E36" w:rsidP="00C43C00">
      <w:pPr>
        <w:pStyle w:val="SDMSubPara1"/>
      </w:pPr>
      <w:r w:rsidRPr="251A8497">
        <w:rPr>
          <w:b/>
          <w:bCs/>
          <w:lang w:val="en-US"/>
        </w:rPr>
        <w:lastRenderedPageBreak/>
        <w:t>Scale assessment:</w:t>
      </w:r>
      <w:r w:rsidRPr="251A8497">
        <w:rPr>
          <w:lang w:val="en-US"/>
        </w:rPr>
        <w:t xml:space="preserve"> </w:t>
      </w:r>
      <w:r>
        <w:rPr>
          <w:lang w:val="en-US"/>
        </w:rPr>
        <w:t xml:space="preserve">do </w:t>
      </w:r>
      <w:r w:rsidRPr="251A8497">
        <w:rPr>
          <w:lang w:val="en-US"/>
        </w:rPr>
        <w:t xml:space="preserve">not conduct a </w:t>
      </w:r>
      <w:r w:rsidRPr="00F757F9">
        <w:rPr>
          <w:rFonts w:eastAsia="Arial"/>
        </w:rPr>
        <w:t>scale</w:t>
      </w:r>
      <w:r w:rsidRPr="251A8497">
        <w:rPr>
          <w:lang w:val="en-US"/>
        </w:rPr>
        <w:t xml:space="preserve"> assessment.</w:t>
      </w:r>
      <w:r>
        <w:rPr>
          <w:rStyle w:val="FootnoteReference"/>
          <w:lang w:val="en-US"/>
        </w:rPr>
        <w:footnoteReference w:id="27"/>
      </w:r>
    </w:p>
    <w:p w14:paraId="6BCF22FC" w14:textId="507BF8B8" w:rsidR="001B2334" w:rsidRDefault="007D00D5" w:rsidP="00523CB0">
      <w:pPr>
        <w:pStyle w:val="SDMPara"/>
      </w:pPr>
      <w:bookmarkStart w:id="129" w:name="_Ref233802093"/>
      <w:r w:rsidRPr="5A50DC01">
        <w:rPr>
          <w:rFonts w:eastAsiaTheme="minorEastAsia"/>
        </w:rPr>
        <w:t>In</w:t>
      </w:r>
      <w:r>
        <w:rPr>
          <w:rFonts w:eastAsiaTheme="minorEastAsia"/>
        </w:rPr>
        <w:t xml:space="preserve"> the</w:t>
      </w:r>
      <w:r w:rsidRPr="5A50DC01">
        <w:rPr>
          <w:rFonts w:eastAsiaTheme="minorEastAsia"/>
        </w:rPr>
        <w:t xml:space="preserve"> case of </w:t>
      </w:r>
      <w:r>
        <w:rPr>
          <w:rFonts w:eastAsiaTheme="minorEastAsia"/>
        </w:rPr>
        <w:t xml:space="preserve">hydropower plants, solar power plants and wind power plants, activity participants do not need to conduct an assessment of lock-in risk </w:t>
      </w:r>
      <w:r w:rsidR="0085738B">
        <w:rPr>
          <w:rFonts w:eastAsiaTheme="minorEastAsia"/>
        </w:rPr>
        <w:t xml:space="preserve">as </w:t>
      </w:r>
      <w:r>
        <w:rPr>
          <w:rFonts w:eastAsiaTheme="minorEastAsia"/>
        </w:rPr>
        <w:t>these technologies are not deemed to cause a lock-in risk under the applicability conditions of this mechanism methodology.</w:t>
      </w:r>
      <w:bookmarkEnd w:id="129"/>
    </w:p>
    <w:p w14:paraId="74878915" w14:textId="23D0759A" w:rsidR="001B2334" w:rsidRDefault="007D00D5" w:rsidP="007D00D5">
      <w:pPr>
        <w:pStyle w:val="SDMHead2"/>
      </w:pPr>
      <w:bookmarkStart w:id="130" w:name="_Toc233881720"/>
      <w:bookmarkStart w:id="131" w:name="_Toc233882086"/>
      <w:bookmarkStart w:id="132" w:name="_Toc233884213"/>
      <w:bookmarkStart w:id="133" w:name="_Toc233902822"/>
      <w:bookmarkStart w:id="134" w:name="_Toc233902859"/>
      <w:bookmarkStart w:id="135" w:name="_Toc236391890"/>
      <w:bookmarkStart w:id="136" w:name="_Toc236394032"/>
      <w:r>
        <w:t>Investment analysis</w:t>
      </w:r>
      <w:bookmarkEnd w:id="130"/>
      <w:bookmarkEnd w:id="131"/>
      <w:bookmarkEnd w:id="132"/>
      <w:bookmarkEnd w:id="133"/>
      <w:bookmarkEnd w:id="134"/>
      <w:bookmarkEnd w:id="135"/>
      <w:bookmarkEnd w:id="136"/>
    </w:p>
    <w:p w14:paraId="29A1B23C" w14:textId="735C0A67" w:rsidR="001D6E36" w:rsidRPr="00BE06C5" w:rsidRDefault="00BE06C5" w:rsidP="00EC00DE">
      <w:pPr>
        <w:pStyle w:val="SDMPara"/>
        <w:keepNext/>
      </w:pPr>
      <w:r w:rsidRPr="68C5F39D">
        <w:rPr>
          <w:rFonts w:eastAsia="Arial"/>
          <w:color w:val="000000" w:themeColor="text1"/>
        </w:rPr>
        <w:t>Activity participants shall use a valid version of the “</w:t>
      </w:r>
      <w:r>
        <w:rPr>
          <w:rFonts w:eastAsia="Arial"/>
          <w:color w:val="000000" w:themeColor="text1"/>
        </w:rPr>
        <w:t>Methodological tool</w:t>
      </w:r>
      <w:r w:rsidRPr="68C5F39D">
        <w:rPr>
          <w:rFonts w:eastAsia="Arial"/>
          <w:color w:val="000000" w:themeColor="text1"/>
        </w:rPr>
        <w:t xml:space="preserve">: Investment </w:t>
      </w:r>
      <w:r w:rsidRPr="00516760">
        <w:rPr>
          <w:rFonts w:eastAsiaTheme="minorEastAsia"/>
        </w:rPr>
        <w:t>analysis</w:t>
      </w:r>
      <w:r w:rsidRPr="68C5F39D">
        <w:rPr>
          <w:rFonts w:eastAsia="Arial"/>
          <w:color w:val="000000" w:themeColor="text1"/>
        </w:rPr>
        <w:t xml:space="preserve">” </w:t>
      </w:r>
      <w:r>
        <w:rPr>
          <w:rFonts w:eastAsia="Arial"/>
          <w:color w:val="000000" w:themeColor="text1"/>
        </w:rPr>
        <w:t>(</w:t>
      </w:r>
      <w:r w:rsidRPr="68C5F39D">
        <w:rPr>
          <w:rFonts w:eastAsia="Arial"/>
          <w:color w:val="000000" w:themeColor="text1"/>
        </w:rPr>
        <w:t>A6.4-AMT-002</w:t>
      </w:r>
      <w:r>
        <w:rPr>
          <w:rFonts w:eastAsia="Arial"/>
          <w:color w:val="000000" w:themeColor="text1"/>
        </w:rPr>
        <w:t xml:space="preserve">) </w:t>
      </w:r>
      <w:r w:rsidRPr="68C5F39D">
        <w:rPr>
          <w:rFonts w:eastAsia="Arial"/>
          <w:color w:val="000000" w:themeColor="text1"/>
        </w:rPr>
        <w:t xml:space="preserve">to conduct the </w:t>
      </w:r>
      <w:r w:rsidRPr="21FEA111">
        <w:rPr>
          <w:rFonts w:eastAsia="Arial"/>
          <w:color w:val="000000" w:themeColor="text1"/>
        </w:rPr>
        <w:t>investment</w:t>
      </w:r>
      <w:r w:rsidRPr="68C5F39D">
        <w:rPr>
          <w:rFonts w:eastAsia="Arial"/>
          <w:color w:val="000000" w:themeColor="text1"/>
        </w:rPr>
        <w:t xml:space="preserve"> analysis.</w:t>
      </w:r>
      <w:r w:rsidRPr="00E0728F">
        <w:rPr>
          <w:rFonts w:eastAsia="Arial"/>
          <w:color w:val="000000" w:themeColor="text1"/>
          <w:lang w:val="en-US"/>
        </w:rPr>
        <w:t xml:space="preserve"> </w:t>
      </w:r>
      <w:r w:rsidRPr="0724C3A5">
        <w:rPr>
          <w:rFonts w:eastAsiaTheme="minorEastAsia"/>
          <w:lang w:eastAsia="ja-JP"/>
        </w:rPr>
        <w:t>In applying the tool, activity participants shall implement all of the following specifications</w:t>
      </w:r>
      <w:r w:rsidRPr="0724C3A5">
        <w:rPr>
          <w:rFonts w:eastAsia="Arial"/>
          <w:color w:val="000000" w:themeColor="text1"/>
        </w:rPr>
        <w:t>:</w:t>
      </w:r>
    </w:p>
    <w:p w14:paraId="5FDCC676" w14:textId="37FA2CD0" w:rsidR="00BE06C5" w:rsidRPr="006E34FB" w:rsidRDefault="006E34FB" w:rsidP="00EC00DE">
      <w:pPr>
        <w:pStyle w:val="SDMSubPara1"/>
        <w:keepNext/>
      </w:pPr>
      <w:r w:rsidRPr="68C5F39D">
        <w:rPr>
          <w:rFonts w:eastAsia="Arial"/>
          <w:b/>
          <w:bCs/>
          <w:lang w:eastAsia="zh-CN"/>
        </w:rPr>
        <w:t xml:space="preserve">Identification of alternative scenarios: </w:t>
      </w:r>
      <w:r w:rsidRPr="2390F54D">
        <w:rPr>
          <w:rFonts w:eastAsia="Arial"/>
          <w:lang w:eastAsia="zh-CN"/>
        </w:rPr>
        <w:t>identify</w:t>
      </w:r>
      <w:r w:rsidRPr="37BFE766">
        <w:rPr>
          <w:rFonts w:eastAsia="Arial"/>
          <w:lang w:eastAsia="zh-CN"/>
        </w:rPr>
        <w:t xml:space="preserve"> realistic and credible alternative scenarios to the proposed Article 6.4 activity, which shall include, but </w:t>
      </w:r>
      <w:r w:rsidDel="005835F6">
        <w:rPr>
          <w:rFonts w:eastAsia="Arial"/>
          <w:lang w:eastAsia="zh-CN"/>
        </w:rPr>
        <w:t xml:space="preserve">are </w:t>
      </w:r>
      <w:r w:rsidRPr="37BFE766">
        <w:rPr>
          <w:rFonts w:eastAsia="Arial"/>
          <w:lang w:eastAsia="zh-CN"/>
        </w:rPr>
        <w:t xml:space="preserve">not limited </w:t>
      </w:r>
      <w:r w:rsidRPr="00BB0538">
        <w:rPr>
          <w:rFonts w:eastAsia="Arial"/>
          <w:lang w:eastAsia="zh-CN"/>
        </w:rPr>
        <w:t xml:space="preserve">to, the following </w:t>
      </w:r>
      <w:r w:rsidRPr="00516760">
        <w:rPr>
          <w:lang w:val="en-US"/>
        </w:rPr>
        <w:t>scenarios</w:t>
      </w:r>
      <w:r w:rsidRPr="00BB0538">
        <w:rPr>
          <w:rFonts w:eastAsia="Arial"/>
          <w:lang w:eastAsia="zh-CN"/>
        </w:rPr>
        <w:t>:</w:t>
      </w:r>
    </w:p>
    <w:p w14:paraId="783D072E" w14:textId="43CC3920" w:rsidR="006E34FB" w:rsidRPr="00217019" w:rsidRDefault="00217019" w:rsidP="00EC00DE">
      <w:pPr>
        <w:pStyle w:val="SDMSubPara2"/>
        <w:keepNext/>
      </w:pPr>
      <w:r w:rsidRPr="001767E7">
        <w:rPr>
          <w:rFonts w:eastAsia="SimSun"/>
          <w:lang w:eastAsia="zh-CN"/>
        </w:rPr>
        <w:t>For all type of activities, scenarios for electricity generation:</w:t>
      </w:r>
    </w:p>
    <w:p w14:paraId="5B943A70" w14:textId="2BA02D33" w:rsidR="00217019" w:rsidRPr="00511763" w:rsidRDefault="00A433A3" w:rsidP="00217019">
      <w:pPr>
        <w:pStyle w:val="SDMSubPara3"/>
      </w:pPr>
      <w:bookmarkStart w:id="137" w:name="_Ref231986849"/>
      <w:r w:rsidRPr="001767E7">
        <w:rPr>
          <w:rFonts w:eastAsia="SimSun"/>
          <w:lang w:eastAsia="zh-CN"/>
        </w:rPr>
        <w:t>Implementation of the proposed Article 6.4 activity without registering it under the Article 6.4 mechanism;</w:t>
      </w:r>
      <w:bookmarkEnd w:id="137"/>
    </w:p>
    <w:p w14:paraId="3C055865" w14:textId="341CDC68" w:rsidR="00511763" w:rsidRPr="00511763" w:rsidRDefault="00511763" w:rsidP="00217019">
      <w:pPr>
        <w:pStyle w:val="SDMSubPara3"/>
      </w:pPr>
      <w:r w:rsidRPr="001767E7">
        <w:rPr>
          <w:rFonts w:eastAsia="SimSun"/>
          <w:lang w:eastAsia="zh-CN"/>
        </w:rPr>
        <w:t xml:space="preserve">Electricity generation by existing </w:t>
      </w:r>
      <w:r>
        <w:rPr>
          <w:rFonts w:eastAsia="SimSun"/>
          <w:lang w:eastAsia="zh-CN"/>
        </w:rPr>
        <w:t>or</w:t>
      </w:r>
      <w:r w:rsidRPr="001767E7">
        <w:rPr>
          <w:rFonts w:eastAsia="SimSun"/>
          <w:lang w:eastAsia="zh-CN"/>
        </w:rPr>
        <w:t xml:space="preserve"> new grid-connected power plants; and</w:t>
      </w:r>
    </w:p>
    <w:p w14:paraId="1B225B17" w14:textId="2322F9B6" w:rsidR="00511763" w:rsidRDefault="00040A7A" w:rsidP="00217019">
      <w:pPr>
        <w:pStyle w:val="SDMSubPara3"/>
      </w:pPr>
      <w:r w:rsidRPr="001767E7">
        <w:rPr>
          <w:rFonts w:eastAsia="Arial"/>
          <w:lang w:eastAsia="zh-CN"/>
        </w:rPr>
        <w:t>Electricity generation by greenfield power plants of any type other than the Article 6.4 activity; and</w:t>
      </w:r>
    </w:p>
    <w:p w14:paraId="0EB917C0" w14:textId="657F8991" w:rsidR="001D6E36" w:rsidRDefault="00EB287D" w:rsidP="00EC00DE">
      <w:pPr>
        <w:pStyle w:val="SDMSubPara2"/>
        <w:keepNext/>
      </w:pPr>
      <w:bookmarkStart w:id="138" w:name="_Ref233802488"/>
      <w:r w:rsidRPr="001767E7">
        <w:t>For Article 6.4 activity implemented at a one or more existing reservoir(s), scenarios related to the existing reservoir(s) which shall be considered in conjunction with the scenario referred to in paragraph </w:t>
      </w:r>
      <w:r w:rsidR="0009124B">
        <w:rPr>
          <w:highlight w:val="yellow"/>
        </w:rPr>
        <w:fldChar w:fldCharType="begin"/>
      </w:r>
      <w:r w:rsidR="0009124B">
        <w:instrText xml:space="preserve"> REF _Ref231986849 \w \h </w:instrText>
      </w:r>
      <w:r w:rsidR="0009124B">
        <w:rPr>
          <w:highlight w:val="yellow"/>
        </w:rPr>
      </w:r>
      <w:r w:rsidR="0009124B">
        <w:rPr>
          <w:highlight w:val="yellow"/>
        </w:rPr>
        <w:fldChar w:fldCharType="separate"/>
      </w:r>
      <w:r w:rsidR="00D0578E">
        <w:rPr>
          <w:cs/>
        </w:rPr>
        <w:t>‎</w:t>
      </w:r>
      <w:r w:rsidR="00D0578E">
        <w:t>33(a)(i)a</w:t>
      </w:r>
      <w:r w:rsidR="0009124B">
        <w:rPr>
          <w:highlight w:val="yellow"/>
        </w:rPr>
        <w:fldChar w:fldCharType="end"/>
      </w:r>
      <w:r w:rsidRPr="001767E7">
        <w:t>:</w:t>
      </w:r>
      <w:bookmarkEnd w:id="138"/>
    </w:p>
    <w:p w14:paraId="73D74C62" w14:textId="77777777" w:rsidR="00EB7883" w:rsidRDefault="00EB7883" w:rsidP="00EB7883">
      <w:pPr>
        <w:pStyle w:val="SDMSubPara3"/>
      </w:pPr>
      <w:r>
        <w:t>Decommissioning the reservoir within the crediting period;</w:t>
      </w:r>
    </w:p>
    <w:p w14:paraId="259A370D" w14:textId="77777777" w:rsidR="00EB7883" w:rsidRDefault="00EB7883" w:rsidP="00EB7883">
      <w:pPr>
        <w:pStyle w:val="SDMSubPara3"/>
      </w:pPr>
      <w:r>
        <w:t>Retrofitting the reservoir to increase its size;</w:t>
      </w:r>
    </w:p>
    <w:p w14:paraId="283EB37C" w14:textId="77777777" w:rsidR="00EB7883" w:rsidRDefault="00EB7883" w:rsidP="00EB7883">
      <w:pPr>
        <w:pStyle w:val="SDMSubPara3"/>
      </w:pPr>
      <w:r>
        <w:t>Retrofitting the reservoir to reduce its size; and</w:t>
      </w:r>
    </w:p>
    <w:p w14:paraId="02952247" w14:textId="087853A6" w:rsidR="001D6E36" w:rsidRDefault="00EB7883" w:rsidP="00EB7883">
      <w:pPr>
        <w:pStyle w:val="SDMSubPara3"/>
      </w:pPr>
      <w:r>
        <w:t>Operating the reservoir at its current size and using it for the same purpose as that prior to the implementation of the Article 6.4 activity throughout the crediting period.</w:t>
      </w:r>
    </w:p>
    <w:p w14:paraId="66ED09EA" w14:textId="6B81527B" w:rsidR="001D6E36" w:rsidRPr="008F0149" w:rsidRDefault="008F0149" w:rsidP="008F0149">
      <w:pPr>
        <w:pStyle w:val="SDMSubPara1"/>
      </w:pPr>
      <w:r w:rsidRPr="00DF07AE">
        <w:rPr>
          <w:rFonts w:eastAsia="Arial"/>
          <w:b/>
          <w:bCs/>
        </w:rPr>
        <w:t xml:space="preserve">Analysis method: </w:t>
      </w:r>
      <w:r w:rsidRPr="00DF07AE">
        <w:rPr>
          <w:rFonts w:eastAsia="Arial"/>
        </w:rPr>
        <w:t xml:space="preserve">use the investment comparison analysis or, if the only alternative to the proposed Article 6.4 activity is electricity generation by existing </w:t>
      </w:r>
      <w:r>
        <w:rPr>
          <w:rFonts w:eastAsia="Arial"/>
        </w:rPr>
        <w:t>or</w:t>
      </w:r>
      <w:r w:rsidRPr="00DF07AE">
        <w:rPr>
          <w:rFonts w:eastAsia="Arial"/>
        </w:rPr>
        <w:t xml:space="preserve"> new grid-connected power plants and if the Article 6.4 activity is not implemented at one or more existing reservoir(s), use the benchmark</w:t>
      </w:r>
      <w:r w:rsidRPr="37BFE766">
        <w:rPr>
          <w:rFonts w:eastAsia="Arial"/>
        </w:rPr>
        <w:t xml:space="preserve"> analysis;</w:t>
      </w:r>
    </w:p>
    <w:p w14:paraId="70A26690" w14:textId="1D6F707C" w:rsidR="008F0149" w:rsidRPr="002655C8" w:rsidRDefault="002655C8" w:rsidP="008F0149">
      <w:pPr>
        <w:pStyle w:val="SDMSubPara1"/>
      </w:pPr>
      <w:r w:rsidRPr="5ED1399A">
        <w:rPr>
          <w:rFonts w:eastAsia="Arial"/>
          <w:b/>
          <w:bCs/>
        </w:rPr>
        <w:t xml:space="preserve">Financial indicator: </w:t>
      </w:r>
      <w:r w:rsidRPr="032D336B">
        <w:rPr>
          <w:rFonts w:eastAsiaTheme="minorEastAsia"/>
          <w:lang w:eastAsia="zh-CN"/>
        </w:rPr>
        <w:t>use</w:t>
      </w:r>
      <w:r w:rsidRPr="37BFE766">
        <w:rPr>
          <w:rFonts w:eastAsiaTheme="minorEastAsia"/>
          <w:lang w:eastAsia="zh-CN"/>
        </w:rPr>
        <w:t xml:space="preserve"> the net present value (NPV) as </w:t>
      </w:r>
      <w:r>
        <w:rPr>
          <w:rFonts w:eastAsiaTheme="minorEastAsia"/>
          <w:lang w:eastAsia="zh-CN"/>
        </w:rPr>
        <w:t xml:space="preserve">the </w:t>
      </w:r>
      <w:r w:rsidRPr="37BFE766">
        <w:rPr>
          <w:rFonts w:eastAsiaTheme="minorEastAsia"/>
          <w:lang w:eastAsia="zh-CN"/>
        </w:rPr>
        <w:t>financial indicator where the investment comparison analysis is applied and choose an appropriate indicator where the benchmark analysis is applied, such as internal rate of return (IRR) or NPV</w:t>
      </w:r>
      <w:r w:rsidRPr="21FEA111">
        <w:rPr>
          <w:rFonts w:eastAsiaTheme="minorEastAsia"/>
          <w:lang w:eastAsia="zh-CN"/>
        </w:rPr>
        <w:t>;</w:t>
      </w:r>
    </w:p>
    <w:p w14:paraId="6935E7DD" w14:textId="10CB3A2A" w:rsidR="002655C8" w:rsidRPr="006A3114" w:rsidRDefault="006A3114" w:rsidP="008F0149">
      <w:pPr>
        <w:pStyle w:val="SDMSubPara1"/>
      </w:pPr>
      <w:bookmarkStart w:id="139" w:name="_Ref233802257"/>
      <w:r w:rsidRPr="285882D2">
        <w:rPr>
          <w:rFonts w:eastAsia="Arial"/>
          <w:b/>
          <w:bCs/>
        </w:rPr>
        <w:lastRenderedPageBreak/>
        <w:t xml:space="preserve">Implementation entity: </w:t>
      </w:r>
      <w:r w:rsidRPr="285882D2">
        <w:rPr>
          <w:rFonts w:eastAsia="Arial"/>
        </w:rPr>
        <w:t>either</w:t>
      </w:r>
      <w:r w:rsidRPr="285882D2">
        <w:rPr>
          <w:rFonts w:eastAsia="Arial"/>
          <w:b/>
          <w:bCs/>
        </w:rPr>
        <w:t xml:space="preserve"> </w:t>
      </w:r>
      <w:r w:rsidRPr="285882D2">
        <w:rPr>
          <w:rFonts w:eastAsia="Arial"/>
        </w:rPr>
        <w:t>assume that the Article 6.4 activity could be implemented by the activity participants or other entities</w:t>
      </w:r>
      <w:r>
        <w:rPr>
          <w:rFonts w:eastAsia="Arial"/>
        </w:rPr>
        <w:t>,</w:t>
      </w:r>
      <w:r w:rsidRPr="285882D2">
        <w:rPr>
          <w:rFonts w:eastAsia="Arial"/>
        </w:rPr>
        <w:t xml:space="preserve"> or demonstrate </w:t>
      </w:r>
      <w:r w:rsidRPr="2390F54D">
        <w:rPr>
          <w:rFonts w:eastAsia="Arial"/>
        </w:rPr>
        <w:t>with appropriate evidence that,</w:t>
      </w:r>
      <w:r w:rsidRPr="285882D2">
        <w:rPr>
          <w:rFonts w:eastAsia="Arial"/>
        </w:rPr>
        <w:t xml:space="preserve"> in the specific context of the proposed Article 6.4 activity</w:t>
      </w:r>
      <w:r w:rsidRPr="2390F54D">
        <w:rPr>
          <w:rFonts w:eastAsia="Arial"/>
        </w:rPr>
        <w:t>,</w:t>
      </w:r>
      <w:r w:rsidRPr="285882D2">
        <w:rPr>
          <w:rFonts w:eastAsia="Arial"/>
        </w:rPr>
        <w:t xml:space="preserve"> </w:t>
      </w:r>
      <w:r>
        <w:rPr>
          <w:rFonts w:eastAsia="Arial"/>
        </w:rPr>
        <w:t>the activity</w:t>
      </w:r>
      <w:r w:rsidRPr="285882D2">
        <w:rPr>
          <w:rFonts w:eastAsia="Arial"/>
        </w:rPr>
        <w:t xml:space="preserve"> can only be implemented by the activity participants and not by any other entities; and</w:t>
      </w:r>
      <w:bookmarkEnd w:id="139"/>
    </w:p>
    <w:p w14:paraId="1F21A833" w14:textId="47115030" w:rsidR="006A3114" w:rsidRDefault="009D6A32" w:rsidP="008F0149">
      <w:pPr>
        <w:pStyle w:val="SDMSubPara1"/>
      </w:pPr>
      <w:r w:rsidRPr="3F0643CD">
        <w:rPr>
          <w:rFonts w:eastAsia="Arial"/>
          <w:b/>
          <w:bCs/>
        </w:rPr>
        <w:t xml:space="preserve">Sensitivity analysis: </w:t>
      </w:r>
      <w:r w:rsidRPr="3F0643CD">
        <w:rPr>
          <w:rFonts w:eastAsia="Arial"/>
        </w:rPr>
        <w:t>in conducting the sensitivity analysis, apply a variation of at least +/- 10 per cent to the input values which constitute more than 20 per cent of the total costs or total revenues. If it can be demonstrated by evidence that the input value has already been fixed, the variation may not be applied for sensitivity analysis.</w:t>
      </w:r>
      <w:r>
        <w:rPr>
          <w:rStyle w:val="FootnoteReference"/>
          <w:rFonts w:eastAsia="Arial"/>
        </w:rPr>
        <w:footnoteReference w:id="28"/>
      </w:r>
    </w:p>
    <w:p w14:paraId="210F329E" w14:textId="7B626521" w:rsidR="001D6E36" w:rsidRDefault="004659EF" w:rsidP="00523CB0">
      <w:pPr>
        <w:pStyle w:val="SDMPara"/>
      </w:pPr>
      <w:r w:rsidRPr="00095CF2">
        <w:rPr>
          <w:rFonts w:eastAsiaTheme="minorEastAsia"/>
        </w:rPr>
        <w:t>Where the investment comparison analysis is applied,</w:t>
      </w:r>
      <w:r w:rsidRPr="00095CF2">
        <w:rPr>
          <w:rFonts w:eastAsia="Arial"/>
          <w:lang w:val="en-US"/>
        </w:rPr>
        <w:t xml:space="preserve"> activity participants shall also determine which of the sce</w:t>
      </w:r>
      <w:r w:rsidRPr="00E95E67">
        <w:rPr>
          <w:rFonts w:eastAsia="Arial"/>
          <w:lang w:val="en-US"/>
        </w:rPr>
        <w:t>narios is the most financially viable scenario. Where the sensitivity analysis shows that different scenarios could be the most financially viable, depending on the variation in the input values, the scenario with the lowest baseline emissions among these scenarios shall be identified as the most financially viable scenario.</w:t>
      </w:r>
    </w:p>
    <w:p w14:paraId="6FC2F29D" w14:textId="1B7E6BF6" w:rsidR="00EB287D" w:rsidRDefault="004659EF" w:rsidP="004659EF">
      <w:pPr>
        <w:pStyle w:val="SDMHead2"/>
      </w:pPr>
      <w:bookmarkStart w:id="140" w:name="_Toc233881721"/>
      <w:bookmarkStart w:id="141" w:name="_Toc233882087"/>
      <w:bookmarkStart w:id="142" w:name="_Toc233884214"/>
      <w:bookmarkStart w:id="143" w:name="_Toc233902823"/>
      <w:bookmarkStart w:id="144" w:name="_Toc233902860"/>
      <w:bookmarkStart w:id="145" w:name="_Toc236391891"/>
      <w:bookmarkStart w:id="146" w:name="_Toc236394033"/>
      <w:r>
        <w:t>Common practice analysis</w:t>
      </w:r>
      <w:bookmarkEnd w:id="140"/>
      <w:bookmarkEnd w:id="141"/>
      <w:bookmarkEnd w:id="142"/>
      <w:bookmarkEnd w:id="143"/>
      <w:bookmarkEnd w:id="144"/>
      <w:bookmarkEnd w:id="145"/>
      <w:bookmarkEnd w:id="146"/>
    </w:p>
    <w:p w14:paraId="1E4D00D7" w14:textId="517447B7" w:rsidR="00EB287D" w:rsidRPr="006A7517" w:rsidRDefault="006A7517" w:rsidP="00EC00DE">
      <w:pPr>
        <w:pStyle w:val="SDMPara"/>
        <w:keepNext/>
      </w:pPr>
      <w:r w:rsidRPr="5A50DC01">
        <w:rPr>
          <w:rFonts w:eastAsia="Arial"/>
          <w:color w:val="000000" w:themeColor="text1"/>
        </w:rPr>
        <w:t>Activity participants shall use a valid version of the “Methodological tool: Common practice analysis” (A6.4-AMT-001) to conduct the common practice analysis.</w:t>
      </w:r>
      <w:r w:rsidRPr="00E0728F">
        <w:rPr>
          <w:rFonts w:eastAsia="Arial"/>
          <w:color w:val="000000" w:themeColor="text1"/>
          <w:lang w:val="en-US"/>
        </w:rPr>
        <w:t xml:space="preserve"> </w:t>
      </w:r>
      <w:r w:rsidRPr="5A50DC01">
        <w:rPr>
          <w:rFonts w:eastAsia="Arial"/>
          <w:color w:val="000000" w:themeColor="text1"/>
        </w:rPr>
        <w:t>In applying the tool, activity participant</w:t>
      </w:r>
      <w:r>
        <w:rPr>
          <w:rFonts w:eastAsia="Arial"/>
          <w:color w:val="000000" w:themeColor="text1"/>
        </w:rPr>
        <w:t>s</w:t>
      </w:r>
      <w:r w:rsidRPr="5A50DC01">
        <w:rPr>
          <w:rFonts w:eastAsia="Arial"/>
          <w:color w:val="000000" w:themeColor="text1"/>
        </w:rPr>
        <w:t xml:space="preserve"> shall implement all </w:t>
      </w:r>
      <w:r>
        <w:rPr>
          <w:rFonts w:eastAsia="Arial"/>
          <w:color w:val="000000" w:themeColor="text1"/>
        </w:rPr>
        <w:t>of</w:t>
      </w:r>
      <w:r w:rsidRPr="5A50DC01">
        <w:rPr>
          <w:rFonts w:eastAsia="Arial"/>
          <w:color w:val="000000" w:themeColor="text1"/>
        </w:rPr>
        <w:t xml:space="preserve"> the following specifications:</w:t>
      </w:r>
    </w:p>
    <w:p w14:paraId="775D7B5A" w14:textId="7718C8A5" w:rsidR="006A7517" w:rsidRPr="003057A6" w:rsidRDefault="003057A6" w:rsidP="006A7517">
      <w:pPr>
        <w:pStyle w:val="SDMSubPara1"/>
      </w:pPr>
      <w:r w:rsidRPr="37C46D4E">
        <w:rPr>
          <w:rFonts w:eastAsiaTheme="minorEastAsia"/>
          <w:b/>
          <w:bCs/>
        </w:rPr>
        <w:t>Approach for common practice analysis:</w:t>
      </w:r>
      <w:r w:rsidRPr="37C46D4E">
        <w:rPr>
          <w:rFonts w:eastAsiaTheme="minorEastAsia"/>
        </w:rPr>
        <w:t xml:space="preserve"> </w:t>
      </w:r>
      <w:r w:rsidRPr="2390F54D">
        <w:rPr>
          <w:rFonts w:eastAsiaTheme="minorEastAsia"/>
        </w:rPr>
        <w:t>approach</w:t>
      </w:r>
      <w:r w:rsidRPr="37C46D4E">
        <w:rPr>
          <w:rFonts w:eastAsiaTheme="minorEastAsia"/>
        </w:rPr>
        <w:t xml:space="preserve"> A (which is based on the identification of existing “comparable activities” and differentiation between “similar” and </w:t>
      </w:r>
      <w:r w:rsidRPr="00BBDCBD">
        <w:rPr>
          <w:rFonts w:eastAsiaTheme="minorEastAsia"/>
        </w:rPr>
        <w:t>“</w:t>
      </w:r>
      <w:r w:rsidRPr="37C46D4E">
        <w:rPr>
          <w:rFonts w:eastAsiaTheme="minorEastAsia"/>
        </w:rPr>
        <w:t>different” activities) shall be used;</w:t>
      </w:r>
    </w:p>
    <w:p w14:paraId="15131320" w14:textId="7DC54A89" w:rsidR="003057A6" w:rsidRPr="004F1006" w:rsidRDefault="004F1006" w:rsidP="00CB664E">
      <w:pPr>
        <w:pStyle w:val="SDMSubPara1"/>
      </w:pPr>
      <w:r w:rsidRPr="5A50DC01">
        <w:rPr>
          <w:rFonts w:eastAsiaTheme="minorEastAsia"/>
          <w:b/>
          <w:bCs/>
        </w:rPr>
        <w:t>Indicator</w:t>
      </w:r>
      <w:r w:rsidRPr="00E4256C">
        <w:rPr>
          <w:rFonts w:eastAsiaTheme="minorEastAsia"/>
          <w:b/>
          <w:bCs/>
        </w:rPr>
        <w:t xml:space="preserve"> of common practice</w:t>
      </w:r>
      <w:r w:rsidRPr="00E4256C" w:rsidDel="00632B92">
        <w:rPr>
          <w:rFonts w:eastAsiaTheme="minorEastAsia"/>
          <w:b/>
          <w:bCs/>
        </w:rPr>
        <w:t>:</w:t>
      </w:r>
      <w:r w:rsidRPr="00E4256C" w:rsidDel="00632B92">
        <w:rPr>
          <w:rFonts w:eastAsiaTheme="minorEastAsia"/>
        </w:rPr>
        <w:t xml:space="preserve"> </w:t>
      </w:r>
      <w:r>
        <w:t>t</w:t>
      </w:r>
      <w:r w:rsidRPr="00E4256C">
        <w:rPr>
          <w:rFonts w:eastAsia="Arial"/>
        </w:rPr>
        <w:t>he installed power generation capacity</w:t>
      </w:r>
      <w:r w:rsidR="00974CB3">
        <w:rPr>
          <w:rFonts w:eastAsia="Arial"/>
        </w:rPr>
        <w:t xml:space="preserve"> </w:t>
      </w:r>
      <w:r w:rsidR="00974CB3" w:rsidRPr="002B6569">
        <w:rPr>
          <w:rFonts w:eastAsia="Arial"/>
        </w:rPr>
        <w:t xml:space="preserve">of </w:t>
      </w:r>
      <w:r w:rsidR="00CB664E" w:rsidRPr="002B6569">
        <w:rPr>
          <w:rFonts w:eastAsia="Arial"/>
        </w:rPr>
        <w:t>power plants connected to (the) electricity system(s) within the applicable geographical area</w:t>
      </w:r>
      <w:r w:rsidRPr="002B6569">
        <w:rPr>
          <w:rFonts w:eastAsia="Arial"/>
        </w:rPr>
        <w:t>,</w:t>
      </w:r>
      <w:r w:rsidRPr="00E4256C">
        <w:rPr>
          <w:rFonts w:eastAsia="Arial"/>
        </w:rPr>
        <w:t xml:space="preserve"> expressed in MW, shall be used</w:t>
      </w:r>
      <w:r>
        <w:rPr>
          <w:rFonts w:eastAsia="Arial"/>
        </w:rPr>
        <w:t>;</w:t>
      </w:r>
    </w:p>
    <w:p w14:paraId="09FCBFEE" w14:textId="7E824FB2" w:rsidR="004F1006" w:rsidRPr="00B23FF5" w:rsidRDefault="00B23FF5" w:rsidP="006A7517">
      <w:pPr>
        <w:pStyle w:val="SDMSubPara1"/>
      </w:pPr>
      <w:r w:rsidRPr="00047A9E">
        <w:rPr>
          <w:rFonts w:eastAsia="Arial"/>
          <w:b/>
          <w:bCs/>
          <w:color w:val="000000" w:themeColor="text1"/>
        </w:rPr>
        <w:t>Stock-based or time-bound approach:</w:t>
      </w:r>
      <w:r w:rsidRPr="00047A9E">
        <w:rPr>
          <w:rFonts w:eastAsia="Arial"/>
          <w:color w:val="000000" w:themeColor="text1"/>
          <w:lang w:val="en-US"/>
        </w:rPr>
        <w:t xml:space="preserve"> </w:t>
      </w:r>
      <w:r w:rsidRPr="00047A9E">
        <w:rPr>
          <w:rFonts w:eastAsia="Arial"/>
          <w:color w:val="000000" w:themeColor="text1"/>
        </w:rPr>
        <w:t>a time-bound approach</w:t>
      </w:r>
      <w:r w:rsidRPr="00047A9E" w:rsidDel="74CB687B">
        <w:rPr>
          <w:rFonts w:eastAsia="Arial"/>
          <w:color w:val="000000" w:themeColor="text1"/>
        </w:rPr>
        <w:t xml:space="preserve"> shall be used</w:t>
      </w:r>
      <w:r w:rsidRPr="00047A9E">
        <w:rPr>
          <w:rFonts w:eastAsia="Arial"/>
          <w:color w:val="000000" w:themeColor="text1"/>
        </w:rPr>
        <w:t xml:space="preserve"> (i.e</w:t>
      </w:r>
      <w:r w:rsidRPr="00BBDCBD">
        <w:rPr>
          <w:rFonts w:eastAsia="Arial"/>
          <w:color w:val="000000" w:themeColor="text1"/>
        </w:rPr>
        <w:t>.</w:t>
      </w:r>
      <w:r>
        <w:rPr>
          <w:rFonts w:eastAsia="Arial"/>
          <w:color w:val="000000" w:themeColor="text1"/>
        </w:rPr>
        <w:t>,</w:t>
      </w:r>
      <w:r w:rsidRPr="00047A9E">
        <w:rPr>
          <w:rFonts w:eastAsia="Arial"/>
          <w:color w:val="000000" w:themeColor="text1"/>
        </w:rPr>
        <w:t xml:space="preserve"> considering all comparable activities implemented within the reference period). The reference period shall be defined as the most recent 3 calendar years prior to the earlier of: (i) the start of operation of the Article 6.4 activity and (ii) the submission of the PDD for validation;</w:t>
      </w:r>
    </w:p>
    <w:p w14:paraId="5407ED4F" w14:textId="148DC915" w:rsidR="00B23FF5" w:rsidRPr="00C742F3" w:rsidRDefault="00C742F3" w:rsidP="00EC00DE">
      <w:pPr>
        <w:pStyle w:val="SDMSubPara1"/>
        <w:keepNext/>
      </w:pPr>
      <w:r w:rsidRPr="2E2C9338">
        <w:rPr>
          <w:rFonts w:eastAsiaTheme="minorEastAsia"/>
          <w:b/>
          <w:bCs/>
        </w:rPr>
        <w:t xml:space="preserve">Applicable geographical area: </w:t>
      </w:r>
      <w:r w:rsidRPr="2E2C9338">
        <w:rPr>
          <w:rFonts w:eastAsiaTheme="minorEastAsia"/>
        </w:rPr>
        <w:t xml:space="preserve">the physical boundary of the electricity system shall </w:t>
      </w:r>
      <w:r w:rsidRPr="00516760">
        <w:rPr>
          <w:rFonts w:eastAsia="Arial"/>
          <w:color w:val="000000" w:themeColor="text1"/>
        </w:rPr>
        <w:t>be</w:t>
      </w:r>
      <w:r w:rsidRPr="2E2C9338">
        <w:rPr>
          <w:rFonts w:eastAsiaTheme="minorEastAsia"/>
        </w:rPr>
        <w:t xml:space="preserve"> used </w:t>
      </w:r>
      <w:r>
        <w:t xml:space="preserve">as the </w:t>
      </w:r>
      <w:r w:rsidRPr="00054D8F">
        <w:t>default</w:t>
      </w:r>
      <w:r>
        <w:t xml:space="preserve"> applicable geographical area</w:t>
      </w:r>
      <w:r w:rsidRPr="2E2C9338">
        <w:rPr>
          <w:rFonts w:eastAsiaTheme="minorEastAsia"/>
        </w:rPr>
        <w:t>.</w:t>
      </w:r>
      <w:r w:rsidR="006268C5" w:rsidRPr="00516760">
        <w:rPr>
          <w:rStyle w:val="FootnoteReference"/>
          <w:rFonts w:eastAsiaTheme="minorEastAsia"/>
        </w:rPr>
        <w:footnoteReference w:id="29"/>
      </w:r>
      <w:r>
        <w:rPr>
          <w:rFonts w:eastAsiaTheme="minorEastAsia"/>
        </w:rPr>
        <w:t xml:space="preserve"> </w:t>
      </w:r>
      <w:r w:rsidRPr="2E2C9338">
        <w:rPr>
          <w:rFonts w:eastAsiaTheme="minorEastAsia"/>
        </w:rPr>
        <w:t>Where the applicable geographical area must be further widened in accordance with step 4 of the methodological tool (A6.4-AMT-001), the widening shall be conducted as follows:</w:t>
      </w:r>
    </w:p>
    <w:p w14:paraId="02B7247A" w14:textId="39F3561B" w:rsidR="00C742F3" w:rsidRPr="00C565DA" w:rsidRDefault="00C565DA" w:rsidP="00C742F3">
      <w:pPr>
        <w:pStyle w:val="SDMSubPara2"/>
      </w:pPr>
      <w:r w:rsidRPr="2E2C9338">
        <w:rPr>
          <w:rFonts w:eastAsiaTheme="minorEastAsia"/>
        </w:rPr>
        <w:t>Use host country as applicable geographical area;</w:t>
      </w:r>
    </w:p>
    <w:p w14:paraId="608FE620" w14:textId="4B883262" w:rsidR="00C565DA" w:rsidRPr="00A15D0E" w:rsidRDefault="006952C0" w:rsidP="00C742F3">
      <w:pPr>
        <w:pStyle w:val="SDMSubPara2"/>
      </w:pPr>
      <w:r w:rsidRPr="2E2C9338">
        <w:rPr>
          <w:rFonts w:eastAsiaTheme="minorEastAsia"/>
        </w:rPr>
        <w:lastRenderedPageBreak/>
        <w:t>Where the widening based on sub-paragraphs (i) above is not sufficient, or Article 6.4 activities implemented in a least developed country (LDC) or small island developing state (SIDS), the applicable geographical area shall consist of all LDCs and SIDS. For Article 6.4 activities implemented in countries other than LDCs or SIDS, the applicable geographical area shall correspond to the relevant continent; or</w:t>
      </w:r>
    </w:p>
    <w:p w14:paraId="09DECFAC" w14:textId="43D19D3A" w:rsidR="00A15D0E" w:rsidRDefault="00A15D0E" w:rsidP="00C742F3">
      <w:pPr>
        <w:pStyle w:val="SDMSubPara2"/>
      </w:pPr>
      <w:r w:rsidRPr="2E2C9338">
        <w:rPr>
          <w:rFonts w:eastAsiaTheme="minorEastAsia"/>
        </w:rPr>
        <w:t>Where the widening based on sub-paragraphs (ii) above is still not sufficient, the applicable geographical area shall be global (i.e., including all countries);</w:t>
      </w:r>
    </w:p>
    <w:p w14:paraId="4B6386ED" w14:textId="7A878B1B" w:rsidR="00EB287D" w:rsidRPr="00CC0B59" w:rsidRDefault="00CC0B59" w:rsidP="00CC0B59">
      <w:pPr>
        <w:pStyle w:val="SDMSubPara1"/>
      </w:pPr>
      <w:r w:rsidRPr="5A50DC01">
        <w:rPr>
          <w:rFonts w:eastAsia="Arial"/>
          <w:b/>
          <w:bCs/>
          <w:color w:val="000000" w:themeColor="text1"/>
        </w:rPr>
        <w:t>Consideration of scale of output or capacity of the technology, measure, or practice:</w:t>
      </w:r>
      <w:r w:rsidRPr="00E0728F">
        <w:rPr>
          <w:rFonts w:eastAsia="Arial"/>
          <w:color w:val="000000" w:themeColor="text1"/>
          <w:lang w:val="en-US"/>
        </w:rPr>
        <w:t xml:space="preserve"> </w:t>
      </w:r>
      <w:r w:rsidRPr="2390F54D">
        <w:rPr>
          <w:rFonts w:eastAsia="Arial"/>
          <w:color w:val="000000" w:themeColor="text1"/>
        </w:rPr>
        <w:t>all</w:t>
      </w:r>
      <w:r w:rsidRPr="5A50DC01">
        <w:rPr>
          <w:rFonts w:eastAsia="Arial"/>
          <w:color w:val="000000" w:themeColor="text1"/>
        </w:rPr>
        <w:t xml:space="preserve"> capacity sizes of comparable activities </w:t>
      </w:r>
      <w:r w:rsidRPr="5A50DC01" w:rsidDel="281C916B">
        <w:rPr>
          <w:rFonts w:eastAsia="Arial"/>
          <w:color w:val="000000" w:themeColor="text1"/>
        </w:rPr>
        <w:t xml:space="preserve">shall be </w:t>
      </w:r>
      <w:r>
        <w:rPr>
          <w:rFonts w:eastAsia="Arial"/>
          <w:color w:val="000000" w:themeColor="text1"/>
        </w:rPr>
        <w:t>used</w:t>
      </w:r>
      <w:r w:rsidRPr="5A50DC01">
        <w:rPr>
          <w:rFonts w:eastAsia="Arial"/>
          <w:color w:val="000000" w:themeColor="text1"/>
        </w:rPr>
        <w:t>;</w:t>
      </w:r>
    </w:p>
    <w:p w14:paraId="00FB070B" w14:textId="20340AAB" w:rsidR="00CC0B59" w:rsidRPr="00E5744E" w:rsidRDefault="0070078B" w:rsidP="00EC00DE">
      <w:pPr>
        <w:pStyle w:val="SDMSubPara1"/>
        <w:keepNext/>
      </w:pPr>
      <w:r w:rsidRPr="5A50DC01">
        <w:rPr>
          <w:rFonts w:eastAsia="Arial"/>
          <w:b/>
          <w:bCs/>
          <w:color w:val="000000" w:themeColor="text1"/>
          <w:lang w:val="en-US"/>
        </w:rPr>
        <w:t>Common practice threshold:</w:t>
      </w:r>
      <w:r w:rsidRPr="5A50DC01">
        <w:rPr>
          <w:rFonts w:eastAsia="Arial"/>
          <w:color w:val="000000" w:themeColor="text1"/>
          <w:lang w:val="en-US"/>
        </w:rPr>
        <w:t xml:space="preserve"> </w:t>
      </w:r>
      <w:r w:rsidRPr="2390F54D">
        <w:rPr>
          <w:rFonts w:eastAsiaTheme="minorEastAsia"/>
        </w:rPr>
        <w:t>the</w:t>
      </w:r>
      <w:r w:rsidRPr="5A50DC01">
        <w:rPr>
          <w:rFonts w:eastAsiaTheme="minorEastAsia"/>
        </w:rPr>
        <w:t xml:space="preserve"> common practice factor thresholds to be </w:t>
      </w:r>
      <w:r w:rsidRPr="00B1273D">
        <w:rPr>
          <w:rFonts w:eastAsiaTheme="minorEastAsia"/>
        </w:rPr>
        <w:t>applied under this mechanism methodology shall be:</w:t>
      </w:r>
    </w:p>
    <w:p w14:paraId="66FEC205" w14:textId="39F42D24" w:rsidR="001C13C2" w:rsidRPr="00E5744E" w:rsidRDefault="001C13C2" w:rsidP="001C13C2">
      <w:pPr>
        <w:pStyle w:val="SDMSubPara2"/>
      </w:pPr>
      <w:bookmarkStart w:id="147" w:name="_Ref233802405"/>
      <w:r>
        <w:rPr>
          <w:rFonts w:eastAsiaTheme="minorEastAsia"/>
        </w:rPr>
        <w:t xml:space="preserve">5 </w:t>
      </w:r>
      <w:r w:rsidRPr="00B1273D">
        <w:rPr>
          <w:rFonts w:eastAsiaTheme="minorEastAsia"/>
        </w:rPr>
        <w:t xml:space="preserve">per cent for Article 6.4 activities located in </w:t>
      </w:r>
      <w:r>
        <w:rPr>
          <w:rFonts w:eastAsiaTheme="minorEastAsia"/>
        </w:rPr>
        <w:t>countries</w:t>
      </w:r>
      <w:r w:rsidRPr="00F7310B">
        <w:rPr>
          <w:rFonts w:eastAsiaTheme="minorEastAsia"/>
        </w:rPr>
        <w:t xml:space="preserve"> that are neither LDCs nor </w:t>
      </w:r>
      <w:r w:rsidRPr="06B2C02A">
        <w:rPr>
          <w:rFonts w:eastAsiaTheme="minorEastAsia"/>
        </w:rPr>
        <w:t>SIDS</w:t>
      </w:r>
      <w:r w:rsidRPr="00B1273D">
        <w:rPr>
          <w:rFonts w:eastAsiaTheme="minorEastAsia"/>
        </w:rPr>
        <w:t>; and</w:t>
      </w:r>
    </w:p>
    <w:p w14:paraId="56662F14" w14:textId="1A739C1B" w:rsidR="001C13C2" w:rsidRPr="001F5D05" w:rsidRDefault="001C13C2" w:rsidP="001C13C2">
      <w:pPr>
        <w:pStyle w:val="SDMSubPara2"/>
      </w:pPr>
      <w:r>
        <w:rPr>
          <w:rFonts w:eastAsiaTheme="minorEastAsia"/>
        </w:rPr>
        <w:t xml:space="preserve">10 </w:t>
      </w:r>
      <w:r w:rsidRPr="00B1273D">
        <w:rPr>
          <w:rFonts w:eastAsiaTheme="minorEastAsia"/>
        </w:rPr>
        <w:t>per cent</w:t>
      </w:r>
      <w:r w:rsidRPr="5A50DC01">
        <w:rPr>
          <w:rFonts w:eastAsiaTheme="minorEastAsia"/>
        </w:rPr>
        <w:t xml:space="preserve"> for Article 6.4 activities located in </w:t>
      </w:r>
      <w:r>
        <w:rPr>
          <w:rFonts w:eastAsiaTheme="minorEastAsia"/>
        </w:rPr>
        <w:t xml:space="preserve">countries </w:t>
      </w:r>
      <w:r w:rsidRPr="00F7310B">
        <w:rPr>
          <w:rFonts w:eastAsiaTheme="minorEastAsia"/>
        </w:rPr>
        <w:t xml:space="preserve">that are LDCs or </w:t>
      </w:r>
      <w:r w:rsidRPr="06B2C02A">
        <w:rPr>
          <w:rFonts w:eastAsiaTheme="minorEastAsia"/>
        </w:rPr>
        <w:t>SIDS</w:t>
      </w:r>
      <w:r>
        <w:rPr>
          <w:rFonts w:eastAsiaTheme="minorEastAsia"/>
          <w:lang w:val="en-US"/>
        </w:rPr>
        <w:t>.</w:t>
      </w:r>
    </w:p>
    <w:p w14:paraId="72F8B885" w14:textId="53F40C66" w:rsidR="001F5D05" w:rsidRPr="00D31D1B" w:rsidRDefault="00D31D1B" w:rsidP="00EC00DE">
      <w:pPr>
        <w:pStyle w:val="SDMSubPara1"/>
        <w:keepNext/>
      </w:pPr>
      <w:r w:rsidRPr="5A50DC01">
        <w:rPr>
          <w:rFonts w:eastAsia="Arial"/>
          <w:b/>
          <w:bCs/>
          <w:color w:val="000000" w:themeColor="text1"/>
        </w:rPr>
        <w:t>Comparable, similar and different activities</w:t>
      </w:r>
      <w:r>
        <w:rPr>
          <w:rFonts w:eastAsia="Arial"/>
          <w:b/>
          <w:bCs/>
          <w:color w:val="000000" w:themeColor="text1"/>
        </w:rPr>
        <w:t>:</w:t>
      </w:r>
      <w:bookmarkEnd w:id="147"/>
    </w:p>
    <w:p w14:paraId="5F449D31" w14:textId="54981FF5" w:rsidR="00D31D1B" w:rsidRPr="00270A2B" w:rsidRDefault="00270A2B" w:rsidP="00D31D1B">
      <w:pPr>
        <w:pStyle w:val="SDMSubPara2"/>
      </w:pPr>
      <w:r w:rsidRPr="5A50DC01">
        <w:rPr>
          <w:rFonts w:eastAsia="Arial"/>
          <w:color w:val="000000" w:themeColor="text1"/>
        </w:rPr>
        <w:t>Comparable activities shall be all power plants connected to the electricity system;</w:t>
      </w:r>
    </w:p>
    <w:p w14:paraId="2CC26876" w14:textId="40C4A86E" w:rsidR="00270A2B" w:rsidRPr="00DD031E" w:rsidRDefault="00DD031E" w:rsidP="00EC00DE">
      <w:pPr>
        <w:pStyle w:val="SDMSubPara2"/>
        <w:keepNext/>
      </w:pPr>
      <w:r w:rsidRPr="5A50DC01">
        <w:rPr>
          <w:rFonts w:eastAsiaTheme="minorEastAsia"/>
        </w:rPr>
        <w:t>Similar activities shall be specified as follows:</w:t>
      </w:r>
    </w:p>
    <w:p w14:paraId="1A1D4709" w14:textId="77777777" w:rsidR="002B26DE" w:rsidRDefault="002B26DE" w:rsidP="002B26DE">
      <w:pPr>
        <w:pStyle w:val="SDMSubPara3"/>
      </w:pPr>
      <w:r>
        <w:t>For onshore wind power plants: all other onshore wind power plants;</w:t>
      </w:r>
    </w:p>
    <w:p w14:paraId="703AE588" w14:textId="77777777" w:rsidR="002B26DE" w:rsidRDefault="002B26DE" w:rsidP="002B26DE">
      <w:pPr>
        <w:pStyle w:val="SDMSubPara3"/>
      </w:pPr>
      <w:r>
        <w:t>For offshore wind power plants: all other offshore wind power plants;</w:t>
      </w:r>
    </w:p>
    <w:p w14:paraId="1E847444" w14:textId="77777777" w:rsidR="002B26DE" w:rsidRDefault="002B26DE" w:rsidP="002B26DE">
      <w:pPr>
        <w:pStyle w:val="SDMSubPara3"/>
      </w:pPr>
      <w:r>
        <w:t>For solar thermal power plants: all other solar thermal power plants;</w:t>
      </w:r>
    </w:p>
    <w:p w14:paraId="5A6D10DF" w14:textId="6FE07001" w:rsidR="002B26DE" w:rsidRDefault="002B26DE" w:rsidP="002B26DE">
      <w:pPr>
        <w:pStyle w:val="SDMSubPara3"/>
      </w:pPr>
      <w:r>
        <w:t>For solar PV plants: all other solar PV power plants;</w:t>
      </w:r>
      <w:r w:rsidR="008967E2" w:rsidRPr="008967E2">
        <w:rPr>
          <w:rStyle w:val="FootnoteReference"/>
          <w:rFonts w:eastAsiaTheme="minorEastAsia"/>
        </w:rPr>
        <w:t xml:space="preserve"> </w:t>
      </w:r>
      <w:r w:rsidR="008967E2">
        <w:rPr>
          <w:rStyle w:val="FootnoteReference"/>
          <w:rFonts w:eastAsiaTheme="minorEastAsia"/>
        </w:rPr>
        <w:footnoteReference w:id="30"/>
      </w:r>
    </w:p>
    <w:p w14:paraId="252D0F62" w14:textId="77777777" w:rsidR="002B26DE" w:rsidRDefault="002B26DE" w:rsidP="002B26DE">
      <w:pPr>
        <w:pStyle w:val="SDMSubPara3"/>
      </w:pPr>
      <w:r>
        <w:t>For geothermal power plants: all other geothermal power plants; and</w:t>
      </w:r>
    </w:p>
    <w:p w14:paraId="38D22E77" w14:textId="4CB3EA4F" w:rsidR="00DD031E" w:rsidRDefault="002B26DE" w:rsidP="002B26DE">
      <w:pPr>
        <w:pStyle w:val="SDMSubPara3"/>
      </w:pPr>
      <w:r>
        <w:t>For hydropower plants: all other hydropower plants.</w:t>
      </w:r>
    </w:p>
    <w:p w14:paraId="665EA065" w14:textId="77777777" w:rsidR="002C3056" w:rsidRPr="00CB7EFA" w:rsidRDefault="00B960DB" w:rsidP="00B960DB">
      <w:pPr>
        <w:pStyle w:val="SDMHead1"/>
      </w:pPr>
      <w:bookmarkStart w:id="148" w:name="_Toc233881722"/>
      <w:bookmarkStart w:id="149" w:name="_Toc233882088"/>
      <w:bookmarkStart w:id="150" w:name="_Toc233884215"/>
      <w:bookmarkStart w:id="151" w:name="_Toc233902824"/>
      <w:bookmarkStart w:id="152" w:name="_Toc233902861"/>
      <w:bookmarkStart w:id="153" w:name="_Toc236391892"/>
      <w:bookmarkStart w:id="154" w:name="_Toc236394034"/>
      <w:r w:rsidRPr="00CB7EFA">
        <w:lastRenderedPageBreak/>
        <w:t>Baseline scenario</w:t>
      </w:r>
      <w:bookmarkEnd w:id="148"/>
      <w:bookmarkEnd w:id="149"/>
      <w:bookmarkEnd w:id="150"/>
      <w:bookmarkEnd w:id="151"/>
      <w:bookmarkEnd w:id="152"/>
      <w:bookmarkEnd w:id="153"/>
      <w:bookmarkEnd w:id="154"/>
    </w:p>
    <w:p w14:paraId="1EFDBF62" w14:textId="6BEB9429" w:rsidR="00B960DB" w:rsidRPr="00CB7EFA" w:rsidRDefault="00B960DB" w:rsidP="00963BA6">
      <w:pPr>
        <w:pStyle w:val="SDMHead2"/>
      </w:pPr>
      <w:bookmarkStart w:id="155" w:name="_Toc233881723"/>
      <w:bookmarkStart w:id="156" w:name="_Toc233882089"/>
      <w:bookmarkStart w:id="157" w:name="_Toc233884216"/>
      <w:bookmarkStart w:id="158" w:name="_Toc233902825"/>
      <w:bookmarkStart w:id="159" w:name="_Toc233902862"/>
      <w:bookmarkStart w:id="160" w:name="_Toc236391893"/>
      <w:bookmarkStart w:id="161" w:name="_Toc236394035"/>
      <w:r w:rsidRPr="00CB7EFA">
        <w:t>Selection of the baseline approaches from paragraph 36 of the rules, modalities and procedures</w:t>
      </w:r>
      <w:bookmarkEnd w:id="155"/>
      <w:bookmarkEnd w:id="156"/>
      <w:bookmarkEnd w:id="157"/>
      <w:bookmarkEnd w:id="158"/>
      <w:bookmarkEnd w:id="159"/>
      <w:bookmarkEnd w:id="160"/>
      <w:bookmarkEnd w:id="161"/>
    </w:p>
    <w:p w14:paraId="07A3E002" w14:textId="39A932D5" w:rsidR="00B960DB" w:rsidRPr="00CB7EFA" w:rsidRDefault="00B960DB" w:rsidP="00556EFD">
      <w:pPr>
        <w:pStyle w:val="SDMPara"/>
      </w:pPr>
      <w:r w:rsidRPr="00CB7EFA">
        <w:t>The following approach from the Rules, Modalities and Procedures (RMPs), as per decision 3/CMA.3, is used to determine the baseline in this mechanism methodology:</w:t>
      </w:r>
      <w:r w:rsidR="008B7EC4" w:rsidRPr="00CB7EFA">
        <w:rPr>
          <w:rStyle w:val="FootnoteReference"/>
        </w:rPr>
        <w:footnoteReference w:id="31"/>
      </w:r>
    </w:p>
    <w:p w14:paraId="34D55231" w14:textId="046AA1A6" w:rsidR="00B960DB" w:rsidRPr="00CB7EFA" w:rsidRDefault="00963BA6" w:rsidP="00963BA6">
      <w:pPr>
        <w:spacing w:before="180"/>
        <w:ind w:left="1418" w:hanging="709"/>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ab/>
      </w:r>
      <w:r w:rsidR="00B960DB" w:rsidRPr="00CB7EFA">
        <w:t>Best available technologies that represent an economically feasible and environmentally sound course of action, where appropriate.</w:t>
      </w:r>
    </w:p>
    <w:p w14:paraId="76BEF4BE" w14:textId="5B046A28" w:rsidR="00B960DB" w:rsidRPr="00CB7EFA" w:rsidRDefault="00963BA6" w:rsidP="00963BA6">
      <w:pPr>
        <w:spacing w:before="180"/>
        <w:ind w:left="1418" w:hanging="709"/>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ab/>
      </w:r>
      <w:r w:rsidR="00B960DB" w:rsidRPr="00CB7EFA">
        <w:t>An ambitious benchmark approach where the baseline is set at least at the average emission level of the best performing comparable activities providing similar outputs and services in a defined scope in similar social, economic, environmental and technological circumstances.</w:t>
      </w:r>
    </w:p>
    <w:p w14:paraId="16C02027" w14:textId="3CED79A9" w:rsidR="00B960DB" w:rsidRPr="00CB7EFA" w:rsidRDefault="00D44175" w:rsidP="00963BA6">
      <w:pPr>
        <w:spacing w:before="180"/>
        <w:ind w:left="1418" w:hanging="709"/>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00963BA6" w:rsidRPr="00CB7EFA">
        <w:tab/>
      </w:r>
      <w:r w:rsidR="00B960DB" w:rsidRPr="00CB7EFA">
        <w:t>An approach based on existing actual or historical emissions, adjusted downwards to ensure alignment with paragraph 33 of the RMPs.</w:t>
      </w:r>
    </w:p>
    <w:p w14:paraId="639E26D9" w14:textId="29B50AFF" w:rsidR="00B960DB" w:rsidRPr="0033352C" w:rsidRDefault="0033352C" w:rsidP="00963BA6">
      <w:pPr>
        <w:pStyle w:val="SDMHead2"/>
      </w:pPr>
      <w:bookmarkStart w:id="162" w:name="_Toc221295935"/>
      <w:bookmarkStart w:id="163" w:name="_Toc221296102"/>
      <w:bookmarkStart w:id="164" w:name="_Toc221296583"/>
      <w:bookmarkStart w:id="165" w:name="_Toc221296636"/>
      <w:bookmarkStart w:id="166" w:name="_Toc224306075"/>
      <w:bookmarkStart w:id="167" w:name="_Toc224660839"/>
      <w:bookmarkStart w:id="168" w:name="_Toc224660874"/>
      <w:bookmarkStart w:id="169" w:name="_Toc224661366"/>
      <w:bookmarkStart w:id="170" w:name="_Toc232451483"/>
      <w:bookmarkStart w:id="171" w:name="_Toc233281812"/>
      <w:bookmarkStart w:id="172" w:name="_Toc233881724"/>
      <w:bookmarkStart w:id="173" w:name="_Toc233882090"/>
      <w:bookmarkStart w:id="174" w:name="_Toc233884217"/>
      <w:bookmarkStart w:id="175" w:name="_Toc233902826"/>
      <w:bookmarkStart w:id="176" w:name="_Toc233902863"/>
      <w:bookmarkStart w:id="177" w:name="_Toc236391894"/>
      <w:bookmarkStart w:id="178" w:name="_Toc236394036"/>
      <w:r w:rsidRPr="00D4370C">
        <w:rPr>
          <w:rFonts w:eastAsiaTheme="minorEastAsia"/>
        </w:rPr>
        <w:t>Application of the selected approach, prior to implementation of a downward adjustment</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4082D377" w14:textId="54FAF5BC" w:rsidR="0033352C" w:rsidRPr="00CB7EFA" w:rsidRDefault="0063174E" w:rsidP="0063174E">
      <w:pPr>
        <w:pStyle w:val="SDMHead3"/>
      </w:pPr>
      <w:bookmarkStart w:id="179" w:name="_Toc221295936"/>
      <w:bookmarkStart w:id="180" w:name="_Toc221296103"/>
      <w:bookmarkStart w:id="181" w:name="_Toc221296584"/>
      <w:bookmarkStart w:id="182" w:name="_Toc221296637"/>
      <w:bookmarkStart w:id="183" w:name="_Toc224306076"/>
      <w:bookmarkStart w:id="184" w:name="_Toc224660840"/>
      <w:bookmarkStart w:id="185" w:name="_Toc224660875"/>
      <w:bookmarkStart w:id="186" w:name="_Toc224661367"/>
      <w:bookmarkStart w:id="187" w:name="_Toc232451484"/>
      <w:bookmarkStart w:id="188" w:name="_Toc233281813"/>
      <w:bookmarkStart w:id="189" w:name="_Toc233881725"/>
      <w:bookmarkStart w:id="190" w:name="_Toc233882091"/>
      <w:bookmarkStart w:id="191" w:name="_Toc233884218"/>
      <w:bookmarkStart w:id="192" w:name="_Toc233902827"/>
      <w:bookmarkStart w:id="193" w:name="_Toc233902864"/>
      <w:bookmarkStart w:id="194" w:name="_Toc236391895"/>
      <w:bookmarkStart w:id="195" w:name="_Toc236394037"/>
      <w:r w:rsidRPr="00D4370C">
        <w:rPr>
          <w:rFonts w:eastAsiaTheme="minorEastAsia"/>
        </w:rPr>
        <w:t>Procedure for the identification of the baseline scenario</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062F59E5" w14:textId="61984F66" w:rsidR="00556EFD" w:rsidRDefault="00556EFD" w:rsidP="00556EFD">
      <w:pPr>
        <w:pStyle w:val="SDMPara"/>
      </w:pPr>
      <w:r w:rsidRPr="00262274">
        <w:rPr>
          <w:rFonts w:eastAsiaTheme="minorEastAsia"/>
        </w:rPr>
        <w:t>The</w:t>
      </w:r>
      <w:r w:rsidRPr="2E2C9338">
        <w:rPr>
          <w:rFonts w:eastAsiaTheme="minorEastAsia"/>
        </w:rPr>
        <w:t xml:space="preserve"> baseline scenario shall be deemed as electricity generation by existing </w:t>
      </w:r>
      <w:r w:rsidRPr="7B069445">
        <w:rPr>
          <w:rFonts w:eastAsiaTheme="minorEastAsia"/>
        </w:rPr>
        <w:t>and</w:t>
      </w:r>
      <w:r w:rsidRPr="2E2C9338">
        <w:rPr>
          <w:rFonts w:eastAsiaTheme="minorEastAsia"/>
        </w:rPr>
        <w:t xml:space="preserve"> new grid-connected power plants </w:t>
      </w:r>
      <w:r w:rsidRPr="00E5653C">
        <w:t>and, in the case of hydropower plants implemented at one or more existing reservoir(s), operating</w:t>
      </w:r>
      <w:r w:rsidRPr="00E5653C" w:rsidDel="007131C3">
        <w:t xml:space="preserve"> the </w:t>
      </w:r>
      <w:r w:rsidRPr="00E5653C">
        <w:t>reservoir(s) at its/their current size and using it/them for</w:t>
      </w:r>
      <w:r w:rsidRPr="00E5653C" w:rsidDel="56EF3F22">
        <w:t xml:space="preserve"> the </w:t>
      </w:r>
      <w:r w:rsidRPr="00E5653C">
        <w:t>same purpose as that prior to the implementation of the Article 6.4 activity</w:t>
      </w:r>
      <w:r w:rsidDel="56EF3F22">
        <w:t>.</w:t>
      </w:r>
    </w:p>
    <w:p w14:paraId="5F5E40A6" w14:textId="5923C6E1" w:rsidR="00556EFD" w:rsidRDefault="004A3D3F" w:rsidP="004A3D3F">
      <w:pPr>
        <w:pStyle w:val="SDMHead3"/>
      </w:pPr>
      <w:bookmarkStart w:id="196" w:name="_Toc221295937"/>
      <w:bookmarkStart w:id="197" w:name="_Toc221296104"/>
      <w:bookmarkStart w:id="198" w:name="_Toc221296585"/>
      <w:bookmarkStart w:id="199" w:name="_Toc221296638"/>
      <w:bookmarkStart w:id="200" w:name="_Toc224306077"/>
      <w:bookmarkStart w:id="201" w:name="_Toc224660841"/>
      <w:bookmarkStart w:id="202" w:name="_Toc224660876"/>
      <w:bookmarkStart w:id="203" w:name="_Toc224661368"/>
      <w:bookmarkStart w:id="204" w:name="_Toc232451485"/>
      <w:bookmarkStart w:id="205" w:name="_Toc233281814"/>
      <w:bookmarkStart w:id="206" w:name="_Toc233881726"/>
      <w:bookmarkStart w:id="207" w:name="_Toc233882092"/>
      <w:bookmarkStart w:id="208" w:name="_Toc233884219"/>
      <w:bookmarkStart w:id="209" w:name="_Toc233902828"/>
      <w:bookmarkStart w:id="210" w:name="_Toc233902865"/>
      <w:bookmarkStart w:id="211" w:name="_Toc236391896"/>
      <w:bookmarkStart w:id="212" w:name="_Toc236394038"/>
      <w:r w:rsidRPr="37BFE766">
        <w:rPr>
          <w:rFonts w:eastAsiaTheme="minorEastAsia"/>
        </w:rPr>
        <w:t xml:space="preserve">Calculation of </w:t>
      </w:r>
      <w:r>
        <w:rPr>
          <w:rFonts w:eastAsiaTheme="minorEastAsia"/>
        </w:rPr>
        <w:t xml:space="preserve">the unadjusted </w:t>
      </w:r>
      <w:r w:rsidRPr="37BFE766">
        <w:rPr>
          <w:rFonts w:eastAsiaTheme="minorEastAsia"/>
        </w:rPr>
        <w:t xml:space="preserve">baseline emissions </w:t>
      </w:r>
      <w:r>
        <w:rPr>
          <w:rFonts w:eastAsiaTheme="minorEastAsia"/>
        </w:rPr>
        <w:t>from electricity generation from the Article 6.4 activity</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48CB41CB" w14:textId="294B2136" w:rsidR="00556EFD" w:rsidRPr="0023388D" w:rsidRDefault="0023388D" w:rsidP="00EC00DE">
      <w:pPr>
        <w:pStyle w:val="SDMPara"/>
        <w:keepNext/>
      </w:pPr>
      <w:r w:rsidRPr="584A6037">
        <w:rPr>
          <w:rFonts w:eastAsia="Arial"/>
          <w:lang w:val="en-US"/>
        </w:rPr>
        <w:t>Activity participants shall use a valid version of the “</w:t>
      </w:r>
      <w:r>
        <w:rPr>
          <w:rFonts w:eastAsia="Arial"/>
          <w:lang w:val="en-US"/>
        </w:rPr>
        <w:t>Methodological tool</w:t>
      </w:r>
      <w:r w:rsidRPr="584A6037">
        <w:rPr>
          <w:rFonts w:eastAsia="Arial"/>
          <w:lang w:val="en-US"/>
        </w:rPr>
        <w:t xml:space="preserve">: Emissions from electricity generation and consumption” </w:t>
      </w:r>
      <w:r>
        <w:rPr>
          <w:rFonts w:eastAsia="Arial"/>
          <w:lang w:val="en-US"/>
        </w:rPr>
        <w:t>(</w:t>
      </w:r>
      <w:r w:rsidRPr="2D779AC7">
        <w:rPr>
          <w:lang w:val="en-US"/>
        </w:rPr>
        <w:t>A6.4-AMT-007</w:t>
      </w:r>
      <w:r>
        <w:rPr>
          <w:lang w:val="en-US"/>
        </w:rPr>
        <w:t xml:space="preserve">) </w:t>
      </w:r>
      <w:r w:rsidRPr="584A6037">
        <w:rPr>
          <w:rFonts w:eastAsia="Arial"/>
          <w:lang w:val="en-US"/>
        </w:rPr>
        <w:t xml:space="preserve">to calculate </w:t>
      </w:r>
      <w:r>
        <w:rPr>
          <w:rFonts w:eastAsia="Arial"/>
          <w:lang w:val="en-US"/>
        </w:rPr>
        <w:t xml:space="preserve">the unadjusted </w:t>
      </w:r>
      <w:r w:rsidRPr="584A6037">
        <w:rPr>
          <w:lang w:val="en-US"/>
        </w:rPr>
        <w:t>baseline</w:t>
      </w:r>
      <w:r w:rsidRPr="584A6037">
        <w:rPr>
          <w:rFonts w:eastAsia="Arial"/>
          <w:lang w:val="en-US"/>
        </w:rPr>
        <w:t xml:space="preserve"> emissions</w:t>
      </w:r>
      <w:r>
        <w:rPr>
          <w:rFonts w:eastAsia="Arial"/>
          <w:lang w:val="en-US"/>
        </w:rPr>
        <w:t xml:space="preserve"> from electricity generation from the Article 6.4 activity in year </w:t>
      </w:r>
      <w:r w:rsidRPr="002D73D5">
        <w:rPr>
          <w:rFonts w:eastAsia="Arial"/>
          <w:i/>
          <w:lang w:val="en-US"/>
        </w:rPr>
        <w:t>y</w:t>
      </w:r>
      <w:r>
        <w:rPr>
          <w:rFonts w:eastAsia="Arial"/>
          <w:lang w:val="en-US"/>
        </w:rPr>
        <w:t xml:space="preserve"> </w:t>
      </w:r>
      <w:r w:rsidRPr="00016129">
        <w:rPr>
          <w:rFonts w:eastAsia="Arial"/>
          <w:lang w:val="en-US"/>
        </w:rPr>
        <w:t>(</w:t>
      </w:r>
      <w:r w:rsidRPr="00016129">
        <w:rPr>
          <w:rFonts w:eastAsia="Arial"/>
          <w:i/>
          <w:iCs/>
          <w:lang w:val="en-US"/>
        </w:rPr>
        <w:t>BE</w:t>
      </w:r>
      <w:r w:rsidRPr="00016129">
        <w:rPr>
          <w:rFonts w:eastAsia="Arial"/>
          <w:i/>
          <w:iCs/>
          <w:vertAlign w:val="subscript"/>
          <w:lang w:val="en-US"/>
        </w:rPr>
        <w:t>EG,y</w:t>
      </w:r>
      <w:r w:rsidRPr="00016129">
        <w:rPr>
          <w:rFonts w:eastAsia="Arial"/>
          <w:lang w:val="en-US"/>
        </w:rPr>
        <w:t>)</w:t>
      </w:r>
      <w:r w:rsidRPr="00016129">
        <w:rPr>
          <w:lang w:val="en-US"/>
        </w:rPr>
        <w:t>.</w:t>
      </w:r>
      <w:r w:rsidRPr="00016129">
        <w:rPr>
          <w:rFonts w:eastAsia="Arial"/>
          <w:lang w:val="en-US"/>
        </w:rPr>
        <w:t xml:space="preserve"> In applying the methodological tool, </w:t>
      </w:r>
      <w:r w:rsidRPr="00016129">
        <w:rPr>
          <w:rFonts w:eastAsiaTheme="minorEastAsia"/>
          <w:lang w:eastAsia="ja-JP"/>
        </w:rPr>
        <w:t>activity participants shall implement all of the</w:t>
      </w:r>
      <w:r w:rsidRPr="0724C3A5">
        <w:rPr>
          <w:rFonts w:eastAsiaTheme="minorEastAsia"/>
          <w:lang w:eastAsia="ja-JP"/>
        </w:rPr>
        <w:t xml:space="preserve"> following specifications</w:t>
      </w:r>
      <w:r w:rsidRPr="584A6037">
        <w:rPr>
          <w:rFonts w:eastAsia="Arial"/>
          <w:lang w:val="en-US"/>
        </w:rPr>
        <w:t>:</w:t>
      </w:r>
    </w:p>
    <w:p w14:paraId="650C7921" w14:textId="4BF80B40" w:rsidR="0023388D" w:rsidRPr="00A210C3" w:rsidRDefault="00A210C3" w:rsidP="0023388D">
      <w:pPr>
        <w:pStyle w:val="SDMSubPara1"/>
      </w:pPr>
      <w:r w:rsidRPr="2390F54D">
        <w:rPr>
          <w:rFonts w:eastAsia="Arial"/>
          <w:b/>
          <w:bCs/>
          <w:lang w:val="en-US"/>
        </w:rPr>
        <w:t>Electricity</w:t>
      </w:r>
      <w:r w:rsidRPr="5ED1399A">
        <w:rPr>
          <w:rFonts w:eastAsia="Arial"/>
          <w:b/>
          <w:bCs/>
          <w:color w:val="000000" w:themeColor="text1"/>
          <w:lang w:val="en-US"/>
        </w:rPr>
        <w:t xml:space="preserve"> generation or consumption sources s:</w:t>
      </w:r>
      <w:r w:rsidRPr="5ED1399A">
        <w:rPr>
          <w:rFonts w:eastAsia="Arial"/>
          <w:color w:val="000000" w:themeColor="text1"/>
          <w:lang w:val="en-US"/>
        </w:rPr>
        <w:t xml:space="preserve"> </w:t>
      </w:r>
      <w:r w:rsidRPr="2390F54D">
        <w:rPr>
          <w:rFonts w:eastAsia="Arial"/>
          <w:color w:val="000000" w:themeColor="text1"/>
          <w:lang w:val="en-US"/>
        </w:rPr>
        <w:t>the</w:t>
      </w:r>
      <w:r>
        <w:rPr>
          <w:rFonts w:eastAsia="Arial"/>
          <w:color w:val="000000" w:themeColor="text1"/>
          <w:lang w:val="en-US"/>
        </w:rPr>
        <w:t xml:space="preserve"> only source </w:t>
      </w:r>
      <w:r w:rsidRPr="00016129">
        <w:rPr>
          <w:rFonts w:eastAsia="Arial"/>
          <w:i/>
          <w:iCs/>
          <w:color w:val="000000" w:themeColor="text1"/>
          <w:lang w:val="en-US"/>
        </w:rPr>
        <w:t>s</w:t>
      </w:r>
      <w:r>
        <w:rPr>
          <w:rFonts w:eastAsia="Arial"/>
          <w:color w:val="000000" w:themeColor="text1"/>
          <w:lang w:val="en-US"/>
        </w:rPr>
        <w:t xml:space="preserve"> to be considered for determining baseline emissions is the </w:t>
      </w:r>
      <w:r>
        <w:rPr>
          <w:rFonts w:eastAsia="Arial"/>
          <w:lang w:val="en-US"/>
        </w:rPr>
        <w:t>electricity generated by the Article 6.4 project power plant and fed into the electricity system;</w:t>
      </w:r>
    </w:p>
    <w:p w14:paraId="5BCC182B" w14:textId="5718071D" w:rsidR="00A210C3" w:rsidRPr="008D4EA2" w:rsidRDefault="008D4EA2" w:rsidP="0023388D">
      <w:pPr>
        <w:pStyle w:val="SDMSubPara1"/>
      </w:pPr>
      <w:r w:rsidRPr="2390F54D">
        <w:rPr>
          <w:rFonts w:eastAsia="Arial"/>
          <w:b/>
          <w:bCs/>
          <w:lang w:val="en-US"/>
        </w:rPr>
        <w:t>Determination of the amount of electricity generated or consumed:</w:t>
      </w:r>
      <w:r w:rsidRPr="46A383F8">
        <w:rPr>
          <w:rFonts w:eastAsia="Arial"/>
          <w:lang w:val="en-US"/>
        </w:rPr>
        <w:t xml:space="preserve"> </w:t>
      </w:r>
      <w:r w:rsidRPr="2390F54D">
        <w:rPr>
          <w:rFonts w:eastAsia="Arial"/>
          <w:lang w:val="en-US"/>
        </w:rPr>
        <w:t>the</w:t>
      </w:r>
      <w:r w:rsidRPr="46A383F8">
        <w:rPr>
          <w:rFonts w:eastAsia="Arial"/>
          <w:lang w:val="en-US"/>
        </w:rPr>
        <w:t xml:space="preserve"> electricity generation from the Article 6.4 </w:t>
      </w:r>
      <w:r w:rsidRPr="0883CBE2">
        <w:rPr>
          <w:rFonts w:eastAsia="Arial"/>
          <w:lang w:val="en-US"/>
        </w:rPr>
        <w:t>activity</w:t>
      </w:r>
      <w:r w:rsidRPr="0883CBE2">
        <w:rPr>
          <w:lang w:val="en-US"/>
        </w:rPr>
        <w:t xml:space="preserve"> (</w:t>
      </w:r>
      <w:r w:rsidRPr="0883CBE2">
        <w:rPr>
          <w:rFonts w:eastAsia="Arial"/>
          <w:i/>
          <w:iCs/>
          <w:lang w:val="en-US"/>
        </w:rPr>
        <w:t>EG</w:t>
      </w:r>
      <w:r w:rsidRPr="0883CBE2">
        <w:rPr>
          <w:rFonts w:eastAsia="Arial"/>
          <w:i/>
          <w:iCs/>
          <w:vertAlign w:val="subscript"/>
          <w:lang w:val="en-US"/>
        </w:rPr>
        <w:t>PJ</w:t>
      </w:r>
      <w:r w:rsidRPr="2390F54D">
        <w:rPr>
          <w:rFonts w:eastAsia="Arial"/>
          <w:i/>
          <w:iCs/>
          <w:vertAlign w:val="subscript"/>
          <w:lang w:val="en-US"/>
        </w:rPr>
        <w:t>,y</w:t>
      </w:r>
      <w:r w:rsidRPr="46A383F8">
        <w:rPr>
          <w:rFonts w:eastAsia="Arial"/>
          <w:lang w:val="en-US"/>
        </w:rPr>
        <w:t xml:space="preserve"> or </w:t>
      </w:r>
      <w:r w:rsidRPr="0883CBE2">
        <w:rPr>
          <w:rFonts w:eastAsia="Arial"/>
          <w:i/>
          <w:iCs/>
          <w:lang w:val="en-US"/>
        </w:rPr>
        <w:t>EG</w:t>
      </w:r>
      <w:r w:rsidRPr="0883CBE2">
        <w:rPr>
          <w:rFonts w:eastAsia="Arial"/>
          <w:i/>
          <w:iCs/>
          <w:vertAlign w:val="subscript"/>
          <w:lang w:val="en-US"/>
        </w:rPr>
        <w:t>PJ</w:t>
      </w:r>
      <w:r w:rsidRPr="2390F54D">
        <w:rPr>
          <w:rFonts w:eastAsia="Arial"/>
          <w:i/>
          <w:iCs/>
          <w:vertAlign w:val="subscript"/>
          <w:lang w:val="en-US"/>
        </w:rPr>
        <w:t>,h</w:t>
      </w:r>
      <w:r w:rsidRPr="46A383F8">
        <w:rPr>
          <w:rFonts w:eastAsia="Arial"/>
          <w:lang w:val="en-US"/>
        </w:rPr>
        <w:t xml:space="preserve"> in this mechanism methodology</w:t>
      </w:r>
      <w:r w:rsidRPr="46A383F8">
        <w:rPr>
          <w:lang w:val="en-US"/>
        </w:rPr>
        <w:t>) corresponds</w:t>
      </w:r>
      <w:r w:rsidRPr="46A383F8">
        <w:rPr>
          <w:rFonts w:eastAsia="Arial"/>
          <w:lang w:val="en-US"/>
        </w:rPr>
        <w:t xml:space="preserve"> to the general parameters </w:t>
      </w:r>
      <w:r w:rsidRPr="2390F54D">
        <w:rPr>
          <w:rFonts w:eastAsia="Arial"/>
          <w:i/>
          <w:iCs/>
          <w:lang w:val="en-US"/>
        </w:rPr>
        <w:t>EG</w:t>
      </w:r>
      <w:r w:rsidRPr="2390F54D">
        <w:rPr>
          <w:rFonts w:eastAsia="Arial"/>
          <w:i/>
          <w:iCs/>
          <w:vertAlign w:val="subscript"/>
          <w:lang w:val="en-US"/>
        </w:rPr>
        <w:t>s,y</w:t>
      </w:r>
      <w:r w:rsidRPr="46A383F8">
        <w:rPr>
          <w:rFonts w:eastAsia="Arial"/>
          <w:lang w:val="en-US"/>
        </w:rPr>
        <w:t xml:space="preserve"> or </w:t>
      </w:r>
      <w:r w:rsidRPr="2390F54D">
        <w:rPr>
          <w:rFonts w:eastAsia="Arial"/>
          <w:i/>
          <w:iCs/>
          <w:lang w:val="en-US"/>
        </w:rPr>
        <w:t>EG</w:t>
      </w:r>
      <w:r w:rsidRPr="2390F54D">
        <w:rPr>
          <w:rFonts w:eastAsia="Arial"/>
          <w:i/>
          <w:iCs/>
          <w:vertAlign w:val="subscript"/>
          <w:lang w:val="en-US"/>
        </w:rPr>
        <w:t>s,h</w:t>
      </w:r>
      <w:r w:rsidRPr="46A383F8">
        <w:rPr>
          <w:rFonts w:eastAsia="Arial"/>
          <w:lang w:val="en-US"/>
        </w:rPr>
        <w:t xml:space="preserve"> in the methodological tool</w:t>
      </w:r>
      <w:r>
        <w:rPr>
          <w:rFonts w:eastAsia="Arial"/>
          <w:lang w:val="en-US"/>
        </w:rPr>
        <w:t xml:space="preserve"> (A6.4-AMT-007)</w:t>
      </w:r>
      <w:r w:rsidRPr="46A383F8">
        <w:rPr>
          <w:lang w:val="en-US"/>
        </w:rPr>
        <w:t>;</w:t>
      </w:r>
    </w:p>
    <w:p w14:paraId="5E420DEF" w14:textId="3F0E2260" w:rsidR="008D4EA2" w:rsidRPr="00882F53" w:rsidRDefault="00882F53" w:rsidP="0023388D">
      <w:pPr>
        <w:pStyle w:val="SDMSubPara1"/>
      </w:pPr>
      <w:r w:rsidRPr="5ED1399A">
        <w:rPr>
          <w:rFonts w:eastAsia="Arial"/>
          <w:b/>
          <w:bCs/>
          <w:color w:val="000000" w:themeColor="text1"/>
          <w:lang w:val="en-US"/>
        </w:rPr>
        <w:lastRenderedPageBreak/>
        <w:t>Type of electricity generation sources:</w:t>
      </w:r>
      <w:r>
        <w:rPr>
          <w:rFonts w:eastAsia="Arial"/>
          <w:b/>
          <w:bCs/>
          <w:color w:val="000000" w:themeColor="text1"/>
          <w:lang w:val="en-US"/>
        </w:rPr>
        <w:t xml:space="preserve"> </w:t>
      </w:r>
      <w:r>
        <w:rPr>
          <w:rFonts w:eastAsia="Arial"/>
          <w:color w:val="000000" w:themeColor="text1"/>
          <w:lang w:val="en-US"/>
        </w:rPr>
        <w:t>for solar and wind power plants, the electricity generation shall be considered as intermittent, regardless of whether the plants are operated with an integrated BESS.</w:t>
      </w:r>
      <w:r>
        <w:rPr>
          <w:rStyle w:val="FootnoteReference"/>
          <w:rFonts w:eastAsia="Arial"/>
          <w:color w:val="000000" w:themeColor="text1"/>
          <w:lang w:val="en-US"/>
        </w:rPr>
        <w:footnoteReference w:id="32"/>
      </w:r>
      <w:r>
        <w:rPr>
          <w:rFonts w:eastAsia="Arial"/>
          <w:color w:val="000000" w:themeColor="text1"/>
          <w:lang w:val="en-US"/>
        </w:rPr>
        <w:t xml:space="preserve"> For geothermal power and hydropower plants, the electricity generation shall be considered as non-intermittent</w:t>
      </w:r>
      <w:r w:rsidRPr="78E97A54">
        <w:rPr>
          <w:rFonts w:eastAsia="Arial"/>
          <w:color w:val="000000" w:themeColor="text1"/>
          <w:lang w:val="en-US"/>
        </w:rPr>
        <w:t>;</w:t>
      </w:r>
    </w:p>
    <w:p w14:paraId="723340BF" w14:textId="1600391D" w:rsidR="00882F53" w:rsidRPr="008147D6" w:rsidRDefault="008147D6" w:rsidP="0023388D">
      <w:pPr>
        <w:pStyle w:val="SDMSubPara1"/>
      </w:pPr>
      <w:r w:rsidRPr="5ED1399A">
        <w:rPr>
          <w:rFonts w:eastAsia="Arial"/>
          <w:b/>
          <w:bCs/>
          <w:color w:val="000000" w:themeColor="text1"/>
          <w:lang w:val="en-US"/>
        </w:rPr>
        <w:t>Applicable scenarios:</w:t>
      </w:r>
      <w:r w:rsidRPr="5ED1399A">
        <w:rPr>
          <w:rFonts w:eastAsia="Arial"/>
          <w:color w:val="000000" w:themeColor="text1"/>
          <w:lang w:val="en-US"/>
        </w:rPr>
        <w:t xml:space="preserve"> </w:t>
      </w:r>
      <w:r w:rsidRPr="2390F54D">
        <w:rPr>
          <w:rFonts w:eastAsia="Arial"/>
          <w:color w:val="000000" w:themeColor="text1"/>
          <w:lang w:val="en-US"/>
        </w:rPr>
        <w:t>scenario</w:t>
      </w:r>
      <w:r>
        <w:rPr>
          <w:rFonts w:eastAsia="Arial"/>
          <w:color w:val="000000" w:themeColor="text1"/>
          <w:lang w:val="en-US"/>
        </w:rPr>
        <w:t> </w:t>
      </w:r>
      <w:r w:rsidRPr="5ED1399A">
        <w:rPr>
          <w:rFonts w:eastAsia="Arial"/>
          <w:color w:val="000000" w:themeColor="text1"/>
          <w:lang w:val="en-US"/>
        </w:rPr>
        <w:t xml:space="preserve">A in </w:t>
      </w:r>
      <w:r>
        <w:rPr>
          <w:rFonts w:eastAsia="Arial"/>
          <w:color w:val="000000" w:themeColor="text1"/>
          <w:lang w:val="en-US"/>
        </w:rPr>
        <w:t>s</w:t>
      </w:r>
      <w:r w:rsidRPr="5ED1399A">
        <w:rPr>
          <w:rFonts w:eastAsia="Arial"/>
          <w:color w:val="000000" w:themeColor="text1"/>
          <w:lang w:val="en-US"/>
        </w:rPr>
        <w:t>tep</w:t>
      </w:r>
      <w:r>
        <w:rPr>
          <w:rFonts w:eastAsia="Arial"/>
          <w:color w:val="000000" w:themeColor="text1"/>
          <w:lang w:val="en-US"/>
        </w:rPr>
        <w:t> </w:t>
      </w:r>
      <w:r w:rsidRPr="5ED1399A">
        <w:rPr>
          <w:rFonts w:eastAsia="Arial"/>
          <w:color w:val="000000" w:themeColor="text1"/>
          <w:lang w:val="en-US"/>
        </w:rPr>
        <w:t>2 of the methodological tool shall apply;</w:t>
      </w:r>
    </w:p>
    <w:p w14:paraId="6F8F0F98" w14:textId="377B3AF6" w:rsidR="008147D6" w:rsidRPr="005543EE" w:rsidRDefault="005543EE" w:rsidP="0023388D">
      <w:pPr>
        <w:pStyle w:val="SDMSubPara1"/>
      </w:pPr>
      <w:r w:rsidRPr="1B7B94C7">
        <w:rPr>
          <w:rFonts w:eastAsia="Arial"/>
          <w:b/>
          <w:bCs/>
          <w:color w:val="000000" w:themeColor="text1"/>
          <w:lang w:val="en-US"/>
        </w:rPr>
        <w:t>Whether Case 1 or Case 2 applies:</w:t>
      </w:r>
      <w:r w:rsidRPr="1B7B94C7">
        <w:rPr>
          <w:rFonts w:eastAsia="Arial"/>
          <w:color w:val="000000" w:themeColor="text1"/>
          <w:lang w:val="en-US"/>
        </w:rPr>
        <w:t xml:space="preserve"> </w:t>
      </w:r>
      <w:r w:rsidRPr="2390F54D">
        <w:rPr>
          <w:rFonts w:eastAsia="Arial"/>
          <w:color w:val="000000" w:themeColor="text1"/>
          <w:lang w:val="en-US"/>
        </w:rPr>
        <w:t>case</w:t>
      </w:r>
      <w:r>
        <w:rPr>
          <w:rFonts w:eastAsia="Arial"/>
          <w:color w:val="000000" w:themeColor="text1"/>
          <w:lang w:val="en-US"/>
        </w:rPr>
        <w:t> </w:t>
      </w:r>
      <w:r w:rsidRPr="1B7B94C7">
        <w:rPr>
          <w:rFonts w:eastAsia="Arial"/>
          <w:color w:val="000000" w:themeColor="text1"/>
          <w:lang w:val="en-US"/>
        </w:rPr>
        <w:t xml:space="preserve">2 in </w:t>
      </w:r>
      <w:r>
        <w:rPr>
          <w:rFonts w:eastAsia="Arial"/>
          <w:color w:val="000000" w:themeColor="text1"/>
          <w:lang w:val="en-US"/>
        </w:rPr>
        <w:t>s</w:t>
      </w:r>
      <w:r w:rsidRPr="1B7B94C7">
        <w:rPr>
          <w:rFonts w:eastAsia="Arial"/>
          <w:color w:val="000000" w:themeColor="text1"/>
          <w:lang w:val="en-US"/>
        </w:rPr>
        <w:t>tep</w:t>
      </w:r>
      <w:r>
        <w:rPr>
          <w:rFonts w:eastAsia="Arial"/>
          <w:color w:val="000000" w:themeColor="text1"/>
          <w:lang w:val="en-US"/>
        </w:rPr>
        <w:t> </w:t>
      </w:r>
      <w:r w:rsidRPr="1B7B94C7">
        <w:rPr>
          <w:rFonts w:eastAsia="Arial"/>
          <w:color w:val="000000" w:themeColor="text1"/>
          <w:lang w:val="en-US"/>
        </w:rPr>
        <w:t xml:space="preserve">4 of the </w:t>
      </w:r>
      <w:r>
        <w:rPr>
          <w:rFonts w:eastAsia="Arial"/>
          <w:color w:val="000000" w:themeColor="text1"/>
          <w:lang w:val="en-US"/>
        </w:rPr>
        <w:t>m</w:t>
      </w:r>
      <w:r w:rsidRPr="1B7B94C7">
        <w:rPr>
          <w:rFonts w:eastAsia="Arial"/>
          <w:color w:val="000000" w:themeColor="text1"/>
          <w:lang w:val="en-US"/>
        </w:rPr>
        <w:t>ethodological tool shall apply;</w:t>
      </w:r>
      <w:r w:rsidRPr="468467EB">
        <w:rPr>
          <w:rFonts w:eastAsia="Arial"/>
          <w:color w:val="000000" w:themeColor="text1"/>
          <w:lang w:val="en-US"/>
        </w:rPr>
        <w:t xml:space="preserve"> and</w:t>
      </w:r>
    </w:p>
    <w:p w14:paraId="7608EA2D" w14:textId="1EE081E6" w:rsidR="005543EE" w:rsidRDefault="00321CC6" w:rsidP="0023388D">
      <w:pPr>
        <w:pStyle w:val="SDMSubPara1"/>
      </w:pPr>
      <w:bookmarkStart w:id="213" w:name="_Ref233802588"/>
      <w:r w:rsidRPr="5ED1399A">
        <w:rPr>
          <w:b/>
          <w:bCs/>
          <w:lang w:val="en-US"/>
        </w:rPr>
        <w:t>Consideration of uncertainty:</w:t>
      </w:r>
      <w:r w:rsidRPr="5ED1399A">
        <w:rPr>
          <w:lang w:val="en-US"/>
        </w:rPr>
        <w:t xml:space="preserve"> </w:t>
      </w:r>
      <w:r w:rsidRPr="2390F54D">
        <w:rPr>
          <w:lang w:val="en-US"/>
        </w:rPr>
        <w:t>baseline</w:t>
      </w:r>
      <w:r w:rsidRPr="40E30BC4">
        <w:rPr>
          <w:lang w:val="en-US"/>
        </w:rPr>
        <w:t xml:space="preserve"> emissions</w:t>
      </w:r>
      <w:r>
        <w:rPr>
          <w:lang w:val="en-US"/>
        </w:rPr>
        <w:t xml:space="preserve"> </w:t>
      </w:r>
      <w:r>
        <w:t>prior to the application of the downward adjustment</w:t>
      </w:r>
      <w:r w:rsidRPr="40E30BC4">
        <w:rPr>
          <w:rFonts w:eastAsia="Arial"/>
          <w:lang w:val="en-US"/>
        </w:rPr>
        <w:t xml:space="preserve"> shall be determined without accounting for the uncertainty of the relevant parameters.</w:t>
      </w:r>
      <w:bookmarkEnd w:id="213"/>
    </w:p>
    <w:p w14:paraId="1B3C4B36" w14:textId="2867507C" w:rsidR="00556EFD" w:rsidRPr="008B5366" w:rsidRDefault="008B5366" w:rsidP="0023388D">
      <w:pPr>
        <w:pStyle w:val="SDMPara"/>
      </w:pPr>
      <w:r w:rsidRPr="00EA5471">
        <w:rPr>
          <w:rFonts w:eastAsia="Arial"/>
          <w:lang w:val="en-US"/>
        </w:rPr>
        <w:t xml:space="preserve">For </w:t>
      </w:r>
      <w:r w:rsidRPr="007261C1">
        <w:rPr>
          <w:rFonts w:eastAsiaTheme="minorEastAsia"/>
        </w:rPr>
        <w:t>solar</w:t>
      </w:r>
      <w:r w:rsidRPr="00EA5471">
        <w:rPr>
          <w:rFonts w:eastAsia="Arial"/>
          <w:lang w:val="en-US"/>
        </w:rPr>
        <w:t xml:space="preserve"> thermal power plants, solar PV power plants, geothermal power plants and hydropower plants, the electricity generation eligible for crediting from the Article 6.4 activity </w:t>
      </w:r>
      <w:r w:rsidRPr="00EA5471">
        <w:rPr>
          <w:lang w:val="en-US"/>
        </w:rPr>
        <w:t>(</w:t>
      </w:r>
      <w:r w:rsidRPr="00EA5471">
        <w:rPr>
          <w:rFonts w:eastAsia="Arial"/>
          <w:i/>
          <w:lang w:val="en-US"/>
        </w:rPr>
        <w:t>EG</w:t>
      </w:r>
      <w:r w:rsidRPr="00EA5471">
        <w:rPr>
          <w:rFonts w:eastAsia="Arial"/>
          <w:i/>
          <w:vertAlign w:val="subscript"/>
          <w:lang w:val="en-US"/>
        </w:rPr>
        <w:t>PJ,y</w:t>
      </w:r>
      <w:r w:rsidRPr="00EA5471">
        <w:rPr>
          <w:lang w:val="en-US"/>
        </w:rPr>
        <w:t xml:space="preserve"> or </w:t>
      </w:r>
      <w:r w:rsidRPr="00EA5471">
        <w:rPr>
          <w:rFonts w:eastAsia="Arial"/>
          <w:i/>
          <w:lang w:val="en-US"/>
        </w:rPr>
        <w:t>EG</w:t>
      </w:r>
      <w:r w:rsidRPr="00EA5471">
        <w:rPr>
          <w:rFonts w:eastAsia="Arial"/>
          <w:i/>
          <w:vertAlign w:val="subscript"/>
          <w:lang w:val="en-US"/>
        </w:rPr>
        <w:t>PJ,h</w:t>
      </w:r>
      <w:r w:rsidRPr="00EA5471">
        <w:rPr>
          <w:rFonts w:eastAsia="Arial"/>
          <w:lang w:val="en-US"/>
        </w:rPr>
        <w:t>) shall correspond to the electricity generated by the Article 6.4 project power plant and fed into the electricity system (</w:t>
      </w:r>
      <w:r w:rsidRPr="00EA5471">
        <w:rPr>
          <w:rFonts w:eastAsia="Arial"/>
          <w:i/>
          <w:lang w:val="en-US"/>
        </w:rPr>
        <w:t>EG</w:t>
      </w:r>
      <w:r w:rsidRPr="00EA5471">
        <w:rPr>
          <w:rFonts w:eastAsia="Arial"/>
          <w:i/>
          <w:vertAlign w:val="subscript"/>
          <w:lang w:val="en-US"/>
        </w:rPr>
        <w:t>plant,y</w:t>
      </w:r>
      <w:r w:rsidRPr="00EA5471">
        <w:rPr>
          <w:rFonts w:eastAsia="Arial"/>
          <w:lang w:val="en-US"/>
        </w:rPr>
        <w:t xml:space="preserve"> or </w:t>
      </w:r>
      <w:r w:rsidRPr="00EA5471">
        <w:rPr>
          <w:rFonts w:eastAsia="Arial"/>
          <w:i/>
          <w:lang w:val="en-US"/>
        </w:rPr>
        <w:t>EG</w:t>
      </w:r>
      <w:r w:rsidRPr="00EA5471">
        <w:rPr>
          <w:rFonts w:eastAsia="Arial"/>
          <w:i/>
          <w:vertAlign w:val="subscript"/>
          <w:lang w:val="en-US"/>
        </w:rPr>
        <w:t>plant,h</w:t>
      </w:r>
      <w:r w:rsidRPr="00EA5471">
        <w:rPr>
          <w:rFonts w:eastAsia="Arial"/>
          <w:lang w:val="en-US"/>
        </w:rPr>
        <w:t>).</w:t>
      </w:r>
    </w:p>
    <w:p w14:paraId="47413747" w14:textId="2D6CE878" w:rsidR="008B5366" w:rsidRPr="00F108A7" w:rsidRDefault="00F108A7" w:rsidP="00EC00DE">
      <w:pPr>
        <w:pStyle w:val="SDMPara"/>
        <w:keepNext/>
      </w:pPr>
      <w:r w:rsidRPr="007261C1">
        <w:rPr>
          <w:rFonts w:eastAsiaTheme="minorEastAsia"/>
        </w:rPr>
        <w:t>For</w:t>
      </w:r>
      <w:r w:rsidRPr="00EA5471">
        <w:rPr>
          <w:rFonts w:eastAsia="Arial"/>
          <w:lang w:val="en-US"/>
        </w:rPr>
        <w:t xml:space="preserve"> wind power plants, the electricity generation eligible for crediting from the Article 6.4 activity </w:t>
      </w:r>
      <w:r w:rsidRPr="00EA5471">
        <w:rPr>
          <w:lang w:val="en-US"/>
        </w:rPr>
        <w:t>(</w:t>
      </w:r>
      <w:r w:rsidRPr="00EA5471">
        <w:rPr>
          <w:rFonts w:eastAsia="Arial"/>
          <w:i/>
          <w:iCs/>
          <w:lang w:val="en-US"/>
        </w:rPr>
        <w:t>EG</w:t>
      </w:r>
      <w:r w:rsidRPr="00EA5471">
        <w:rPr>
          <w:rFonts w:eastAsia="Arial"/>
          <w:i/>
          <w:iCs/>
          <w:vertAlign w:val="subscript"/>
          <w:lang w:val="en-US"/>
        </w:rPr>
        <w:t>PJ,y</w:t>
      </w:r>
      <w:r w:rsidRPr="00EA5471">
        <w:rPr>
          <w:lang w:val="en-US"/>
        </w:rPr>
        <w:t xml:space="preserve"> or </w:t>
      </w:r>
      <w:r w:rsidRPr="00EA5471">
        <w:rPr>
          <w:rFonts w:eastAsia="Arial"/>
          <w:i/>
          <w:iCs/>
          <w:lang w:val="en-US"/>
        </w:rPr>
        <w:t>EG</w:t>
      </w:r>
      <w:r w:rsidRPr="00EA5471">
        <w:rPr>
          <w:rFonts w:eastAsia="Arial"/>
          <w:i/>
          <w:iCs/>
          <w:vertAlign w:val="subscript"/>
          <w:lang w:val="en-US"/>
        </w:rPr>
        <w:t>PJ,h</w:t>
      </w:r>
      <w:r w:rsidRPr="00EA5471">
        <w:rPr>
          <w:rFonts w:eastAsia="Arial"/>
          <w:lang w:val="en-US"/>
        </w:rPr>
        <w:t>) shall be calculated based on the quantity of electricity generated</w:t>
      </w:r>
      <w:r w:rsidRPr="46A383F8">
        <w:rPr>
          <w:rFonts w:eastAsia="Arial"/>
          <w:lang w:val="en-US"/>
        </w:rPr>
        <w:t xml:space="preserve"> by the Article 6.4 project power plant and fed into the electricity system (</w:t>
      </w:r>
      <w:r w:rsidRPr="46A383F8">
        <w:rPr>
          <w:rFonts w:eastAsia="Arial"/>
          <w:i/>
          <w:iCs/>
          <w:lang w:val="en-US"/>
        </w:rPr>
        <w:t>EG</w:t>
      </w:r>
      <w:r w:rsidRPr="46A383F8">
        <w:rPr>
          <w:rFonts w:eastAsia="Arial"/>
          <w:i/>
          <w:iCs/>
          <w:vertAlign w:val="subscript"/>
          <w:lang w:val="en-US"/>
        </w:rPr>
        <w:t>plant,y</w:t>
      </w:r>
      <w:r w:rsidRPr="46A383F8">
        <w:rPr>
          <w:rFonts w:eastAsia="Arial"/>
          <w:lang w:val="en-US"/>
        </w:rPr>
        <w:t xml:space="preserve"> or </w:t>
      </w:r>
      <w:r w:rsidRPr="46A383F8">
        <w:rPr>
          <w:rFonts w:eastAsia="Arial"/>
          <w:i/>
          <w:iCs/>
          <w:lang w:val="en-US"/>
        </w:rPr>
        <w:t>EG</w:t>
      </w:r>
      <w:r w:rsidRPr="46A383F8">
        <w:rPr>
          <w:rFonts w:eastAsia="Arial"/>
          <w:i/>
          <w:iCs/>
          <w:vertAlign w:val="subscript"/>
          <w:lang w:val="en-US"/>
        </w:rPr>
        <w:t>plant,h</w:t>
      </w:r>
      <w:r w:rsidRPr="46A383F8">
        <w:rPr>
          <w:rFonts w:eastAsia="Arial"/>
          <w:lang w:val="en-US"/>
        </w:rPr>
        <w:t xml:space="preserve">) and, where applicable, by </w:t>
      </w:r>
      <w:r>
        <w:rPr>
          <w:rFonts w:eastAsia="Arial"/>
          <w:lang w:val="en-US"/>
        </w:rPr>
        <w:t>discounting the</w:t>
      </w:r>
      <w:r w:rsidRPr="46A383F8">
        <w:rPr>
          <w:rFonts w:eastAsia="Arial"/>
          <w:lang w:val="en-US"/>
        </w:rPr>
        <w:t xml:space="preserve"> reduction in electricity generation by other wind power plants </w:t>
      </w:r>
      <w:r>
        <w:rPr>
          <w:rFonts w:eastAsia="Arial"/>
          <w:lang w:val="en-US"/>
        </w:rPr>
        <w:t>due to</w:t>
      </w:r>
      <w:r w:rsidRPr="46A383F8">
        <w:rPr>
          <w:rFonts w:eastAsia="Arial"/>
          <w:lang w:val="en-US"/>
        </w:rPr>
        <w:t xml:space="preserve"> </w:t>
      </w:r>
      <w:r w:rsidRPr="2390F54D">
        <w:rPr>
          <w:rFonts w:eastAsia="Arial"/>
          <w:lang w:val="en-US"/>
        </w:rPr>
        <w:t>wake</w:t>
      </w:r>
      <w:r w:rsidRPr="46A383F8">
        <w:rPr>
          <w:rFonts w:eastAsia="Arial"/>
          <w:lang w:val="en-US"/>
        </w:rPr>
        <w:t xml:space="preserve"> effects in year </w:t>
      </w:r>
      <w:r w:rsidRPr="005E1225">
        <w:rPr>
          <w:rFonts w:eastAsia="Arial"/>
          <w:i/>
          <w:iCs/>
          <w:lang w:val="en-US"/>
        </w:rPr>
        <w:t>y</w:t>
      </w:r>
      <w:r w:rsidRPr="46A383F8">
        <w:rPr>
          <w:rFonts w:eastAsia="Arial"/>
          <w:lang w:val="en-US"/>
        </w:rPr>
        <w:t xml:space="preserve"> (</w:t>
      </w:r>
      <w:r>
        <w:rPr>
          <w:rFonts w:eastAsia="Arial"/>
          <w:i/>
          <w:iCs/>
          <w:lang w:val="en-US"/>
        </w:rPr>
        <w:t>EG</w:t>
      </w:r>
      <w:r w:rsidRPr="2390F54D">
        <w:rPr>
          <w:rFonts w:eastAsia="Arial"/>
          <w:i/>
          <w:iCs/>
          <w:vertAlign w:val="subscript"/>
          <w:lang w:val="en-US"/>
        </w:rPr>
        <w:t>wake,y</w:t>
      </w:r>
      <w:r w:rsidRPr="46A383F8">
        <w:rPr>
          <w:rFonts w:eastAsia="Arial"/>
          <w:lang w:val="en-US"/>
        </w:rPr>
        <w:t>), as follows:</w:t>
      </w:r>
    </w:p>
    <w:tbl>
      <w:tblPr>
        <w:tblStyle w:val="SDMMethTableEquation"/>
        <w:tblW w:w="8760" w:type="dxa"/>
        <w:tblLook w:val="0600" w:firstRow="0" w:lastRow="0" w:firstColumn="0" w:lastColumn="0" w:noHBand="1" w:noVBand="1"/>
      </w:tblPr>
      <w:tblGrid>
        <w:gridCol w:w="7092"/>
        <w:gridCol w:w="1668"/>
      </w:tblGrid>
      <w:tr w:rsidR="00F108A7" w:rsidRPr="00E32F75" w14:paraId="0118FEA8" w14:textId="77777777" w:rsidTr="00690A70">
        <w:tc>
          <w:tcPr>
            <w:tcW w:w="7224" w:type="dxa"/>
          </w:tcPr>
          <w:p w14:paraId="5D73566E" w14:textId="61DF0E96" w:rsidR="00F108A7"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EG</m:t>
                    </m:r>
                  </m:e>
                  <m:sub>
                    <m:r>
                      <w:rPr>
                        <w:rFonts w:ascii="Cambria Math" w:hAnsi="Cambria Math"/>
                      </w:rPr>
                      <m:t>PJ,y</m:t>
                    </m:r>
                  </m:sub>
                </m:sSub>
                <m:r>
                  <w:rPr>
                    <w:rFonts w:ascii="Cambria Math" w:hAnsi="Cambria Math"/>
                  </w:rPr>
                  <m:t>=</m:t>
                </m:r>
                <m:sSub>
                  <m:sSubPr>
                    <m:ctrlPr>
                      <w:rPr>
                        <w:rFonts w:ascii="Cambria Math" w:hAnsi="Cambria Math"/>
                        <w:i/>
                      </w:rPr>
                    </m:ctrlPr>
                  </m:sSubPr>
                  <m:e>
                    <m:r>
                      <w:rPr>
                        <w:rFonts w:ascii="Cambria Math" w:hAnsi="Cambria Math"/>
                      </w:rPr>
                      <m:t>EG</m:t>
                    </m:r>
                  </m:e>
                  <m:sub>
                    <m:r>
                      <w:rPr>
                        <w:rFonts w:ascii="Cambria Math" w:hAnsi="Cambria Math"/>
                      </w:rPr>
                      <m:t>plant,y</m:t>
                    </m:r>
                  </m:sub>
                </m:sSub>
                <m:r>
                  <w:rPr>
                    <w:rFonts w:ascii="Cambria Math" w:hAnsi="Cambria Math"/>
                  </w:rPr>
                  <m:t>-</m:t>
                </m:r>
                <m:sSub>
                  <m:sSubPr>
                    <m:ctrlPr>
                      <w:rPr>
                        <w:rFonts w:ascii="Cambria Math" w:hAnsi="Cambria Math"/>
                        <w:i/>
                      </w:rPr>
                    </m:ctrlPr>
                  </m:sSubPr>
                  <m:e>
                    <m:r>
                      <w:rPr>
                        <w:rFonts w:ascii="Cambria Math" w:hAnsi="Cambria Math"/>
                      </w:rPr>
                      <m:t>EG</m:t>
                    </m:r>
                  </m:e>
                  <m:sub>
                    <m:r>
                      <w:rPr>
                        <w:rFonts w:ascii="Cambria Math" w:hAnsi="Cambria Math"/>
                      </w:rPr>
                      <m:t>wake,y</m:t>
                    </m:r>
                  </m:sub>
                </m:sSub>
              </m:oMath>
            </m:oMathPara>
          </w:p>
        </w:tc>
        <w:tc>
          <w:tcPr>
            <w:tcW w:w="1701" w:type="dxa"/>
          </w:tcPr>
          <w:p w14:paraId="2CC79E84" w14:textId="77777777" w:rsidR="00F108A7" w:rsidRPr="002B6960" w:rsidRDefault="00F108A7" w:rsidP="007255A3">
            <w:pPr>
              <w:pStyle w:val="SDMMethEquationNr"/>
              <w:numPr>
                <w:ilvl w:val="0"/>
                <w:numId w:val="21"/>
              </w:numPr>
            </w:pPr>
          </w:p>
        </w:tc>
      </w:tr>
    </w:tbl>
    <w:p w14:paraId="36EE1832" w14:textId="5B607E98" w:rsidR="00F108A7" w:rsidRDefault="00EE3D81" w:rsidP="00690A70">
      <w:pPr>
        <w:pStyle w:val="SDMMethCaptionEquationParametersTable"/>
      </w:pPr>
      <w:r>
        <w:t>or</w:t>
      </w:r>
    </w:p>
    <w:tbl>
      <w:tblPr>
        <w:tblStyle w:val="SDMMethTableEquation"/>
        <w:tblW w:w="8760" w:type="dxa"/>
        <w:tblLook w:val="0600" w:firstRow="0" w:lastRow="0" w:firstColumn="0" w:lastColumn="0" w:noHBand="1" w:noVBand="1"/>
      </w:tblPr>
      <w:tblGrid>
        <w:gridCol w:w="7092"/>
        <w:gridCol w:w="1668"/>
      </w:tblGrid>
      <w:tr w:rsidR="00EE3D81" w:rsidRPr="00E32F75" w14:paraId="7F185DEB" w14:textId="77777777" w:rsidTr="00690A70">
        <w:tc>
          <w:tcPr>
            <w:tcW w:w="7224" w:type="dxa"/>
          </w:tcPr>
          <w:p w14:paraId="10EDE25F" w14:textId="63C95154" w:rsidR="00EE3D81"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EG</m:t>
                    </m:r>
                  </m:e>
                  <m:sub>
                    <m:r>
                      <w:rPr>
                        <w:rFonts w:ascii="Cambria Math" w:hAnsi="Cambria Math"/>
                      </w:rPr>
                      <m:t>PJ,h</m:t>
                    </m:r>
                  </m:sub>
                </m:sSub>
                <m:r>
                  <w:rPr>
                    <w:rFonts w:ascii="Cambria Math" w:hAnsi="Cambria Math"/>
                  </w:rPr>
                  <m:t>=</m:t>
                </m:r>
                <m:sSub>
                  <m:sSubPr>
                    <m:ctrlPr>
                      <w:rPr>
                        <w:rFonts w:ascii="Cambria Math" w:hAnsi="Cambria Math"/>
                        <w:i/>
                      </w:rPr>
                    </m:ctrlPr>
                  </m:sSubPr>
                  <m:e>
                    <m:r>
                      <w:rPr>
                        <w:rFonts w:ascii="Cambria Math" w:hAnsi="Cambria Math"/>
                      </w:rPr>
                      <m:t>EG</m:t>
                    </m:r>
                  </m:e>
                  <m:sub>
                    <m:r>
                      <w:rPr>
                        <w:rFonts w:ascii="Cambria Math" w:hAnsi="Cambria Math"/>
                      </w:rPr>
                      <m:t>plant,h</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EG</m:t>
                        </m:r>
                      </m:e>
                      <m:sub>
                        <m:r>
                          <w:rPr>
                            <w:rFonts w:ascii="Cambria Math" w:hAnsi="Cambria Math"/>
                          </w:rPr>
                          <m:t>wake,y</m:t>
                        </m:r>
                      </m:sub>
                    </m:sSub>
                  </m:num>
                  <m:den>
                    <m:r>
                      <w:rPr>
                        <w:rFonts w:ascii="Cambria Math" w:hAnsi="Cambria Math"/>
                      </w:rPr>
                      <m:t>8,760</m:t>
                    </m:r>
                  </m:den>
                </m:f>
              </m:oMath>
            </m:oMathPara>
          </w:p>
        </w:tc>
        <w:tc>
          <w:tcPr>
            <w:tcW w:w="1701" w:type="dxa"/>
          </w:tcPr>
          <w:p w14:paraId="11121E12" w14:textId="77777777" w:rsidR="00EE3D81" w:rsidRPr="002B6960" w:rsidRDefault="00EE3D81" w:rsidP="007255A3">
            <w:pPr>
              <w:pStyle w:val="SDMMethEquationNr"/>
              <w:numPr>
                <w:ilvl w:val="0"/>
                <w:numId w:val="21"/>
              </w:numPr>
            </w:pPr>
          </w:p>
        </w:tc>
      </w:tr>
    </w:tbl>
    <w:p w14:paraId="64D80837" w14:textId="77777777" w:rsidR="00EE3D81" w:rsidRDefault="00EE3D81"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EE3D81" w14:paraId="282A0B8D" w14:textId="77777777" w:rsidTr="00F40B8C">
        <w:tc>
          <w:tcPr>
            <w:tcW w:w="1701" w:type="dxa"/>
            <w:vAlign w:val="top"/>
          </w:tcPr>
          <w:p w14:paraId="4EC00BF5" w14:textId="0BF34EE8" w:rsidR="00EE3D81" w:rsidRPr="00F36712" w:rsidRDefault="0039641B" w:rsidP="00F40B8C">
            <w:pPr>
              <w:pStyle w:val="SDMTableBoxParaNotNumbered"/>
            </w:pPr>
            <m:oMathPara>
              <m:oMathParaPr>
                <m:jc m:val="left"/>
              </m:oMathParaPr>
              <m:oMath>
                <m:sSub>
                  <m:sSubPr>
                    <m:ctrlPr>
                      <w:rPr>
                        <w:rFonts w:ascii="Cambria Math" w:hAnsi="Cambria Math"/>
                        <w:i/>
                      </w:rPr>
                    </m:ctrlPr>
                  </m:sSubPr>
                  <m:e>
                    <m:r>
                      <w:rPr>
                        <w:rFonts w:ascii="Cambria Math" w:hAnsi="Cambria Math"/>
                      </w:rPr>
                      <m:t>EG</m:t>
                    </m:r>
                  </m:e>
                  <m:sub>
                    <m:r>
                      <w:rPr>
                        <w:rFonts w:ascii="Cambria Math" w:hAnsi="Cambria Math"/>
                      </w:rPr>
                      <m:t>PJ,y</m:t>
                    </m:r>
                  </m:sub>
                </m:sSub>
              </m:oMath>
            </m:oMathPara>
          </w:p>
        </w:tc>
        <w:tc>
          <w:tcPr>
            <w:tcW w:w="345" w:type="dxa"/>
            <w:vAlign w:val="top"/>
          </w:tcPr>
          <w:p w14:paraId="38979803" w14:textId="77777777" w:rsidR="00EE3D81" w:rsidRDefault="00EE3D81" w:rsidP="00F40B8C">
            <w:pPr>
              <w:pStyle w:val="SDMTableBoxParaNotNumbered"/>
            </w:pPr>
            <w:r>
              <w:t>=</w:t>
            </w:r>
          </w:p>
        </w:tc>
        <w:tc>
          <w:tcPr>
            <w:tcW w:w="0" w:type="auto"/>
          </w:tcPr>
          <w:p w14:paraId="2AAF750C" w14:textId="0808E31F" w:rsidR="00EE3D81" w:rsidRDefault="003D6317" w:rsidP="00690A70">
            <w:pPr>
              <w:pStyle w:val="SDMTableBoxParaNotNumbered"/>
            </w:pPr>
            <w:r w:rsidRPr="00F30744">
              <w:t xml:space="preserve">Electricity generation </w:t>
            </w:r>
            <w:r>
              <w:t xml:space="preserve">eligible for crediting </w:t>
            </w:r>
            <w:r w:rsidRPr="00F30744">
              <w:t>from the Article 6.4 activity in year </w:t>
            </w:r>
            <w:r w:rsidRPr="00F30744">
              <w:rPr>
                <w:i/>
                <w:iCs/>
              </w:rPr>
              <w:t>y</w:t>
            </w:r>
            <w:r w:rsidRPr="00F30744">
              <w:t xml:space="preserve"> (MWh)</w:t>
            </w:r>
          </w:p>
        </w:tc>
      </w:tr>
      <w:tr w:rsidR="00EE3D81" w14:paraId="1A8D652E" w14:textId="77777777" w:rsidTr="00F40B8C">
        <w:tc>
          <w:tcPr>
            <w:tcW w:w="1701" w:type="dxa"/>
            <w:vAlign w:val="top"/>
          </w:tcPr>
          <w:p w14:paraId="7009F0EB" w14:textId="7B847730" w:rsidR="00EE3D81" w:rsidRPr="00F36712" w:rsidRDefault="0039641B" w:rsidP="00F40B8C">
            <w:pPr>
              <w:pStyle w:val="SDMTableBoxParaNotNumbered"/>
            </w:pPr>
            <m:oMathPara>
              <m:oMathParaPr>
                <m:jc m:val="left"/>
              </m:oMathParaPr>
              <m:oMath>
                <m:sSub>
                  <m:sSubPr>
                    <m:ctrlPr>
                      <w:rPr>
                        <w:rFonts w:ascii="Cambria Math" w:hAnsi="Cambria Math"/>
                        <w:i/>
                      </w:rPr>
                    </m:ctrlPr>
                  </m:sSubPr>
                  <m:e>
                    <m:r>
                      <w:rPr>
                        <w:rFonts w:ascii="Cambria Math" w:hAnsi="Cambria Math"/>
                      </w:rPr>
                      <m:t>EG</m:t>
                    </m:r>
                  </m:e>
                  <m:sub>
                    <m:r>
                      <w:rPr>
                        <w:rFonts w:ascii="Cambria Math" w:hAnsi="Cambria Math"/>
                      </w:rPr>
                      <m:t>plant,y</m:t>
                    </m:r>
                  </m:sub>
                </m:sSub>
              </m:oMath>
            </m:oMathPara>
          </w:p>
        </w:tc>
        <w:tc>
          <w:tcPr>
            <w:tcW w:w="345" w:type="dxa"/>
            <w:vAlign w:val="top"/>
          </w:tcPr>
          <w:p w14:paraId="486C5943" w14:textId="77777777" w:rsidR="00EE3D81" w:rsidRDefault="00EE3D81" w:rsidP="00F40B8C">
            <w:pPr>
              <w:pStyle w:val="SDMTableBoxParaNotNumbered"/>
            </w:pPr>
            <w:r>
              <w:t>=</w:t>
            </w:r>
          </w:p>
        </w:tc>
        <w:tc>
          <w:tcPr>
            <w:tcW w:w="0" w:type="auto"/>
          </w:tcPr>
          <w:p w14:paraId="7FA93CC6" w14:textId="7480BD20" w:rsidR="00EE3D81" w:rsidRDefault="00D21B93" w:rsidP="00690A70">
            <w:pPr>
              <w:pStyle w:val="SDMTableBoxParaNotNumbered"/>
            </w:pPr>
            <w:r w:rsidRPr="00F30744">
              <w:t>Quantity of electricity generated by the Article 6.4 project power plant and fed into the electricity system in year </w:t>
            </w:r>
            <w:r w:rsidRPr="00F30744">
              <w:rPr>
                <w:i/>
                <w:iCs/>
              </w:rPr>
              <w:t>y</w:t>
            </w:r>
            <w:r w:rsidRPr="00F30744">
              <w:t xml:space="preserve"> (MWh)</w:t>
            </w:r>
          </w:p>
        </w:tc>
      </w:tr>
      <w:tr w:rsidR="00EE3D81" w14:paraId="780CD894" w14:textId="77777777" w:rsidTr="00F40B8C">
        <w:tc>
          <w:tcPr>
            <w:tcW w:w="1701" w:type="dxa"/>
            <w:vAlign w:val="top"/>
          </w:tcPr>
          <w:p w14:paraId="3D6F42E5" w14:textId="35B0B6E7" w:rsidR="00EE3D81" w:rsidRPr="00F36712" w:rsidRDefault="0039641B" w:rsidP="00F40B8C">
            <w:pPr>
              <w:pStyle w:val="SDMTableBoxParaNotNumbered"/>
            </w:pPr>
            <m:oMathPara>
              <m:oMathParaPr>
                <m:jc m:val="left"/>
              </m:oMathParaPr>
              <m:oMath>
                <m:sSub>
                  <m:sSubPr>
                    <m:ctrlPr>
                      <w:rPr>
                        <w:rFonts w:ascii="Cambria Math" w:hAnsi="Cambria Math"/>
                        <w:i/>
                      </w:rPr>
                    </m:ctrlPr>
                  </m:sSubPr>
                  <m:e>
                    <m:r>
                      <w:rPr>
                        <w:rFonts w:ascii="Cambria Math" w:hAnsi="Cambria Math"/>
                      </w:rPr>
                      <m:t>EG</m:t>
                    </m:r>
                  </m:e>
                  <m:sub>
                    <m:r>
                      <w:rPr>
                        <w:rFonts w:ascii="Cambria Math" w:hAnsi="Cambria Math"/>
                      </w:rPr>
                      <m:t>wake,y</m:t>
                    </m:r>
                  </m:sub>
                </m:sSub>
              </m:oMath>
            </m:oMathPara>
          </w:p>
        </w:tc>
        <w:tc>
          <w:tcPr>
            <w:tcW w:w="345" w:type="dxa"/>
            <w:vAlign w:val="top"/>
          </w:tcPr>
          <w:p w14:paraId="706612F8" w14:textId="77777777" w:rsidR="00EE3D81" w:rsidRDefault="00EE3D81" w:rsidP="00F40B8C">
            <w:pPr>
              <w:pStyle w:val="SDMTableBoxParaNotNumbered"/>
            </w:pPr>
            <w:r>
              <w:t>=</w:t>
            </w:r>
          </w:p>
        </w:tc>
        <w:tc>
          <w:tcPr>
            <w:tcW w:w="0" w:type="auto"/>
          </w:tcPr>
          <w:p w14:paraId="16F2B4C0" w14:textId="281C5112" w:rsidR="00EE3D81" w:rsidRDefault="0000166E" w:rsidP="00690A70">
            <w:pPr>
              <w:pStyle w:val="SDMTableBoxParaNotNumbered"/>
            </w:pPr>
            <w:r>
              <w:t xml:space="preserve">Reduction in electricity generation by other wind power plants due to wake </w:t>
            </w:r>
            <w:r w:rsidRPr="00F30744">
              <w:t>effects in year </w:t>
            </w:r>
            <w:r w:rsidRPr="00F30744">
              <w:rPr>
                <w:i/>
                <w:iCs/>
              </w:rPr>
              <w:t>y</w:t>
            </w:r>
            <w:r w:rsidRPr="00F30744">
              <w:t>, where applicable</w:t>
            </w:r>
            <w:r>
              <w:t xml:space="preserve"> (MWh)</w:t>
            </w:r>
          </w:p>
        </w:tc>
      </w:tr>
      <w:tr w:rsidR="00302692" w14:paraId="0324647C" w14:textId="77777777" w:rsidTr="00F40B8C">
        <w:tc>
          <w:tcPr>
            <w:tcW w:w="1701" w:type="dxa"/>
            <w:vAlign w:val="top"/>
          </w:tcPr>
          <w:p w14:paraId="469A3649" w14:textId="70FDCBBB" w:rsidR="00302692" w:rsidRPr="00F36712" w:rsidRDefault="0039641B" w:rsidP="00F40B8C">
            <w:pPr>
              <w:pStyle w:val="SDMTableBoxParaNotNumbered"/>
            </w:pPr>
            <m:oMathPara>
              <m:oMathParaPr>
                <m:jc m:val="left"/>
              </m:oMathParaPr>
              <m:oMath>
                <m:sSub>
                  <m:sSubPr>
                    <m:ctrlPr>
                      <w:rPr>
                        <w:rFonts w:ascii="Cambria Math" w:hAnsi="Cambria Math"/>
                        <w:i/>
                      </w:rPr>
                    </m:ctrlPr>
                  </m:sSubPr>
                  <m:e>
                    <m:r>
                      <w:rPr>
                        <w:rFonts w:ascii="Cambria Math" w:hAnsi="Cambria Math"/>
                      </w:rPr>
                      <m:t>EG</m:t>
                    </m:r>
                  </m:e>
                  <m:sub>
                    <m:r>
                      <w:rPr>
                        <w:rFonts w:ascii="Cambria Math" w:hAnsi="Cambria Math"/>
                      </w:rPr>
                      <m:t>PJ,h</m:t>
                    </m:r>
                  </m:sub>
                </m:sSub>
              </m:oMath>
            </m:oMathPara>
          </w:p>
        </w:tc>
        <w:tc>
          <w:tcPr>
            <w:tcW w:w="345" w:type="dxa"/>
            <w:vAlign w:val="top"/>
          </w:tcPr>
          <w:p w14:paraId="25216091" w14:textId="262F9050" w:rsidR="00302692" w:rsidRDefault="00302692" w:rsidP="00F40B8C">
            <w:pPr>
              <w:pStyle w:val="SDMTableBoxParaNotNumbered"/>
            </w:pPr>
            <w:r>
              <w:t>=</w:t>
            </w:r>
          </w:p>
        </w:tc>
        <w:tc>
          <w:tcPr>
            <w:tcW w:w="0" w:type="auto"/>
          </w:tcPr>
          <w:p w14:paraId="0C82708C" w14:textId="621ABCFF" w:rsidR="00302692" w:rsidRDefault="00B9606E" w:rsidP="00690A70">
            <w:pPr>
              <w:pStyle w:val="SDMTableBoxParaNotNumbered"/>
            </w:pPr>
            <w:r w:rsidRPr="00F30744">
              <w:t xml:space="preserve">Electricity generation </w:t>
            </w:r>
            <w:r>
              <w:t xml:space="preserve">eligible for crediting </w:t>
            </w:r>
            <w:r w:rsidRPr="00F30744">
              <w:t>from the Article 6.4 activity in hour </w:t>
            </w:r>
            <w:r w:rsidRPr="00F30744">
              <w:rPr>
                <w:i/>
                <w:iCs/>
              </w:rPr>
              <w:t>h</w:t>
            </w:r>
            <w:r w:rsidRPr="00F30744">
              <w:t xml:space="preserve"> (MWh)</w:t>
            </w:r>
          </w:p>
        </w:tc>
      </w:tr>
      <w:tr w:rsidR="00302692" w14:paraId="5C12EA40" w14:textId="77777777" w:rsidTr="00F40B8C">
        <w:tc>
          <w:tcPr>
            <w:tcW w:w="1701" w:type="dxa"/>
            <w:vAlign w:val="top"/>
          </w:tcPr>
          <w:p w14:paraId="5EF4DD62" w14:textId="2CA3D4BB" w:rsidR="00302692" w:rsidRPr="00F36712" w:rsidRDefault="0039641B" w:rsidP="00F40B8C">
            <w:pPr>
              <w:pStyle w:val="SDMTableBoxParaNotNumbered"/>
            </w:pPr>
            <m:oMathPara>
              <m:oMathParaPr>
                <m:jc m:val="left"/>
              </m:oMathParaPr>
              <m:oMath>
                <m:sSub>
                  <m:sSubPr>
                    <m:ctrlPr>
                      <w:rPr>
                        <w:rFonts w:ascii="Cambria Math" w:hAnsi="Cambria Math"/>
                        <w:i/>
                      </w:rPr>
                    </m:ctrlPr>
                  </m:sSubPr>
                  <m:e>
                    <m:r>
                      <w:rPr>
                        <w:rFonts w:ascii="Cambria Math" w:hAnsi="Cambria Math"/>
                      </w:rPr>
                      <m:t>EG</m:t>
                    </m:r>
                  </m:e>
                  <m:sub>
                    <m:r>
                      <w:rPr>
                        <w:rFonts w:ascii="Cambria Math" w:hAnsi="Cambria Math"/>
                      </w:rPr>
                      <m:t>plant,h</m:t>
                    </m:r>
                  </m:sub>
                </m:sSub>
              </m:oMath>
            </m:oMathPara>
          </w:p>
        </w:tc>
        <w:tc>
          <w:tcPr>
            <w:tcW w:w="345" w:type="dxa"/>
            <w:vAlign w:val="top"/>
          </w:tcPr>
          <w:p w14:paraId="72DDD9A2" w14:textId="5CB17303" w:rsidR="00302692" w:rsidRDefault="00302692" w:rsidP="00F40B8C">
            <w:pPr>
              <w:pStyle w:val="SDMTableBoxParaNotNumbered"/>
            </w:pPr>
            <w:r>
              <w:t>=</w:t>
            </w:r>
          </w:p>
        </w:tc>
        <w:tc>
          <w:tcPr>
            <w:tcW w:w="0" w:type="auto"/>
          </w:tcPr>
          <w:p w14:paraId="43F2FE4F" w14:textId="00116F02" w:rsidR="00302692" w:rsidRDefault="0042697B" w:rsidP="00690A70">
            <w:pPr>
              <w:pStyle w:val="SDMTableBoxParaNotNumbered"/>
            </w:pPr>
            <w:r w:rsidRPr="00F30744">
              <w:t>Quantity of electricity generated by the Article 6.4 project power plant and fed into the electricity system in hour </w:t>
            </w:r>
            <w:r w:rsidRPr="00F30744">
              <w:rPr>
                <w:i/>
                <w:iCs/>
              </w:rPr>
              <w:t>h</w:t>
            </w:r>
            <w:r w:rsidRPr="00F30744">
              <w:t xml:space="preserve"> (MWh)</w:t>
            </w:r>
          </w:p>
        </w:tc>
      </w:tr>
      <w:tr w:rsidR="00302692" w14:paraId="64E406CD" w14:textId="77777777" w:rsidTr="00F40B8C">
        <w:tc>
          <w:tcPr>
            <w:tcW w:w="1701" w:type="dxa"/>
            <w:vAlign w:val="top"/>
          </w:tcPr>
          <w:p w14:paraId="4240AE1C" w14:textId="6A8919D3" w:rsidR="00302692" w:rsidRPr="00F36712" w:rsidRDefault="00F36712" w:rsidP="00F40B8C">
            <w:pPr>
              <w:pStyle w:val="SDMTableBoxParaNotNumbered"/>
            </w:pPr>
            <m:oMathPara>
              <m:oMathParaPr>
                <m:jc m:val="left"/>
              </m:oMathParaPr>
              <m:oMath>
                <m:r>
                  <w:rPr>
                    <w:rFonts w:ascii="Cambria Math" w:hAnsi="Cambria Math"/>
                  </w:rPr>
                  <m:t>y</m:t>
                </m:r>
              </m:oMath>
            </m:oMathPara>
          </w:p>
        </w:tc>
        <w:tc>
          <w:tcPr>
            <w:tcW w:w="345" w:type="dxa"/>
            <w:vAlign w:val="top"/>
          </w:tcPr>
          <w:p w14:paraId="46643965" w14:textId="1AE5D658" w:rsidR="00302692" w:rsidRDefault="00302692" w:rsidP="00F40B8C">
            <w:pPr>
              <w:pStyle w:val="SDMTableBoxParaNotNumbered"/>
            </w:pPr>
            <w:r>
              <w:t>=</w:t>
            </w:r>
          </w:p>
        </w:tc>
        <w:tc>
          <w:tcPr>
            <w:tcW w:w="0" w:type="auto"/>
          </w:tcPr>
          <w:p w14:paraId="0DFAADA3" w14:textId="2537E4FD" w:rsidR="00302692" w:rsidRDefault="00FB53BB" w:rsidP="00690A70">
            <w:pPr>
              <w:pStyle w:val="SDMTableBoxParaNotNumbered"/>
            </w:pPr>
            <w:r>
              <w:t>Calendar year of the crediting period</w:t>
            </w:r>
          </w:p>
        </w:tc>
      </w:tr>
      <w:tr w:rsidR="00302692" w14:paraId="27C312BB" w14:textId="77777777" w:rsidTr="00F40B8C">
        <w:tc>
          <w:tcPr>
            <w:tcW w:w="1701" w:type="dxa"/>
            <w:vAlign w:val="top"/>
          </w:tcPr>
          <w:p w14:paraId="5500B65D" w14:textId="5225DA65" w:rsidR="00302692" w:rsidRPr="00F36712" w:rsidRDefault="00F36712" w:rsidP="00F40B8C">
            <w:pPr>
              <w:pStyle w:val="SDMTableBoxParaNotNumbered"/>
            </w:pPr>
            <m:oMathPara>
              <m:oMathParaPr>
                <m:jc m:val="left"/>
              </m:oMathParaPr>
              <m:oMath>
                <m:r>
                  <w:rPr>
                    <w:rFonts w:ascii="Cambria Math" w:hAnsi="Cambria Math"/>
                  </w:rPr>
                  <m:t>h</m:t>
                </m:r>
              </m:oMath>
            </m:oMathPara>
          </w:p>
        </w:tc>
        <w:tc>
          <w:tcPr>
            <w:tcW w:w="345" w:type="dxa"/>
            <w:vAlign w:val="top"/>
          </w:tcPr>
          <w:p w14:paraId="1760FF74" w14:textId="01B26249" w:rsidR="00302692" w:rsidRDefault="00302692" w:rsidP="00F40B8C">
            <w:pPr>
              <w:pStyle w:val="SDMTableBoxParaNotNumbered"/>
            </w:pPr>
            <w:r>
              <w:t>=</w:t>
            </w:r>
          </w:p>
        </w:tc>
        <w:tc>
          <w:tcPr>
            <w:tcW w:w="0" w:type="auto"/>
          </w:tcPr>
          <w:p w14:paraId="7F34CDAB" w14:textId="66D653C8" w:rsidR="00302692" w:rsidRDefault="004027E0" w:rsidP="00690A70">
            <w:pPr>
              <w:pStyle w:val="SDMTableBoxParaNotNumbered"/>
            </w:pPr>
            <w:r>
              <w:t>Hour within a calendar year of the crediting period</w:t>
            </w:r>
          </w:p>
        </w:tc>
      </w:tr>
    </w:tbl>
    <w:p w14:paraId="637BA09F" w14:textId="0CFCBFA3" w:rsidR="00556EFD" w:rsidRDefault="0051179C" w:rsidP="00EC00DE">
      <w:pPr>
        <w:pStyle w:val="SDMPara"/>
        <w:keepNext/>
      </w:pPr>
      <w:bookmarkStart w:id="214" w:name="_Ref232439001"/>
      <w:bookmarkStart w:id="215" w:name="_Ref233143449"/>
      <w:r w:rsidRPr="46A383F8">
        <w:rPr>
          <w:rFonts w:eastAsia="Arial"/>
          <w:lang w:val="en-US"/>
        </w:rPr>
        <w:t xml:space="preserve">For wind power plants, </w:t>
      </w:r>
      <w:r>
        <w:rPr>
          <w:rFonts w:eastAsia="Arial"/>
          <w:lang w:val="en-US"/>
        </w:rPr>
        <w:t>the</w:t>
      </w:r>
      <w:r w:rsidRPr="46A383F8">
        <w:rPr>
          <w:rFonts w:eastAsia="Arial"/>
          <w:lang w:val="en-US"/>
        </w:rPr>
        <w:t xml:space="preserve"> reduction in electricity generation by other wind power plants </w:t>
      </w:r>
      <w:r>
        <w:rPr>
          <w:rFonts w:eastAsia="Arial"/>
          <w:lang w:val="en-US"/>
        </w:rPr>
        <w:t>due to</w:t>
      </w:r>
      <w:r w:rsidRPr="46A383F8">
        <w:rPr>
          <w:rFonts w:eastAsia="Arial"/>
          <w:lang w:val="en-US"/>
        </w:rPr>
        <w:t xml:space="preserve"> </w:t>
      </w:r>
      <w:r w:rsidRPr="2390F54D">
        <w:rPr>
          <w:rFonts w:eastAsia="Arial"/>
          <w:lang w:val="en-US"/>
        </w:rPr>
        <w:t xml:space="preserve">wake </w:t>
      </w:r>
      <w:r w:rsidRPr="46A383F8">
        <w:rPr>
          <w:rFonts w:eastAsia="Arial"/>
          <w:lang w:val="en-US"/>
        </w:rPr>
        <w:t>effects (</w:t>
      </w:r>
      <w:r>
        <w:rPr>
          <w:rFonts w:eastAsia="Arial"/>
          <w:i/>
          <w:iCs/>
          <w:lang w:val="en-US"/>
        </w:rPr>
        <w:t>EG</w:t>
      </w:r>
      <w:r>
        <w:rPr>
          <w:rFonts w:eastAsia="Arial"/>
          <w:i/>
          <w:iCs/>
          <w:vertAlign w:val="subscript"/>
          <w:lang w:val="en-US"/>
        </w:rPr>
        <w:t>wake</w:t>
      </w:r>
      <w:r w:rsidRPr="46A383F8">
        <w:rPr>
          <w:rFonts w:eastAsia="Arial"/>
          <w:i/>
          <w:iCs/>
          <w:vertAlign w:val="subscript"/>
          <w:lang w:val="en-US"/>
        </w:rPr>
        <w:t>,y</w:t>
      </w:r>
      <w:r w:rsidRPr="46A383F8">
        <w:rPr>
          <w:rFonts w:eastAsia="Arial"/>
          <w:lang w:val="en-US"/>
        </w:rPr>
        <w:t xml:space="preserve">) does not need </w:t>
      </w:r>
      <w:r>
        <w:rPr>
          <w:rFonts w:eastAsia="Arial"/>
          <w:lang w:val="en-US"/>
        </w:rPr>
        <w:t xml:space="preserve">to </w:t>
      </w:r>
      <w:r w:rsidRPr="46A383F8">
        <w:rPr>
          <w:rFonts w:eastAsia="Arial"/>
          <w:lang w:val="en-US"/>
        </w:rPr>
        <w:t>be account</w:t>
      </w:r>
      <w:r>
        <w:rPr>
          <w:rFonts w:eastAsia="Arial"/>
          <w:lang w:val="en-US"/>
        </w:rPr>
        <w:t>ed</w:t>
      </w:r>
      <w:r w:rsidRPr="46A383F8">
        <w:rPr>
          <w:rFonts w:eastAsia="Arial"/>
          <w:lang w:val="en-US"/>
        </w:rPr>
        <w:t xml:space="preserve"> for if:</w:t>
      </w:r>
      <w:bookmarkEnd w:id="214"/>
      <w:bookmarkEnd w:id="215"/>
    </w:p>
    <w:p w14:paraId="2B919065" w14:textId="24F122A4" w:rsidR="00556EFD" w:rsidRPr="00E80533" w:rsidRDefault="00E80533" w:rsidP="00E80533">
      <w:pPr>
        <w:pStyle w:val="SDMSubPara1"/>
      </w:pPr>
      <w:r w:rsidRPr="2FEFB3F8">
        <w:rPr>
          <w:rFonts w:eastAsia="Arial"/>
          <w:lang w:val="en-US"/>
        </w:rPr>
        <w:t xml:space="preserve">The distance between the wind turbines installed under the Article 6.4 activity and any other wind power plants is greater than </w:t>
      </w:r>
      <w:r>
        <w:rPr>
          <w:rFonts w:eastAsia="Arial"/>
          <w:lang w:val="en-US"/>
        </w:rPr>
        <w:t>50</w:t>
      </w:r>
      <w:r w:rsidRPr="2FEFB3F8">
        <w:rPr>
          <w:rFonts w:eastAsia="Arial"/>
          <w:lang w:val="en-US"/>
        </w:rPr>
        <w:t xml:space="preserve"> kilometers for onshore wind power plants;</w:t>
      </w:r>
    </w:p>
    <w:p w14:paraId="79378A98" w14:textId="09599668" w:rsidR="00E80533" w:rsidRPr="00013622" w:rsidRDefault="00013622" w:rsidP="00E80533">
      <w:pPr>
        <w:pStyle w:val="SDMSubPara1"/>
      </w:pPr>
      <w:r w:rsidRPr="2FEFB3F8">
        <w:rPr>
          <w:rFonts w:eastAsia="Arial"/>
          <w:lang w:val="en-US"/>
        </w:rPr>
        <w:t xml:space="preserve">The distance between the wind turbines installed under the Article 6.4 activity and any other wind power plants is greater than </w:t>
      </w:r>
      <w:r>
        <w:rPr>
          <w:rFonts w:eastAsia="Arial"/>
          <w:lang w:val="en-US"/>
        </w:rPr>
        <w:t>100</w:t>
      </w:r>
      <w:r w:rsidRPr="2FEFB3F8">
        <w:rPr>
          <w:rFonts w:eastAsia="Arial"/>
          <w:lang w:val="en-US"/>
        </w:rPr>
        <w:t xml:space="preserve"> kilometers for offshore wind power plants;</w:t>
      </w:r>
      <w:r>
        <w:rPr>
          <w:rStyle w:val="FootnoteReference"/>
          <w:rFonts w:eastAsia="Arial"/>
          <w:lang w:val="en-US"/>
        </w:rPr>
        <w:footnoteReference w:id="33"/>
      </w:r>
      <w:r w:rsidRPr="2FEFB3F8">
        <w:rPr>
          <w:rFonts w:eastAsia="Arial"/>
          <w:lang w:val="en-US"/>
        </w:rPr>
        <w:t xml:space="preserve"> or</w:t>
      </w:r>
    </w:p>
    <w:p w14:paraId="54227DB2" w14:textId="371618CE" w:rsidR="00013622" w:rsidRDefault="009A4DFB" w:rsidP="00E80533">
      <w:pPr>
        <w:pStyle w:val="SDMSubPara1"/>
      </w:pPr>
      <w:r>
        <w:rPr>
          <w:rFonts w:eastAsia="Arial"/>
          <w:lang w:val="en-US"/>
        </w:rPr>
        <w:t xml:space="preserve">The </w:t>
      </w:r>
      <w:r w:rsidRPr="2390F54D">
        <w:rPr>
          <w:rFonts w:eastAsia="Arial"/>
          <w:lang w:val="en-US"/>
        </w:rPr>
        <w:t>wake</w:t>
      </w:r>
      <w:r w:rsidRPr="00911BED">
        <w:rPr>
          <w:rFonts w:eastAsia="Arial"/>
          <w:lang w:val="en-US"/>
        </w:rPr>
        <w:t xml:space="preserve"> effects affect other wind power plants that are registered </w:t>
      </w:r>
      <w:r w:rsidRPr="24D7A224">
        <w:rPr>
          <w:rFonts w:eastAsia="Arial"/>
          <w:lang w:val="en-US"/>
        </w:rPr>
        <w:t>under</w:t>
      </w:r>
      <w:r w:rsidRPr="00911BED">
        <w:rPr>
          <w:rFonts w:eastAsia="Arial"/>
          <w:lang w:val="en-US"/>
        </w:rPr>
        <w:t xml:space="preserve"> Article 6.4 </w:t>
      </w:r>
      <w:r w:rsidRPr="24D7A224">
        <w:rPr>
          <w:rFonts w:eastAsia="Arial"/>
          <w:lang w:val="en-US"/>
        </w:rPr>
        <w:t>m</w:t>
      </w:r>
      <w:r>
        <w:rPr>
          <w:rFonts w:eastAsia="Arial"/>
          <w:lang w:val="en-US"/>
        </w:rPr>
        <w:t>e</w:t>
      </w:r>
      <w:r w:rsidRPr="24D7A224">
        <w:rPr>
          <w:rFonts w:eastAsia="Arial"/>
          <w:lang w:val="en-US"/>
        </w:rPr>
        <w:t>chanism</w:t>
      </w:r>
      <w:r w:rsidRPr="00911BED">
        <w:rPr>
          <w:rFonts w:eastAsia="Arial"/>
          <w:lang w:val="en-US"/>
        </w:rPr>
        <w:t>.</w:t>
      </w:r>
    </w:p>
    <w:p w14:paraId="338B05EA" w14:textId="0EB08678" w:rsidR="00556EFD" w:rsidRDefault="0003769B" w:rsidP="0023388D">
      <w:pPr>
        <w:pStyle w:val="SDMPara"/>
      </w:pPr>
      <w:r>
        <w:t xml:space="preserve">The distance </w:t>
      </w:r>
      <w:r w:rsidRPr="3F0643CD">
        <w:rPr>
          <w:lang w:val="en-US"/>
        </w:rPr>
        <w:t xml:space="preserve">between the wind turbines installed under the Article 6.4 activity and any other wind power plants </w:t>
      </w:r>
      <w:r>
        <w:t xml:space="preserve">in paragraph </w:t>
      </w:r>
      <w:r w:rsidR="00E67F37">
        <w:rPr>
          <w:highlight w:val="yellow"/>
        </w:rPr>
        <w:fldChar w:fldCharType="begin"/>
      </w:r>
      <w:r w:rsidR="00E67F37">
        <w:instrText xml:space="preserve"> REF _Ref232439001 \w \h </w:instrText>
      </w:r>
      <w:r w:rsidR="00E67F37">
        <w:rPr>
          <w:highlight w:val="yellow"/>
        </w:rPr>
      </w:r>
      <w:r w:rsidR="00E67F37">
        <w:rPr>
          <w:highlight w:val="yellow"/>
        </w:rPr>
        <w:fldChar w:fldCharType="separate"/>
      </w:r>
      <w:r w:rsidR="00D0578E">
        <w:rPr>
          <w:cs/>
        </w:rPr>
        <w:t>‎</w:t>
      </w:r>
      <w:r w:rsidR="00D0578E">
        <w:t>41</w:t>
      </w:r>
      <w:r w:rsidR="00E67F37">
        <w:rPr>
          <w:highlight w:val="yellow"/>
        </w:rPr>
        <w:fldChar w:fldCharType="end"/>
      </w:r>
      <w:r w:rsidR="00E67F37">
        <w:t xml:space="preserve"> </w:t>
      </w:r>
      <w:r>
        <w:t xml:space="preserve">shall be determined as the shortest horizontal distance between the convex hulls of the turbine positions of two wind </w:t>
      </w:r>
      <w:r w:rsidRPr="00D36554">
        <w:rPr>
          <w:lang w:val="en-US"/>
        </w:rPr>
        <w:t>power plants</w:t>
      </w:r>
      <w:r>
        <w:t>.</w:t>
      </w:r>
    </w:p>
    <w:p w14:paraId="3BA0B1F1" w14:textId="58D5EBCA" w:rsidR="001404DA" w:rsidRDefault="001404DA" w:rsidP="00EC00DE">
      <w:pPr>
        <w:pStyle w:val="SDMPara"/>
        <w:keepNext/>
      </w:pPr>
      <w:bookmarkStart w:id="216" w:name="_Ref232439011"/>
      <w:r>
        <w:t xml:space="preserve">Where the conditions in paragraph </w:t>
      </w:r>
      <w:r w:rsidR="00E67F37">
        <w:rPr>
          <w:highlight w:val="yellow"/>
        </w:rPr>
        <w:fldChar w:fldCharType="begin"/>
      </w:r>
      <w:r w:rsidR="00E67F37">
        <w:instrText xml:space="preserve"> REF _Ref232439001 \w \h </w:instrText>
      </w:r>
      <w:r w:rsidR="00E67F37">
        <w:rPr>
          <w:highlight w:val="yellow"/>
        </w:rPr>
      </w:r>
      <w:r w:rsidR="00E67F37">
        <w:rPr>
          <w:highlight w:val="yellow"/>
        </w:rPr>
        <w:fldChar w:fldCharType="separate"/>
      </w:r>
      <w:r w:rsidR="00D0578E">
        <w:rPr>
          <w:cs/>
        </w:rPr>
        <w:t>‎</w:t>
      </w:r>
      <w:r w:rsidR="00D0578E">
        <w:t>41</w:t>
      </w:r>
      <w:r w:rsidR="00E67F37">
        <w:rPr>
          <w:highlight w:val="yellow"/>
        </w:rPr>
        <w:fldChar w:fldCharType="end"/>
      </w:r>
      <w:r>
        <w:t xml:space="preserve"> are not satisfied, activity participants shall determine </w:t>
      </w:r>
      <w:r w:rsidRPr="008F2738">
        <w:rPr>
          <w:i/>
        </w:rPr>
        <w:t>EG</w:t>
      </w:r>
      <w:r w:rsidRPr="008F2738">
        <w:rPr>
          <w:i/>
          <w:vertAlign w:val="subscript"/>
        </w:rPr>
        <w:t>wake,y</w:t>
      </w:r>
      <w:r>
        <w:t xml:space="preserve"> based on a third-party assessment by a certified or suitably qualified expert through the application of wake models. The expert shall document the model employed and the input values used for the assessment and ensure that:</w:t>
      </w:r>
      <w:bookmarkEnd w:id="216"/>
    </w:p>
    <w:p w14:paraId="6710B8AB" w14:textId="1152B8D2" w:rsidR="00381FCB" w:rsidRPr="00381FCB" w:rsidRDefault="00381FCB" w:rsidP="00381FCB">
      <w:pPr>
        <w:pStyle w:val="SDMSubPara1"/>
      </w:pPr>
      <w:r>
        <w:rPr>
          <w:rFonts w:eastAsia="Arial"/>
        </w:rPr>
        <w:t>T</w:t>
      </w:r>
      <w:r w:rsidRPr="24D7A224">
        <w:rPr>
          <w:rFonts w:eastAsia="Arial"/>
        </w:rPr>
        <w:t xml:space="preserve">he model used </w:t>
      </w:r>
      <w:r>
        <w:rPr>
          <w:rFonts w:eastAsia="Arial"/>
        </w:rPr>
        <w:t>has been</w:t>
      </w:r>
      <w:r w:rsidRPr="24D7A224">
        <w:rPr>
          <w:rFonts w:eastAsia="Arial"/>
        </w:rPr>
        <w:t xml:space="preserve"> peer-reviewed;</w:t>
      </w:r>
    </w:p>
    <w:p w14:paraId="6BEBB703" w14:textId="75DD579C" w:rsidR="00381FCB" w:rsidRPr="00870654" w:rsidRDefault="00870654" w:rsidP="00381FCB">
      <w:pPr>
        <w:pStyle w:val="SDMSubPara1"/>
      </w:pPr>
      <w:r>
        <w:rPr>
          <w:rFonts w:eastAsia="Arial"/>
        </w:rPr>
        <w:t>The i</w:t>
      </w:r>
      <w:r w:rsidRPr="2FEFB3F8">
        <w:rPr>
          <w:rFonts w:eastAsia="Arial"/>
        </w:rPr>
        <w:t xml:space="preserve">nput values used </w:t>
      </w:r>
      <w:r>
        <w:rPr>
          <w:rFonts w:eastAsia="Arial"/>
        </w:rPr>
        <w:t xml:space="preserve">are either </w:t>
      </w:r>
      <w:r w:rsidRPr="2FEFB3F8">
        <w:rPr>
          <w:rFonts w:eastAsia="Arial"/>
        </w:rPr>
        <w:t xml:space="preserve">representative of local conditions at the </w:t>
      </w:r>
      <w:r w:rsidRPr="008D09E6">
        <w:t xml:space="preserve">site of the </w:t>
      </w:r>
      <w:r w:rsidRPr="31BA7302">
        <w:rPr>
          <w:lang w:val="en-US"/>
        </w:rPr>
        <w:t>Article 6.4 project wind power plant</w:t>
      </w:r>
      <w:r w:rsidRPr="2FEFB3F8">
        <w:rPr>
          <w:rFonts w:eastAsia="Arial"/>
        </w:rPr>
        <w:t xml:space="preserve">, or </w:t>
      </w:r>
      <w:r>
        <w:rPr>
          <w:rFonts w:eastAsia="Arial"/>
        </w:rPr>
        <w:t xml:space="preserve">are </w:t>
      </w:r>
      <w:r w:rsidRPr="2FEFB3F8">
        <w:rPr>
          <w:rFonts w:eastAsia="Arial"/>
        </w:rPr>
        <w:t>conservative;</w:t>
      </w:r>
      <w:r>
        <w:rPr>
          <w:rFonts w:eastAsia="Arial"/>
        </w:rPr>
        <w:t xml:space="preserve"> and</w:t>
      </w:r>
    </w:p>
    <w:p w14:paraId="1BADE8F9" w14:textId="2A7F971F" w:rsidR="00870654" w:rsidRDefault="009C6F87" w:rsidP="00381FCB">
      <w:pPr>
        <w:pStyle w:val="SDMSubPara1"/>
      </w:pPr>
      <w:r>
        <w:rPr>
          <w:rFonts w:eastAsia="Arial"/>
        </w:rPr>
        <w:t>The output of the model is the</w:t>
      </w:r>
      <w:r w:rsidRPr="003A44F3">
        <w:rPr>
          <w:rFonts w:eastAsia="Arial"/>
        </w:rPr>
        <w:t xml:space="preserve"> reduction </w:t>
      </w:r>
      <w:r>
        <w:rPr>
          <w:rFonts w:eastAsia="Arial"/>
        </w:rPr>
        <w:t xml:space="preserve">in the electricity generation </w:t>
      </w:r>
      <w:r w:rsidRPr="003A44F3">
        <w:rPr>
          <w:rFonts w:eastAsia="Arial"/>
        </w:rPr>
        <w:t xml:space="preserve">in </w:t>
      </w:r>
      <w:r>
        <w:rPr>
          <w:rFonts w:eastAsia="Arial"/>
        </w:rPr>
        <w:t xml:space="preserve">the other affected </w:t>
      </w:r>
      <w:r w:rsidRPr="003A44F3">
        <w:rPr>
          <w:rFonts w:eastAsia="Arial"/>
        </w:rPr>
        <w:t>wind power plant</w:t>
      </w:r>
      <w:r>
        <w:rPr>
          <w:rFonts w:eastAsia="Arial"/>
        </w:rPr>
        <w:t>(</w:t>
      </w:r>
      <w:r w:rsidRPr="003A44F3">
        <w:rPr>
          <w:rFonts w:eastAsia="Arial"/>
        </w:rPr>
        <w:t>s</w:t>
      </w:r>
      <w:r>
        <w:rPr>
          <w:rFonts w:eastAsia="Arial"/>
        </w:rPr>
        <w:t>).</w:t>
      </w:r>
    </w:p>
    <w:p w14:paraId="6B7D2448" w14:textId="437AA5A9" w:rsidR="00556EFD" w:rsidRDefault="00924497" w:rsidP="0023388D">
      <w:pPr>
        <w:pStyle w:val="SDMPara"/>
      </w:pPr>
      <w:r w:rsidRPr="00BD126C">
        <w:rPr>
          <w:rFonts w:eastAsia="Arial"/>
          <w:lang w:val="en-US"/>
        </w:rPr>
        <w:t>The unadjusted baseline emissions from electricity generation from the Article 6.4 activity in year </w:t>
      </w:r>
      <w:r w:rsidRPr="00BD126C">
        <w:rPr>
          <w:rFonts w:eastAsia="Arial"/>
          <w:i/>
          <w:lang w:val="en-US"/>
        </w:rPr>
        <w:t>y</w:t>
      </w:r>
      <w:r w:rsidRPr="00BD126C">
        <w:rPr>
          <w:rFonts w:eastAsia="Arial"/>
          <w:lang w:val="en-US"/>
        </w:rPr>
        <w:t xml:space="preserve"> (</w:t>
      </w:r>
      <w:r w:rsidRPr="00BD126C">
        <w:rPr>
          <w:rFonts w:eastAsia="Arial"/>
          <w:i/>
          <w:iCs/>
          <w:lang w:val="en-US"/>
        </w:rPr>
        <w:t>BE</w:t>
      </w:r>
      <w:r w:rsidRPr="00BD126C">
        <w:rPr>
          <w:rFonts w:eastAsia="Arial"/>
          <w:i/>
          <w:iCs/>
          <w:vertAlign w:val="subscript"/>
          <w:lang w:val="en-US"/>
        </w:rPr>
        <w:t>EG,y</w:t>
      </w:r>
      <w:r w:rsidRPr="00BD126C">
        <w:rPr>
          <w:rFonts w:eastAsia="Arial"/>
          <w:lang w:val="en-US"/>
        </w:rPr>
        <w:t xml:space="preserve">) shall be calculated in accordance with step 10 of the methodological tool (A6.4-AMT-007), by multiplying </w:t>
      </w:r>
      <w:r w:rsidRPr="00BD126C" w:rsidDel="00876368">
        <w:rPr>
          <w:rFonts w:eastAsia="Arial"/>
          <w:lang w:val="en-US"/>
        </w:rPr>
        <w:t xml:space="preserve">the </w:t>
      </w:r>
      <w:r w:rsidRPr="00BD126C">
        <w:rPr>
          <w:rFonts w:eastAsia="Arial"/>
          <w:lang w:val="en-US"/>
        </w:rPr>
        <w:t>electricity generation eligible for crediting from the Article 6.4 activity (</w:t>
      </w:r>
      <w:r w:rsidRPr="00BD126C">
        <w:rPr>
          <w:rFonts w:eastAsia="Arial"/>
          <w:i/>
          <w:iCs/>
          <w:lang w:val="en-US"/>
        </w:rPr>
        <w:t>EG</w:t>
      </w:r>
      <w:r w:rsidRPr="00BD126C">
        <w:rPr>
          <w:rFonts w:eastAsia="Arial"/>
          <w:i/>
          <w:iCs/>
          <w:vertAlign w:val="subscript"/>
          <w:lang w:val="en-US"/>
        </w:rPr>
        <w:t>PJ,y</w:t>
      </w:r>
      <w:r w:rsidRPr="00BD126C">
        <w:rPr>
          <w:rFonts w:eastAsia="Arial"/>
          <w:lang w:val="en-US"/>
        </w:rPr>
        <w:t xml:space="preserve"> or </w:t>
      </w:r>
      <w:r w:rsidRPr="00BD126C">
        <w:rPr>
          <w:rFonts w:eastAsia="Arial"/>
          <w:i/>
          <w:iCs/>
          <w:lang w:val="en-US"/>
        </w:rPr>
        <w:t>EG</w:t>
      </w:r>
      <w:r w:rsidRPr="00BD126C">
        <w:rPr>
          <w:rFonts w:eastAsia="Arial"/>
          <w:i/>
          <w:iCs/>
          <w:vertAlign w:val="subscript"/>
          <w:lang w:val="en-US"/>
        </w:rPr>
        <w:t>PJ,h</w:t>
      </w:r>
      <w:r w:rsidRPr="00BD126C">
        <w:rPr>
          <w:rFonts w:eastAsia="Arial"/>
          <w:lang w:val="en-US"/>
        </w:rPr>
        <w:t>) with the respective emission factor for the electricity system.</w:t>
      </w:r>
    </w:p>
    <w:p w14:paraId="1D00DEA8" w14:textId="1103C328" w:rsidR="00556EFD" w:rsidRDefault="00924497" w:rsidP="00924497">
      <w:pPr>
        <w:pStyle w:val="SDMHead2"/>
      </w:pPr>
      <w:bookmarkStart w:id="217" w:name="_Toc233881727"/>
      <w:bookmarkStart w:id="218" w:name="_Toc233882093"/>
      <w:bookmarkStart w:id="219" w:name="_Toc233884220"/>
      <w:bookmarkStart w:id="220" w:name="_Toc233902829"/>
      <w:bookmarkStart w:id="221" w:name="_Toc233902866"/>
      <w:bookmarkStart w:id="222" w:name="_Toc236391897"/>
      <w:bookmarkStart w:id="223" w:name="_Toc236394039"/>
      <w:r>
        <w:t>Application of the downward adjustment</w:t>
      </w:r>
      <w:bookmarkEnd w:id="217"/>
      <w:bookmarkEnd w:id="218"/>
      <w:bookmarkEnd w:id="219"/>
      <w:bookmarkEnd w:id="220"/>
      <w:bookmarkEnd w:id="221"/>
      <w:bookmarkEnd w:id="222"/>
      <w:bookmarkEnd w:id="223"/>
    </w:p>
    <w:p w14:paraId="57AD5DB5" w14:textId="67BB7716" w:rsidR="00924497" w:rsidRPr="00167F82" w:rsidRDefault="00167F82" w:rsidP="00EC00DE">
      <w:pPr>
        <w:pStyle w:val="SDMPara"/>
        <w:keepNext/>
      </w:pPr>
      <w:r w:rsidRPr="01A56B02">
        <w:rPr>
          <w:rFonts w:eastAsia="Arial"/>
          <w:lang w:val="en-US"/>
        </w:rPr>
        <w:t>The</w:t>
      </w:r>
      <w:r w:rsidRPr="00BD126C">
        <w:rPr>
          <w:rFonts w:eastAsia="Arial"/>
          <w:lang w:val="en-US"/>
        </w:rPr>
        <w:t xml:space="preserve"> </w:t>
      </w:r>
      <w:r w:rsidRPr="00516760">
        <w:rPr>
          <w:lang w:val="en-US"/>
        </w:rPr>
        <w:t>downward</w:t>
      </w:r>
      <w:r>
        <w:rPr>
          <w:rFonts w:eastAsia="Arial"/>
          <w:lang w:val="en-US"/>
        </w:rPr>
        <w:t xml:space="preserve"> adjusted baseline emissions from electricity generation shall be determined in the following steps:</w:t>
      </w:r>
    </w:p>
    <w:p w14:paraId="449C6C9B" w14:textId="33A546F0" w:rsidR="00167F82" w:rsidRPr="00CE1A0E" w:rsidRDefault="00CE1A0E" w:rsidP="00167F82">
      <w:pPr>
        <w:pStyle w:val="SDMSubPara1"/>
      </w:pPr>
      <w:r>
        <w:rPr>
          <w:rFonts w:eastAsia="Arial"/>
          <w:lang w:val="en-US"/>
        </w:rPr>
        <w:t xml:space="preserve">Step 1: </w:t>
      </w:r>
      <w:r>
        <w:rPr>
          <w:rFonts w:eastAsiaTheme="minorEastAsia"/>
        </w:rPr>
        <w:t>Determination of the initial downward adjustment (</w:t>
      </w:r>
      <w:r w:rsidRPr="003339F2">
        <w:rPr>
          <w:rFonts w:eastAsiaTheme="minorEastAsia"/>
          <w:i/>
          <w:iCs/>
        </w:rPr>
        <w:t>DA</w:t>
      </w:r>
      <w:r w:rsidRPr="003339F2">
        <w:rPr>
          <w:rFonts w:eastAsiaTheme="minorEastAsia"/>
          <w:i/>
          <w:iCs/>
          <w:vertAlign w:val="subscript"/>
        </w:rPr>
        <w:t>initial</w:t>
      </w:r>
      <w:r>
        <w:rPr>
          <w:rFonts w:eastAsiaTheme="minorEastAsia"/>
        </w:rPr>
        <w:t>);</w:t>
      </w:r>
    </w:p>
    <w:p w14:paraId="46945FAC" w14:textId="3A94A9AB" w:rsidR="00CE1A0E" w:rsidRPr="00F5156A" w:rsidRDefault="00F5156A" w:rsidP="00167F82">
      <w:pPr>
        <w:pStyle w:val="SDMSubPara1"/>
      </w:pPr>
      <w:r>
        <w:rPr>
          <w:rFonts w:eastAsia="Arial"/>
          <w:lang w:val="en-US"/>
        </w:rPr>
        <w:lastRenderedPageBreak/>
        <w:t xml:space="preserve">Step 2: </w:t>
      </w:r>
      <w:r w:rsidRPr="00C43486">
        <w:rPr>
          <w:rFonts w:eastAsia="Arial"/>
          <w:lang w:val="en-US"/>
        </w:rPr>
        <w:t xml:space="preserve">Determination of </w:t>
      </w:r>
      <w:r w:rsidRPr="2BA76116">
        <w:rPr>
          <w:rFonts w:eastAsia="Arial"/>
          <w:lang w:val="en-US"/>
        </w:rPr>
        <w:t>the annual</w:t>
      </w:r>
      <w:r w:rsidRPr="00C43486">
        <w:rPr>
          <w:rFonts w:eastAsia="Arial"/>
          <w:lang w:val="en-US"/>
        </w:rPr>
        <w:t xml:space="preserve"> increase in the downward adjustment (</w:t>
      </w:r>
      <w:r w:rsidRPr="00D92C24">
        <w:rPr>
          <w:rFonts w:eastAsia="Arial"/>
          <w:i/>
          <w:iCs/>
          <w:lang w:val="en-US"/>
        </w:rPr>
        <w:t>INDA</w:t>
      </w:r>
      <w:r w:rsidRPr="00C43486">
        <w:rPr>
          <w:rFonts w:eastAsia="Arial"/>
          <w:lang w:val="en-US"/>
        </w:rPr>
        <w:t>)</w:t>
      </w:r>
      <w:r>
        <w:rPr>
          <w:rFonts w:eastAsia="Arial"/>
          <w:lang w:val="en-US"/>
        </w:rPr>
        <w:t>;</w:t>
      </w:r>
    </w:p>
    <w:p w14:paraId="29F39294" w14:textId="2E6E1975" w:rsidR="00F5156A" w:rsidRDefault="00A31026" w:rsidP="00167F82">
      <w:pPr>
        <w:pStyle w:val="SDMSubPara1"/>
      </w:pPr>
      <w:r>
        <w:rPr>
          <w:rFonts w:eastAsia="Arial"/>
          <w:lang w:val="en-US"/>
        </w:rPr>
        <w:t xml:space="preserve">Step 3: </w:t>
      </w:r>
      <w:r w:rsidRPr="00FE6F40">
        <w:rPr>
          <w:rFonts w:eastAsia="Arial"/>
          <w:lang w:val="en-US"/>
        </w:rPr>
        <w:t>Determination of the downward adjusted baseline emissions</w:t>
      </w:r>
      <w:r w:rsidRPr="00D95CD2">
        <w:rPr>
          <w:rFonts w:eastAsia="Arial"/>
          <w:lang w:val="en-US"/>
        </w:rPr>
        <w:t xml:space="preserve"> (</w:t>
      </w:r>
      <w:r w:rsidRPr="00D92C24">
        <w:rPr>
          <w:rFonts w:eastAsia="Arial"/>
          <w:i/>
          <w:iCs/>
          <w:lang w:val="en-US"/>
        </w:rPr>
        <w:t>BE</w:t>
      </w:r>
      <w:r w:rsidRPr="00D92C24">
        <w:rPr>
          <w:rFonts w:eastAsia="Arial"/>
          <w:i/>
          <w:iCs/>
          <w:vertAlign w:val="subscript"/>
          <w:lang w:val="en-US"/>
        </w:rPr>
        <w:t>adj,EG,y</w:t>
      </w:r>
      <w:r w:rsidRPr="00D95CD2">
        <w:rPr>
          <w:rFonts w:eastAsia="Arial"/>
          <w:lang w:val="en-US"/>
        </w:rPr>
        <w:t>)</w:t>
      </w:r>
      <w:r>
        <w:rPr>
          <w:rFonts w:eastAsia="Arial"/>
          <w:lang w:val="en-US"/>
        </w:rPr>
        <w:t>.</w:t>
      </w:r>
    </w:p>
    <w:p w14:paraId="26856F0F" w14:textId="21B899B2" w:rsidR="00556EFD" w:rsidRDefault="00192CB7" w:rsidP="00192CB7">
      <w:pPr>
        <w:pStyle w:val="SDMHead3"/>
      </w:pPr>
      <w:bookmarkStart w:id="224" w:name="_Toc233281816"/>
      <w:bookmarkStart w:id="225" w:name="_Toc233881728"/>
      <w:bookmarkStart w:id="226" w:name="_Toc233882094"/>
      <w:bookmarkStart w:id="227" w:name="_Toc233884221"/>
      <w:bookmarkStart w:id="228" w:name="_Toc233902830"/>
      <w:bookmarkStart w:id="229" w:name="_Toc233902867"/>
      <w:bookmarkStart w:id="230" w:name="_Toc236391898"/>
      <w:bookmarkStart w:id="231" w:name="_Toc236394040"/>
      <w:r>
        <w:rPr>
          <w:rFonts w:eastAsiaTheme="minorEastAsia"/>
        </w:rPr>
        <w:t>Step 1. Determination of the initial downward adjustment (</w:t>
      </w:r>
      <w:r w:rsidRPr="003339F2">
        <w:rPr>
          <w:rFonts w:eastAsiaTheme="minorEastAsia"/>
          <w:i/>
          <w:iCs/>
        </w:rPr>
        <w:t>DA</w:t>
      </w:r>
      <w:r w:rsidRPr="003339F2">
        <w:rPr>
          <w:rFonts w:eastAsiaTheme="minorEastAsia"/>
          <w:i/>
          <w:iCs/>
          <w:vertAlign w:val="subscript"/>
        </w:rPr>
        <w:t>initial</w:t>
      </w:r>
      <w:r>
        <w:rPr>
          <w:rFonts w:eastAsiaTheme="minorEastAsia"/>
        </w:rPr>
        <w:t>)</w:t>
      </w:r>
      <w:bookmarkEnd w:id="224"/>
      <w:bookmarkEnd w:id="225"/>
      <w:bookmarkEnd w:id="226"/>
      <w:bookmarkEnd w:id="227"/>
      <w:bookmarkEnd w:id="228"/>
      <w:bookmarkEnd w:id="229"/>
      <w:bookmarkEnd w:id="230"/>
      <w:bookmarkEnd w:id="231"/>
    </w:p>
    <w:p w14:paraId="3D8BA0E1" w14:textId="3B15D4E9" w:rsidR="00556EFD" w:rsidRPr="00B3692A" w:rsidRDefault="00B3692A" w:rsidP="0023388D">
      <w:pPr>
        <w:pStyle w:val="SDMPara"/>
      </w:pPr>
      <w:r w:rsidRPr="00DC1A69">
        <w:rPr>
          <w:rFonts w:eastAsiaTheme="minorEastAsia"/>
        </w:rPr>
        <w:t xml:space="preserve">The </w:t>
      </w:r>
      <w:r>
        <w:rPr>
          <w:rFonts w:eastAsiaTheme="minorEastAsia"/>
        </w:rPr>
        <w:t>sub-</w:t>
      </w:r>
      <w:r w:rsidRPr="00DC1A69">
        <w:rPr>
          <w:rFonts w:eastAsiaTheme="minorEastAsia"/>
        </w:rPr>
        <w:t xml:space="preserve">steps below shall be followed to determine the initial downward adjustment </w:t>
      </w:r>
      <w:r>
        <w:rPr>
          <w:rFonts w:eastAsiaTheme="minorEastAsia"/>
        </w:rPr>
        <w:t xml:space="preserve">for baseline emissions </w:t>
      </w:r>
      <w:r w:rsidRPr="00DC1A69">
        <w:rPr>
          <w:rFonts w:eastAsiaTheme="minorEastAsia"/>
        </w:rPr>
        <w:t>from electricity generation (</w:t>
      </w:r>
      <w:r w:rsidRPr="00DC1A69">
        <w:rPr>
          <w:rFonts w:eastAsiaTheme="minorEastAsia"/>
          <w:i/>
          <w:iCs/>
        </w:rPr>
        <w:t>DA</w:t>
      </w:r>
      <w:r w:rsidRPr="00DC1A69">
        <w:rPr>
          <w:rFonts w:eastAsiaTheme="minorEastAsia"/>
          <w:i/>
          <w:iCs/>
          <w:vertAlign w:val="subscript"/>
        </w:rPr>
        <w:t>initial</w:t>
      </w:r>
      <w:r w:rsidRPr="00DC1A69">
        <w:rPr>
          <w:rFonts w:eastAsiaTheme="minorEastAsia"/>
        </w:rPr>
        <w:t>)</w:t>
      </w:r>
      <w:r>
        <w:rPr>
          <w:rFonts w:eastAsiaTheme="minorEastAsia"/>
        </w:rPr>
        <w:t>.</w:t>
      </w:r>
    </w:p>
    <w:p w14:paraId="6C3C99E3" w14:textId="3E77B0F9" w:rsidR="00B3692A" w:rsidRDefault="000812CF" w:rsidP="000812CF">
      <w:pPr>
        <w:pStyle w:val="SDMHead4"/>
      </w:pPr>
      <w:r w:rsidRPr="00191C5E">
        <w:rPr>
          <w:rFonts w:eastAsiaTheme="minorEastAsia"/>
        </w:rPr>
        <w:t>Step 1.1</w:t>
      </w:r>
      <w:r>
        <w:rPr>
          <w:rFonts w:eastAsiaTheme="minorEastAsia"/>
        </w:rPr>
        <w:t>.</w:t>
      </w:r>
      <w:r w:rsidRPr="00191C5E">
        <w:rPr>
          <w:rFonts w:eastAsiaTheme="minorEastAsia"/>
        </w:rPr>
        <w:t xml:space="preserve"> Determine the initial downward adjustment based on uncertainty</w:t>
      </w:r>
      <w:r>
        <w:rPr>
          <w:rFonts w:eastAsiaTheme="minorEastAsia"/>
        </w:rPr>
        <w:t xml:space="preserve"> </w:t>
      </w:r>
      <w:r w:rsidRPr="00191C5E">
        <w:rPr>
          <w:rFonts w:eastAsiaTheme="minorEastAsia"/>
        </w:rPr>
        <w:t>(</w:t>
      </w:r>
      <w:r w:rsidRPr="00191C5E">
        <w:rPr>
          <w:rFonts w:eastAsiaTheme="minorEastAsia"/>
          <w:i/>
          <w:iCs/>
        </w:rPr>
        <w:t>DA</w:t>
      </w:r>
      <w:r w:rsidRPr="004911DE">
        <w:rPr>
          <w:rFonts w:eastAsiaTheme="minorEastAsia"/>
          <w:i/>
          <w:iCs/>
          <w:vertAlign w:val="subscript"/>
        </w:rPr>
        <w:t>initial,</w:t>
      </w:r>
      <w:r w:rsidRPr="00191C5E">
        <w:rPr>
          <w:rFonts w:eastAsiaTheme="minorEastAsia"/>
          <w:i/>
          <w:iCs/>
          <w:vertAlign w:val="subscript"/>
        </w:rPr>
        <w:t>UNC</w:t>
      </w:r>
      <w:r w:rsidRPr="00191C5E">
        <w:rPr>
          <w:rFonts w:eastAsiaTheme="minorEastAsia"/>
        </w:rPr>
        <w:t>)</w:t>
      </w:r>
    </w:p>
    <w:p w14:paraId="05BFC76E" w14:textId="214E9F2D" w:rsidR="007F7D23" w:rsidRPr="00BD4DEB" w:rsidRDefault="00BD4DEB" w:rsidP="00EC00DE">
      <w:pPr>
        <w:pStyle w:val="SDMPara"/>
        <w:keepNext/>
      </w:pPr>
      <w:r w:rsidRPr="007F7D23">
        <w:rPr>
          <w:rFonts w:eastAsiaTheme="minorEastAsia"/>
        </w:rPr>
        <w:t>Activity</w:t>
      </w:r>
      <w:r w:rsidRPr="007F7D23">
        <w:rPr>
          <w:rFonts w:eastAsiaTheme="minorEastAsia"/>
          <w:lang w:val="en-US"/>
        </w:rPr>
        <w:t xml:space="preserve"> participants shall determine the initial downward adjustment as the uncertainty at the lower bound of the 95 per cent confidence interval relative to the central estimate of the estimated unadjusted baseline emissions from electricity generation from the Article 6.4 activity during the first crediting period </w:t>
      </w:r>
      <w:r w:rsidRPr="007F7D23">
        <w:rPr>
          <w:i/>
          <w:iCs/>
        </w:rPr>
        <w:t>(UNC</w:t>
      </w:r>
      <w:r w:rsidRPr="007F7D23">
        <w:rPr>
          <w:i/>
          <w:iCs/>
          <w:vertAlign w:val="subscript"/>
        </w:rPr>
        <w:t>BE,EG,CP1</w:t>
      </w:r>
      <w:r w:rsidRPr="007F7D23">
        <w:rPr>
          <w:i/>
          <w:iCs/>
        </w:rPr>
        <w:t>)</w:t>
      </w:r>
      <w:r w:rsidRPr="007F7D23">
        <w:rPr>
          <w:rFonts w:eastAsiaTheme="minorEastAsia"/>
          <w:lang w:val="en-US"/>
        </w:rPr>
        <w:t xml:space="preserve">, </w:t>
      </w:r>
      <w:r w:rsidRPr="007F7D23">
        <w:rPr>
          <w:lang w:val="en-US"/>
        </w:rPr>
        <w:t>as follows:</w:t>
      </w:r>
    </w:p>
    <w:tbl>
      <w:tblPr>
        <w:tblStyle w:val="SDMMethTableEquation"/>
        <w:tblW w:w="8760" w:type="dxa"/>
        <w:tblLook w:val="0600" w:firstRow="0" w:lastRow="0" w:firstColumn="0" w:lastColumn="0" w:noHBand="1" w:noVBand="1"/>
      </w:tblPr>
      <w:tblGrid>
        <w:gridCol w:w="7094"/>
        <w:gridCol w:w="1666"/>
      </w:tblGrid>
      <w:tr w:rsidR="00BD4DEB" w:rsidRPr="00E32F75" w14:paraId="18345819" w14:textId="77777777" w:rsidTr="00690A70">
        <w:tc>
          <w:tcPr>
            <w:tcW w:w="7224" w:type="dxa"/>
          </w:tcPr>
          <w:p w14:paraId="38231C6A" w14:textId="3F878A27" w:rsidR="00BD4DEB"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initial,UNC</m:t>
                    </m:r>
                  </m:sub>
                </m:sSub>
                <m:r>
                  <w:rPr>
                    <w:rFonts w:ascii="Cambria Math" w:hAnsi="Cambria Math"/>
                  </w:rPr>
                  <m:t>=</m:t>
                </m:r>
                <m:sSub>
                  <m:sSubPr>
                    <m:ctrlPr>
                      <w:rPr>
                        <w:rFonts w:ascii="Cambria Math" w:hAnsi="Cambria Math"/>
                        <w:i/>
                      </w:rPr>
                    </m:ctrlPr>
                  </m:sSubPr>
                  <m:e>
                    <m:r>
                      <w:rPr>
                        <w:rFonts w:ascii="Cambria Math" w:hAnsi="Cambria Math"/>
                      </w:rPr>
                      <m:t>UNC</m:t>
                    </m:r>
                  </m:e>
                  <m:sub>
                    <m:r>
                      <w:rPr>
                        <w:rFonts w:ascii="Cambria Math" w:hAnsi="Cambria Math"/>
                      </w:rPr>
                      <m:t>BE,EG,CP1</m:t>
                    </m:r>
                  </m:sub>
                </m:sSub>
              </m:oMath>
            </m:oMathPara>
          </w:p>
        </w:tc>
        <w:tc>
          <w:tcPr>
            <w:tcW w:w="1701" w:type="dxa"/>
          </w:tcPr>
          <w:p w14:paraId="3605D11F" w14:textId="77777777" w:rsidR="00BD4DEB" w:rsidRPr="002B6960" w:rsidRDefault="00BD4DEB" w:rsidP="007255A3">
            <w:pPr>
              <w:pStyle w:val="SDMMethEquationNr"/>
              <w:numPr>
                <w:ilvl w:val="0"/>
                <w:numId w:val="21"/>
              </w:numPr>
            </w:pPr>
          </w:p>
        </w:tc>
      </w:tr>
    </w:tbl>
    <w:p w14:paraId="2B2475A6" w14:textId="77777777" w:rsidR="00BD4DEB" w:rsidRDefault="00BD4DEB"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BD4DEB" w14:paraId="564B590E" w14:textId="77777777" w:rsidTr="00F40B8C">
        <w:tc>
          <w:tcPr>
            <w:tcW w:w="1701" w:type="dxa"/>
            <w:vAlign w:val="top"/>
          </w:tcPr>
          <w:p w14:paraId="30C22E7B" w14:textId="35839BB4" w:rsidR="00BD4DEB" w:rsidRPr="007B1BE5" w:rsidRDefault="0039641B" w:rsidP="00F40B8C">
            <w:pPr>
              <w:pStyle w:val="SDMTableBoxParaNotNumbered"/>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initial,UNC</m:t>
                    </m:r>
                  </m:sub>
                </m:sSub>
              </m:oMath>
            </m:oMathPara>
          </w:p>
        </w:tc>
        <w:tc>
          <w:tcPr>
            <w:tcW w:w="345" w:type="dxa"/>
            <w:vAlign w:val="top"/>
          </w:tcPr>
          <w:p w14:paraId="247E01F9" w14:textId="77777777" w:rsidR="00BD4DEB" w:rsidRDefault="00BD4DEB" w:rsidP="00F40B8C">
            <w:pPr>
              <w:pStyle w:val="SDMTableBoxParaNotNumbered"/>
            </w:pPr>
            <w:r>
              <w:t>=</w:t>
            </w:r>
          </w:p>
        </w:tc>
        <w:tc>
          <w:tcPr>
            <w:tcW w:w="0" w:type="auto"/>
          </w:tcPr>
          <w:p w14:paraId="111E6668" w14:textId="425EE02E" w:rsidR="00BD4DEB" w:rsidRDefault="00FC0007" w:rsidP="00690A70">
            <w:pPr>
              <w:pStyle w:val="SDMTableBoxParaNotNumbered"/>
            </w:pPr>
            <w:r>
              <w:t>Initial d</w:t>
            </w:r>
            <w:r w:rsidRPr="006412EC">
              <w:t xml:space="preserve">ownward </w:t>
            </w:r>
            <w:r>
              <w:t xml:space="preserve">adjustment for baseline emissions from electricity generation </w:t>
            </w:r>
            <w:r w:rsidRPr="006412EC">
              <w:t>based on uncertainty (</w:t>
            </w:r>
            <w:r>
              <w:t>Dimensionless</w:t>
            </w:r>
            <w:r w:rsidRPr="006412EC">
              <w:t>)</w:t>
            </w:r>
          </w:p>
        </w:tc>
      </w:tr>
      <w:tr w:rsidR="00BD4DEB" w14:paraId="3C464A70" w14:textId="77777777" w:rsidTr="00F40B8C">
        <w:tc>
          <w:tcPr>
            <w:tcW w:w="1701" w:type="dxa"/>
            <w:vAlign w:val="top"/>
          </w:tcPr>
          <w:p w14:paraId="23A44D8C" w14:textId="447F89F5" w:rsidR="00BD4DEB" w:rsidRPr="007B1BE5" w:rsidRDefault="0039641B" w:rsidP="00F40B8C">
            <w:pPr>
              <w:pStyle w:val="SDMTableBoxParaNotNumbered"/>
            </w:pPr>
            <m:oMathPara>
              <m:oMathParaPr>
                <m:jc m:val="left"/>
              </m:oMathParaPr>
              <m:oMath>
                <m:sSub>
                  <m:sSubPr>
                    <m:ctrlPr>
                      <w:rPr>
                        <w:rFonts w:ascii="Cambria Math" w:hAnsi="Cambria Math" w:cs="Arial"/>
                        <w:i/>
                        <w:sz w:val="22"/>
                        <w:szCs w:val="22"/>
                      </w:rPr>
                    </m:ctrlPr>
                  </m:sSubPr>
                  <m:e>
                    <m:r>
                      <w:rPr>
                        <w:rFonts w:ascii="Cambria Math" w:hAnsi="Cambria Math"/>
                      </w:rPr>
                      <m:t>UNC</m:t>
                    </m:r>
                  </m:e>
                  <m:sub>
                    <m:r>
                      <w:rPr>
                        <w:rFonts w:ascii="Cambria Math" w:hAnsi="Cambria Math" w:cs="Arial"/>
                        <w:sz w:val="22"/>
                        <w:szCs w:val="22"/>
                      </w:rPr>
                      <m:t>BE,EG,CP1</m:t>
                    </m:r>
                  </m:sub>
                </m:sSub>
              </m:oMath>
            </m:oMathPara>
          </w:p>
        </w:tc>
        <w:tc>
          <w:tcPr>
            <w:tcW w:w="345" w:type="dxa"/>
            <w:vAlign w:val="top"/>
          </w:tcPr>
          <w:p w14:paraId="713FB711" w14:textId="77777777" w:rsidR="00BD4DEB" w:rsidRDefault="00BD4DEB" w:rsidP="00F40B8C">
            <w:pPr>
              <w:pStyle w:val="SDMTableBoxParaNotNumbered"/>
            </w:pPr>
            <w:r>
              <w:t>=</w:t>
            </w:r>
          </w:p>
        </w:tc>
        <w:tc>
          <w:tcPr>
            <w:tcW w:w="0" w:type="auto"/>
          </w:tcPr>
          <w:p w14:paraId="345F04C2" w14:textId="5999DEB7" w:rsidR="00BD4DEB" w:rsidRDefault="007B1BE5" w:rsidP="00690A70">
            <w:pPr>
              <w:pStyle w:val="SDMTableBoxParaNotNumbered"/>
            </w:pPr>
            <w:r w:rsidRPr="006412EC">
              <w:t xml:space="preserve">Uncertainty of </w:t>
            </w:r>
            <w:r>
              <w:t xml:space="preserve">the unadjusted </w:t>
            </w:r>
            <w:r w:rsidRPr="006412EC">
              <w:t xml:space="preserve">baseline emissions </w:t>
            </w:r>
            <w:r>
              <w:t xml:space="preserve">from electricity generation during the first crediting period </w:t>
            </w:r>
            <w:r w:rsidRPr="006412EC">
              <w:t>(fraction)</w:t>
            </w:r>
          </w:p>
        </w:tc>
      </w:tr>
    </w:tbl>
    <w:p w14:paraId="2021C3BE" w14:textId="7BF1661C" w:rsidR="00924497" w:rsidRDefault="006176D5" w:rsidP="0023388D">
      <w:pPr>
        <w:pStyle w:val="SDMPara"/>
      </w:pPr>
      <w:bookmarkStart w:id="232" w:name="_Ref233143243"/>
      <w:r w:rsidRPr="00097878">
        <w:t xml:space="preserve">The </w:t>
      </w:r>
      <w:r>
        <w:t>u</w:t>
      </w:r>
      <w:r w:rsidRPr="00097878">
        <w:t xml:space="preserve">ncertainty of the unadjusted baseline emissions from electricity generation during the first crediting period </w:t>
      </w:r>
      <w:r w:rsidRPr="007B0DEC">
        <w:rPr>
          <w:i/>
          <w:iCs/>
        </w:rPr>
        <w:t>(UNC</w:t>
      </w:r>
      <w:r w:rsidRPr="007B0DEC">
        <w:rPr>
          <w:i/>
          <w:iCs/>
          <w:vertAlign w:val="subscript"/>
        </w:rPr>
        <w:t>BE,EG,CP1</w:t>
      </w:r>
      <w:r w:rsidRPr="007B0DEC">
        <w:rPr>
          <w:i/>
          <w:iCs/>
        </w:rPr>
        <w:t>)</w:t>
      </w:r>
      <w:r w:rsidRPr="00097878">
        <w:t xml:space="preserve"> shall be determined</w:t>
      </w:r>
      <w:r>
        <w:t xml:space="preserve"> ex-ante in the PDD, </w:t>
      </w:r>
      <w:r w:rsidRPr="008E665B">
        <w:rPr>
          <w:lang w:val="en-US"/>
        </w:rPr>
        <w:t xml:space="preserve">following the relevant provisions in the “Methodological tool: </w:t>
      </w:r>
      <w:r w:rsidRPr="008E665B">
        <w:rPr>
          <w:rFonts w:eastAsia="Arial"/>
          <w:color w:val="000000" w:themeColor="text1"/>
          <w:lang w:val="en-US"/>
        </w:rPr>
        <w:t>Emissions from electricity generation and consumption” (</w:t>
      </w:r>
      <w:r w:rsidRPr="008E665B">
        <w:rPr>
          <w:lang w:val="en-US"/>
        </w:rPr>
        <w:t>A6.4-AMT-007)</w:t>
      </w:r>
      <w:r>
        <w:rPr>
          <w:lang w:val="en-US"/>
        </w:rPr>
        <w:t xml:space="preserve">. </w:t>
      </w:r>
      <w:r w:rsidRPr="00873A46">
        <w:t>In applying the tool</w:t>
      </w:r>
      <w:r>
        <w:t>,</w:t>
      </w:r>
      <w:r w:rsidRPr="00873A46">
        <w:t xml:space="preserve"> activity participants shall consider uncertainty in both emission factor for electricity </w:t>
      </w:r>
      <w:r>
        <w:t>generation</w:t>
      </w:r>
      <w:r w:rsidRPr="00873A46">
        <w:t xml:space="preserve">, following the provisions </w:t>
      </w:r>
      <w:r>
        <w:t>in</w:t>
      </w:r>
      <w:r w:rsidRPr="00873A46">
        <w:t xml:space="preserve"> the tool, and the </w:t>
      </w:r>
      <w:r w:rsidRPr="00B61C0A">
        <w:t xml:space="preserve">electricity generation eligible for crediting from the </w:t>
      </w:r>
      <w:r w:rsidRPr="007F4509">
        <w:t>Article</w:t>
      </w:r>
      <w:r>
        <w:t> </w:t>
      </w:r>
      <w:r w:rsidRPr="007F4509">
        <w:t xml:space="preserve">6.4 </w:t>
      </w:r>
      <w:r w:rsidRPr="00B61C0A">
        <w:t>activity (</w:t>
      </w:r>
      <w:r w:rsidRPr="007338D7">
        <w:rPr>
          <w:i/>
          <w:iCs/>
        </w:rPr>
        <w:t>EG</w:t>
      </w:r>
      <w:r w:rsidRPr="007338D7">
        <w:rPr>
          <w:i/>
          <w:iCs/>
          <w:vertAlign w:val="subscript"/>
        </w:rPr>
        <w:t>PJ,y</w:t>
      </w:r>
      <w:r w:rsidRPr="00B61C0A">
        <w:t xml:space="preserve"> or </w:t>
      </w:r>
      <w:r w:rsidRPr="007338D7">
        <w:rPr>
          <w:i/>
          <w:iCs/>
        </w:rPr>
        <w:t>EG</w:t>
      </w:r>
      <w:r w:rsidRPr="007338D7">
        <w:rPr>
          <w:i/>
          <w:iCs/>
          <w:vertAlign w:val="subscript"/>
        </w:rPr>
        <w:t>PJ,h</w:t>
      </w:r>
      <w:r w:rsidRPr="00B61C0A">
        <w:t>)</w:t>
      </w:r>
      <w:r w:rsidRPr="00873A46">
        <w:t>. Activity participants shall document the uncertainties assigned to each parameter, specify assumptions made, and include any associated references for estimating the uncertainties of parameters in the PDD. This documentation and the derivation of the overall uncertainty through error propagation or Monte Carlo simulation methods, shall be provided together with the PDD (e.g., in a spreadsheet).</w:t>
      </w:r>
      <w:bookmarkEnd w:id="232"/>
    </w:p>
    <w:p w14:paraId="3BFEC130" w14:textId="2633F210" w:rsidR="00924497" w:rsidRDefault="0000544A" w:rsidP="0000544A">
      <w:pPr>
        <w:pStyle w:val="SDMHead4"/>
      </w:pPr>
      <w:r w:rsidRPr="00C43DBF">
        <w:rPr>
          <w:rFonts w:eastAsiaTheme="minorEastAsia" w:hint="eastAsia"/>
        </w:rPr>
        <w:t>Step</w:t>
      </w:r>
      <w:r w:rsidRPr="00C43DBF">
        <w:rPr>
          <w:rFonts w:eastAsiaTheme="minorEastAsia"/>
        </w:rPr>
        <w:t> 1.2</w:t>
      </w:r>
      <w:r w:rsidRPr="00C43DBF">
        <w:rPr>
          <w:rFonts w:eastAsiaTheme="minorEastAsia" w:hint="eastAsia"/>
        </w:rPr>
        <w:t xml:space="preserve">. Determine the minimum </w:t>
      </w:r>
      <w:r w:rsidRPr="00C43DBF">
        <w:rPr>
          <w:rFonts w:eastAsiaTheme="minorEastAsia"/>
        </w:rPr>
        <w:t xml:space="preserve">initial </w:t>
      </w:r>
      <w:r w:rsidRPr="00C43DBF">
        <w:rPr>
          <w:rFonts w:eastAsiaTheme="minorEastAsia" w:hint="eastAsia"/>
        </w:rPr>
        <w:t xml:space="preserve">downward </w:t>
      </w:r>
      <w:r w:rsidRPr="00C43DBF">
        <w:rPr>
          <w:rFonts w:eastAsiaTheme="minorEastAsia"/>
        </w:rPr>
        <w:t>adjustment</w:t>
      </w:r>
      <w:r w:rsidRPr="00C43DBF">
        <w:rPr>
          <w:rFonts w:eastAsiaTheme="minorEastAsia" w:hint="eastAsia"/>
        </w:rPr>
        <w:t xml:space="preserve"> (</w:t>
      </w:r>
      <w:r w:rsidRPr="00C43DBF">
        <w:rPr>
          <w:rFonts w:eastAsiaTheme="minorEastAsia"/>
          <w:i/>
          <w:iCs/>
        </w:rPr>
        <w:t>DA</w:t>
      </w:r>
      <w:r>
        <w:rPr>
          <w:rFonts w:eastAsiaTheme="minorEastAsia"/>
          <w:i/>
          <w:iCs/>
          <w:vertAlign w:val="subscript"/>
        </w:rPr>
        <w:t>initial,m</w:t>
      </w:r>
      <w:r w:rsidRPr="00C43DBF">
        <w:rPr>
          <w:rFonts w:eastAsiaTheme="minorEastAsia"/>
          <w:i/>
          <w:iCs/>
          <w:vertAlign w:val="subscript"/>
        </w:rPr>
        <w:t>in</w:t>
      </w:r>
      <w:r w:rsidRPr="00C43DBF">
        <w:rPr>
          <w:rFonts w:eastAsiaTheme="minorEastAsia" w:hint="eastAsia"/>
        </w:rPr>
        <w:t>)</w:t>
      </w:r>
    </w:p>
    <w:p w14:paraId="17F18F93" w14:textId="485EF992" w:rsidR="00924497" w:rsidRDefault="00181AF8" w:rsidP="00EC00DE">
      <w:pPr>
        <w:pStyle w:val="SDMPara"/>
        <w:keepNext/>
      </w:pPr>
      <w:r w:rsidRPr="008E789D">
        <w:rPr>
          <w:rFonts w:eastAsia="SimSun"/>
          <w:lang w:eastAsia="zh-CN"/>
        </w:rPr>
        <w:t>T</w:t>
      </w:r>
      <w:r w:rsidRPr="00281F5A">
        <w:rPr>
          <w:rFonts w:eastAsia="SimSun"/>
          <w:lang w:eastAsia="zh-CN"/>
        </w:rPr>
        <w:t xml:space="preserve">he </w:t>
      </w:r>
      <w:r w:rsidRPr="00516760">
        <w:rPr>
          <w:lang w:val="en-US"/>
        </w:rPr>
        <w:t>minimum</w:t>
      </w:r>
      <w:r w:rsidRPr="00281F5A">
        <w:rPr>
          <w:rFonts w:eastAsia="SimSun"/>
          <w:lang w:eastAsia="zh-CN"/>
        </w:rPr>
        <w:t xml:space="preserve"> initial downward adjustment (</w:t>
      </w:r>
      <w:r w:rsidRPr="00281F5A">
        <w:rPr>
          <w:i/>
          <w:iCs/>
        </w:rPr>
        <w:t>DA</w:t>
      </w:r>
      <w:r w:rsidRPr="00281F5A">
        <w:rPr>
          <w:i/>
          <w:iCs/>
          <w:vertAlign w:val="subscript"/>
        </w:rPr>
        <w:t>initial,min</w:t>
      </w:r>
      <w:r w:rsidRPr="00281F5A">
        <w:rPr>
          <w:rFonts w:eastAsia="SimSun"/>
          <w:lang w:eastAsia="zh-CN"/>
        </w:rPr>
        <w:t>) shall be determined as follows:</w:t>
      </w:r>
    </w:p>
    <w:tbl>
      <w:tblPr>
        <w:tblStyle w:val="SDMMethTableEquation"/>
        <w:tblW w:w="8760" w:type="dxa"/>
        <w:tblLook w:val="0600" w:firstRow="0" w:lastRow="0" w:firstColumn="0" w:lastColumn="0" w:noHBand="1" w:noVBand="1"/>
      </w:tblPr>
      <w:tblGrid>
        <w:gridCol w:w="7096"/>
        <w:gridCol w:w="1664"/>
      </w:tblGrid>
      <w:tr w:rsidR="00181AF8" w:rsidRPr="00E32F75" w14:paraId="5C81B041" w14:textId="77777777" w:rsidTr="00690A70">
        <w:tc>
          <w:tcPr>
            <w:tcW w:w="7224" w:type="dxa"/>
          </w:tcPr>
          <w:p w14:paraId="6DF80830" w14:textId="2E28518D" w:rsidR="00181AF8"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initial,min</m:t>
                    </m:r>
                  </m:sub>
                </m:sSub>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BE</m:t>
                            </m:r>
                          </m:e>
                          <m:sub>
                            <m:r>
                              <w:rPr>
                                <w:rFonts w:ascii="Cambria Math" w:hAnsi="Cambria Math"/>
                              </w:rPr>
                              <m:t>EG,y1</m:t>
                            </m:r>
                          </m:sub>
                        </m:sSub>
                        <m:r>
                          <w:rPr>
                            <w:rFonts w:ascii="Cambria Math" w:hAnsi="Cambria Math"/>
                          </w:rPr>
                          <m:t>-</m:t>
                        </m:r>
                        <m:sSub>
                          <m:sSubPr>
                            <m:ctrlPr>
                              <w:rPr>
                                <w:rFonts w:ascii="Cambria Math" w:hAnsi="Cambria Math"/>
                                <w:i/>
                              </w:rPr>
                            </m:ctrlPr>
                          </m:sSubPr>
                          <m:e>
                            <m:r>
                              <w:rPr>
                                <w:rFonts w:ascii="Cambria Math" w:hAnsi="Cambria Math"/>
                              </w:rPr>
                              <m:t>AE</m:t>
                            </m:r>
                          </m:e>
                          <m:sub>
                            <m:r>
                              <w:rPr>
                                <w:rFonts w:ascii="Cambria Math" w:hAnsi="Cambria Math"/>
                              </w:rPr>
                              <m:t>y1</m:t>
                            </m:r>
                          </m:sub>
                        </m:sSub>
                      </m:e>
                    </m:d>
                  </m:num>
                  <m:den>
                    <m:sSub>
                      <m:sSubPr>
                        <m:ctrlPr>
                          <w:rPr>
                            <w:rFonts w:ascii="Cambria Math" w:hAnsi="Cambria Math"/>
                            <w:i/>
                          </w:rPr>
                        </m:ctrlPr>
                      </m:sSubPr>
                      <m:e>
                        <m:r>
                          <w:rPr>
                            <w:rFonts w:ascii="Cambria Math" w:hAnsi="Cambria Math"/>
                          </w:rPr>
                          <m:t>BE</m:t>
                        </m:r>
                      </m:e>
                      <m:sub>
                        <m:r>
                          <w:rPr>
                            <w:rFonts w:ascii="Cambria Math" w:hAnsi="Cambria Math"/>
                          </w:rPr>
                          <m:t>EG,y1</m:t>
                        </m:r>
                      </m:sub>
                    </m:sSub>
                  </m:den>
                </m:f>
                <m:r>
                  <w:rPr>
                    <w:rFonts w:ascii="Cambria Math" w:hAnsi="Cambria Math"/>
                  </w:rPr>
                  <m:t xml:space="preserve">×0.1 </m:t>
                </m:r>
              </m:oMath>
            </m:oMathPara>
          </w:p>
        </w:tc>
        <w:tc>
          <w:tcPr>
            <w:tcW w:w="1701" w:type="dxa"/>
          </w:tcPr>
          <w:p w14:paraId="5F5F0CFA" w14:textId="77777777" w:rsidR="00181AF8" w:rsidRPr="002B6960" w:rsidRDefault="00181AF8" w:rsidP="007255A3">
            <w:pPr>
              <w:pStyle w:val="SDMMethEquationNr"/>
              <w:numPr>
                <w:ilvl w:val="0"/>
                <w:numId w:val="21"/>
              </w:numPr>
            </w:pPr>
          </w:p>
        </w:tc>
      </w:tr>
    </w:tbl>
    <w:p w14:paraId="76539ADB" w14:textId="77777777" w:rsidR="00181AF8" w:rsidRDefault="00181AF8"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181AF8" w14:paraId="0185ED40" w14:textId="77777777" w:rsidTr="00F40B8C">
        <w:tc>
          <w:tcPr>
            <w:tcW w:w="1701" w:type="dxa"/>
            <w:vAlign w:val="top"/>
          </w:tcPr>
          <w:p w14:paraId="0068BD52" w14:textId="5ABC5EE2" w:rsidR="00181AF8" w:rsidRPr="007C1825" w:rsidRDefault="0039641B" w:rsidP="00F40B8C">
            <w:pPr>
              <w:pStyle w:val="SDMTableBoxParaNotNumbered"/>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initial,min</m:t>
                    </m:r>
                  </m:sub>
                </m:sSub>
              </m:oMath>
            </m:oMathPara>
          </w:p>
        </w:tc>
        <w:tc>
          <w:tcPr>
            <w:tcW w:w="345" w:type="dxa"/>
            <w:vAlign w:val="top"/>
          </w:tcPr>
          <w:p w14:paraId="4D33ACB5" w14:textId="77777777" w:rsidR="00181AF8" w:rsidRDefault="00181AF8" w:rsidP="00F40B8C">
            <w:pPr>
              <w:pStyle w:val="SDMTableBoxParaNotNumbered"/>
            </w:pPr>
            <w:r>
              <w:t>=</w:t>
            </w:r>
          </w:p>
        </w:tc>
        <w:tc>
          <w:tcPr>
            <w:tcW w:w="0" w:type="auto"/>
          </w:tcPr>
          <w:p w14:paraId="52758541" w14:textId="73856092" w:rsidR="00181AF8" w:rsidRDefault="00D92340" w:rsidP="00690A70">
            <w:pPr>
              <w:pStyle w:val="SDMTableBoxParaNotNumbered"/>
            </w:pPr>
            <w:r w:rsidRPr="00281F5A">
              <w:t>Minimum initial downward adjustment for baseline emissions from electricity generation (dimensionless)</w:t>
            </w:r>
          </w:p>
        </w:tc>
      </w:tr>
      <w:tr w:rsidR="00181AF8" w14:paraId="119CD52B" w14:textId="77777777" w:rsidTr="00F40B8C">
        <w:tc>
          <w:tcPr>
            <w:tcW w:w="1701" w:type="dxa"/>
            <w:vAlign w:val="top"/>
          </w:tcPr>
          <w:p w14:paraId="09EB738A" w14:textId="45AD4D76" w:rsidR="00181AF8" w:rsidRPr="007C1825" w:rsidRDefault="0039641B" w:rsidP="00F40B8C">
            <w:pPr>
              <w:pStyle w:val="SDMTableBoxParaNotNumbered"/>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EG,y1</m:t>
                    </m:r>
                  </m:sub>
                </m:sSub>
              </m:oMath>
            </m:oMathPara>
          </w:p>
        </w:tc>
        <w:tc>
          <w:tcPr>
            <w:tcW w:w="345" w:type="dxa"/>
            <w:vAlign w:val="top"/>
          </w:tcPr>
          <w:p w14:paraId="28BC2CF5" w14:textId="77777777" w:rsidR="00181AF8" w:rsidRDefault="00181AF8" w:rsidP="00F40B8C">
            <w:pPr>
              <w:pStyle w:val="SDMTableBoxParaNotNumbered"/>
            </w:pPr>
            <w:r>
              <w:t>=</w:t>
            </w:r>
          </w:p>
        </w:tc>
        <w:tc>
          <w:tcPr>
            <w:tcW w:w="0" w:type="auto"/>
          </w:tcPr>
          <w:p w14:paraId="56157E58" w14:textId="64615FD9" w:rsidR="00181AF8" w:rsidRDefault="001102E6" w:rsidP="00690A70">
            <w:pPr>
              <w:pStyle w:val="SDMTableBoxParaNotNumbered"/>
            </w:pPr>
            <w:r w:rsidRPr="00281F5A">
              <w:rPr>
                <w:rFonts w:eastAsia="Arial"/>
                <w:lang w:val="en-US"/>
              </w:rPr>
              <w:t xml:space="preserve">Unadjusted </w:t>
            </w:r>
            <w:r w:rsidRPr="00281F5A">
              <w:rPr>
                <w:lang w:val="en-US"/>
              </w:rPr>
              <w:t>baseline</w:t>
            </w:r>
            <w:r w:rsidRPr="00281F5A">
              <w:rPr>
                <w:rFonts w:eastAsia="Arial"/>
                <w:lang w:val="en-US"/>
              </w:rPr>
              <w:t xml:space="preserve"> emissions from electricity generation i</w:t>
            </w:r>
            <w:r w:rsidRPr="00281F5A">
              <w:t>n year </w:t>
            </w:r>
            <w:r w:rsidRPr="00281F5A">
              <w:rPr>
                <w:i/>
                <w:iCs/>
              </w:rPr>
              <w:t>y</w:t>
            </w:r>
            <w:r w:rsidRPr="00281F5A">
              <w:rPr>
                <w:i/>
                <w:iCs/>
                <w:vertAlign w:val="subscript"/>
              </w:rPr>
              <w:t>1</w:t>
            </w:r>
            <w:r w:rsidRPr="00281F5A">
              <w:t xml:space="preserve"> (t</w:t>
            </w:r>
            <w:r>
              <w:t> </w:t>
            </w:r>
            <w:r w:rsidRPr="00281F5A">
              <w:t>CO</w:t>
            </w:r>
            <w:r w:rsidRPr="00281F5A">
              <w:rPr>
                <w:vertAlign w:val="subscript"/>
              </w:rPr>
              <w:t>2</w:t>
            </w:r>
            <w:r w:rsidRPr="00281F5A">
              <w:t>eq)</w:t>
            </w:r>
          </w:p>
        </w:tc>
      </w:tr>
      <w:tr w:rsidR="00181AF8" w14:paraId="7DE88EAD" w14:textId="77777777" w:rsidTr="00F40B8C">
        <w:tc>
          <w:tcPr>
            <w:tcW w:w="1701" w:type="dxa"/>
            <w:vAlign w:val="top"/>
          </w:tcPr>
          <w:p w14:paraId="48AA90A9" w14:textId="57349621" w:rsidR="00181AF8" w:rsidRPr="007C1825" w:rsidRDefault="0039641B" w:rsidP="00F40B8C">
            <w:pPr>
              <w:pStyle w:val="SDMTableBoxParaNotNumbered"/>
            </w:pPr>
            <m:oMathPara>
              <m:oMathParaPr>
                <m:jc m:val="left"/>
              </m:oMathParaPr>
              <m:oMath>
                <m:sSub>
                  <m:sSubPr>
                    <m:ctrlPr>
                      <w:rPr>
                        <w:rFonts w:ascii="Cambria Math" w:hAnsi="Cambria Math"/>
                        <w:i/>
                      </w:rPr>
                    </m:ctrlPr>
                  </m:sSubPr>
                  <m:e>
                    <m:r>
                      <w:rPr>
                        <w:rFonts w:ascii="Cambria Math" w:hAnsi="Cambria Math"/>
                      </w:rPr>
                      <m:t>AE</m:t>
                    </m:r>
                  </m:e>
                  <m:sub>
                    <m:r>
                      <w:rPr>
                        <w:rFonts w:ascii="Cambria Math" w:hAnsi="Cambria Math"/>
                      </w:rPr>
                      <m:t>y1</m:t>
                    </m:r>
                  </m:sub>
                </m:sSub>
              </m:oMath>
            </m:oMathPara>
          </w:p>
        </w:tc>
        <w:tc>
          <w:tcPr>
            <w:tcW w:w="345" w:type="dxa"/>
            <w:vAlign w:val="top"/>
          </w:tcPr>
          <w:p w14:paraId="527C8C85" w14:textId="77777777" w:rsidR="00181AF8" w:rsidRDefault="00181AF8" w:rsidP="00F40B8C">
            <w:pPr>
              <w:pStyle w:val="SDMTableBoxParaNotNumbered"/>
            </w:pPr>
            <w:r>
              <w:t>=</w:t>
            </w:r>
          </w:p>
        </w:tc>
        <w:tc>
          <w:tcPr>
            <w:tcW w:w="0" w:type="auto"/>
          </w:tcPr>
          <w:p w14:paraId="0F279E17" w14:textId="0FB101EB" w:rsidR="00181AF8" w:rsidRDefault="00D8793F" w:rsidP="00690A70">
            <w:pPr>
              <w:pStyle w:val="SDMTableBoxParaNotNumbered"/>
            </w:pPr>
            <w:r>
              <w:t>Activity</w:t>
            </w:r>
            <w:r w:rsidRPr="008E789D">
              <w:t xml:space="preserve"> </w:t>
            </w:r>
            <w:r w:rsidRPr="00281F5A">
              <w:t>emissions in year </w:t>
            </w:r>
            <w:r w:rsidRPr="00281F5A">
              <w:rPr>
                <w:i/>
              </w:rPr>
              <w:t>y</w:t>
            </w:r>
            <w:r>
              <w:rPr>
                <w:i/>
              </w:rPr>
              <w:t>1</w:t>
            </w:r>
            <w:r w:rsidRPr="00281F5A">
              <w:t xml:space="preserve"> (t</w:t>
            </w:r>
            <w:r w:rsidR="00C83DAF">
              <w:t> </w:t>
            </w:r>
            <w:r w:rsidRPr="00281F5A">
              <w:t>CO</w:t>
            </w:r>
            <w:r w:rsidRPr="00281F5A">
              <w:rPr>
                <w:vertAlign w:val="subscript"/>
              </w:rPr>
              <w:t>2</w:t>
            </w:r>
            <w:r w:rsidRPr="00281F5A">
              <w:t>eq)</w:t>
            </w:r>
          </w:p>
        </w:tc>
      </w:tr>
      <w:tr w:rsidR="009229E2" w14:paraId="1FCD7BD6" w14:textId="77777777" w:rsidTr="00F40B8C">
        <w:tc>
          <w:tcPr>
            <w:tcW w:w="1701" w:type="dxa"/>
            <w:vAlign w:val="top"/>
          </w:tcPr>
          <w:p w14:paraId="1BC03BE1" w14:textId="3BD54171" w:rsidR="009229E2" w:rsidRPr="007C1825" w:rsidRDefault="00A511F2" w:rsidP="00F40B8C">
            <w:pPr>
              <w:pStyle w:val="SDMTableBoxParaNotNumbered"/>
            </w:pPr>
            <m:oMathPara>
              <m:oMathParaPr>
                <m:jc m:val="left"/>
              </m:oMathParaPr>
              <m:oMath>
                <m:r>
                  <w:rPr>
                    <w:rFonts w:ascii="Cambria Math" w:hAnsi="Cambria Math"/>
                  </w:rPr>
                  <m:t>0.1</m:t>
                </m:r>
              </m:oMath>
            </m:oMathPara>
          </w:p>
        </w:tc>
        <w:tc>
          <w:tcPr>
            <w:tcW w:w="345" w:type="dxa"/>
            <w:vAlign w:val="top"/>
          </w:tcPr>
          <w:p w14:paraId="38C5ECDF" w14:textId="2914792A" w:rsidR="009229E2" w:rsidRDefault="009229E2" w:rsidP="00F40B8C">
            <w:pPr>
              <w:pStyle w:val="SDMTableBoxParaNotNumbered"/>
            </w:pPr>
            <w:r>
              <w:t>=</w:t>
            </w:r>
          </w:p>
        </w:tc>
        <w:tc>
          <w:tcPr>
            <w:tcW w:w="0" w:type="auto"/>
          </w:tcPr>
          <w:p w14:paraId="1C1D0174" w14:textId="6F4099BB" w:rsidR="009229E2" w:rsidRDefault="006B5C96" w:rsidP="00690A70">
            <w:pPr>
              <w:pStyle w:val="SDMTableBoxParaNotNumbered"/>
            </w:pPr>
            <w:r w:rsidRPr="00281F5A">
              <w:t>Default factor to determine the minimum downward adjusted baseline provided in the “Standard: Setting the baseline in mechanism methodologies” (A6.4-STAN-METH-004)</w:t>
            </w:r>
            <w:r w:rsidRPr="00281F5A">
              <w:rPr>
                <w:rStyle w:val="FootnoteReference"/>
              </w:rPr>
              <w:footnoteReference w:id="34"/>
            </w:r>
          </w:p>
        </w:tc>
      </w:tr>
      <w:tr w:rsidR="009229E2" w14:paraId="7D23F311" w14:textId="77777777" w:rsidTr="00F40B8C">
        <w:tc>
          <w:tcPr>
            <w:tcW w:w="1701" w:type="dxa"/>
            <w:vAlign w:val="top"/>
          </w:tcPr>
          <w:p w14:paraId="7D413EEB" w14:textId="383A063B" w:rsidR="009229E2" w:rsidRPr="007C1825" w:rsidRDefault="007C1825" w:rsidP="00F40B8C">
            <w:pPr>
              <w:pStyle w:val="SDMTableBoxParaNotNumbered"/>
            </w:pPr>
            <m:oMathPara>
              <m:oMathParaPr>
                <m:jc m:val="left"/>
              </m:oMathParaPr>
              <m:oMath>
                <m:r>
                  <w:rPr>
                    <w:rFonts w:ascii="Cambria Math" w:hAnsi="Cambria Math"/>
                  </w:rPr>
                  <m:t>y1</m:t>
                </m:r>
              </m:oMath>
            </m:oMathPara>
          </w:p>
        </w:tc>
        <w:tc>
          <w:tcPr>
            <w:tcW w:w="345" w:type="dxa"/>
            <w:vAlign w:val="top"/>
          </w:tcPr>
          <w:p w14:paraId="4B17AC6A" w14:textId="6730DCD1" w:rsidR="009229E2" w:rsidRDefault="009229E2" w:rsidP="00F40B8C">
            <w:pPr>
              <w:pStyle w:val="SDMTableBoxParaNotNumbered"/>
            </w:pPr>
            <w:r>
              <w:t>=</w:t>
            </w:r>
          </w:p>
        </w:tc>
        <w:tc>
          <w:tcPr>
            <w:tcW w:w="0" w:type="auto"/>
          </w:tcPr>
          <w:p w14:paraId="663E3FD6" w14:textId="2FF818C2" w:rsidR="009229E2" w:rsidRDefault="0079129C" w:rsidP="00690A70">
            <w:pPr>
              <w:pStyle w:val="SDMTableBoxParaNotNumbered"/>
            </w:pPr>
            <w:r w:rsidRPr="00281F5A">
              <w:t>Calendar year of the start date of the first crediting period</w:t>
            </w:r>
          </w:p>
        </w:tc>
      </w:tr>
    </w:tbl>
    <w:p w14:paraId="04529DC2" w14:textId="0C5D2159" w:rsidR="00181AF8" w:rsidRDefault="007A5574" w:rsidP="0023388D">
      <w:pPr>
        <w:pStyle w:val="SDMPara"/>
      </w:pPr>
      <w:r>
        <w:t xml:space="preserve">The </w:t>
      </w:r>
      <w:r w:rsidR="003F52EC">
        <w:t xml:space="preserve">unadjusted </w:t>
      </w:r>
      <w:r>
        <w:t>baseline emissions and</w:t>
      </w:r>
      <w:r w:rsidDel="00DD5361">
        <w:t xml:space="preserve"> </w:t>
      </w:r>
      <w:r w:rsidR="003F52EC">
        <w:t xml:space="preserve">the </w:t>
      </w:r>
      <w:r>
        <w:t>activity</w:t>
      </w:r>
      <w:r w:rsidRPr="00281F5A">
        <w:t xml:space="preserve"> emissions in year </w:t>
      </w:r>
      <w:r w:rsidRPr="00281F5A">
        <w:rPr>
          <w:i/>
        </w:rPr>
        <w:t>y</w:t>
      </w:r>
      <w:r w:rsidRPr="00871C06">
        <w:rPr>
          <w:i/>
        </w:rPr>
        <w:t>1</w:t>
      </w:r>
      <w:r w:rsidRPr="00281F5A">
        <w:t xml:space="preserve"> shall</w:t>
      </w:r>
      <w:r>
        <w:t xml:space="preserve"> be determined ex-ante in the PDD, consistent with the provisions in this section and section </w:t>
      </w:r>
      <w:r w:rsidR="006B049D">
        <w:t>8</w:t>
      </w:r>
      <w:r>
        <w:t>, respectively.</w:t>
      </w:r>
    </w:p>
    <w:p w14:paraId="2FDB7569" w14:textId="4B0F3D73" w:rsidR="00181AF8" w:rsidRDefault="00F9210E" w:rsidP="00F9210E">
      <w:pPr>
        <w:pStyle w:val="SDMHead4"/>
      </w:pPr>
      <w:r>
        <w:t xml:space="preserve">Step 1.3. Compare </w:t>
      </w:r>
      <w:r w:rsidRPr="00F9210E">
        <w:rPr>
          <w:i/>
          <w:iCs/>
        </w:rPr>
        <w:t>DA</w:t>
      </w:r>
      <w:r w:rsidRPr="00F9210E">
        <w:rPr>
          <w:i/>
          <w:iCs/>
          <w:vertAlign w:val="subscript"/>
        </w:rPr>
        <w:t>initial,UNC</w:t>
      </w:r>
      <w:r>
        <w:t xml:space="preserve"> and </w:t>
      </w:r>
      <w:r w:rsidRPr="00F9210E">
        <w:rPr>
          <w:i/>
          <w:iCs/>
        </w:rPr>
        <w:t>DA</w:t>
      </w:r>
      <w:r w:rsidRPr="00F9210E">
        <w:rPr>
          <w:i/>
          <w:iCs/>
          <w:vertAlign w:val="subscript"/>
        </w:rPr>
        <w:t>initial,min</w:t>
      </w:r>
    </w:p>
    <w:p w14:paraId="174E489E" w14:textId="219F33BF" w:rsidR="00181AF8" w:rsidRDefault="00391A59" w:rsidP="00EC00DE">
      <w:pPr>
        <w:pStyle w:val="SDMPara"/>
        <w:keepNext/>
      </w:pPr>
      <w:r>
        <w:t xml:space="preserve">To </w:t>
      </w:r>
      <w:r w:rsidRPr="00345674">
        <w:rPr>
          <w:rFonts w:eastAsiaTheme="minorEastAsia"/>
          <w:lang w:val="en-US"/>
        </w:rPr>
        <w:t>determine</w:t>
      </w:r>
      <w:r>
        <w:t xml:space="preserve"> the initial d</w:t>
      </w:r>
      <w:r w:rsidRPr="006B3B70">
        <w:t xml:space="preserve">ownward </w:t>
      </w:r>
      <w:r>
        <w:t>adjustment (</w:t>
      </w:r>
      <w:r>
        <w:rPr>
          <w:i/>
        </w:rPr>
        <w:t>DA</w:t>
      </w:r>
      <w:r>
        <w:rPr>
          <w:i/>
          <w:vertAlign w:val="subscript"/>
        </w:rPr>
        <w:t>initial</w:t>
      </w:r>
      <w:r>
        <w:t xml:space="preserve">), activity participants shall use the higher of the two values determined in steps </w:t>
      </w:r>
      <w:r w:rsidR="00070BA4">
        <w:t>1.</w:t>
      </w:r>
      <w:r>
        <w:t xml:space="preserve">2 and </w:t>
      </w:r>
      <w:r w:rsidR="00070BA4">
        <w:t>1.</w:t>
      </w:r>
      <w:r>
        <w:t>3 above, as follows:</w:t>
      </w:r>
    </w:p>
    <w:tbl>
      <w:tblPr>
        <w:tblStyle w:val="SDMMethTableEquation"/>
        <w:tblW w:w="8760" w:type="dxa"/>
        <w:tblLook w:val="0600" w:firstRow="0" w:lastRow="0" w:firstColumn="0" w:lastColumn="0" w:noHBand="1" w:noVBand="1"/>
      </w:tblPr>
      <w:tblGrid>
        <w:gridCol w:w="7107"/>
        <w:gridCol w:w="1653"/>
      </w:tblGrid>
      <w:tr w:rsidR="00070BA4" w:rsidRPr="00E32F75" w14:paraId="5AB1EF11" w14:textId="77777777" w:rsidTr="00690A70">
        <w:tc>
          <w:tcPr>
            <w:tcW w:w="7224" w:type="dxa"/>
          </w:tcPr>
          <w:p w14:paraId="5E685313" w14:textId="781200D1" w:rsidR="00070BA4"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initial</m:t>
                    </m:r>
                  </m:sub>
                </m:sSub>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DA</m:t>
                        </m:r>
                      </m:e>
                      <m:sub>
                        <m:r>
                          <w:rPr>
                            <w:rFonts w:ascii="Cambria Math" w:hAnsi="Cambria Math"/>
                          </w:rPr>
                          <m:t>initial,min</m:t>
                        </m:r>
                      </m:sub>
                    </m:sSub>
                    <m:r>
                      <w:rPr>
                        <w:rFonts w:ascii="Cambria Math" w:hAnsi="Cambria Math"/>
                      </w:rPr>
                      <m:t xml:space="preserve"> ; </m:t>
                    </m:r>
                    <m:sSub>
                      <m:sSubPr>
                        <m:ctrlPr>
                          <w:rPr>
                            <w:rFonts w:ascii="Cambria Math" w:hAnsi="Cambria Math"/>
                            <w:i/>
                          </w:rPr>
                        </m:ctrlPr>
                      </m:sSubPr>
                      <m:e>
                        <m:r>
                          <w:rPr>
                            <w:rFonts w:ascii="Cambria Math" w:hAnsi="Cambria Math"/>
                          </w:rPr>
                          <m:t>DA</m:t>
                        </m:r>
                      </m:e>
                      <m:sub>
                        <m:r>
                          <w:rPr>
                            <w:rFonts w:ascii="Cambria Math" w:hAnsi="Cambria Math"/>
                          </w:rPr>
                          <m:t>initial,UNC</m:t>
                        </m:r>
                      </m:sub>
                    </m:sSub>
                  </m:e>
                </m:d>
              </m:oMath>
            </m:oMathPara>
          </w:p>
        </w:tc>
        <w:tc>
          <w:tcPr>
            <w:tcW w:w="1701" w:type="dxa"/>
          </w:tcPr>
          <w:p w14:paraId="6347F5EA" w14:textId="77777777" w:rsidR="00070BA4" w:rsidRPr="002B6960" w:rsidRDefault="00070BA4" w:rsidP="007255A3">
            <w:pPr>
              <w:pStyle w:val="SDMMethEquationNr"/>
              <w:numPr>
                <w:ilvl w:val="0"/>
                <w:numId w:val="21"/>
              </w:numPr>
            </w:pPr>
          </w:p>
        </w:tc>
      </w:tr>
    </w:tbl>
    <w:p w14:paraId="772D4FF1" w14:textId="77777777" w:rsidR="00070BA4" w:rsidRDefault="00070BA4"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070BA4" w14:paraId="0CF1E5E1" w14:textId="77777777" w:rsidTr="008E1E93">
        <w:tc>
          <w:tcPr>
            <w:tcW w:w="1701" w:type="dxa"/>
            <w:vAlign w:val="top"/>
          </w:tcPr>
          <w:p w14:paraId="2060B88E" w14:textId="73648BBC" w:rsidR="00070BA4" w:rsidRPr="00F44B06" w:rsidRDefault="0039641B" w:rsidP="008E1E93">
            <w:pPr>
              <w:pStyle w:val="SDMTableBoxParaNotNumbered"/>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initial</m:t>
                    </m:r>
                  </m:sub>
                </m:sSub>
              </m:oMath>
            </m:oMathPara>
          </w:p>
        </w:tc>
        <w:tc>
          <w:tcPr>
            <w:tcW w:w="345" w:type="dxa"/>
            <w:vAlign w:val="top"/>
          </w:tcPr>
          <w:p w14:paraId="3994D78F" w14:textId="77777777" w:rsidR="00070BA4" w:rsidRDefault="00070BA4" w:rsidP="008E1E93">
            <w:pPr>
              <w:pStyle w:val="SDMTableBoxParaNotNumbered"/>
            </w:pPr>
            <w:r>
              <w:t>=</w:t>
            </w:r>
          </w:p>
        </w:tc>
        <w:tc>
          <w:tcPr>
            <w:tcW w:w="0" w:type="auto"/>
            <w:vAlign w:val="top"/>
          </w:tcPr>
          <w:p w14:paraId="1E1E56BA" w14:textId="4F6E6BEB" w:rsidR="00070BA4" w:rsidRDefault="00E75B92" w:rsidP="008E1E93">
            <w:pPr>
              <w:pStyle w:val="SDMTableBoxParaNotNumbered"/>
            </w:pPr>
            <w:r>
              <w:t>Initial d</w:t>
            </w:r>
            <w:r w:rsidRPr="00923454">
              <w:t xml:space="preserve">ownward </w:t>
            </w:r>
            <w:r>
              <w:t>adjustment</w:t>
            </w:r>
            <w:r w:rsidRPr="00923454">
              <w:t xml:space="preserve"> </w:t>
            </w:r>
            <w:r>
              <w:t>for baseline emissions from electricity generation</w:t>
            </w:r>
            <w:r w:rsidRPr="00923454">
              <w:t xml:space="preserve"> (</w:t>
            </w:r>
            <w:r>
              <w:t>dimensionless</w:t>
            </w:r>
            <w:r w:rsidRPr="00923454">
              <w:t>)</w:t>
            </w:r>
          </w:p>
        </w:tc>
      </w:tr>
      <w:tr w:rsidR="00070BA4" w14:paraId="7705AE39" w14:textId="77777777" w:rsidTr="008E1E93">
        <w:tc>
          <w:tcPr>
            <w:tcW w:w="1701" w:type="dxa"/>
            <w:vAlign w:val="top"/>
          </w:tcPr>
          <w:p w14:paraId="370CA714" w14:textId="41A3ACC2" w:rsidR="00070BA4" w:rsidRPr="00280A15" w:rsidRDefault="0039641B" w:rsidP="008E1E93">
            <w:pPr>
              <w:pStyle w:val="SDMTableBoxParaNotNumbered"/>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initial,min</m:t>
                    </m:r>
                  </m:sub>
                </m:sSub>
              </m:oMath>
            </m:oMathPara>
          </w:p>
        </w:tc>
        <w:tc>
          <w:tcPr>
            <w:tcW w:w="345" w:type="dxa"/>
            <w:vAlign w:val="top"/>
          </w:tcPr>
          <w:p w14:paraId="7B7288E6" w14:textId="77777777" w:rsidR="00070BA4" w:rsidRDefault="00070BA4" w:rsidP="008E1E93">
            <w:pPr>
              <w:pStyle w:val="SDMTableBoxParaNotNumbered"/>
            </w:pPr>
            <w:r>
              <w:t>=</w:t>
            </w:r>
          </w:p>
        </w:tc>
        <w:tc>
          <w:tcPr>
            <w:tcW w:w="0" w:type="auto"/>
            <w:vAlign w:val="top"/>
          </w:tcPr>
          <w:p w14:paraId="73FAC933" w14:textId="4641AD6B" w:rsidR="00070BA4" w:rsidRDefault="00E104C6" w:rsidP="008E1E93">
            <w:pPr>
              <w:pStyle w:val="SDMTableBoxParaNotNumbered"/>
            </w:pPr>
            <w:r>
              <w:t>Minimum initial downward adjustment for baseline emissions from electricity generation (dimensionless)</w:t>
            </w:r>
          </w:p>
        </w:tc>
      </w:tr>
      <w:tr w:rsidR="00070BA4" w14:paraId="2F63519A" w14:textId="77777777" w:rsidTr="008E1E93">
        <w:tc>
          <w:tcPr>
            <w:tcW w:w="1701" w:type="dxa"/>
            <w:vAlign w:val="top"/>
          </w:tcPr>
          <w:p w14:paraId="2FF9B4EC" w14:textId="6658F37E" w:rsidR="00070BA4" w:rsidRPr="00280A15" w:rsidRDefault="0039641B" w:rsidP="008E1E93">
            <w:pPr>
              <w:pStyle w:val="SDMTableBoxParaNotNumbered"/>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initial,UNC</m:t>
                    </m:r>
                  </m:sub>
                </m:sSub>
              </m:oMath>
            </m:oMathPara>
          </w:p>
        </w:tc>
        <w:tc>
          <w:tcPr>
            <w:tcW w:w="345" w:type="dxa"/>
            <w:vAlign w:val="top"/>
          </w:tcPr>
          <w:p w14:paraId="199E9116" w14:textId="77777777" w:rsidR="00070BA4" w:rsidRDefault="00070BA4" w:rsidP="008E1E93">
            <w:pPr>
              <w:pStyle w:val="SDMTableBoxParaNotNumbered"/>
            </w:pPr>
            <w:r>
              <w:t>=</w:t>
            </w:r>
          </w:p>
        </w:tc>
        <w:tc>
          <w:tcPr>
            <w:tcW w:w="0" w:type="auto"/>
            <w:vAlign w:val="top"/>
          </w:tcPr>
          <w:p w14:paraId="7330BA2D" w14:textId="51FED1D5" w:rsidR="00070BA4" w:rsidRDefault="00280A15" w:rsidP="008E1E93">
            <w:pPr>
              <w:pStyle w:val="SDMTableBoxParaNotNumbered"/>
            </w:pPr>
            <w:r>
              <w:t>Initial d</w:t>
            </w:r>
            <w:r w:rsidRPr="00D53BE1">
              <w:t xml:space="preserve">ownward </w:t>
            </w:r>
            <w:r>
              <w:t>adjustment</w:t>
            </w:r>
            <w:r w:rsidRPr="00D53BE1" w:rsidDel="00944547">
              <w:t xml:space="preserve"> </w:t>
            </w:r>
            <w:r>
              <w:t>for baseline emissions from electricity generation based on uncertainty (dimensionless)</w:t>
            </w:r>
          </w:p>
        </w:tc>
      </w:tr>
    </w:tbl>
    <w:p w14:paraId="577FBAA1" w14:textId="34D02DBA" w:rsidR="00181AF8" w:rsidRPr="00D73F28" w:rsidRDefault="00D73F28" w:rsidP="00D73F28">
      <w:pPr>
        <w:pStyle w:val="SDMHead3"/>
      </w:pPr>
      <w:bookmarkStart w:id="233" w:name="_Toc233281817"/>
      <w:bookmarkStart w:id="234" w:name="_Toc233881729"/>
      <w:bookmarkStart w:id="235" w:name="_Toc233882095"/>
      <w:bookmarkStart w:id="236" w:name="_Toc233884222"/>
      <w:bookmarkStart w:id="237" w:name="_Toc233902831"/>
      <w:bookmarkStart w:id="238" w:name="_Toc233902868"/>
      <w:bookmarkStart w:id="239" w:name="_Toc236391899"/>
      <w:bookmarkStart w:id="240" w:name="_Toc236394041"/>
      <w:r>
        <w:rPr>
          <w:rFonts w:eastAsiaTheme="minorEastAsia"/>
        </w:rPr>
        <w:t xml:space="preserve">Step 2. Determination of </w:t>
      </w:r>
      <w:r w:rsidRPr="06FA2661">
        <w:rPr>
          <w:rFonts w:eastAsiaTheme="minorEastAsia"/>
        </w:rPr>
        <w:t xml:space="preserve">the </w:t>
      </w:r>
      <w:r>
        <w:rPr>
          <w:rFonts w:eastAsiaTheme="minorEastAsia"/>
        </w:rPr>
        <w:t>annual increase in the downward adjustment (</w:t>
      </w:r>
      <w:r w:rsidRPr="00BC5D83">
        <w:rPr>
          <w:rFonts w:eastAsiaTheme="minorEastAsia"/>
          <w:i/>
          <w:iCs/>
        </w:rPr>
        <w:t>INDA</w:t>
      </w:r>
      <w:r>
        <w:rPr>
          <w:rFonts w:eastAsiaTheme="minorEastAsia"/>
        </w:rPr>
        <w:t>)</w:t>
      </w:r>
      <w:bookmarkEnd w:id="233"/>
      <w:bookmarkEnd w:id="234"/>
      <w:bookmarkEnd w:id="235"/>
      <w:bookmarkEnd w:id="236"/>
      <w:bookmarkEnd w:id="237"/>
      <w:bookmarkEnd w:id="238"/>
      <w:bookmarkEnd w:id="239"/>
      <w:bookmarkEnd w:id="240"/>
    </w:p>
    <w:p w14:paraId="2490CC66" w14:textId="6ECE09C6" w:rsidR="00D73F28" w:rsidRDefault="009127E3" w:rsidP="0023388D">
      <w:pPr>
        <w:pStyle w:val="SDMPara"/>
      </w:pPr>
      <w:r>
        <w:t>A value of 0.01 shall be applied for the annual increase in the downward adjustment (</w:t>
      </w:r>
      <w:r w:rsidRPr="468467EB">
        <w:rPr>
          <w:i/>
          <w:iCs/>
        </w:rPr>
        <w:t>INDA)</w:t>
      </w:r>
      <w:r w:rsidRPr="40E30BC4">
        <w:rPr>
          <w:rFonts w:eastAsia="Arial"/>
        </w:rPr>
        <w:t>. The first increase shall be applied in the calendar year following the calendar year of the start date of the first crediting period</w:t>
      </w:r>
      <w:r>
        <w:rPr>
          <w:rFonts w:eastAsia="Arial"/>
        </w:rPr>
        <w:t xml:space="preserve">, following the provisions in </w:t>
      </w:r>
      <w:r w:rsidRPr="468467EB">
        <w:rPr>
          <w:rFonts w:eastAsia="Arial"/>
        </w:rPr>
        <w:t>step</w:t>
      </w:r>
      <w:r>
        <w:rPr>
          <w:rFonts w:eastAsia="Arial"/>
        </w:rPr>
        <w:t xml:space="preserve"> 3 below</w:t>
      </w:r>
      <w:r w:rsidRPr="40E30BC4">
        <w:rPr>
          <w:rFonts w:eastAsia="Arial"/>
        </w:rPr>
        <w:t>.</w:t>
      </w:r>
    </w:p>
    <w:p w14:paraId="3B5337C6" w14:textId="112FDA4F" w:rsidR="00181AF8" w:rsidRDefault="005953B2" w:rsidP="005953B2">
      <w:pPr>
        <w:pStyle w:val="SDMHead3"/>
      </w:pPr>
      <w:bookmarkStart w:id="241" w:name="_Toc233281818"/>
      <w:bookmarkStart w:id="242" w:name="_Toc233881730"/>
      <w:bookmarkStart w:id="243" w:name="_Toc233882096"/>
      <w:bookmarkStart w:id="244" w:name="_Toc233884223"/>
      <w:bookmarkStart w:id="245" w:name="_Toc233902832"/>
      <w:bookmarkStart w:id="246" w:name="_Toc233902869"/>
      <w:bookmarkStart w:id="247" w:name="_Toc236391900"/>
      <w:bookmarkStart w:id="248" w:name="_Toc236394042"/>
      <w:r>
        <w:rPr>
          <w:rFonts w:eastAsia="Arial"/>
        </w:rPr>
        <w:t>Step 3. Determination of the downward adjusted baseline emissions (</w:t>
      </w:r>
      <w:r w:rsidRPr="00BC5D83">
        <w:rPr>
          <w:rFonts w:eastAsia="Arial"/>
          <w:i/>
          <w:iCs/>
        </w:rPr>
        <w:t>BE</w:t>
      </w:r>
      <w:r w:rsidRPr="00BC5D83">
        <w:rPr>
          <w:rFonts w:eastAsia="Arial"/>
          <w:i/>
          <w:iCs/>
          <w:vertAlign w:val="subscript"/>
        </w:rPr>
        <w:t>adj,EG,y</w:t>
      </w:r>
      <w:r>
        <w:rPr>
          <w:rFonts w:eastAsia="Arial"/>
        </w:rPr>
        <w:t>)</w:t>
      </w:r>
      <w:bookmarkEnd w:id="241"/>
      <w:bookmarkEnd w:id="242"/>
      <w:bookmarkEnd w:id="243"/>
      <w:bookmarkEnd w:id="244"/>
      <w:bookmarkEnd w:id="245"/>
      <w:bookmarkEnd w:id="246"/>
      <w:bookmarkEnd w:id="247"/>
      <w:bookmarkEnd w:id="248"/>
    </w:p>
    <w:p w14:paraId="546EACB5" w14:textId="533F753D" w:rsidR="00181AF8" w:rsidRDefault="003C2602" w:rsidP="00EC00DE">
      <w:pPr>
        <w:pStyle w:val="SDMPara"/>
        <w:keepNext/>
      </w:pPr>
      <w:r>
        <w:rPr>
          <w:rFonts w:eastAsia="Arial"/>
        </w:rPr>
        <w:t xml:space="preserve">For </w:t>
      </w:r>
      <w:r w:rsidRPr="00345674">
        <w:rPr>
          <w:rFonts w:eastAsiaTheme="minorEastAsia"/>
          <w:lang w:val="en-US"/>
        </w:rPr>
        <w:t>every</w:t>
      </w:r>
      <w:r>
        <w:rPr>
          <w:rFonts w:eastAsia="Arial"/>
        </w:rPr>
        <w:t xml:space="preserve"> calendar year </w:t>
      </w:r>
      <w:r w:rsidRPr="001C5C4F">
        <w:rPr>
          <w:rFonts w:eastAsia="Arial"/>
          <w:i/>
          <w:iCs/>
        </w:rPr>
        <w:t>y</w:t>
      </w:r>
      <w:r>
        <w:rPr>
          <w:rFonts w:eastAsia="Arial"/>
        </w:rPr>
        <w:t xml:space="preserve"> of the crediting period, the downward adjusted baseline emissions are </w:t>
      </w:r>
      <w:r w:rsidRPr="00516760">
        <w:t>determined</w:t>
      </w:r>
      <w:r>
        <w:rPr>
          <w:rFonts w:eastAsia="Arial"/>
        </w:rPr>
        <w:t xml:space="preserve"> as follows:</w:t>
      </w:r>
    </w:p>
    <w:tbl>
      <w:tblPr>
        <w:tblStyle w:val="SDMMethTableEquation"/>
        <w:tblW w:w="8760" w:type="dxa"/>
        <w:tblLook w:val="0600" w:firstRow="0" w:lastRow="0" w:firstColumn="0" w:lastColumn="0" w:noHBand="1" w:noVBand="1"/>
      </w:tblPr>
      <w:tblGrid>
        <w:gridCol w:w="7091"/>
        <w:gridCol w:w="1669"/>
      </w:tblGrid>
      <w:tr w:rsidR="003C2602" w:rsidRPr="00E32F75" w14:paraId="6A87A027" w14:textId="77777777" w:rsidTr="00690A70">
        <w:tc>
          <w:tcPr>
            <w:tcW w:w="7224" w:type="dxa"/>
          </w:tcPr>
          <w:p w14:paraId="2CC8E2C8" w14:textId="3EC0346E" w:rsidR="003C2602"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adj,EG,y</m:t>
                    </m:r>
                  </m:sub>
                </m:sSub>
                <m:r>
                  <w:rPr>
                    <w:rFonts w:ascii="Cambria Math" w:hAnsi="Cambria Math"/>
                  </w:rPr>
                  <m:t>=</m:t>
                </m:r>
                <m:sSub>
                  <m:sSubPr>
                    <m:ctrlPr>
                      <w:rPr>
                        <w:rFonts w:ascii="Cambria Math" w:hAnsi="Cambria Math"/>
                        <w:i/>
                      </w:rPr>
                    </m:ctrlPr>
                  </m:sSubPr>
                  <m:e>
                    <m:r>
                      <w:rPr>
                        <w:rFonts w:ascii="Cambria Math" w:hAnsi="Cambria Math"/>
                      </w:rPr>
                      <m:t>BE</m:t>
                    </m:r>
                  </m:e>
                  <m:sub>
                    <m:r>
                      <w:rPr>
                        <w:rFonts w:ascii="Cambria Math" w:hAnsi="Cambria Math"/>
                      </w:rPr>
                      <m:t>EG,y</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DA</m:t>
                        </m:r>
                      </m:e>
                      <m:sub>
                        <m:r>
                          <w:rPr>
                            <w:rFonts w:ascii="Cambria Math" w:hAnsi="Cambria Math"/>
                          </w:rPr>
                          <m:t>y</m:t>
                        </m:r>
                      </m:sub>
                    </m:sSub>
                  </m:e>
                </m:d>
              </m:oMath>
            </m:oMathPara>
          </w:p>
        </w:tc>
        <w:tc>
          <w:tcPr>
            <w:tcW w:w="1701" w:type="dxa"/>
          </w:tcPr>
          <w:p w14:paraId="31B0E681" w14:textId="77777777" w:rsidR="003C2602" w:rsidRPr="002B6960" w:rsidRDefault="003C2602" w:rsidP="007255A3">
            <w:pPr>
              <w:pStyle w:val="SDMMethEquationNr"/>
              <w:numPr>
                <w:ilvl w:val="0"/>
                <w:numId w:val="21"/>
              </w:numPr>
            </w:pPr>
          </w:p>
        </w:tc>
      </w:tr>
    </w:tbl>
    <w:p w14:paraId="7017E855" w14:textId="77777777" w:rsidR="003C2602" w:rsidRDefault="003C2602"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3C2602" w14:paraId="61C0444A" w14:textId="77777777" w:rsidTr="008E1E93">
        <w:tc>
          <w:tcPr>
            <w:tcW w:w="1701" w:type="dxa"/>
            <w:vAlign w:val="top"/>
          </w:tcPr>
          <w:p w14:paraId="603901DC" w14:textId="5A877972" w:rsidR="003C2602" w:rsidRPr="00562719" w:rsidRDefault="0039641B" w:rsidP="008E1E93">
            <w:pPr>
              <w:pStyle w:val="SDMTableBoxParaNotNumbered"/>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adj,EG,y</m:t>
                    </m:r>
                  </m:sub>
                </m:sSub>
              </m:oMath>
            </m:oMathPara>
          </w:p>
        </w:tc>
        <w:tc>
          <w:tcPr>
            <w:tcW w:w="345" w:type="dxa"/>
            <w:vAlign w:val="top"/>
          </w:tcPr>
          <w:p w14:paraId="06092DDE" w14:textId="77777777" w:rsidR="003C2602" w:rsidRDefault="003C2602" w:rsidP="008E1E93">
            <w:pPr>
              <w:pStyle w:val="SDMTableBoxParaNotNumbered"/>
            </w:pPr>
            <w:r>
              <w:t>=</w:t>
            </w:r>
          </w:p>
        </w:tc>
        <w:tc>
          <w:tcPr>
            <w:tcW w:w="0" w:type="auto"/>
            <w:vAlign w:val="top"/>
          </w:tcPr>
          <w:p w14:paraId="29314211" w14:textId="5FDBBE1E" w:rsidR="003C2602" w:rsidRDefault="006A2564" w:rsidP="008E1E93">
            <w:pPr>
              <w:pStyle w:val="SDMTableBoxParaNotNumbered"/>
            </w:pPr>
            <w:r>
              <w:t>Downward adjusted baseline emissions in the calendar year </w:t>
            </w:r>
            <w:r w:rsidRPr="00200C00">
              <w:rPr>
                <w:i/>
                <w:iCs/>
              </w:rPr>
              <w:t>y</w:t>
            </w:r>
            <w:r>
              <w:t xml:space="preserve"> </w:t>
            </w:r>
            <w:r w:rsidRPr="00923454">
              <w:t>(t</w:t>
            </w:r>
            <w:r w:rsidR="00302032">
              <w:t> </w:t>
            </w:r>
            <w:r w:rsidRPr="00923454">
              <w:t>CO</w:t>
            </w:r>
            <w:r w:rsidRPr="00923454">
              <w:rPr>
                <w:vertAlign w:val="subscript"/>
              </w:rPr>
              <w:t>2</w:t>
            </w:r>
            <w:r w:rsidRPr="00923454">
              <w:t>e</w:t>
            </w:r>
            <w:r>
              <w:t>q</w:t>
            </w:r>
            <w:r w:rsidRPr="00923454">
              <w:t>)</w:t>
            </w:r>
          </w:p>
        </w:tc>
      </w:tr>
      <w:tr w:rsidR="003C2602" w14:paraId="230D0796" w14:textId="77777777" w:rsidTr="008E1E93">
        <w:tc>
          <w:tcPr>
            <w:tcW w:w="1701" w:type="dxa"/>
            <w:vAlign w:val="top"/>
          </w:tcPr>
          <w:p w14:paraId="2808BAFA" w14:textId="34A57877" w:rsidR="003C2602" w:rsidRPr="00562719" w:rsidRDefault="0039641B" w:rsidP="008E1E93">
            <w:pPr>
              <w:pStyle w:val="SDMTableBoxParaNotNumbered"/>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EG,y</m:t>
                    </m:r>
                  </m:sub>
                </m:sSub>
              </m:oMath>
            </m:oMathPara>
          </w:p>
        </w:tc>
        <w:tc>
          <w:tcPr>
            <w:tcW w:w="345" w:type="dxa"/>
            <w:vAlign w:val="top"/>
          </w:tcPr>
          <w:p w14:paraId="71F9D877" w14:textId="77777777" w:rsidR="003C2602" w:rsidRDefault="003C2602" w:rsidP="008E1E93">
            <w:pPr>
              <w:pStyle w:val="SDMTableBoxParaNotNumbered"/>
            </w:pPr>
            <w:r>
              <w:t>=</w:t>
            </w:r>
          </w:p>
        </w:tc>
        <w:tc>
          <w:tcPr>
            <w:tcW w:w="0" w:type="auto"/>
            <w:vAlign w:val="top"/>
          </w:tcPr>
          <w:p w14:paraId="18F250A8" w14:textId="28AA69C3" w:rsidR="003C2602" w:rsidRDefault="00385DFB" w:rsidP="008E1E93">
            <w:pPr>
              <w:pStyle w:val="SDMTableBoxParaNotNumbered"/>
            </w:pPr>
            <w:r w:rsidRPr="00B80CEF">
              <w:rPr>
                <w:rFonts w:eastAsia="Arial"/>
                <w:lang w:val="en-US"/>
              </w:rPr>
              <w:t xml:space="preserve">Unadjusted </w:t>
            </w:r>
            <w:r w:rsidRPr="00B80CEF">
              <w:rPr>
                <w:lang w:val="en-US"/>
              </w:rPr>
              <w:t>baseline</w:t>
            </w:r>
            <w:r w:rsidRPr="00B80CEF">
              <w:rPr>
                <w:rFonts w:eastAsia="Arial"/>
                <w:lang w:val="en-US"/>
              </w:rPr>
              <w:t xml:space="preserve"> emissions from electricity generation from the Article 6.4 activity i</w:t>
            </w:r>
            <w:r w:rsidRPr="00B80CEF">
              <w:t>n calendar year </w:t>
            </w:r>
            <w:r w:rsidRPr="00B80CEF">
              <w:rPr>
                <w:i/>
                <w:iCs/>
              </w:rPr>
              <w:t>y</w:t>
            </w:r>
            <w:r w:rsidRPr="00B80CEF">
              <w:t xml:space="preserve"> (t CO</w:t>
            </w:r>
            <w:r w:rsidRPr="00B80CEF">
              <w:rPr>
                <w:vertAlign w:val="subscript"/>
              </w:rPr>
              <w:t>2</w:t>
            </w:r>
            <w:r w:rsidRPr="00B80CEF">
              <w:t>eq)</w:t>
            </w:r>
          </w:p>
        </w:tc>
      </w:tr>
      <w:tr w:rsidR="003C2602" w14:paraId="6D6C147B" w14:textId="77777777" w:rsidTr="008E1E93">
        <w:tc>
          <w:tcPr>
            <w:tcW w:w="1701" w:type="dxa"/>
            <w:vAlign w:val="top"/>
          </w:tcPr>
          <w:p w14:paraId="45E8D511" w14:textId="0F90B3D2" w:rsidR="003C2602" w:rsidRPr="00562719" w:rsidRDefault="0039641B" w:rsidP="008E1E93">
            <w:pPr>
              <w:pStyle w:val="SDMTableBoxParaNotNumbered"/>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y</m:t>
                    </m:r>
                  </m:sub>
                </m:sSub>
              </m:oMath>
            </m:oMathPara>
          </w:p>
        </w:tc>
        <w:tc>
          <w:tcPr>
            <w:tcW w:w="345" w:type="dxa"/>
            <w:vAlign w:val="top"/>
          </w:tcPr>
          <w:p w14:paraId="1042C346" w14:textId="77777777" w:rsidR="003C2602" w:rsidRDefault="003C2602" w:rsidP="008E1E93">
            <w:pPr>
              <w:pStyle w:val="SDMTableBoxParaNotNumbered"/>
            </w:pPr>
            <w:r>
              <w:t>=</w:t>
            </w:r>
          </w:p>
        </w:tc>
        <w:tc>
          <w:tcPr>
            <w:tcW w:w="0" w:type="auto"/>
            <w:vAlign w:val="top"/>
          </w:tcPr>
          <w:p w14:paraId="6C49FC97" w14:textId="4612CDEF" w:rsidR="003C2602" w:rsidRDefault="00D562BE" w:rsidP="008E1E93">
            <w:pPr>
              <w:pStyle w:val="SDMTableBoxParaNotNumbered"/>
            </w:pPr>
            <w:r w:rsidRPr="00B80CEF">
              <w:t>Downward adjustment applicable to calendar year </w:t>
            </w:r>
            <w:r w:rsidRPr="00B80CEF">
              <w:rPr>
                <w:i/>
              </w:rPr>
              <w:t xml:space="preserve">y </w:t>
            </w:r>
            <w:r w:rsidRPr="00B80CEF">
              <w:t>(dimensionless)</w:t>
            </w:r>
          </w:p>
        </w:tc>
      </w:tr>
      <w:tr w:rsidR="009C651F" w14:paraId="7D449C79" w14:textId="77777777" w:rsidTr="008E1E93">
        <w:tc>
          <w:tcPr>
            <w:tcW w:w="1701" w:type="dxa"/>
            <w:vAlign w:val="top"/>
          </w:tcPr>
          <w:p w14:paraId="20A4B39C" w14:textId="319A5809" w:rsidR="009C651F" w:rsidRPr="00562719" w:rsidRDefault="00562719" w:rsidP="008E1E93">
            <w:pPr>
              <w:pStyle w:val="SDMTableBoxParaNotNumbered"/>
            </w:pPr>
            <m:oMathPara>
              <m:oMathParaPr>
                <m:jc m:val="left"/>
              </m:oMathParaPr>
              <m:oMath>
                <m:r>
                  <w:rPr>
                    <w:rFonts w:ascii="Cambria Math" w:hAnsi="Cambria Math"/>
                  </w:rPr>
                  <m:t>y</m:t>
                </m:r>
              </m:oMath>
            </m:oMathPara>
          </w:p>
        </w:tc>
        <w:tc>
          <w:tcPr>
            <w:tcW w:w="345" w:type="dxa"/>
            <w:vAlign w:val="top"/>
          </w:tcPr>
          <w:p w14:paraId="698B3B84" w14:textId="4C33CAF0" w:rsidR="009C651F" w:rsidRDefault="009C651F" w:rsidP="008E1E93">
            <w:pPr>
              <w:pStyle w:val="SDMTableBoxParaNotNumbered"/>
            </w:pPr>
            <w:r>
              <w:t>=</w:t>
            </w:r>
          </w:p>
        </w:tc>
        <w:tc>
          <w:tcPr>
            <w:tcW w:w="0" w:type="auto"/>
            <w:vAlign w:val="top"/>
          </w:tcPr>
          <w:p w14:paraId="1D771A9C" w14:textId="07985AAB" w:rsidR="009C651F" w:rsidRDefault="00050F75" w:rsidP="008E1E93">
            <w:pPr>
              <w:pStyle w:val="SDMTableBoxParaNotNumbered"/>
            </w:pPr>
            <w:r w:rsidRPr="00B80CEF">
              <w:t>Calendar year of the crediting period</w:t>
            </w:r>
          </w:p>
        </w:tc>
      </w:tr>
    </w:tbl>
    <w:p w14:paraId="71D89258" w14:textId="60134DD3" w:rsidR="009127E3" w:rsidRDefault="00783208" w:rsidP="00EC00DE">
      <w:pPr>
        <w:pStyle w:val="SDMPara"/>
        <w:keepNext/>
      </w:pPr>
      <w:r w:rsidRPr="00345674">
        <w:rPr>
          <w:rFonts w:eastAsiaTheme="minorEastAsia"/>
          <w:lang w:val="en-US"/>
        </w:rPr>
        <w:lastRenderedPageBreak/>
        <w:t>The</w:t>
      </w:r>
      <w:r w:rsidRPr="00B80CEF">
        <w:t xml:space="preserve"> downward adjustment applicable to calendar year </w:t>
      </w:r>
      <w:r w:rsidRPr="00B80CEF">
        <w:rPr>
          <w:i/>
          <w:iCs/>
        </w:rPr>
        <w:t>y</w:t>
      </w:r>
      <w:r w:rsidRPr="00B80CEF">
        <w:t xml:space="preserve"> (</w:t>
      </w:r>
      <w:r w:rsidRPr="00B80CEF">
        <w:rPr>
          <w:i/>
          <w:iCs/>
        </w:rPr>
        <w:t>DA</w:t>
      </w:r>
      <w:r w:rsidRPr="00B80CEF">
        <w:rPr>
          <w:i/>
          <w:iCs/>
          <w:vertAlign w:val="subscript"/>
        </w:rPr>
        <w:t>y</w:t>
      </w:r>
      <w:r w:rsidRPr="00B80CEF">
        <w:t>) shall be determined as follows:</w:t>
      </w:r>
    </w:p>
    <w:p w14:paraId="7BA49EFA" w14:textId="4E5BE1CA" w:rsidR="00783208" w:rsidRPr="009A4DCF" w:rsidRDefault="009A4DCF" w:rsidP="00783208">
      <w:pPr>
        <w:pStyle w:val="SDMSubPara1"/>
      </w:pPr>
      <w:r w:rsidRPr="00B80CEF">
        <w:rPr>
          <w:rFonts w:eastAsia="Arial"/>
        </w:rPr>
        <w:t>For the first calendar year of the crediting period (y</w:t>
      </w:r>
      <w:r w:rsidRPr="00B80CEF">
        <w:rPr>
          <w:rFonts w:eastAsia="Arial"/>
          <w:vertAlign w:val="subscript"/>
        </w:rPr>
        <w:t>1</w:t>
      </w:r>
      <w:r w:rsidRPr="00B80CEF">
        <w:rPr>
          <w:rFonts w:eastAsia="Arial"/>
        </w:rPr>
        <w:t xml:space="preserve">), </w:t>
      </w:r>
      <w:r w:rsidRPr="00B80CEF">
        <w:rPr>
          <w:rFonts w:eastAsia="Arial"/>
          <w:i/>
          <w:iCs/>
        </w:rPr>
        <w:t>DA</w:t>
      </w:r>
      <w:r w:rsidRPr="00B80CEF">
        <w:rPr>
          <w:rFonts w:eastAsia="Arial"/>
          <w:i/>
          <w:iCs/>
          <w:vertAlign w:val="subscript"/>
        </w:rPr>
        <w:t>1</w:t>
      </w:r>
      <w:r w:rsidRPr="00B80CEF">
        <w:rPr>
          <w:rFonts w:eastAsia="Arial"/>
        </w:rPr>
        <w:t> = </w:t>
      </w:r>
      <w:r w:rsidRPr="00B80CEF">
        <w:rPr>
          <w:rFonts w:eastAsia="Arial"/>
          <w:i/>
          <w:iCs/>
        </w:rPr>
        <w:t>DA</w:t>
      </w:r>
      <w:r w:rsidRPr="00B80CEF">
        <w:rPr>
          <w:rFonts w:eastAsia="Arial"/>
          <w:i/>
          <w:iCs/>
          <w:vertAlign w:val="subscript"/>
        </w:rPr>
        <w:t>intial</w:t>
      </w:r>
      <w:r w:rsidRPr="00B80CEF">
        <w:rPr>
          <w:rFonts w:eastAsia="Arial"/>
        </w:rPr>
        <w:t>.</w:t>
      </w:r>
    </w:p>
    <w:p w14:paraId="4550C52A" w14:textId="51D64AD9" w:rsidR="009A4DCF" w:rsidRDefault="00023C46" w:rsidP="00EC00DE">
      <w:pPr>
        <w:pStyle w:val="SDMSubPara1"/>
        <w:keepNext/>
      </w:pPr>
      <w:r w:rsidRPr="00B80CEF">
        <w:t xml:space="preserve">For the second and subsequent calendar years of the crediting period, </w:t>
      </w:r>
      <w:r w:rsidRPr="00B80CEF">
        <w:rPr>
          <w:i/>
          <w:iCs/>
        </w:rPr>
        <w:t>DA</w:t>
      </w:r>
      <w:r w:rsidRPr="00B80CEF">
        <w:rPr>
          <w:i/>
          <w:iCs/>
          <w:vertAlign w:val="subscript"/>
        </w:rPr>
        <w:t>y</w:t>
      </w:r>
      <w:r w:rsidRPr="00B80CEF">
        <w:t xml:space="preserve"> shall be calculated as follows:</w:t>
      </w:r>
    </w:p>
    <w:tbl>
      <w:tblPr>
        <w:tblStyle w:val="SDMMethTableEquation"/>
        <w:tblW w:w="8760" w:type="dxa"/>
        <w:tblLook w:val="0600" w:firstRow="0" w:lastRow="0" w:firstColumn="0" w:lastColumn="0" w:noHBand="1" w:noVBand="1"/>
      </w:tblPr>
      <w:tblGrid>
        <w:gridCol w:w="7092"/>
        <w:gridCol w:w="1668"/>
      </w:tblGrid>
      <w:tr w:rsidR="00023C46" w:rsidRPr="00E32F75" w14:paraId="55BA4E4F" w14:textId="77777777" w:rsidTr="00690A70">
        <w:tc>
          <w:tcPr>
            <w:tcW w:w="7224" w:type="dxa"/>
          </w:tcPr>
          <w:p w14:paraId="614D11C9" w14:textId="55B797EA" w:rsidR="00023C46"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DA</m:t>
                    </m:r>
                  </m:e>
                  <m:sub>
                    <m:r>
                      <w:rPr>
                        <w:rFonts w:ascii="Cambria Math" w:hAnsi="Cambria Math"/>
                      </w:rPr>
                      <m:t>initial</m:t>
                    </m:r>
                  </m:sub>
                </m:sSub>
                <m:r>
                  <w:rPr>
                    <w:rFonts w:ascii="Cambria Math" w:hAnsi="Cambria Math"/>
                  </w:rPr>
                  <m:t>+ INDA×</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cd</m:t>
                            </m:r>
                          </m:e>
                          <m:sub>
                            <m:r>
                              <w:rPr>
                                <w:rFonts w:ascii="Cambria Math" w:hAnsi="Cambria Math"/>
                              </w:rPr>
                              <m:t>y</m:t>
                            </m:r>
                          </m:sub>
                        </m:sSub>
                      </m:num>
                      <m:den>
                        <m:sSub>
                          <m:sSubPr>
                            <m:ctrlPr>
                              <w:rPr>
                                <w:rFonts w:ascii="Cambria Math" w:hAnsi="Cambria Math"/>
                                <w:i/>
                              </w:rPr>
                            </m:ctrlPr>
                          </m:sSubPr>
                          <m:e>
                            <m:r>
                              <w:rPr>
                                <w:rFonts w:ascii="Cambria Math" w:hAnsi="Cambria Math"/>
                              </w:rPr>
                              <m:t>nd</m:t>
                            </m:r>
                          </m:e>
                          <m:sub>
                            <m:r>
                              <w:rPr>
                                <w:rFonts w:ascii="Cambria Math" w:hAnsi="Cambria Math"/>
                              </w:rPr>
                              <m:t>y</m:t>
                            </m:r>
                          </m:sub>
                        </m:sSub>
                      </m:den>
                    </m:f>
                    <m:r>
                      <w:rPr>
                        <w:rFonts w:ascii="Cambria Math" w:hAnsi="Cambria Math"/>
                      </w:rPr>
                      <m:t>+</m:t>
                    </m:r>
                    <m:d>
                      <m:dPr>
                        <m:ctrlPr>
                          <w:rPr>
                            <w:rFonts w:ascii="Cambria Math" w:hAnsi="Cambria Math"/>
                            <w:i/>
                          </w:rPr>
                        </m:ctrlPr>
                      </m:dPr>
                      <m:e>
                        <m:r>
                          <w:rPr>
                            <w:rFonts w:ascii="Cambria Math" w:hAnsi="Cambria Math"/>
                          </w:rPr>
                          <m:t>y-y1</m:t>
                        </m:r>
                      </m:e>
                    </m:d>
                    <m:r>
                      <w:rPr>
                        <w:rFonts w:ascii="Cambria Math" w:hAnsi="Cambria Math"/>
                      </w:rPr>
                      <m:t>-1</m:t>
                    </m:r>
                  </m:e>
                </m:d>
              </m:oMath>
            </m:oMathPara>
          </w:p>
        </w:tc>
        <w:tc>
          <w:tcPr>
            <w:tcW w:w="1701" w:type="dxa"/>
          </w:tcPr>
          <w:p w14:paraId="64B02CFA" w14:textId="77777777" w:rsidR="00023C46" w:rsidRPr="002B6960" w:rsidRDefault="00023C46" w:rsidP="007255A3">
            <w:pPr>
              <w:pStyle w:val="SDMMethEquationNr"/>
              <w:numPr>
                <w:ilvl w:val="0"/>
                <w:numId w:val="21"/>
              </w:numPr>
            </w:pPr>
          </w:p>
        </w:tc>
      </w:tr>
    </w:tbl>
    <w:p w14:paraId="675AFE38" w14:textId="77777777" w:rsidR="00023C46" w:rsidRDefault="00023C46"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023C46" w14:paraId="47C8C97A" w14:textId="77777777" w:rsidTr="008E1E93">
        <w:tc>
          <w:tcPr>
            <w:tcW w:w="1701" w:type="dxa"/>
            <w:vAlign w:val="top"/>
          </w:tcPr>
          <w:p w14:paraId="28D79C29" w14:textId="1CD0F67A" w:rsidR="00023C46" w:rsidRPr="0085375D" w:rsidRDefault="0039641B" w:rsidP="008E1E93">
            <w:pPr>
              <w:pStyle w:val="SDMTableBoxParaNotNumbered"/>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y</m:t>
                    </m:r>
                  </m:sub>
                </m:sSub>
              </m:oMath>
            </m:oMathPara>
          </w:p>
        </w:tc>
        <w:tc>
          <w:tcPr>
            <w:tcW w:w="345" w:type="dxa"/>
            <w:vAlign w:val="top"/>
          </w:tcPr>
          <w:p w14:paraId="728EA75C" w14:textId="77777777" w:rsidR="00023C46" w:rsidRDefault="00023C46" w:rsidP="008E1E93">
            <w:pPr>
              <w:pStyle w:val="SDMTableBoxParaNotNumbered"/>
            </w:pPr>
            <w:r>
              <w:t>=</w:t>
            </w:r>
          </w:p>
        </w:tc>
        <w:tc>
          <w:tcPr>
            <w:tcW w:w="0" w:type="auto"/>
            <w:vAlign w:val="top"/>
          </w:tcPr>
          <w:p w14:paraId="65B765C9" w14:textId="66411B74" w:rsidR="00023C46" w:rsidRDefault="00C16AF0" w:rsidP="008E1E93">
            <w:pPr>
              <w:pStyle w:val="SDMTableBoxParaNotNumbered"/>
            </w:pPr>
            <w:r>
              <w:t>D</w:t>
            </w:r>
            <w:r w:rsidRPr="006D73A7">
              <w:t xml:space="preserve">ownward adjustment </w:t>
            </w:r>
            <w:r>
              <w:t xml:space="preserve">applicable to </w:t>
            </w:r>
            <w:r w:rsidRPr="006D73A7">
              <w:t>calendar year </w:t>
            </w:r>
            <w:r w:rsidRPr="00F66921">
              <w:rPr>
                <w:i/>
                <w:iCs/>
              </w:rPr>
              <w:t>y</w:t>
            </w:r>
            <w:r w:rsidRPr="006D73A7">
              <w:t xml:space="preserve"> (dimensionless)</w:t>
            </w:r>
          </w:p>
        </w:tc>
      </w:tr>
      <w:tr w:rsidR="00023C46" w14:paraId="2E2464E5" w14:textId="77777777" w:rsidTr="008E1E93">
        <w:tc>
          <w:tcPr>
            <w:tcW w:w="1701" w:type="dxa"/>
            <w:vAlign w:val="top"/>
          </w:tcPr>
          <w:p w14:paraId="7CE63804" w14:textId="0353DDF9" w:rsidR="00023C46" w:rsidRPr="007366B8" w:rsidRDefault="007366B8" w:rsidP="008E1E93">
            <w:pPr>
              <w:pStyle w:val="SDMTableBoxParaNotNumbered"/>
            </w:pPr>
            <m:oMathPara>
              <m:oMathParaPr>
                <m:jc m:val="left"/>
              </m:oMathParaPr>
              <m:oMath>
                <m:r>
                  <w:rPr>
                    <w:rFonts w:ascii="Cambria Math" w:hAnsi="Cambria Math"/>
                  </w:rPr>
                  <m:t>INDA</m:t>
                </m:r>
              </m:oMath>
            </m:oMathPara>
          </w:p>
        </w:tc>
        <w:tc>
          <w:tcPr>
            <w:tcW w:w="345" w:type="dxa"/>
            <w:vAlign w:val="top"/>
          </w:tcPr>
          <w:p w14:paraId="26FFE478" w14:textId="77777777" w:rsidR="00023C46" w:rsidRDefault="00023C46" w:rsidP="008E1E93">
            <w:pPr>
              <w:pStyle w:val="SDMTableBoxParaNotNumbered"/>
            </w:pPr>
            <w:r>
              <w:t>=</w:t>
            </w:r>
          </w:p>
        </w:tc>
        <w:tc>
          <w:tcPr>
            <w:tcW w:w="0" w:type="auto"/>
            <w:vAlign w:val="top"/>
          </w:tcPr>
          <w:p w14:paraId="41ECA28A" w14:textId="7A77D08C" w:rsidR="00023C46" w:rsidRDefault="00F52697" w:rsidP="008E1E93">
            <w:pPr>
              <w:pStyle w:val="SDMTableBoxParaNotNumbered"/>
            </w:pPr>
            <w:r>
              <w:t xml:space="preserve">Annual increase in the downward adjustment </w:t>
            </w:r>
            <w:r w:rsidRPr="006D73A7">
              <w:t>(</w:t>
            </w:r>
            <w:r>
              <w:t>dimensionless</w:t>
            </w:r>
            <w:r w:rsidRPr="006D73A7">
              <w:t>)</w:t>
            </w:r>
          </w:p>
        </w:tc>
      </w:tr>
      <w:tr w:rsidR="00023C46" w14:paraId="05944961" w14:textId="77777777" w:rsidTr="008E1E93">
        <w:tc>
          <w:tcPr>
            <w:tcW w:w="1701" w:type="dxa"/>
            <w:vAlign w:val="top"/>
          </w:tcPr>
          <w:p w14:paraId="453F7A16" w14:textId="54310FA9" w:rsidR="00023C46" w:rsidRPr="00083504" w:rsidRDefault="0039641B" w:rsidP="008E1E93">
            <w:pPr>
              <w:pStyle w:val="SDMTableBoxParaNotNumbered"/>
            </w:pPr>
            <m:oMathPara>
              <m:oMathParaPr>
                <m:jc m:val="left"/>
              </m:oMathParaPr>
              <m:oMath>
                <m:sSub>
                  <m:sSubPr>
                    <m:ctrlPr>
                      <w:rPr>
                        <w:rFonts w:ascii="Cambria Math" w:hAnsi="Cambria Math"/>
                        <w:i/>
                      </w:rPr>
                    </m:ctrlPr>
                  </m:sSubPr>
                  <m:e>
                    <m:r>
                      <w:rPr>
                        <w:rFonts w:ascii="Cambria Math" w:hAnsi="Cambria Math"/>
                      </w:rPr>
                      <m:t>cd</m:t>
                    </m:r>
                  </m:e>
                  <m:sub>
                    <m:r>
                      <w:rPr>
                        <w:rFonts w:ascii="Cambria Math" w:hAnsi="Cambria Math"/>
                      </w:rPr>
                      <m:t>y</m:t>
                    </m:r>
                  </m:sub>
                </m:sSub>
              </m:oMath>
            </m:oMathPara>
          </w:p>
        </w:tc>
        <w:tc>
          <w:tcPr>
            <w:tcW w:w="345" w:type="dxa"/>
            <w:vAlign w:val="top"/>
          </w:tcPr>
          <w:p w14:paraId="2F3B701D" w14:textId="77777777" w:rsidR="00023C46" w:rsidRDefault="00023C46" w:rsidP="008E1E93">
            <w:pPr>
              <w:pStyle w:val="SDMTableBoxParaNotNumbered"/>
            </w:pPr>
            <w:r>
              <w:t>=</w:t>
            </w:r>
          </w:p>
        </w:tc>
        <w:tc>
          <w:tcPr>
            <w:tcW w:w="0" w:type="auto"/>
            <w:vAlign w:val="top"/>
          </w:tcPr>
          <w:p w14:paraId="1648E560" w14:textId="1B42C085" w:rsidR="00023C46" w:rsidRDefault="00B31ED1" w:rsidP="008E1E93">
            <w:pPr>
              <w:pStyle w:val="SDMTableBoxParaNotNumbered"/>
            </w:pPr>
            <w:r w:rsidRPr="006D73A7">
              <w:rPr>
                <w:rFonts w:eastAsia="Arial"/>
                <w:lang w:val="en-US"/>
              </w:rPr>
              <w:t xml:space="preserve">Number of crediting days in the calendar year </w:t>
            </w:r>
            <w:r w:rsidRPr="006D73A7">
              <w:rPr>
                <w:rFonts w:eastAsia="Arial"/>
                <w:i/>
                <w:iCs/>
                <w:lang w:val="en-US"/>
              </w:rPr>
              <w:t>y</w:t>
            </w:r>
            <w:r w:rsidRPr="006D73A7">
              <w:rPr>
                <w:rFonts w:eastAsia="Arial"/>
                <w:lang w:val="en-US"/>
              </w:rPr>
              <w:t xml:space="preserve"> that belong to the </w:t>
            </w:r>
            <w:r>
              <w:rPr>
                <w:rFonts w:eastAsia="Arial"/>
                <w:lang w:val="en-US"/>
              </w:rPr>
              <w:t>subsequent year of the crediting period</w:t>
            </w:r>
            <w:r>
              <w:rPr>
                <w:rStyle w:val="FootnoteReference"/>
                <w:rFonts w:eastAsia="Arial"/>
                <w:lang w:val="en-US"/>
              </w:rPr>
              <w:footnoteReference w:id="35"/>
            </w:r>
          </w:p>
        </w:tc>
      </w:tr>
      <w:tr w:rsidR="005D09F5" w14:paraId="082F0D18" w14:textId="77777777" w:rsidTr="008E1E93">
        <w:tc>
          <w:tcPr>
            <w:tcW w:w="1701" w:type="dxa"/>
            <w:vAlign w:val="top"/>
          </w:tcPr>
          <w:p w14:paraId="7E72447C" w14:textId="1B3C8399" w:rsidR="005D09F5" w:rsidRPr="00AF0CEF" w:rsidRDefault="0039641B" w:rsidP="008E1E93">
            <w:pPr>
              <w:pStyle w:val="SDMTableBoxParaNotNumbered"/>
            </w:pPr>
            <m:oMathPara>
              <m:oMathParaPr>
                <m:jc m:val="left"/>
              </m:oMathParaPr>
              <m:oMath>
                <m:sSub>
                  <m:sSubPr>
                    <m:ctrlPr>
                      <w:rPr>
                        <w:rFonts w:ascii="Cambria Math" w:hAnsi="Cambria Math"/>
                        <w:i/>
                      </w:rPr>
                    </m:ctrlPr>
                  </m:sSubPr>
                  <m:e>
                    <m:r>
                      <w:rPr>
                        <w:rFonts w:ascii="Cambria Math" w:hAnsi="Cambria Math"/>
                      </w:rPr>
                      <m:t>nd</m:t>
                    </m:r>
                  </m:e>
                  <m:sub>
                    <m:r>
                      <w:rPr>
                        <w:rFonts w:ascii="Cambria Math" w:hAnsi="Cambria Math"/>
                      </w:rPr>
                      <m:t>y</m:t>
                    </m:r>
                  </m:sub>
                </m:sSub>
              </m:oMath>
            </m:oMathPara>
          </w:p>
        </w:tc>
        <w:tc>
          <w:tcPr>
            <w:tcW w:w="345" w:type="dxa"/>
            <w:vAlign w:val="top"/>
          </w:tcPr>
          <w:p w14:paraId="00BA4881" w14:textId="1015FD37" w:rsidR="005D09F5" w:rsidRDefault="005D09F5" w:rsidP="008E1E93">
            <w:pPr>
              <w:pStyle w:val="SDMTableBoxParaNotNumbered"/>
            </w:pPr>
            <w:r>
              <w:t>=</w:t>
            </w:r>
          </w:p>
        </w:tc>
        <w:tc>
          <w:tcPr>
            <w:tcW w:w="0" w:type="auto"/>
            <w:vAlign w:val="top"/>
          </w:tcPr>
          <w:p w14:paraId="057C2F4B" w14:textId="70B88F7B" w:rsidR="005D09F5" w:rsidRDefault="00032FBA" w:rsidP="008E1E93">
            <w:pPr>
              <w:pStyle w:val="SDMTableBoxParaNotNumbered"/>
            </w:pPr>
            <w:r w:rsidRPr="006D73A7">
              <w:rPr>
                <w:rFonts w:eastAsia="Arial"/>
                <w:lang w:val="en-US"/>
              </w:rPr>
              <w:t xml:space="preserve">Number of days in the calendar year </w:t>
            </w:r>
            <w:r w:rsidRPr="006D73A7">
              <w:rPr>
                <w:rFonts w:eastAsia="Arial"/>
                <w:i/>
                <w:iCs/>
                <w:lang w:val="en-US"/>
              </w:rPr>
              <w:t>y</w:t>
            </w:r>
          </w:p>
        </w:tc>
      </w:tr>
      <w:tr w:rsidR="005D09F5" w14:paraId="33428922" w14:textId="77777777" w:rsidTr="008E1E93">
        <w:trPr>
          <w:trHeight w:val="25"/>
        </w:trPr>
        <w:tc>
          <w:tcPr>
            <w:tcW w:w="1701" w:type="dxa"/>
            <w:vAlign w:val="top"/>
          </w:tcPr>
          <w:p w14:paraId="0387813E" w14:textId="55D473C2" w:rsidR="005D09F5" w:rsidRPr="00215A1A" w:rsidRDefault="00215A1A" w:rsidP="008E1E93">
            <w:pPr>
              <w:pStyle w:val="SDMTableBoxParaNotNumbered"/>
            </w:pPr>
            <m:oMathPara>
              <m:oMathParaPr>
                <m:jc m:val="left"/>
              </m:oMathParaPr>
              <m:oMath>
                <m:r>
                  <w:rPr>
                    <w:rFonts w:ascii="Cambria Math" w:hAnsi="Cambria Math"/>
                  </w:rPr>
                  <m:t>y</m:t>
                </m:r>
              </m:oMath>
            </m:oMathPara>
          </w:p>
        </w:tc>
        <w:tc>
          <w:tcPr>
            <w:tcW w:w="345" w:type="dxa"/>
            <w:vAlign w:val="top"/>
          </w:tcPr>
          <w:p w14:paraId="0075EA97" w14:textId="1A93B83E" w:rsidR="005D09F5" w:rsidRDefault="005D09F5" w:rsidP="008E1E93">
            <w:pPr>
              <w:pStyle w:val="SDMTableBoxParaNotNumbered"/>
            </w:pPr>
            <w:r>
              <w:t>=</w:t>
            </w:r>
          </w:p>
        </w:tc>
        <w:tc>
          <w:tcPr>
            <w:tcW w:w="0" w:type="auto"/>
            <w:vAlign w:val="top"/>
          </w:tcPr>
          <w:p w14:paraId="46B545C6" w14:textId="39939193" w:rsidR="005D09F5" w:rsidRDefault="006416DE" w:rsidP="008E1E93">
            <w:pPr>
              <w:pStyle w:val="SDMTableBoxParaNotNumbered"/>
            </w:pPr>
            <w:r>
              <w:rPr>
                <w:rFonts w:eastAsia="Arial"/>
                <w:lang w:val="en-US"/>
              </w:rPr>
              <w:t>C</w:t>
            </w:r>
            <w:r w:rsidRPr="006D73A7">
              <w:rPr>
                <w:rFonts w:eastAsia="Arial"/>
                <w:lang w:val="en-US"/>
              </w:rPr>
              <w:t>alendar year of the crediting period</w:t>
            </w:r>
          </w:p>
        </w:tc>
      </w:tr>
      <w:tr w:rsidR="005D09F5" w14:paraId="308A68C1" w14:textId="77777777" w:rsidTr="008E1E93">
        <w:tc>
          <w:tcPr>
            <w:tcW w:w="1701" w:type="dxa"/>
            <w:vAlign w:val="top"/>
          </w:tcPr>
          <w:p w14:paraId="350D5C05" w14:textId="62364D3B" w:rsidR="005D09F5" w:rsidRPr="00215A1A" w:rsidRDefault="00215A1A" w:rsidP="008E1E93">
            <w:pPr>
              <w:pStyle w:val="SDMTableBoxParaNotNumbered"/>
            </w:pPr>
            <m:oMathPara>
              <m:oMathParaPr>
                <m:jc m:val="left"/>
              </m:oMathParaPr>
              <m:oMath>
                <m:r>
                  <w:rPr>
                    <w:rFonts w:ascii="Cambria Math" w:hAnsi="Cambria Math"/>
                  </w:rPr>
                  <m:t>y1</m:t>
                </m:r>
              </m:oMath>
            </m:oMathPara>
          </w:p>
        </w:tc>
        <w:tc>
          <w:tcPr>
            <w:tcW w:w="345" w:type="dxa"/>
            <w:vAlign w:val="top"/>
          </w:tcPr>
          <w:p w14:paraId="5C8FF1CC" w14:textId="48E19226" w:rsidR="005D09F5" w:rsidRDefault="005D09F5" w:rsidP="008E1E93">
            <w:pPr>
              <w:pStyle w:val="SDMTableBoxParaNotNumbered"/>
            </w:pPr>
            <w:r>
              <w:t>=</w:t>
            </w:r>
          </w:p>
        </w:tc>
        <w:tc>
          <w:tcPr>
            <w:tcW w:w="0" w:type="auto"/>
            <w:vAlign w:val="top"/>
          </w:tcPr>
          <w:p w14:paraId="193C11FA" w14:textId="78914476" w:rsidR="005D09F5" w:rsidRDefault="002E76A9" w:rsidP="008E1E93">
            <w:pPr>
              <w:pStyle w:val="SDMTableBoxParaNotNumbered"/>
            </w:pPr>
            <w:r>
              <w:rPr>
                <w:rFonts w:eastAsia="Arial"/>
                <w:lang w:val="en-US"/>
              </w:rPr>
              <w:t>Calendar year of the start date of the first crediting period</w:t>
            </w:r>
          </w:p>
        </w:tc>
      </w:tr>
    </w:tbl>
    <w:p w14:paraId="4C000EFB" w14:textId="6AA34DE3" w:rsidR="00023C46" w:rsidRDefault="0013378E" w:rsidP="00EC00DE">
      <w:pPr>
        <w:pStyle w:val="SDMSubPara1"/>
        <w:keepNext/>
      </w:pPr>
      <w:r>
        <w:t>For the last calendar year </w:t>
      </w:r>
      <w:r w:rsidRPr="00E12CE5">
        <w:rPr>
          <w:i/>
          <w:iCs/>
        </w:rPr>
        <w:t>y</w:t>
      </w:r>
      <w:r>
        <w:t xml:space="preserve"> of the last crediting period, </w:t>
      </w:r>
      <w:r w:rsidRPr="00AB35F7">
        <w:rPr>
          <w:i/>
          <w:iCs/>
        </w:rPr>
        <w:t>DA</w:t>
      </w:r>
      <w:r w:rsidRPr="00AB35F7">
        <w:rPr>
          <w:i/>
          <w:iCs/>
          <w:vertAlign w:val="subscript"/>
        </w:rPr>
        <w:t>y</w:t>
      </w:r>
      <w:r>
        <w:t xml:space="preserve"> shall be calculated as follows:</w:t>
      </w:r>
    </w:p>
    <w:tbl>
      <w:tblPr>
        <w:tblStyle w:val="SDMMethTableEquation"/>
        <w:tblW w:w="8760" w:type="dxa"/>
        <w:tblLook w:val="0600" w:firstRow="0" w:lastRow="0" w:firstColumn="0" w:lastColumn="0" w:noHBand="1" w:noVBand="1"/>
      </w:tblPr>
      <w:tblGrid>
        <w:gridCol w:w="7092"/>
        <w:gridCol w:w="1668"/>
      </w:tblGrid>
      <w:tr w:rsidR="0013378E" w:rsidRPr="00E32F75" w14:paraId="6BF7B83F" w14:textId="77777777" w:rsidTr="00690A70">
        <w:tc>
          <w:tcPr>
            <w:tcW w:w="7224" w:type="dxa"/>
          </w:tcPr>
          <w:p w14:paraId="736A5DF6" w14:textId="7A71179F" w:rsidR="0013378E"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DA</m:t>
                    </m:r>
                  </m:e>
                  <m:sub>
                    <m:r>
                      <w:rPr>
                        <w:rFonts w:ascii="Cambria Math" w:hAnsi="Cambria Math"/>
                      </w:rPr>
                      <m:t>initial</m:t>
                    </m:r>
                  </m:sub>
                </m:sSub>
                <m:r>
                  <w:rPr>
                    <w:rFonts w:ascii="Cambria Math" w:hAnsi="Cambria Math"/>
                  </w:rPr>
                  <m:t>+INDA×</m:t>
                </m:r>
                <m:d>
                  <m:dPr>
                    <m:begChr m:val="["/>
                    <m:endChr m:val="]"/>
                    <m:ctrlPr>
                      <w:rPr>
                        <w:rFonts w:ascii="Cambria Math" w:hAnsi="Cambria Math"/>
                        <w:i/>
                      </w:rPr>
                    </m:ctrlPr>
                  </m:dPr>
                  <m:e>
                    <m:d>
                      <m:dPr>
                        <m:ctrlPr>
                          <w:rPr>
                            <w:rFonts w:ascii="Cambria Math" w:hAnsi="Cambria Math"/>
                            <w:i/>
                          </w:rPr>
                        </m:ctrlPr>
                      </m:dPr>
                      <m:e>
                        <m:r>
                          <w:rPr>
                            <w:rFonts w:ascii="Cambria Math" w:hAnsi="Cambria Math"/>
                          </w:rPr>
                          <m:t>y-y1</m:t>
                        </m:r>
                      </m:e>
                    </m:d>
                    <m:r>
                      <w:rPr>
                        <w:rFonts w:ascii="Cambria Math" w:hAnsi="Cambria Math"/>
                      </w:rPr>
                      <m:t>-1</m:t>
                    </m:r>
                  </m:e>
                </m:d>
              </m:oMath>
            </m:oMathPara>
          </w:p>
        </w:tc>
        <w:tc>
          <w:tcPr>
            <w:tcW w:w="1701" w:type="dxa"/>
          </w:tcPr>
          <w:p w14:paraId="52A3AB84" w14:textId="77777777" w:rsidR="0013378E" w:rsidRPr="002B6960" w:rsidRDefault="0013378E" w:rsidP="007255A3">
            <w:pPr>
              <w:pStyle w:val="SDMMethEquationNr"/>
              <w:numPr>
                <w:ilvl w:val="0"/>
                <w:numId w:val="21"/>
              </w:numPr>
            </w:pPr>
          </w:p>
        </w:tc>
      </w:tr>
    </w:tbl>
    <w:p w14:paraId="19644C2A" w14:textId="77777777" w:rsidR="0013378E" w:rsidRDefault="0013378E"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13378E" w14:paraId="1ABEB9AE" w14:textId="77777777" w:rsidTr="00690A70">
        <w:tc>
          <w:tcPr>
            <w:tcW w:w="1701" w:type="dxa"/>
          </w:tcPr>
          <w:p w14:paraId="37CAA3BA" w14:textId="7B50F6B9" w:rsidR="0013378E" w:rsidRPr="00D623C8" w:rsidRDefault="0039641B" w:rsidP="00690A70">
            <w:pPr>
              <w:pStyle w:val="SDMTableBoxParaNotNumbered"/>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y</m:t>
                    </m:r>
                  </m:sub>
                </m:sSub>
              </m:oMath>
            </m:oMathPara>
          </w:p>
        </w:tc>
        <w:tc>
          <w:tcPr>
            <w:tcW w:w="345" w:type="dxa"/>
          </w:tcPr>
          <w:p w14:paraId="73F7E072" w14:textId="77777777" w:rsidR="0013378E" w:rsidRDefault="0013378E" w:rsidP="00690A70">
            <w:pPr>
              <w:pStyle w:val="SDMTableBoxParaNotNumbered"/>
            </w:pPr>
            <w:r>
              <w:t>=</w:t>
            </w:r>
          </w:p>
        </w:tc>
        <w:tc>
          <w:tcPr>
            <w:tcW w:w="0" w:type="auto"/>
          </w:tcPr>
          <w:p w14:paraId="076A795E" w14:textId="3CE9DCF8" w:rsidR="0013378E" w:rsidRDefault="006C1175" w:rsidP="00690A70">
            <w:pPr>
              <w:pStyle w:val="SDMTableBoxParaNotNumbered"/>
            </w:pPr>
            <w:r>
              <w:t>D</w:t>
            </w:r>
            <w:r w:rsidRPr="006D73A7">
              <w:t xml:space="preserve">ownward adjustment </w:t>
            </w:r>
            <w:r>
              <w:t xml:space="preserve">applicable to </w:t>
            </w:r>
            <w:r w:rsidRPr="006D73A7">
              <w:t>calendar year </w:t>
            </w:r>
            <w:r w:rsidRPr="00A073CD">
              <w:rPr>
                <w:i/>
                <w:iCs/>
              </w:rPr>
              <w:t>y</w:t>
            </w:r>
            <w:r w:rsidRPr="006D73A7">
              <w:t xml:space="preserve"> (dimensionless)</w:t>
            </w:r>
          </w:p>
        </w:tc>
      </w:tr>
      <w:tr w:rsidR="0013378E" w14:paraId="2348C8F9" w14:textId="77777777" w:rsidTr="00690A70">
        <w:tc>
          <w:tcPr>
            <w:tcW w:w="1701" w:type="dxa"/>
          </w:tcPr>
          <w:p w14:paraId="21E61A56" w14:textId="10A3CC2A" w:rsidR="0013378E" w:rsidRPr="00D623C8" w:rsidRDefault="00437A9C" w:rsidP="00690A70">
            <w:pPr>
              <w:pStyle w:val="SDMTableBoxParaNotNumbered"/>
            </w:pPr>
            <m:oMathPara>
              <m:oMathParaPr>
                <m:jc m:val="left"/>
              </m:oMathParaPr>
              <m:oMath>
                <m:r>
                  <w:rPr>
                    <w:rFonts w:ascii="Cambria Math" w:hAnsi="Cambria Math"/>
                  </w:rPr>
                  <m:t>INDA</m:t>
                </m:r>
              </m:oMath>
            </m:oMathPara>
          </w:p>
        </w:tc>
        <w:tc>
          <w:tcPr>
            <w:tcW w:w="345" w:type="dxa"/>
          </w:tcPr>
          <w:p w14:paraId="138D0BB8" w14:textId="77777777" w:rsidR="0013378E" w:rsidRDefault="0013378E" w:rsidP="00690A70">
            <w:pPr>
              <w:pStyle w:val="SDMTableBoxParaNotNumbered"/>
            </w:pPr>
            <w:r>
              <w:t>=</w:t>
            </w:r>
          </w:p>
        </w:tc>
        <w:tc>
          <w:tcPr>
            <w:tcW w:w="0" w:type="auto"/>
          </w:tcPr>
          <w:p w14:paraId="25074758" w14:textId="20003BD9" w:rsidR="0013378E" w:rsidRDefault="00130544" w:rsidP="00690A70">
            <w:pPr>
              <w:pStyle w:val="SDMTableBoxParaNotNumbered"/>
            </w:pPr>
            <w:r>
              <w:t xml:space="preserve">Annual increase in the downward adjustment </w:t>
            </w:r>
            <w:r w:rsidRPr="006D73A7">
              <w:t>(</w:t>
            </w:r>
            <w:r>
              <w:t>dimensionless</w:t>
            </w:r>
            <w:r w:rsidRPr="006D73A7">
              <w:t>)</w:t>
            </w:r>
          </w:p>
        </w:tc>
      </w:tr>
      <w:tr w:rsidR="0013378E" w14:paraId="0E846865" w14:textId="77777777" w:rsidTr="00690A70">
        <w:tc>
          <w:tcPr>
            <w:tcW w:w="1701" w:type="dxa"/>
          </w:tcPr>
          <w:p w14:paraId="3A52AF4E" w14:textId="7039B884" w:rsidR="0013378E" w:rsidRPr="00D623C8" w:rsidRDefault="00D623C8" w:rsidP="00690A70">
            <w:pPr>
              <w:pStyle w:val="SDMTableBoxParaNotNumbered"/>
            </w:pPr>
            <m:oMathPara>
              <m:oMathParaPr>
                <m:jc m:val="left"/>
              </m:oMathParaPr>
              <m:oMath>
                <m:r>
                  <w:rPr>
                    <w:rFonts w:ascii="Cambria Math" w:hAnsi="Cambria Math"/>
                  </w:rPr>
                  <m:t>y</m:t>
                </m:r>
              </m:oMath>
            </m:oMathPara>
          </w:p>
        </w:tc>
        <w:tc>
          <w:tcPr>
            <w:tcW w:w="345" w:type="dxa"/>
          </w:tcPr>
          <w:p w14:paraId="111C1BAE" w14:textId="77777777" w:rsidR="0013378E" w:rsidRDefault="0013378E" w:rsidP="00690A70">
            <w:pPr>
              <w:pStyle w:val="SDMTableBoxParaNotNumbered"/>
            </w:pPr>
            <w:r>
              <w:t>=</w:t>
            </w:r>
          </w:p>
        </w:tc>
        <w:tc>
          <w:tcPr>
            <w:tcW w:w="0" w:type="auto"/>
          </w:tcPr>
          <w:p w14:paraId="7E5E9B9A" w14:textId="2709AC43" w:rsidR="0013378E" w:rsidRDefault="00291CC1" w:rsidP="00690A70">
            <w:pPr>
              <w:pStyle w:val="SDMTableBoxParaNotNumbered"/>
            </w:pPr>
            <w:r>
              <w:rPr>
                <w:rFonts w:eastAsia="Arial"/>
                <w:lang w:val="en-US"/>
              </w:rPr>
              <w:t>C</w:t>
            </w:r>
            <w:r w:rsidRPr="006D73A7">
              <w:rPr>
                <w:rFonts w:eastAsia="Arial"/>
                <w:lang w:val="en-US"/>
              </w:rPr>
              <w:t>alendar year of the crediting period</w:t>
            </w:r>
          </w:p>
        </w:tc>
      </w:tr>
      <w:tr w:rsidR="00EF1FF9" w14:paraId="285E124E" w14:textId="77777777" w:rsidTr="00690A70">
        <w:tc>
          <w:tcPr>
            <w:tcW w:w="1701" w:type="dxa"/>
          </w:tcPr>
          <w:p w14:paraId="151BF37F" w14:textId="576AE578" w:rsidR="00EF1FF9" w:rsidRPr="00D623C8" w:rsidRDefault="00D623C8" w:rsidP="00690A70">
            <w:pPr>
              <w:pStyle w:val="SDMTableBoxParaNotNumbered"/>
            </w:pPr>
            <m:oMathPara>
              <m:oMathParaPr>
                <m:jc m:val="left"/>
              </m:oMathParaPr>
              <m:oMath>
                <m:r>
                  <w:rPr>
                    <w:rFonts w:ascii="Cambria Math" w:hAnsi="Cambria Math"/>
                  </w:rPr>
                  <m:t>y1</m:t>
                </m:r>
              </m:oMath>
            </m:oMathPara>
          </w:p>
        </w:tc>
        <w:tc>
          <w:tcPr>
            <w:tcW w:w="345" w:type="dxa"/>
          </w:tcPr>
          <w:p w14:paraId="6C590F93" w14:textId="3BF1039E" w:rsidR="00EF1FF9" w:rsidRDefault="00EF1FF9" w:rsidP="00690A70">
            <w:pPr>
              <w:pStyle w:val="SDMTableBoxParaNotNumbered"/>
            </w:pPr>
            <w:r>
              <w:t>=</w:t>
            </w:r>
          </w:p>
        </w:tc>
        <w:tc>
          <w:tcPr>
            <w:tcW w:w="0" w:type="auto"/>
          </w:tcPr>
          <w:p w14:paraId="2FB75C56" w14:textId="7CF8D746" w:rsidR="00EF1FF9" w:rsidRDefault="007D7ED5" w:rsidP="00690A70">
            <w:pPr>
              <w:pStyle w:val="SDMTableBoxParaNotNumbered"/>
            </w:pPr>
            <w:r>
              <w:rPr>
                <w:rFonts w:eastAsia="Arial"/>
                <w:lang w:val="en-US"/>
              </w:rPr>
              <w:t>Calendar year of the start date of the first crediting period</w:t>
            </w:r>
          </w:p>
        </w:tc>
      </w:tr>
    </w:tbl>
    <w:p w14:paraId="08EDB9F1" w14:textId="40CC63FE" w:rsidR="009127E3" w:rsidRDefault="004F30F0" w:rsidP="004F30F0">
      <w:pPr>
        <w:pStyle w:val="SDMHead2"/>
      </w:pPr>
      <w:bookmarkStart w:id="249" w:name="_Toc224306081"/>
      <w:bookmarkStart w:id="250" w:name="_Toc224660845"/>
      <w:bookmarkStart w:id="251" w:name="_Toc224660880"/>
      <w:bookmarkStart w:id="252" w:name="_Toc224661372"/>
      <w:bookmarkStart w:id="253" w:name="_Toc232451491"/>
      <w:bookmarkStart w:id="254" w:name="_Toc233281819"/>
      <w:bookmarkStart w:id="255" w:name="_Toc233881731"/>
      <w:bookmarkStart w:id="256" w:name="_Toc233882097"/>
      <w:bookmarkStart w:id="257" w:name="_Toc233884224"/>
      <w:bookmarkStart w:id="258" w:name="_Toc233902833"/>
      <w:bookmarkStart w:id="259" w:name="_Toc233902870"/>
      <w:bookmarkStart w:id="260" w:name="_Toc236391901"/>
      <w:bookmarkStart w:id="261" w:name="_Toc236394043"/>
      <w:r w:rsidRPr="00D4370C">
        <w:rPr>
          <w:rFonts w:eastAsiaTheme="minorEastAsia"/>
        </w:rPr>
        <w:t>Determination of a conservative ‘</w:t>
      </w:r>
      <w:r>
        <w:rPr>
          <w:rFonts w:eastAsiaTheme="minorEastAsia"/>
        </w:rPr>
        <w:t>b</w:t>
      </w:r>
      <w:r w:rsidRPr="00D4370C">
        <w:rPr>
          <w:rFonts w:eastAsiaTheme="minorEastAsia"/>
        </w:rPr>
        <w:t xml:space="preserve">usiness-as-usual’ (BAU) baseline </w:t>
      </w:r>
      <w:r w:rsidRPr="2785112B">
        <w:rPr>
          <w:rFonts w:eastAsiaTheme="minorEastAsia"/>
        </w:rPr>
        <w:t>and</w:t>
      </w:r>
      <w:r w:rsidRPr="00D4370C">
        <w:rPr>
          <w:rFonts w:eastAsiaTheme="minorEastAsia"/>
        </w:rPr>
        <w:t xml:space="preserve"> </w:t>
      </w:r>
      <w:r w:rsidRPr="3F5CF616">
        <w:rPr>
          <w:rFonts w:eastAsiaTheme="minorEastAsia"/>
        </w:rPr>
        <w:t>comparison of the downward adjusted baseline and the conservative business-as-usual baseline</w:t>
      </w:r>
      <w:bookmarkEnd w:id="249"/>
      <w:bookmarkEnd w:id="250"/>
      <w:bookmarkEnd w:id="251"/>
      <w:bookmarkEnd w:id="252"/>
      <w:bookmarkEnd w:id="253"/>
      <w:bookmarkEnd w:id="254"/>
      <w:bookmarkEnd w:id="255"/>
      <w:bookmarkEnd w:id="256"/>
      <w:bookmarkEnd w:id="257"/>
      <w:bookmarkEnd w:id="258"/>
      <w:bookmarkEnd w:id="259"/>
      <w:bookmarkEnd w:id="260"/>
      <w:bookmarkEnd w:id="261"/>
    </w:p>
    <w:p w14:paraId="483B92FF" w14:textId="3F017D6A" w:rsidR="009127E3" w:rsidRPr="008D4262" w:rsidRDefault="008D4262" w:rsidP="0023388D">
      <w:pPr>
        <w:pStyle w:val="SDMPara"/>
      </w:pPr>
      <w:r w:rsidRPr="00AC3A6E">
        <w:rPr>
          <w:rFonts w:eastAsia="Arial"/>
        </w:rPr>
        <w:t xml:space="preserve">The conservative business-as-usual (BAU) scenario for Article 6.4 activities eligible under this mechanism methodology </w:t>
      </w:r>
      <w:r>
        <w:rPr>
          <w:rFonts w:eastAsia="Arial"/>
        </w:rPr>
        <w:t xml:space="preserve">shall be deemed to be </w:t>
      </w:r>
      <w:r w:rsidRPr="00AC3A6E">
        <w:rPr>
          <w:rFonts w:eastAsia="Arial"/>
        </w:rPr>
        <w:t>the same as the baseline scenario, i.e.</w:t>
      </w:r>
      <w:r>
        <w:rPr>
          <w:rFonts w:eastAsia="Arial"/>
        </w:rPr>
        <w:t>,</w:t>
      </w:r>
      <w:r w:rsidRPr="00AC3A6E">
        <w:rPr>
          <w:rFonts w:eastAsia="Arial"/>
        </w:rPr>
        <w:t xml:space="preserve"> </w:t>
      </w:r>
      <w:r w:rsidRPr="006726DA">
        <w:rPr>
          <w:rFonts w:eastAsia="Arial"/>
        </w:rPr>
        <w:t>that</w:t>
      </w:r>
      <w:r>
        <w:rPr>
          <w:rFonts w:eastAsia="Arial"/>
        </w:rPr>
        <w:t xml:space="preserve"> </w:t>
      </w:r>
      <w:r w:rsidRPr="00AC3A6E">
        <w:rPr>
          <w:rFonts w:eastAsia="Arial"/>
        </w:rPr>
        <w:t xml:space="preserve">the electricity delivered </w:t>
      </w:r>
      <w:r>
        <w:rPr>
          <w:rFonts w:eastAsia="Arial"/>
        </w:rPr>
        <w:t xml:space="preserve">by the Article 6.4 activity </w:t>
      </w:r>
      <w:r w:rsidRPr="00AC3A6E">
        <w:rPr>
          <w:rFonts w:eastAsia="Arial"/>
        </w:rPr>
        <w:t xml:space="preserve">to the </w:t>
      </w:r>
      <w:r>
        <w:rPr>
          <w:rFonts w:eastAsia="Arial"/>
        </w:rPr>
        <w:t>electricity system</w:t>
      </w:r>
      <w:r w:rsidRPr="00AC3A6E">
        <w:rPr>
          <w:rFonts w:eastAsia="Arial"/>
        </w:rPr>
        <w:t xml:space="preserve"> would </w:t>
      </w:r>
      <w:r w:rsidRPr="00AC3A6E">
        <w:rPr>
          <w:rFonts w:eastAsia="Arial"/>
        </w:rPr>
        <w:lastRenderedPageBreak/>
        <w:t xml:space="preserve">otherwise </w:t>
      </w:r>
      <w:r w:rsidRPr="6A27982A">
        <w:rPr>
          <w:rFonts w:eastAsia="Arial"/>
        </w:rPr>
        <w:t>be</w:t>
      </w:r>
      <w:r w:rsidRPr="00AC3A6E">
        <w:rPr>
          <w:rFonts w:eastAsia="Arial"/>
        </w:rPr>
        <w:t xml:space="preserve"> generated by the operation of existing grid-connected power plants and by the addition of new generation sources.</w:t>
      </w:r>
      <w:r w:rsidRPr="68C5F39D">
        <w:rPr>
          <w:rStyle w:val="FootnoteReference"/>
          <w:rFonts w:eastAsia="Arial"/>
        </w:rPr>
        <w:footnoteReference w:id="36"/>
      </w:r>
    </w:p>
    <w:p w14:paraId="013525D4" w14:textId="5946A405" w:rsidR="008D4262" w:rsidRDefault="002E1EBC" w:rsidP="0023388D">
      <w:pPr>
        <w:pStyle w:val="SDMPara"/>
      </w:pPr>
      <w:r w:rsidRPr="008C66E4">
        <w:rPr>
          <w:rFonts w:eastAsia="Arial"/>
        </w:rPr>
        <w:t xml:space="preserve">Since the conservative BAU scenario and the baseline </w:t>
      </w:r>
      <w:r>
        <w:rPr>
          <w:rFonts w:eastAsia="Arial"/>
        </w:rPr>
        <w:t>scenario</w:t>
      </w:r>
      <w:r w:rsidRPr="008C66E4">
        <w:rPr>
          <w:rFonts w:eastAsia="Arial"/>
        </w:rPr>
        <w:t xml:space="preserve"> are the same, the conservative BAU emission</w:t>
      </w:r>
      <w:r>
        <w:rPr>
          <w:rFonts w:eastAsia="Arial"/>
        </w:rPr>
        <w:t>s</w:t>
      </w:r>
      <w:r w:rsidRPr="008C66E4">
        <w:rPr>
          <w:rFonts w:eastAsia="Arial"/>
        </w:rPr>
        <w:t xml:space="preserve"> will always be higher than the downward adjusted baseline </w:t>
      </w:r>
      <w:r>
        <w:rPr>
          <w:rFonts w:eastAsia="Arial"/>
        </w:rPr>
        <w:t>emissions,</w:t>
      </w:r>
      <w:r w:rsidRPr="008C66E4">
        <w:rPr>
          <w:rFonts w:eastAsia="Arial"/>
        </w:rPr>
        <w:t xml:space="preserve"> except for the calendar year of the start date of the first crediting period. Therefore,</w:t>
      </w:r>
      <w:r w:rsidRPr="008C66E4" w:rsidDel="00F33849">
        <w:rPr>
          <w:rFonts w:eastAsia="Arial"/>
        </w:rPr>
        <w:t xml:space="preserve"> </w:t>
      </w:r>
      <w:r w:rsidRPr="008C66E4">
        <w:rPr>
          <w:rFonts w:eastAsia="Arial"/>
        </w:rPr>
        <w:t xml:space="preserve">for that year the crediting baseline </w:t>
      </w:r>
      <w:r>
        <w:rPr>
          <w:rFonts w:eastAsia="Arial"/>
        </w:rPr>
        <w:t>determined in equation (</w:t>
      </w:r>
      <w:r w:rsidR="00307567">
        <w:rPr>
          <w:rFonts w:eastAsia="Arial"/>
        </w:rPr>
        <w:t>6</w:t>
      </w:r>
      <w:r>
        <w:rPr>
          <w:rFonts w:eastAsia="Arial"/>
        </w:rPr>
        <w:t xml:space="preserve">) </w:t>
      </w:r>
      <w:r w:rsidRPr="008C66E4">
        <w:rPr>
          <w:rFonts w:eastAsia="Arial"/>
        </w:rPr>
        <w:t xml:space="preserve">shall be </w:t>
      </w:r>
      <w:r>
        <w:rPr>
          <w:rFonts w:eastAsia="Arial"/>
        </w:rPr>
        <w:t>multiplied by a factor of 0.99 to ensure that it is lower than the conservative BAU emissions. Activity participants do not</w:t>
      </w:r>
      <w:r w:rsidRPr="008C66E4">
        <w:rPr>
          <w:rFonts w:eastAsia="Arial"/>
        </w:rPr>
        <w:t xml:space="preserve"> need to calculate or compare the conservative BAU emissions in subsequent years.</w:t>
      </w:r>
    </w:p>
    <w:p w14:paraId="30D7E947" w14:textId="1764743C" w:rsidR="009127E3" w:rsidRDefault="002E1EBC" w:rsidP="002E1EBC">
      <w:pPr>
        <w:pStyle w:val="SDMHead1"/>
      </w:pPr>
      <w:bookmarkStart w:id="262" w:name="_Toc233881732"/>
      <w:bookmarkStart w:id="263" w:name="_Toc233882098"/>
      <w:bookmarkStart w:id="264" w:name="_Toc233884225"/>
      <w:bookmarkStart w:id="265" w:name="_Toc233902834"/>
      <w:bookmarkStart w:id="266" w:name="_Toc233902871"/>
      <w:bookmarkStart w:id="267" w:name="_Toc236391902"/>
      <w:bookmarkStart w:id="268" w:name="_Toc236394044"/>
      <w:r>
        <w:t>Activity scenario</w:t>
      </w:r>
      <w:bookmarkEnd w:id="262"/>
      <w:bookmarkEnd w:id="263"/>
      <w:bookmarkEnd w:id="264"/>
      <w:bookmarkEnd w:id="265"/>
      <w:bookmarkEnd w:id="266"/>
      <w:bookmarkEnd w:id="267"/>
      <w:bookmarkEnd w:id="268"/>
    </w:p>
    <w:p w14:paraId="50F671DD" w14:textId="792314EF" w:rsidR="00B960DB" w:rsidRPr="005C6583" w:rsidRDefault="005C6583" w:rsidP="00EC00DE">
      <w:pPr>
        <w:pStyle w:val="SDMPara"/>
        <w:keepNext/>
      </w:pPr>
      <w:r w:rsidRPr="00345674">
        <w:rPr>
          <w:rFonts w:eastAsiaTheme="minorEastAsia"/>
          <w:lang w:val="en-US"/>
        </w:rPr>
        <w:t>Activity</w:t>
      </w:r>
      <w:r>
        <w:rPr>
          <w:rFonts w:eastAsiaTheme="minorEastAsia"/>
        </w:rPr>
        <w:t xml:space="preserve"> emissions shall be calculated as follows:</w:t>
      </w:r>
    </w:p>
    <w:tbl>
      <w:tblPr>
        <w:tblStyle w:val="SDMMethTableEquation"/>
        <w:tblW w:w="8760" w:type="dxa"/>
        <w:tblLook w:val="0600" w:firstRow="0" w:lastRow="0" w:firstColumn="0" w:lastColumn="0" w:noHBand="1" w:noVBand="1"/>
      </w:tblPr>
      <w:tblGrid>
        <w:gridCol w:w="7091"/>
        <w:gridCol w:w="1669"/>
      </w:tblGrid>
      <w:tr w:rsidR="005C6583" w:rsidRPr="00E32F75" w14:paraId="15439EDB" w14:textId="77777777" w:rsidTr="00690A70">
        <w:tc>
          <w:tcPr>
            <w:tcW w:w="7224" w:type="dxa"/>
          </w:tcPr>
          <w:p w14:paraId="22D924D2" w14:textId="410C0494" w:rsidR="005C6583" w:rsidRPr="00252AA4" w:rsidRDefault="0039641B" w:rsidP="00690A70">
            <w:pPr>
              <w:pStyle w:val="SDMMethEquation"/>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y</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FC</m:t>
                    </m:r>
                    <m:r>
                      <m:rPr>
                        <m:sty m:val="p"/>
                      </m:rPr>
                      <w:rPr>
                        <w:rFonts w:ascii="Cambria Math" w:eastAsiaTheme="minorEastAsia" w:hAnsi="Cambria Math"/>
                      </w:rPr>
                      <m:t>,</m:t>
                    </m:r>
                    <m:r>
                      <w:rPr>
                        <w:rFonts w:ascii="Cambria Math" w:eastAsiaTheme="minorEastAsia" w:hAnsi="Cambria Math"/>
                      </w:rPr>
                      <m:t>y</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EC</m:t>
                    </m:r>
                    <m:r>
                      <m:rPr>
                        <m:sty m:val="p"/>
                      </m:rPr>
                      <w:rPr>
                        <w:rFonts w:ascii="Cambria Math" w:eastAsiaTheme="minorEastAsia" w:hAnsi="Cambria Math"/>
                      </w:rPr>
                      <m:t>,</m:t>
                    </m:r>
                    <m:r>
                      <w:rPr>
                        <w:rFonts w:ascii="Cambria Math" w:eastAsiaTheme="minorEastAsia" w:hAnsi="Cambria Math"/>
                      </w:rPr>
                      <m:t>y</m:t>
                    </m:r>
                  </m:sub>
                </m:sSub>
                <m: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GP</m:t>
                    </m:r>
                    <m:r>
                      <m:rPr>
                        <m:sty m:val="p"/>
                      </m:rPr>
                      <w:rPr>
                        <w:rFonts w:ascii="Cambria Math" w:eastAsiaTheme="minorEastAsia" w:hAnsi="Cambria Math"/>
                      </w:rPr>
                      <m:t>,</m:t>
                    </m:r>
                    <m:r>
                      <w:rPr>
                        <w:rFonts w:ascii="Cambria Math" w:eastAsiaTheme="minorEastAsia" w:hAnsi="Cambria Math"/>
                      </w:rPr>
                      <m:t>y</m:t>
                    </m:r>
                  </m:sub>
                </m:sSub>
              </m:oMath>
            </m:oMathPara>
          </w:p>
        </w:tc>
        <w:tc>
          <w:tcPr>
            <w:tcW w:w="1701" w:type="dxa"/>
          </w:tcPr>
          <w:p w14:paraId="7F665E7B" w14:textId="77777777" w:rsidR="005C6583" w:rsidRPr="002B6960" w:rsidRDefault="005C6583" w:rsidP="007255A3">
            <w:pPr>
              <w:pStyle w:val="SDMMethEquationNr"/>
              <w:numPr>
                <w:ilvl w:val="0"/>
                <w:numId w:val="21"/>
              </w:numPr>
            </w:pPr>
          </w:p>
        </w:tc>
      </w:tr>
    </w:tbl>
    <w:p w14:paraId="5E31E8EF" w14:textId="77777777" w:rsidR="005C6583" w:rsidRDefault="005C6583"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5C6583" w14:paraId="20AE41B7" w14:textId="77777777" w:rsidTr="00690A70">
        <w:tc>
          <w:tcPr>
            <w:tcW w:w="1701" w:type="dxa"/>
          </w:tcPr>
          <w:p w14:paraId="3BC20D90" w14:textId="77D91AFA" w:rsidR="005C6583" w:rsidRPr="00107597" w:rsidRDefault="0039641B" w:rsidP="00690A70">
            <w:pPr>
              <w:pStyle w:val="SDMTableBoxParaNotNumbered"/>
            </w:pPr>
            <m:oMathPara>
              <m:oMathParaPr>
                <m:jc m:val="left"/>
              </m:oMathParaPr>
              <m:oMath>
                <m:sSub>
                  <m:sSubPr>
                    <m:ctrlPr>
                      <w:rPr>
                        <w:rFonts w:ascii="Cambria Math" w:eastAsiaTheme="minorEastAsia" w:hAnsi="Cambria Math" w:cs="Arial"/>
                        <w:i/>
                      </w:rPr>
                    </m:ctrlPr>
                  </m:sSubPr>
                  <m:e>
                    <m:r>
                      <w:rPr>
                        <w:rFonts w:ascii="Cambria Math" w:eastAsiaTheme="minorEastAsia" w:hAnsi="Cambria Math"/>
                      </w:rPr>
                      <m:t>AE</m:t>
                    </m:r>
                  </m:e>
                  <m:sub>
                    <m:r>
                      <w:rPr>
                        <w:rFonts w:ascii="Cambria Math" w:eastAsiaTheme="minorEastAsia" w:hAnsi="Cambria Math"/>
                      </w:rPr>
                      <m:t>y</m:t>
                    </m:r>
                  </m:sub>
                </m:sSub>
              </m:oMath>
            </m:oMathPara>
          </w:p>
        </w:tc>
        <w:tc>
          <w:tcPr>
            <w:tcW w:w="345" w:type="dxa"/>
          </w:tcPr>
          <w:p w14:paraId="1E8F2701" w14:textId="77777777" w:rsidR="005C6583" w:rsidRDefault="005C6583" w:rsidP="00690A70">
            <w:pPr>
              <w:pStyle w:val="SDMTableBoxParaNotNumbered"/>
            </w:pPr>
            <w:r>
              <w:t>=</w:t>
            </w:r>
          </w:p>
        </w:tc>
        <w:tc>
          <w:tcPr>
            <w:tcW w:w="0" w:type="auto"/>
          </w:tcPr>
          <w:p w14:paraId="74D81518" w14:textId="11A46B0C" w:rsidR="005C6583" w:rsidRDefault="00934461" w:rsidP="00690A70">
            <w:pPr>
              <w:pStyle w:val="SDMTableBoxParaNotNumbered"/>
            </w:pPr>
            <w:r>
              <w:rPr>
                <w:rFonts w:eastAsiaTheme="minorEastAsia"/>
              </w:rPr>
              <w:t>Activity</w:t>
            </w:r>
            <w:r w:rsidRPr="00D4370C">
              <w:rPr>
                <w:rFonts w:eastAsiaTheme="minorEastAsia"/>
              </w:rPr>
              <w:t xml:space="preserve"> emissions in year </w:t>
            </w:r>
            <w:r w:rsidRPr="00D4370C">
              <w:rPr>
                <w:rFonts w:eastAsiaTheme="minorEastAsia"/>
                <w:i/>
              </w:rPr>
              <w:t>y</w:t>
            </w:r>
            <w:r w:rsidRPr="00D4370C">
              <w:rPr>
                <w:rFonts w:eastAsiaTheme="minorEastAsia"/>
              </w:rPr>
              <w:t xml:space="preserve"> (t CO</w:t>
            </w:r>
            <w:r w:rsidRPr="00D4370C">
              <w:rPr>
                <w:rFonts w:eastAsiaTheme="minorEastAsia"/>
                <w:vertAlign w:val="subscript"/>
              </w:rPr>
              <w:t>2</w:t>
            </w:r>
            <w:r w:rsidRPr="00D4370C">
              <w:rPr>
                <w:rFonts w:eastAsiaTheme="minorEastAsia"/>
              </w:rPr>
              <w:t>e</w:t>
            </w:r>
            <w:r>
              <w:rPr>
                <w:rFonts w:eastAsiaTheme="minorEastAsia"/>
              </w:rPr>
              <w:t>q</w:t>
            </w:r>
            <w:r w:rsidRPr="00D4370C">
              <w:rPr>
                <w:rFonts w:eastAsiaTheme="minorEastAsia"/>
              </w:rPr>
              <w:t>)</w:t>
            </w:r>
          </w:p>
        </w:tc>
      </w:tr>
      <w:tr w:rsidR="005C6583" w14:paraId="70035AF2" w14:textId="77777777" w:rsidTr="00690A70">
        <w:tc>
          <w:tcPr>
            <w:tcW w:w="1701" w:type="dxa"/>
          </w:tcPr>
          <w:p w14:paraId="581BD708" w14:textId="5EAD5AC4" w:rsidR="005C6583" w:rsidRPr="00107597" w:rsidRDefault="0039641B" w:rsidP="00690A70">
            <w:pPr>
              <w:pStyle w:val="SDMTableBoxParaNotNumbered"/>
            </w:pPr>
            <m:oMathPara>
              <m:oMathParaPr>
                <m:jc m:val="left"/>
              </m:oMathParaPr>
              <m:oMath>
                <m:sSub>
                  <m:sSubPr>
                    <m:ctrlPr>
                      <w:rPr>
                        <w:rFonts w:ascii="Cambria Math" w:eastAsiaTheme="minorEastAsia" w:hAnsi="Cambria Math" w:cs="Arial"/>
                        <w:i/>
                      </w:rPr>
                    </m:ctrlPr>
                  </m:sSubPr>
                  <m:e>
                    <m:r>
                      <w:rPr>
                        <w:rFonts w:ascii="Cambria Math" w:eastAsiaTheme="minorEastAsia" w:hAnsi="Cambria Math"/>
                      </w:rPr>
                      <m:t>AE</m:t>
                    </m:r>
                  </m:e>
                  <m:sub>
                    <m:r>
                      <w:rPr>
                        <w:rFonts w:ascii="Cambria Math" w:eastAsiaTheme="minorEastAsia" w:hAnsi="Cambria Math"/>
                      </w:rPr>
                      <m:t>FC,y</m:t>
                    </m:r>
                  </m:sub>
                </m:sSub>
              </m:oMath>
            </m:oMathPara>
          </w:p>
        </w:tc>
        <w:tc>
          <w:tcPr>
            <w:tcW w:w="345" w:type="dxa"/>
          </w:tcPr>
          <w:p w14:paraId="3F1527AC" w14:textId="77777777" w:rsidR="005C6583" w:rsidRDefault="005C6583" w:rsidP="00690A70">
            <w:pPr>
              <w:pStyle w:val="SDMTableBoxParaNotNumbered"/>
            </w:pPr>
            <w:r>
              <w:t>=</w:t>
            </w:r>
          </w:p>
        </w:tc>
        <w:tc>
          <w:tcPr>
            <w:tcW w:w="0" w:type="auto"/>
          </w:tcPr>
          <w:p w14:paraId="299FBC31" w14:textId="426633BB" w:rsidR="005C6583" w:rsidRDefault="00803F28" w:rsidP="00690A70">
            <w:pPr>
              <w:pStyle w:val="SDMTableBoxParaNotNumbered"/>
            </w:pPr>
            <w:r>
              <w:rPr>
                <w:rFonts w:eastAsiaTheme="minorEastAsia"/>
              </w:rPr>
              <w:t>Activity</w:t>
            </w:r>
            <w:r w:rsidRPr="00D4370C">
              <w:rPr>
                <w:rFonts w:eastAsiaTheme="minorEastAsia"/>
              </w:rPr>
              <w:t xml:space="preserve"> emissions from fossil fuel consumption in year </w:t>
            </w:r>
            <w:r w:rsidRPr="00D4370C">
              <w:rPr>
                <w:rFonts w:eastAsiaTheme="minorEastAsia"/>
                <w:i/>
              </w:rPr>
              <w:t>y</w:t>
            </w:r>
            <w:r w:rsidRPr="00D4370C">
              <w:rPr>
                <w:rFonts w:eastAsiaTheme="minorEastAsia"/>
              </w:rPr>
              <w:t xml:space="preserve"> (t </w:t>
            </w:r>
            <w:r w:rsidRPr="5ED1399A">
              <w:rPr>
                <w:rFonts w:eastAsiaTheme="minorEastAsia"/>
              </w:rPr>
              <w:t>CO</w:t>
            </w:r>
            <w:r w:rsidRPr="5ED1399A">
              <w:rPr>
                <w:rFonts w:eastAsiaTheme="minorEastAsia"/>
                <w:vertAlign w:val="subscript"/>
              </w:rPr>
              <w:t>2</w:t>
            </w:r>
            <w:r w:rsidRPr="5ED1399A">
              <w:rPr>
                <w:rFonts w:eastAsiaTheme="minorEastAsia"/>
              </w:rPr>
              <w:t>e</w:t>
            </w:r>
            <w:r>
              <w:rPr>
                <w:rFonts w:eastAsiaTheme="minorEastAsia"/>
              </w:rPr>
              <w:t>q</w:t>
            </w:r>
            <w:r w:rsidRPr="00D4370C">
              <w:rPr>
                <w:rFonts w:eastAsiaTheme="minorEastAsia"/>
              </w:rPr>
              <w:t>)</w:t>
            </w:r>
            <w:r>
              <w:rPr>
                <w:rFonts w:eastAsiaTheme="minorEastAsia"/>
              </w:rPr>
              <w:t>, where applicable</w:t>
            </w:r>
          </w:p>
        </w:tc>
      </w:tr>
      <w:tr w:rsidR="005C6583" w14:paraId="529BC3A2" w14:textId="77777777" w:rsidTr="00690A70">
        <w:tc>
          <w:tcPr>
            <w:tcW w:w="1701" w:type="dxa"/>
          </w:tcPr>
          <w:p w14:paraId="4BC4EA21" w14:textId="52F3A98B" w:rsidR="005C6583" w:rsidRPr="00107597" w:rsidRDefault="0039641B" w:rsidP="00690A70">
            <w:pPr>
              <w:pStyle w:val="SDMTableBoxParaNotNumbered"/>
            </w:pPr>
            <m:oMathPara>
              <m:oMathParaPr>
                <m:jc m:val="left"/>
              </m:oMathParaPr>
              <m:oMath>
                <m:sSub>
                  <m:sSubPr>
                    <m:ctrlPr>
                      <w:rPr>
                        <w:rFonts w:ascii="Cambria Math" w:eastAsiaTheme="minorEastAsia" w:hAnsi="Cambria Math" w:cs="Arial"/>
                        <w:i/>
                      </w:rPr>
                    </m:ctrlPr>
                  </m:sSubPr>
                  <m:e>
                    <m:r>
                      <w:rPr>
                        <w:rFonts w:ascii="Cambria Math" w:eastAsiaTheme="minorEastAsia" w:hAnsi="Cambria Math"/>
                      </w:rPr>
                      <m:t>AE</m:t>
                    </m:r>
                  </m:e>
                  <m:sub>
                    <m:r>
                      <w:rPr>
                        <w:rFonts w:ascii="Cambria Math" w:eastAsiaTheme="minorEastAsia" w:hAnsi="Cambria Math"/>
                      </w:rPr>
                      <m:t>EC,y</m:t>
                    </m:r>
                  </m:sub>
                </m:sSub>
              </m:oMath>
            </m:oMathPara>
          </w:p>
        </w:tc>
        <w:tc>
          <w:tcPr>
            <w:tcW w:w="345" w:type="dxa"/>
          </w:tcPr>
          <w:p w14:paraId="5C56C356" w14:textId="77777777" w:rsidR="005C6583" w:rsidRDefault="005C6583" w:rsidP="00690A70">
            <w:pPr>
              <w:pStyle w:val="SDMTableBoxParaNotNumbered"/>
            </w:pPr>
            <w:r>
              <w:t>=</w:t>
            </w:r>
          </w:p>
        </w:tc>
        <w:tc>
          <w:tcPr>
            <w:tcW w:w="0" w:type="auto"/>
          </w:tcPr>
          <w:p w14:paraId="0790A1CC" w14:textId="09A0F112" w:rsidR="005C6583" w:rsidRDefault="00C47321" w:rsidP="00690A70">
            <w:pPr>
              <w:pStyle w:val="SDMTableBoxParaNotNumbered"/>
            </w:pPr>
            <w:r>
              <w:rPr>
                <w:rFonts w:eastAsiaTheme="minorEastAsia"/>
              </w:rPr>
              <w:t xml:space="preserve">Activity emissions from electricity consumption in </w:t>
            </w:r>
            <w:r w:rsidRPr="00D4370C">
              <w:rPr>
                <w:rFonts w:eastAsiaTheme="minorEastAsia"/>
              </w:rPr>
              <w:t>year </w:t>
            </w:r>
            <w:r w:rsidRPr="00D4370C">
              <w:rPr>
                <w:rFonts w:eastAsiaTheme="minorEastAsia"/>
                <w:i/>
              </w:rPr>
              <w:t>y</w:t>
            </w:r>
            <w:r w:rsidRPr="00D4370C">
              <w:rPr>
                <w:rFonts w:eastAsiaTheme="minorEastAsia"/>
              </w:rPr>
              <w:t xml:space="preserve"> (t </w:t>
            </w:r>
            <w:r w:rsidRPr="5ED1399A">
              <w:rPr>
                <w:rFonts w:eastAsiaTheme="minorEastAsia"/>
              </w:rPr>
              <w:t>CO</w:t>
            </w:r>
            <w:r w:rsidRPr="5ED1399A">
              <w:rPr>
                <w:rFonts w:eastAsiaTheme="minorEastAsia"/>
                <w:vertAlign w:val="subscript"/>
              </w:rPr>
              <w:t>2</w:t>
            </w:r>
            <w:r w:rsidRPr="00091664">
              <w:t>eq</w:t>
            </w:r>
            <w:r w:rsidRPr="00D4370C">
              <w:rPr>
                <w:rFonts w:eastAsiaTheme="minorEastAsia"/>
              </w:rPr>
              <w:t>)</w:t>
            </w:r>
            <w:r>
              <w:rPr>
                <w:rFonts w:eastAsiaTheme="minorEastAsia"/>
              </w:rPr>
              <w:t>, where applicable</w:t>
            </w:r>
          </w:p>
        </w:tc>
      </w:tr>
      <w:tr w:rsidR="0025241E" w14:paraId="23ED8FA3" w14:textId="77777777" w:rsidTr="00690A70">
        <w:tc>
          <w:tcPr>
            <w:tcW w:w="1701" w:type="dxa"/>
          </w:tcPr>
          <w:p w14:paraId="251C6486" w14:textId="070F5682" w:rsidR="0025241E" w:rsidRPr="00107597" w:rsidRDefault="0039641B" w:rsidP="00690A70">
            <w:pPr>
              <w:pStyle w:val="SDMTableBoxParaNotNumbered"/>
            </w:pPr>
            <m:oMathPara>
              <m:oMathParaPr>
                <m:jc m:val="left"/>
              </m:oMathParaPr>
              <m:oMath>
                <m:sSub>
                  <m:sSubPr>
                    <m:ctrlPr>
                      <w:rPr>
                        <w:rFonts w:ascii="Cambria Math" w:eastAsiaTheme="minorEastAsia" w:hAnsi="Cambria Math" w:cs="Arial"/>
                        <w:i/>
                      </w:rPr>
                    </m:ctrlPr>
                  </m:sSubPr>
                  <m:e>
                    <m:r>
                      <w:rPr>
                        <w:rFonts w:ascii="Cambria Math" w:eastAsiaTheme="minorEastAsia" w:hAnsi="Cambria Math"/>
                      </w:rPr>
                      <m:t>AE</m:t>
                    </m:r>
                  </m:e>
                  <m:sub>
                    <m:r>
                      <w:rPr>
                        <w:rFonts w:ascii="Cambria Math" w:eastAsiaTheme="minorEastAsia" w:hAnsi="Cambria Math"/>
                      </w:rPr>
                      <m:t>GP,y</m:t>
                    </m:r>
                  </m:sub>
                </m:sSub>
              </m:oMath>
            </m:oMathPara>
          </w:p>
        </w:tc>
        <w:tc>
          <w:tcPr>
            <w:tcW w:w="345" w:type="dxa"/>
          </w:tcPr>
          <w:p w14:paraId="4D492FC9" w14:textId="6BAC1D81" w:rsidR="0025241E" w:rsidRDefault="0025241E" w:rsidP="00690A70">
            <w:pPr>
              <w:pStyle w:val="SDMTableBoxParaNotNumbered"/>
            </w:pPr>
            <w:r>
              <w:t>=</w:t>
            </w:r>
          </w:p>
        </w:tc>
        <w:tc>
          <w:tcPr>
            <w:tcW w:w="0" w:type="auto"/>
          </w:tcPr>
          <w:p w14:paraId="0BBB1A53" w14:textId="1215E702" w:rsidR="0025241E" w:rsidRDefault="002D1576" w:rsidP="00690A70">
            <w:pPr>
              <w:pStyle w:val="SDMTableBoxParaNotNumbered"/>
            </w:pPr>
            <w:r>
              <w:rPr>
                <w:rFonts w:eastAsiaTheme="minorEastAsia"/>
              </w:rPr>
              <w:t>Activity</w:t>
            </w:r>
            <w:r w:rsidRPr="00D4370C">
              <w:rPr>
                <w:rFonts w:eastAsiaTheme="minorEastAsia"/>
              </w:rPr>
              <w:t xml:space="preserve"> emissions from the operation of </w:t>
            </w:r>
            <w:r w:rsidRPr="00D4370C">
              <w:rPr>
                <w:rFonts w:eastAsiaTheme="minorEastAsia" w:cs="Arial"/>
              </w:rPr>
              <w:t>dry, flash steam</w:t>
            </w:r>
            <w:r>
              <w:rPr>
                <w:rFonts w:eastAsiaTheme="minorEastAsia" w:cs="Arial"/>
              </w:rPr>
              <w:t>,</w:t>
            </w:r>
            <w:r w:rsidRPr="00D4370C">
              <w:rPr>
                <w:rFonts w:eastAsiaTheme="minorEastAsia" w:cs="Arial"/>
              </w:rPr>
              <w:t xml:space="preserve"> or binary </w:t>
            </w:r>
            <w:r w:rsidRPr="00D4370C">
              <w:rPr>
                <w:rFonts w:eastAsiaTheme="minorEastAsia"/>
              </w:rPr>
              <w:t>geothermal power plants in year </w:t>
            </w:r>
            <w:r w:rsidRPr="00D4370C">
              <w:rPr>
                <w:rFonts w:eastAsiaTheme="minorEastAsia"/>
                <w:i/>
              </w:rPr>
              <w:t>y</w:t>
            </w:r>
            <w:r w:rsidRPr="00D4370C">
              <w:rPr>
                <w:rFonts w:eastAsiaTheme="minorEastAsia"/>
              </w:rPr>
              <w:t xml:space="preserve"> (t CO</w:t>
            </w:r>
            <w:r w:rsidRPr="00D4370C">
              <w:rPr>
                <w:rFonts w:eastAsiaTheme="minorEastAsia"/>
                <w:vertAlign w:val="subscript"/>
              </w:rPr>
              <w:t>2</w:t>
            </w:r>
            <w:r w:rsidRPr="00D4370C">
              <w:rPr>
                <w:rFonts w:eastAsiaTheme="minorEastAsia"/>
              </w:rPr>
              <w:t>e</w:t>
            </w:r>
            <w:r>
              <w:rPr>
                <w:rFonts w:eastAsiaTheme="minorEastAsia"/>
              </w:rPr>
              <w:t>q</w:t>
            </w:r>
            <w:r w:rsidRPr="00D4370C">
              <w:rPr>
                <w:rFonts w:eastAsiaTheme="minorEastAsia"/>
              </w:rPr>
              <w:t>)</w:t>
            </w:r>
            <w:r>
              <w:rPr>
                <w:rFonts w:eastAsiaTheme="minorEastAsia"/>
              </w:rPr>
              <w:t>, where applicable</w:t>
            </w:r>
          </w:p>
        </w:tc>
      </w:tr>
    </w:tbl>
    <w:p w14:paraId="09B0FFA5" w14:textId="7D0F6573" w:rsidR="002D1576" w:rsidRDefault="00D40A19" w:rsidP="00D40A19">
      <w:pPr>
        <w:pStyle w:val="SDMHead2"/>
      </w:pPr>
      <w:bookmarkStart w:id="269" w:name="_Toc107563565"/>
      <w:bookmarkStart w:id="270" w:name="_Toc118300194"/>
      <w:bookmarkStart w:id="271" w:name="_Toc175646515"/>
      <w:bookmarkStart w:id="272" w:name="_Toc221295948"/>
      <w:bookmarkStart w:id="273" w:name="_Toc221296115"/>
      <w:bookmarkStart w:id="274" w:name="_Toc221296596"/>
      <w:bookmarkStart w:id="275" w:name="_Toc221296649"/>
      <w:bookmarkStart w:id="276" w:name="_Toc224306083"/>
      <w:bookmarkStart w:id="277" w:name="_Toc224660847"/>
      <w:bookmarkStart w:id="278" w:name="_Toc224660882"/>
      <w:bookmarkStart w:id="279" w:name="_Toc224661374"/>
      <w:bookmarkStart w:id="280" w:name="_Toc232451493"/>
      <w:bookmarkStart w:id="281" w:name="_Toc233281821"/>
      <w:bookmarkStart w:id="282" w:name="_Toc233881733"/>
      <w:bookmarkStart w:id="283" w:name="_Toc233882099"/>
      <w:bookmarkStart w:id="284" w:name="_Toc233884226"/>
      <w:bookmarkStart w:id="285" w:name="_Toc233902835"/>
      <w:bookmarkStart w:id="286" w:name="_Toc233902872"/>
      <w:bookmarkStart w:id="287" w:name="_Toc236391903"/>
      <w:bookmarkStart w:id="288" w:name="_Toc236394045"/>
      <w:r>
        <w:rPr>
          <w:rFonts w:eastAsiaTheme="minorEastAsia"/>
          <w:lang w:val="en-US"/>
        </w:rPr>
        <w:t>Activity</w:t>
      </w:r>
      <w:r w:rsidRPr="00FD051F">
        <w:rPr>
          <w:rFonts w:eastAsiaTheme="minorEastAsia"/>
          <w:lang w:val="en-US"/>
        </w:rPr>
        <w:t xml:space="preserve"> emissions from fossil fuel consumption (</w:t>
      </w:r>
      <w:r>
        <w:rPr>
          <w:rFonts w:eastAsiaTheme="minorEastAsia"/>
          <w:i/>
          <w:iCs/>
          <w:lang w:val="en-US"/>
        </w:rPr>
        <w:t>A</w:t>
      </w:r>
      <w:r w:rsidRPr="00FD051F">
        <w:rPr>
          <w:rFonts w:eastAsiaTheme="minorEastAsia"/>
          <w:i/>
          <w:iCs/>
          <w:lang w:val="en-US"/>
        </w:rPr>
        <w:t>E</w:t>
      </w:r>
      <w:r w:rsidRPr="00FD051F">
        <w:rPr>
          <w:rFonts w:eastAsiaTheme="minorEastAsia"/>
          <w:i/>
          <w:iCs/>
          <w:vertAlign w:val="subscript"/>
          <w:lang w:val="en-US"/>
        </w:rPr>
        <w:t>FC,y</w:t>
      </w:r>
      <w:r w:rsidRPr="00FD051F">
        <w:rPr>
          <w:rFonts w:eastAsiaTheme="minorEastAsia"/>
          <w:lang w:val="en-US"/>
        </w:rPr>
        <w:t>)</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0E163672" w14:textId="0F729ED8" w:rsidR="002D1576" w:rsidRDefault="00692AE2" w:rsidP="00963BA6">
      <w:pPr>
        <w:pStyle w:val="SDMPara"/>
      </w:pPr>
      <w:r>
        <w:t xml:space="preserve">This </w:t>
      </w:r>
      <w:r w:rsidRPr="00345674">
        <w:rPr>
          <w:rFonts w:eastAsiaTheme="minorEastAsia"/>
          <w:lang w:val="en-US"/>
        </w:rPr>
        <w:t>emission</w:t>
      </w:r>
      <w:r>
        <w:t xml:space="preserve"> source shall include any fossil fuel consumption occurring during the operation of the Article 6.4 project power plant. This may, for example, include emissions from the operation of backup generators or emissions arising from the maintenance of the Article 6.4 project power plant (e.g., emissions from fossil fuels used in ships or helicopters to maintain offshore wind power plants). Fossil fuel consumption associated with the construction or decommissioning of the Article 6.4 project power plant do not need to be considered. Emissions from the construction of the Article 6.4 project power plant shall not be included.</w:t>
      </w:r>
    </w:p>
    <w:p w14:paraId="14068C92" w14:textId="16AE2BFF" w:rsidR="00692AE2" w:rsidRDefault="00CF42A6" w:rsidP="00963BA6">
      <w:pPr>
        <w:pStyle w:val="SDMPara"/>
      </w:pPr>
      <w:r w:rsidRPr="00345674">
        <w:rPr>
          <w:rFonts w:eastAsiaTheme="minorEastAsia"/>
          <w:lang w:val="en-US"/>
        </w:rPr>
        <w:t>Activity</w:t>
      </w:r>
      <w:r>
        <w:t xml:space="preserve"> participants shall describe the relevant emission sources in the PDD and justify that all relevant emissions sources from fossil fuel consumption have been considered.</w:t>
      </w:r>
    </w:p>
    <w:p w14:paraId="2F823FDF" w14:textId="49DE6E9E" w:rsidR="00CF42A6" w:rsidRDefault="000D310C" w:rsidP="00EC00DE">
      <w:pPr>
        <w:pStyle w:val="SDMPara"/>
        <w:keepNext/>
      </w:pPr>
      <w:r w:rsidRPr="00345674">
        <w:rPr>
          <w:rFonts w:eastAsiaTheme="minorEastAsia"/>
          <w:lang w:val="en-US"/>
        </w:rPr>
        <w:t>This</w:t>
      </w:r>
      <w:r>
        <w:t xml:space="preserve"> source of activity emissions shall be calculated as follows:</w:t>
      </w:r>
    </w:p>
    <w:tbl>
      <w:tblPr>
        <w:tblStyle w:val="SDMMethTableEquation"/>
        <w:tblW w:w="8760" w:type="dxa"/>
        <w:tblLook w:val="0600" w:firstRow="0" w:lastRow="0" w:firstColumn="0" w:lastColumn="0" w:noHBand="1" w:noVBand="1"/>
      </w:tblPr>
      <w:tblGrid>
        <w:gridCol w:w="7093"/>
        <w:gridCol w:w="1667"/>
      </w:tblGrid>
      <w:tr w:rsidR="000D310C" w:rsidRPr="00E32F75" w14:paraId="195B4758" w14:textId="77777777" w:rsidTr="00690A70">
        <w:tc>
          <w:tcPr>
            <w:tcW w:w="7224" w:type="dxa"/>
          </w:tcPr>
          <w:p w14:paraId="7CF014DE" w14:textId="7FC8E7C7" w:rsidR="000D310C"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AE</m:t>
                    </m:r>
                  </m:e>
                  <m:sub>
                    <m:r>
                      <w:rPr>
                        <w:rFonts w:ascii="Cambria Math" w:hAnsi="Cambria Math"/>
                      </w:rPr>
                      <m:t>FC,y</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d>
                      <m:dPr>
                        <m:ctrlPr>
                          <w:rPr>
                            <w:rFonts w:ascii="Cambria Math" w:hAnsi="Cambria Math"/>
                            <w:i/>
                          </w:rPr>
                        </m:ctrlPr>
                      </m:dPr>
                      <m:e>
                        <m:sSub>
                          <m:sSubPr>
                            <m:ctrlPr>
                              <w:rPr>
                                <w:rFonts w:ascii="Cambria Math" w:hAnsi="Cambria Math"/>
                                <w:i/>
                              </w:rPr>
                            </m:ctrlPr>
                          </m:sSubPr>
                          <m:e>
                            <m:r>
                              <w:rPr>
                                <w:rFonts w:ascii="Cambria Math" w:hAnsi="Cambria Math"/>
                              </w:rPr>
                              <m:t>FC</m:t>
                            </m:r>
                          </m:e>
                          <m:sub>
                            <m:r>
                              <w:rPr>
                                <w:rFonts w:ascii="Cambria Math" w:hAnsi="Cambria Math"/>
                              </w:rPr>
                              <m:t>i,y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FC,CO2,i,y</m:t>
                            </m:r>
                          </m:sub>
                        </m:sSub>
                      </m:e>
                    </m:d>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CH4/N2O,i</m:t>
                            </m:r>
                          </m:sub>
                        </m:sSub>
                      </m:e>
                    </m:d>
                  </m:e>
                </m:nary>
              </m:oMath>
            </m:oMathPara>
          </w:p>
        </w:tc>
        <w:tc>
          <w:tcPr>
            <w:tcW w:w="1701" w:type="dxa"/>
          </w:tcPr>
          <w:p w14:paraId="215D74EC" w14:textId="77777777" w:rsidR="000D310C" w:rsidRPr="002B6960" w:rsidRDefault="000D310C" w:rsidP="007255A3">
            <w:pPr>
              <w:pStyle w:val="SDMMethEquationNr"/>
              <w:numPr>
                <w:ilvl w:val="0"/>
                <w:numId w:val="21"/>
              </w:numPr>
            </w:pPr>
          </w:p>
        </w:tc>
      </w:tr>
    </w:tbl>
    <w:p w14:paraId="5DCCCAFE" w14:textId="77777777" w:rsidR="000D310C" w:rsidRDefault="000D310C" w:rsidP="00EC00DE">
      <w:pPr>
        <w:pStyle w:val="SDMMethCaptionEquationParametersTable"/>
      </w:pPr>
      <w:r>
        <w:lastRenderedPageBreak/>
        <w:t>Where:</w:t>
      </w:r>
    </w:p>
    <w:tbl>
      <w:tblPr>
        <w:tblStyle w:val="SDMMethTableEquationParameters"/>
        <w:tblW w:w="8760" w:type="dxa"/>
        <w:tblLook w:val="04A0" w:firstRow="1" w:lastRow="0" w:firstColumn="1" w:lastColumn="0" w:noHBand="0" w:noVBand="1"/>
      </w:tblPr>
      <w:tblGrid>
        <w:gridCol w:w="1701"/>
        <w:gridCol w:w="345"/>
        <w:gridCol w:w="6714"/>
      </w:tblGrid>
      <w:tr w:rsidR="000D310C" w14:paraId="233F1F5C" w14:textId="77777777" w:rsidTr="008E3BD0">
        <w:tc>
          <w:tcPr>
            <w:tcW w:w="1701" w:type="dxa"/>
            <w:vAlign w:val="top"/>
          </w:tcPr>
          <w:p w14:paraId="14944BD1" w14:textId="38131E85" w:rsidR="000D310C" w:rsidRPr="005E3AA6"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AE</m:t>
                    </m:r>
                  </m:e>
                  <m:sub>
                    <m:r>
                      <w:rPr>
                        <w:rFonts w:ascii="Cambria Math" w:hAnsi="Cambria Math"/>
                      </w:rPr>
                      <m:t>F,y</m:t>
                    </m:r>
                  </m:sub>
                </m:sSub>
              </m:oMath>
            </m:oMathPara>
          </w:p>
        </w:tc>
        <w:tc>
          <w:tcPr>
            <w:tcW w:w="345" w:type="dxa"/>
            <w:vAlign w:val="top"/>
          </w:tcPr>
          <w:p w14:paraId="182D46BA" w14:textId="77777777" w:rsidR="000D310C" w:rsidRDefault="000D310C" w:rsidP="008E3BD0">
            <w:pPr>
              <w:pStyle w:val="SDMTableBoxParaNotNumbered"/>
            </w:pPr>
            <w:r>
              <w:t>=</w:t>
            </w:r>
          </w:p>
        </w:tc>
        <w:tc>
          <w:tcPr>
            <w:tcW w:w="0" w:type="auto"/>
          </w:tcPr>
          <w:p w14:paraId="1BFF1115" w14:textId="0B84E1FF" w:rsidR="000D310C" w:rsidRDefault="007548D0" w:rsidP="00690A70">
            <w:pPr>
              <w:pStyle w:val="SDMTableBoxParaNotNumbered"/>
            </w:pPr>
            <w:r>
              <w:t>Activity emissions</w:t>
            </w:r>
            <w:r w:rsidRPr="000C5FD6">
              <w:t xml:space="preserve"> from </w:t>
            </w:r>
            <w:r>
              <w:t xml:space="preserve">fossil fuel </w:t>
            </w:r>
            <w:r w:rsidRPr="000C5FD6">
              <w:t xml:space="preserve">consumption due to the </w:t>
            </w:r>
            <w:r>
              <w:t>Article 6.4 activity</w:t>
            </w:r>
            <w:r w:rsidRPr="000C5FD6">
              <w:t xml:space="preserve"> in year </w:t>
            </w:r>
            <w:r w:rsidRPr="0007317B">
              <w:rPr>
                <w:i/>
                <w:iCs/>
              </w:rPr>
              <w:t>y</w:t>
            </w:r>
            <w:r w:rsidRPr="0007317B">
              <w:t xml:space="preserve"> </w:t>
            </w:r>
            <w:r w:rsidRPr="000C5FD6">
              <w:t>(</w:t>
            </w:r>
            <w:r>
              <w:t>t CO</w:t>
            </w:r>
            <w:r w:rsidRPr="5ED1399A">
              <w:rPr>
                <w:vertAlign w:val="subscript"/>
              </w:rPr>
              <w:t>2</w:t>
            </w:r>
            <w:r w:rsidRPr="5ED1399A">
              <w:t>e</w:t>
            </w:r>
            <w:r>
              <w:t>q</w:t>
            </w:r>
            <w:r w:rsidRPr="000C5FD6">
              <w:t>)</w:t>
            </w:r>
          </w:p>
        </w:tc>
      </w:tr>
      <w:tr w:rsidR="000D310C" w14:paraId="54D8AB17" w14:textId="77777777" w:rsidTr="008E3BD0">
        <w:tc>
          <w:tcPr>
            <w:tcW w:w="1701" w:type="dxa"/>
            <w:vAlign w:val="top"/>
          </w:tcPr>
          <w:p w14:paraId="47A2BFE6" w14:textId="440DC6DD" w:rsidR="000D310C" w:rsidRPr="005E3AA6"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FC</m:t>
                    </m:r>
                  </m:e>
                  <m:sub>
                    <m:r>
                      <w:rPr>
                        <w:rFonts w:ascii="Cambria Math" w:hAnsi="Cambria Math"/>
                      </w:rPr>
                      <m:t>i,y</m:t>
                    </m:r>
                  </m:sub>
                </m:sSub>
              </m:oMath>
            </m:oMathPara>
          </w:p>
        </w:tc>
        <w:tc>
          <w:tcPr>
            <w:tcW w:w="345" w:type="dxa"/>
            <w:vAlign w:val="top"/>
          </w:tcPr>
          <w:p w14:paraId="49A8AC3A" w14:textId="77777777" w:rsidR="000D310C" w:rsidRDefault="000D310C" w:rsidP="008E3BD0">
            <w:pPr>
              <w:pStyle w:val="SDMTableBoxParaNotNumbered"/>
            </w:pPr>
            <w:r>
              <w:t>=</w:t>
            </w:r>
          </w:p>
        </w:tc>
        <w:tc>
          <w:tcPr>
            <w:tcW w:w="0" w:type="auto"/>
          </w:tcPr>
          <w:p w14:paraId="66E40675" w14:textId="54B8CCBC" w:rsidR="000D310C" w:rsidRDefault="00992CE3" w:rsidP="00690A70">
            <w:pPr>
              <w:pStyle w:val="SDMTableBoxParaNotNumbered"/>
            </w:pPr>
            <w:r>
              <w:t>Quantity of fuel type </w:t>
            </w:r>
            <w:r w:rsidRPr="00AE679D">
              <w:rPr>
                <w:i/>
                <w:iCs/>
              </w:rPr>
              <w:t>i</w:t>
            </w:r>
            <w:r>
              <w:t xml:space="preserve"> combusted during the year </w:t>
            </w:r>
            <w:r w:rsidRPr="00AE679D">
              <w:rPr>
                <w:i/>
                <w:iCs/>
              </w:rPr>
              <w:t>y</w:t>
            </w:r>
            <w:r>
              <w:t xml:space="preserve"> (mass or volume unit)</w:t>
            </w:r>
          </w:p>
        </w:tc>
      </w:tr>
      <w:tr w:rsidR="000D310C" w14:paraId="3C81E546" w14:textId="77777777" w:rsidTr="008E3BD0">
        <w:tc>
          <w:tcPr>
            <w:tcW w:w="1701" w:type="dxa"/>
            <w:vAlign w:val="top"/>
          </w:tcPr>
          <w:p w14:paraId="17288379" w14:textId="317B8E75" w:rsidR="000D310C" w:rsidRPr="005E3AA6"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FC,CO2,i,y</m:t>
                    </m:r>
                  </m:sub>
                </m:sSub>
              </m:oMath>
            </m:oMathPara>
          </w:p>
        </w:tc>
        <w:tc>
          <w:tcPr>
            <w:tcW w:w="345" w:type="dxa"/>
            <w:vAlign w:val="top"/>
          </w:tcPr>
          <w:p w14:paraId="084884F0" w14:textId="77777777" w:rsidR="000D310C" w:rsidRDefault="000D310C" w:rsidP="008E3BD0">
            <w:pPr>
              <w:pStyle w:val="SDMTableBoxParaNotNumbered"/>
            </w:pPr>
            <w:r>
              <w:t>=</w:t>
            </w:r>
          </w:p>
        </w:tc>
        <w:tc>
          <w:tcPr>
            <w:tcW w:w="0" w:type="auto"/>
          </w:tcPr>
          <w:p w14:paraId="6120A5B4" w14:textId="202A8FAC" w:rsidR="000D310C" w:rsidRDefault="00EC34D7" w:rsidP="00690A70">
            <w:pPr>
              <w:pStyle w:val="SDMTableBoxParaNotNumbered"/>
            </w:pPr>
            <w:r>
              <w:t>CO</w:t>
            </w:r>
            <w:r w:rsidRPr="006860BC">
              <w:rPr>
                <w:vertAlign w:val="subscript"/>
              </w:rPr>
              <w:t>2</w:t>
            </w:r>
            <w:r>
              <w:t xml:space="preserve"> emission factor of fuel type </w:t>
            </w:r>
            <w:r w:rsidRPr="00EA2C8D">
              <w:rPr>
                <w:i/>
                <w:iCs/>
              </w:rPr>
              <w:t>i</w:t>
            </w:r>
            <w:r>
              <w:t xml:space="preserve"> in year </w:t>
            </w:r>
            <w:r w:rsidRPr="00EA2C8D">
              <w:rPr>
                <w:i/>
                <w:iCs/>
              </w:rPr>
              <w:t>y</w:t>
            </w:r>
            <w:r>
              <w:t xml:space="preserve"> (t CO</w:t>
            </w:r>
            <w:r w:rsidRPr="5ED1399A">
              <w:rPr>
                <w:vertAlign w:val="subscript"/>
              </w:rPr>
              <w:t>2</w:t>
            </w:r>
            <w:r>
              <w:t>eq</w:t>
            </w:r>
            <w:r w:rsidR="00C83DAF">
              <w:t> </w:t>
            </w:r>
            <w:r>
              <w:t>/ mass or volume unit)</w:t>
            </w:r>
          </w:p>
        </w:tc>
      </w:tr>
      <w:tr w:rsidR="00674CC8" w14:paraId="7297DD36" w14:textId="77777777" w:rsidTr="008E3BD0">
        <w:tc>
          <w:tcPr>
            <w:tcW w:w="1701" w:type="dxa"/>
            <w:vAlign w:val="top"/>
          </w:tcPr>
          <w:p w14:paraId="016D95CE" w14:textId="484A5398" w:rsidR="00674CC8" w:rsidRPr="005E3AA6"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CH4/N2O,i</m:t>
                    </m:r>
                  </m:sub>
                </m:sSub>
              </m:oMath>
            </m:oMathPara>
          </w:p>
        </w:tc>
        <w:tc>
          <w:tcPr>
            <w:tcW w:w="345" w:type="dxa"/>
            <w:vAlign w:val="top"/>
          </w:tcPr>
          <w:p w14:paraId="6418B136" w14:textId="470E42B3" w:rsidR="00674CC8" w:rsidRDefault="00674CC8" w:rsidP="008E3BD0">
            <w:pPr>
              <w:pStyle w:val="SDMTableBoxParaNotNumbered"/>
            </w:pPr>
            <w:r>
              <w:t>=</w:t>
            </w:r>
          </w:p>
        </w:tc>
        <w:tc>
          <w:tcPr>
            <w:tcW w:w="0" w:type="auto"/>
          </w:tcPr>
          <w:p w14:paraId="2253595C" w14:textId="783F4BA8" w:rsidR="00674CC8" w:rsidRDefault="00D94B18" w:rsidP="00690A70">
            <w:pPr>
              <w:pStyle w:val="SDMTableBoxParaNotNumbered"/>
            </w:pPr>
            <w:r w:rsidRPr="00336012">
              <w:t>Factor to account for CH</w:t>
            </w:r>
            <w:r w:rsidRPr="006860BC">
              <w:rPr>
                <w:vertAlign w:val="subscript"/>
              </w:rPr>
              <w:t>4</w:t>
            </w:r>
            <w:r w:rsidRPr="00336012">
              <w:t xml:space="preserve"> and N</w:t>
            </w:r>
            <w:r w:rsidRPr="006860BC">
              <w:rPr>
                <w:vertAlign w:val="subscript"/>
              </w:rPr>
              <w:t>2</w:t>
            </w:r>
            <w:r w:rsidRPr="00336012">
              <w:t>O emissions in relation to CO</w:t>
            </w:r>
            <w:r w:rsidRPr="006860BC">
              <w:rPr>
                <w:vertAlign w:val="subscript"/>
              </w:rPr>
              <w:t>2</w:t>
            </w:r>
            <w:r w:rsidRPr="00336012">
              <w:t xml:space="preserve"> emissions for fuel type i (</w:t>
            </w:r>
            <w:r>
              <w:t>dimensionless)</w:t>
            </w:r>
          </w:p>
        </w:tc>
      </w:tr>
      <w:tr w:rsidR="00674CC8" w14:paraId="457621B3" w14:textId="77777777" w:rsidTr="008E3BD0">
        <w:tc>
          <w:tcPr>
            <w:tcW w:w="1701" w:type="dxa"/>
            <w:vAlign w:val="top"/>
          </w:tcPr>
          <w:p w14:paraId="39FFF603" w14:textId="17EC581E" w:rsidR="00674CC8" w:rsidRPr="005E3AA6" w:rsidRDefault="005E3AA6" w:rsidP="008E3BD0">
            <w:pPr>
              <w:pStyle w:val="SDMTableBoxParaNotNumbered"/>
            </w:pPr>
            <m:oMathPara>
              <m:oMathParaPr>
                <m:jc m:val="left"/>
              </m:oMathParaPr>
              <m:oMath>
                <m:r>
                  <w:rPr>
                    <w:rFonts w:ascii="Cambria Math" w:hAnsi="Cambria Math"/>
                  </w:rPr>
                  <m:t>I</m:t>
                </m:r>
              </m:oMath>
            </m:oMathPara>
          </w:p>
        </w:tc>
        <w:tc>
          <w:tcPr>
            <w:tcW w:w="345" w:type="dxa"/>
            <w:vAlign w:val="top"/>
          </w:tcPr>
          <w:p w14:paraId="2B8D9666" w14:textId="5FF7AAC4" w:rsidR="00674CC8" w:rsidRDefault="00674CC8" w:rsidP="008E3BD0">
            <w:pPr>
              <w:pStyle w:val="SDMTableBoxParaNotNumbered"/>
            </w:pPr>
            <w:r>
              <w:t>=</w:t>
            </w:r>
          </w:p>
        </w:tc>
        <w:tc>
          <w:tcPr>
            <w:tcW w:w="0" w:type="auto"/>
          </w:tcPr>
          <w:p w14:paraId="71CFA191" w14:textId="7E2A8D5E" w:rsidR="00674CC8" w:rsidRDefault="0048162E" w:rsidP="00690A70">
            <w:pPr>
              <w:pStyle w:val="SDMTableBoxParaNotNumbered"/>
            </w:pPr>
            <w:r>
              <w:t>Fuel types combusted</w:t>
            </w:r>
          </w:p>
        </w:tc>
      </w:tr>
    </w:tbl>
    <w:p w14:paraId="1F41530A" w14:textId="5FEE41D3" w:rsidR="002D1576" w:rsidRDefault="00192C32" w:rsidP="00EC00DE">
      <w:pPr>
        <w:pStyle w:val="SDMPara"/>
        <w:keepNext/>
      </w:pPr>
      <w:r w:rsidRPr="00345674">
        <w:rPr>
          <w:rFonts w:eastAsiaTheme="minorEastAsia"/>
          <w:lang w:val="en-US"/>
        </w:rPr>
        <w:t>The</w:t>
      </w:r>
      <w:r>
        <w:t xml:space="preserve"> CO</w:t>
      </w:r>
      <w:r w:rsidRPr="00B464A5">
        <w:rPr>
          <w:vertAlign w:val="subscript"/>
        </w:rPr>
        <w:t>2</w:t>
      </w:r>
      <w:r>
        <w:t xml:space="preserve"> emission factor may be calculated using one of the following three options, depending on the availability of data on the fossil fuel type </w:t>
      </w:r>
      <w:r w:rsidRPr="00F71A5B">
        <w:rPr>
          <w:i/>
          <w:iCs/>
        </w:rPr>
        <w:t>i</w:t>
      </w:r>
      <w:r>
        <w:t>, as follows:</w:t>
      </w:r>
    </w:p>
    <w:p w14:paraId="7ABF3E7D" w14:textId="4C1ADBB9" w:rsidR="00192C32" w:rsidRDefault="00D629BB" w:rsidP="00EC00DE">
      <w:pPr>
        <w:pStyle w:val="SDMSubPara1"/>
        <w:keepNext/>
      </w:pPr>
      <w:r w:rsidRPr="55B9EAFC">
        <w:rPr>
          <w:u w:val="single"/>
        </w:rPr>
        <w:t>Option A.1:</w:t>
      </w:r>
      <w:r>
        <w:t xml:space="preserve"> calculated based on the chemical composition of the fossil fuel type </w:t>
      </w:r>
      <w:r w:rsidRPr="55B9EAFC">
        <w:rPr>
          <w:i/>
          <w:iCs/>
        </w:rPr>
        <w:t>i</w:t>
      </w:r>
      <w:r>
        <w:t xml:space="preserve">, </w:t>
      </w:r>
      <w:r w:rsidRPr="55B9EAFC">
        <w:rPr>
          <w:lang w:val="en-US"/>
        </w:rPr>
        <w:t xml:space="preserve">if </w:t>
      </w:r>
      <w:r w:rsidRPr="55B9EAFC">
        <w:rPr>
          <w:i/>
          <w:iCs/>
          <w:lang w:val="en-US"/>
        </w:rPr>
        <w:t>FC</w:t>
      </w:r>
      <w:r w:rsidRPr="55B9EAFC">
        <w:rPr>
          <w:i/>
          <w:iCs/>
          <w:vertAlign w:val="subscript"/>
          <w:lang w:val="en-US"/>
        </w:rPr>
        <w:t>i,y</w:t>
      </w:r>
      <w:r w:rsidRPr="55B9EAFC">
        <w:rPr>
          <w:lang w:val="en-US"/>
        </w:rPr>
        <w:t xml:space="preserve"> is measured in a mass unit</w:t>
      </w:r>
      <w:r>
        <w:t>:</w:t>
      </w:r>
    </w:p>
    <w:tbl>
      <w:tblPr>
        <w:tblStyle w:val="SDMMethTableEquation"/>
        <w:tblW w:w="8760" w:type="dxa"/>
        <w:tblLook w:val="0600" w:firstRow="0" w:lastRow="0" w:firstColumn="0" w:lastColumn="0" w:noHBand="1" w:noVBand="1"/>
      </w:tblPr>
      <w:tblGrid>
        <w:gridCol w:w="7092"/>
        <w:gridCol w:w="1668"/>
      </w:tblGrid>
      <w:tr w:rsidR="00D629BB" w:rsidRPr="00E32F75" w14:paraId="1B75BF71" w14:textId="77777777" w:rsidTr="00690A70">
        <w:tc>
          <w:tcPr>
            <w:tcW w:w="7224" w:type="dxa"/>
          </w:tcPr>
          <w:p w14:paraId="3F416315" w14:textId="7AD66FF8" w:rsidR="00D629BB"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FC,CO2,i</m:t>
                    </m:r>
                    <m:r>
                      <w:rPr>
                        <w:rFonts w:ascii="Cambria Math" w:hAnsi="Cambria Math"/>
                        <w:lang w:val="en-US"/>
                      </w:rPr>
                      <m:t>,</m:t>
                    </m:r>
                    <m:r>
                      <w:rPr>
                        <w:rFonts w:ascii="Cambria Math" w:hAnsi="Cambria Math"/>
                      </w:rPr>
                      <m:t>y</m:t>
                    </m:r>
                  </m:sub>
                </m:sSub>
                <m:r>
                  <w:rPr>
                    <w:rFonts w:ascii="Cambria Math" w:hAnsi="Cambria Math"/>
                    <w:lang w:val="en-US"/>
                  </w:rPr>
                  <m:t>=</m:t>
                </m:r>
                <m:sSub>
                  <m:sSubPr>
                    <m:ctrlPr>
                      <w:rPr>
                        <w:rFonts w:ascii="Cambria Math" w:hAnsi="Cambria Math"/>
                        <w:i/>
                      </w:rPr>
                    </m:ctrlPr>
                  </m:sSubPr>
                  <m:e>
                    <m:r>
                      <w:rPr>
                        <w:rFonts w:ascii="Cambria Math" w:hAnsi="Cambria Math"/>
                      </w:rPr>
                      <m:t>w</m:t>
                    </m:r>
                  </m:e>
                  <m:sub>
                    <m:r>
                      <w:rPr>
                        <w:rFonts w:ascii="Cambria Math" w:hAnsi="Cambria Math"/>
                      </w:rPr>
                      <m:t>c,i</m:t>
                    </m:r>
                    <m:r>
                      <w:rPr>
                        <w:rFonts w:ascii="Cambria Math" w:hAnsi="Cambria Math"/>
                        <w:lang w:val="en-US"/>
                      </w:rPr>
                      <m:t>,</m:t>
                    </m:r>
                    <m:r>
                      <w:rPr>
                        <w:rFonts w:ascii="Cambria Math" w:hAnsi="Cambria Math"/>
                      </w:rPr>
                      <m:t>y</m:t>
                    </m:r>
                  </m:sub>
                </m:sSub>
                <m:r>
                  <w:rPr>
                    <w:rFonts w:ascii="Cambria Math" w:hAnsi="Cambria Math"/>
                    <w:lang w:val="en-US"/>
                  </w:rPr>
                  <m:t>×</m:t>
                </m:r>
                <m:r>
                  <w:rPr>
                    <w:rFonts w:ascii="Cambria Math" w:hAnsi="Cambria Math"/>
                  </w:rPr>
                  <m:t>44/12</m:t>
                </m:r>
              </m:oMath>
            </m:oMathPara>
          </w:p>
        </w:tc>
        <w:tc>
          <w:tcPr>
            <w:tcW w:w="1701" w:type="dxa"/>
          </w:tcPr>
          <w:p w14:paraId="4A82EAC7" w14:textId="77777777" w:rsidR="00D629BB" w:rsidRPr="002B6960" w:rsidRDefault="00D629BB" w:rsidP="007255A3">
            <w:pPr>
              <w:pStyle w:val="SDMMethEquationNr"/>
              <w:numPr>
                <w:ilvl w:val="0"/>
                <w:numId w:val="21"/>
              </w:numPr>
            </w:pPr>
          </w:p>
        </w:tc>
      </w:tr>
    </w:tbl>
    <w:p w14:paraId="0F3E2227" w14:textId="77777777" w:rsidR="00D629BB" w:rsidRDefault="00D629BB"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D629BB" w14:paraId="069181DF" w14:textId="77777777" w:rsidTr="008E3BD0">
        <w:tc>
          <w:tcPr>
            <w:tcW w:w="1701" w:type="dxa"/>
            <w:vAlign w:val="top"/>
          </w:tcPr>
          <w:p w14:paraId="5DB0EC50" w14:textId="72748E3B" w:rsidR="00D629BB" w:rsidRPr="006446DE"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FC,CO2,i,y</m:t>
                    </m:r>
                  </m:sub>
                </m:sSub>
              </m:oMath>
            </m:oMathPara>
          </w:p>
        </w:tc>
        <w:tc>
          <w:tcPr>
            <w:tcW w:w="345" w:type="dxa"/>
            <w:vAlign w:val="top"/>
          </w:tcPr>
          <w:p w14:paraId="6766911A" w14:textId="77777777" w:rsidR="00D629BB" w:rsidRDefault="00D629BB" w:rsidP="008E3BD0">
            <w:pPr>
              <w:pStyle w:val="SDMTableBoxParaNotNumbered"/>
            </w:pPr>
            <w:r>
              <w:t>=</w:t>
            </w:r>
          </w:p>
        </w:tc>
        <w:tc>
          <w:tcPr>
            <w:tcW w:w="0" w:type="auto"/>
          </w:tcPr>
          <w:p w14:paraId="64D97CB1" w14:textId="1BDC8AD0" w:rsidR="00D629BB" w:rsidRDefault="004F5498" w:rsidP="00690A70">
            <w:pPr>
              <w:pStyle w:val="SDMTableBoxParaNotNumbered"/>
            </w:pPr>
            <w:r>
              <w:t>CO</w:t>
            </w:r>
            <w:r w:rsidRPr="00E87237">
              <w:rPr>
                <w:vertAlign w:val="subscript"/>
              </w:rPr>
              <w:t>2</w:t>
            </w:r>
            <w:r>
              <w:t xml:space="preserve"> emission factor of fuel type </w:t>
            </w:r>
            <w:r w:rsidRPr="00EA2C8D">
              <w:rPr>
                <w:i/>
                <w:iCs/>
              </w:rPr>
              <w:t>i</w:t>
            </w:r>
            <w:r>
              <w:t xml:space="preserve"> in year </w:t>
            </w:r>
            <w:r w:rsidRPr="00EA2C8D">
              <w:rPr>
                <w:i/>
                <w:iCs/>
              </w:rPr>
              <w:t>y</w:t>
            </w:r>
            <w:r>
              <w:t xml:space="preserve"> (t CO</w:t>
            </w:r>
            <w:r w:rsidRPr="5ED1399A">
              <w:rPr>
                <w:vertAlign w:val="subscript"/>
              </w:rPr>
              <w:t>2</w:t>
            </w:r>
            <w:r w:rsidRPr="5ED1399A" w:rsidDel="003C0FCA">
              <w:t>e</w:t>
            </w:r>
            <w:r>
              <w:t>q / mass or volume unit)</w:t>
            </w:r>
          </w:p>
        </w:tc>
      </w:tr>
      <w:tr w:rsidR="00D629BB" w14:paraId="78440D18" w14:textId="77777777" w:rsidTr="008E3BD0">
        <w:tc>
          <w:tcPr>
            <w:tcW w:w="1701" w:type="dxa"/>
            <w:vAlign w:val="top"/>
          </w:tcPr>
          <w:p w14:paraId="17300D40" w14:textId="35BA266A" w:rsidR="00D629BB" w:rsidRPr="006446DE"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c,i</m:t>
                    </m:r>
                    <m:r>
                      <w:rPr>
                        <w:rFonts w:ascii="Cambria Math" w:hAnsi="Cambria Math"/>
                        <w:lang w:val="en-US"/>
                      </w:rPr>
                      <m:t>,</m:t>
                    </m:r>
                    <m:r>
                      <w:rPr>
                        <w:rFonts w:ascii="Cambria Math" w:hAnsi="Cambria Math"/>
                      </w:rPr>
                      <m:t>y</m:t>
                    </m:r>
                  </m:sub>
                </m:sSub>
              </m:oMath>
            </m:oMathPara>
          </w:p>
        </w:tc>
        <w:tc>
          <w:tcPr>
            <w:tcW w:w="345" w:type="dxa"/>
            <w:vAlign w:val="top"/>
          </w:tcPr>
          <w:p w14:paraId="2978FD6F" w14:textId="77777777" w:rsidR="00D629BB" w:rsidRDefault="00D629BB" w:rsidP="008E3BD0">
            <w:pPr>
              <w:pStyle w:val="SDMTableBoxParaNotNumbered"/>
            </w:pPr>
            <w:r>
              <w:t>=</w:t>
            </w:r>
          </w:p>
        </w:tc>
        <w:tc>
          <w:tcPr>
            <w:tcW w:w="0" w:type="auto"/>
          </w:tcPr>
          <w:p w14:paraId="219F531C" w14:textId="7765EF96" w:rsidR="00D629BB" w:rsidRDefault="0045298E" w:rsidP="00690A70">
            <w:pPr>
              <w:pStyle w:val="SDMTableBoxParaNotNumbered"/>
            </w:pPr>
            <w:r>
              <w:t>Mass fraction of carbon in fuel type </w:t>
            </w:r>
            <w:r w:rsidRPr="006A030B">
              <w:rPr>
                <w:i/>
                <w:iCs/>
              </w:rPr>
              <w:t>i</w:t>
            </w:r>
            <w:r>
              <w:t xml:space="preserve"> in year </w:t>
            </w:r>
            <w:r w:rsidRPr="006A030B">
              <w:rPr>
                <w:i/>
                <w:iCs/>
              </w:rPr>
              <w:t>y</w:t>
            </w:r>
            <w:r>
              <w:t xml:space="preserve"> (t</w:t>
            </w:r>
            <w:r w:rsidR="00094649">
              <w:t> </w:t>
            </w:r>
            <w:r>
              <w:t>C</w:t>
            </w:r>
            <w:r w:rsidR="00094649">
              <w:t> </w:t>
            </w:r>
            <w:r>
              <w:t>/</w:t>
            </w:r>
            <w:r w:rsidR="00094649">
              <w:t> </w:t>
            </w:r>
            <w:r>
              <w:t>mass unit of the fuel)</w:t>
            </w:r>
          </w:p>
        </w:tc>
      </w:tr>
      <w:tr w:rsidR="00D629BB" w14:paraId="507E786F" w14:textId="77777777" w:rsidTr="008E3BD0">
        <w:tc>
          <w:tcPr>
            <w:tcW w:w="1701" w:type="dxa"/>
            <w:vAlign w:val="top"/>
          </w:tcPr>
          <w:p w14:paraId="65B74D33" w14:textId="45331E5F" w:rsidR="00D629BB" w:rsidRPr="006446DE" w:rsidRDefault="00064C0C" w:rsidP="008E3BD0">
            <w:pPr>
              <w:pStyle w:val="SDMTableBoxParaNotNumbered"/>
            </w:pPr>
            <m:oMathPara>
              <m:oMathParaPr>
                <m:jc m:val="left"/>
              </m:oMathParaPr>
              <m:oMath>
                <m:r>
                  <w:rPr>
                    <w:rFonts w:ascii="Cambria Math" w:hAnsi="Cambria Math"/>
                  </w:rPr>
                  <m:t>44/12</m:t>
                </m:r>
              </m:oMath>
            </m:oMathPara>
          </w:p>
        </w:tc>
        <w:tc>
          <w:tcPr>
            <w:tcW w:w="345" w:type="dxa"/>
            <w:vAlign w:val="top"/>
          </w:tcPr>
          <w:p w14:paraId="4419848E" w14:textId="77777777" w:rsidR="00D629BB" w:rsidRDefault="00D629BB" w:rsidP="008E3BD0">
            <w:pPr>
              <w:pStyle w:val="SDMTableBoxParaNotNumbered"/>
            </w:pPr>
            <w:r>
              <w:t>=</w:t>
            </w:r>
          </w:p>
        </w:tc>
        <w:tc>
          <w:tcPr>
            <w:tcW w:w="0" w:type="auto"/>
          </w:tcPr>
          <w:p w14:paraId="21FF0C10" w14:textId="175734B9" w:rsidR="00D629BB" w:rsidRDefault="006446DE" w:rsidP="00690A70">
            <w:pPr>
              <w:pStyle w:val="SDMTableBoxParaNotNumbered"/>
            </w:pPr>
            <w:r>
              <w:t>Unit conversion factor (t</w:t>
            </w:r>
            <w:r w:rsidR="00094649">
              <w:t> </w:t>
            </w:r>
            <w:r>
              <w:t>CO</w:t>
            </w:r>
            <w:r w:rsidRPr="005271A0">
              <w:rPr>
                <w:vertAlign w:val="subscript"/>
              </w:rPr>
              <w:t>2</w:t>
            </w:r>
            <w:r w:rsidR="00094649">
              <w:t> </w:t>
            </w:r>
            <w:r>
              <w:t>/</w:t>
            </w:r>
            <w:r w:rsidR="00094649">
              <w:t> </w:t>
            </w:r>
            <w:r>
              <w:t>t</w:t>
            </w:r>
            <w:r w:rsidR="00094649">
              <w:t> </w:t>
            </w:r>
            <w:r>
              <w:t>C)</w:t>
            </w:r>
          </w:p>
        </w:tc>
      </w:tr>
    </w:tbl>
    <w:p w14:paraId="161C6643" w14:textId="0F4BBFAA" w:rsidR="002D1576" w:rsidRDefault="00A02E13" w:rsidP="00EC00DE">
      <w:pPr>
        <w:pStyle w:val="SDMSubPara1"/>
        <w:keepNext/>
      </w:pPr>
      <w:r w:rsidRPr="55B9EAFC">
        <w:rPr>
          <w:u w:val="single"/>
        </w:rPr>
        <w:t>Option A.2:</w:t>
      </w:r>
      <w:r>
        <w:t xml:space="preserve"> calculated based on the chemical composition of the fossil fuel type </w:t>
      </w:r>
      <w:r w:rsidRPr="55B9EAFC">
        <w:rPr>
          <w:i/>
          <w:iCs/>
        </w:rPr>
        <w:t>i</w:t>
      </w:r>
      <w:r>
        <w:t xml:space="preserve">, </w:t>
      </w:r>
      <w:r w:rsidRPr="55B9EAFC">
        <w:rPr>
          <w:lang w:val="en-US"/>
        </w:rPr>
        <w:t xml:space="preserve">if </w:t>
      </w:r>
      <w:r w:rsidRPr="55B9EAFC">
        <w:rPr>
          <w:i/>
          <w:iCs/>
          <w:lang w:val="en-US"/>
        </w:rPr>
        <w:t>FC</w:t>
      </w:r>
      <w:r w:rsidRPr="55B9EAFC">
        <w:rPr>
          <w:i/>
          <w:iCs/>
          <w:vertAlign w:val="subscript"/>
          <w:lang w:val="en-US"/>
        </w:rPr>
        <w:t>i,y</w:t>
      </w:r>
      <w:r w:rsidRPr="55B9EAFC">
        <w:rPr>
          <w:lang w:val="en-US"/>
        </w:rPr>
        <w:t xml:space="preserve"> is measured </w:t>
      </w:r>
      <w:r>
        <w:t>in</w:t>
      </w:r>
      <w:r w:rsidRPr="55B9EAFC">
        <w:rPr>
          <w:lang w:val="en-US"/>
        </w:rPr>
        <w:t xml:space="preserve"> a volume unit</w:t>
      </w:r>
      <w:r>
        <w:t>:</w:t>
      </w:r>
    </w:p>
    <w:tbl>
      <w:tblPr>
        <w:tblStyle w:val="SDMMethTableEquation"/>
        <w:tblW w:w="8760" w:type="dxa"/>
        <w:tblLook w:val="0600" w:firstRow="0" w:lastRow="0" w:firstColumn="0" w:lastColumn="0" w:noHBand="1" w:noVBand="1"/>
      </w:tblPr>
      <w:tblGrid>
        <w:gridCol w:w="7092"/>
        <w:gridCol w:w="1668"/>
      </w:tblGrid>
      <w:tr w:rsidR="00A02E13" w:rsidRPr="00E32F75" w14:paraId="57BEE604" w14:textId="77777777" w:rsidTr="00690A70">
        <w:tc>
          <w:tcPr>
            <w:tcW w:w="7224" w:type="dxa"/>
          </w:tcPr>
          <w:p w14:paraId="1825FAF5" w14:textId="236DBF34" w:rsidR="00A02E13"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FC,CO2,i</m:t>
                    </m:r>
                    <m:r>
                      <w:rPr>
                        <w:rFonts w:ascii="Cambria Math" w:hAnsi="Cambria Math"/>
                        <w:lang w:val="en-US"/>
                      </w:rPr>
                      <m:t>,</m:t>
                    </m:r>
                    <m:r>
                      <w:rPr>
                        <w:rFonts w:ascii="Cambria Math" w:hAnsi="Cambria Math"/>
                      </w:rPr>
                      <m:t>y</m:t>
                    </m:r>
                  </m:sub>
                </m:sSub>
                <m:r>
                  <w:rPr>
                    <w:rFonts w:ascii="Cambria Math" w:hAnsi="Cambria Math"/>
                    <w:lang w:val="en-US"/>
                  </w:rPr>
                  <m:t>=</m:t>
                </m:r>
                <m:sSub>
                  <m:sSubPr>
                    <m:ctrlPr>
                      <w:rPr>
                        <w:rFonts w:ascii="Cambria Math" w:hAnsi="Cambria Math"/>
                        <w:i/>
                      </w:rPr>
                    </m:ctrlPr>
                  </m:sSubPr>
                  <m:e>
                    <m:r>
                      <w:rPr>
                        <w:rFonts w:ascii="Cambria Math" w:hAnsi="Cambria Math"/>
                      </w:rPr>
                      <m:t>w</m:t>
                    </m:r>
                  </m:e>
                  <m:sub>
                    <m:r>
                      <w:rPr>
                        <w:rFonts w:ascii="Cambria Math" w:hAnsi="Cambria Math"/>
                      </w:rPr>
                      <m:t>c,i</m:t>
                    </m:r>
                    <m:r>
                      <w:rPr>
                        <w:rFonts w:ascii="Cambria Math" w:hAnsi="Cambria Math"/>
                        <w:lang w:val="en-US"/>
                      </w:rPr>
                      <m:t>,</m:t>
                    </m:r>
                    <m:r>
                      <w:rPr>
                        <w:rFonts w:ascii="Cambria Math" w:hAnsi="Cambria Math"/>
                      </w:rPr>
                      <m:t>y</m:t>
                    </m:r>
                  </m:sub>
                </m:sSub>
                <m:r>
                  <w:rPr>
                    <w:rFonts w:ascii="Cambria Math" w:hAnsi="Cambria Math"/>
                    <w:lang w:val="en-US"/>
                  </w:rPr>
                  <m:t>×</m:t>
                </m:r>
                <m:sSub>
                  <m:sSubPr>
                    <m:ctrlPr>
                      <w:rPr>
                        <w:rFonts w:ascii="Cambria Math" w:hAnsi="Cambria Math"/>
                        <w:i/>
                      </w:rPr>
                    </m:ctrlPr>
                  </m:sSubPr>
                  <m:e>
                    <m:r>
                      <w:rPr>
                        <w:rFonts w:ascii="Cambria Math" w:hAnsi="Cambria Math"/>
                      </w:rPr>
                      <m:t>ρ</m:t>
                    </m:r>
                  </m:e>
                  <m:sub>
                    <m:r>
                      <w:rPr>
                        <w:rFonts w:ascii="Cambria Math" w:hAnsi="Cambria Math"/>
                      </w:rPr>
                      <m:t>,i</m:t>
                    </m:r>
                    <m:r>
                      <w:rPr>
                        <w:rFonts w:ascii="Cambria Math" w:hAnsi="Cambria Math"/>
                        <w:lang w:val="en-US"/>
                      </w:rPr>
                      <m:t>,</m:t>
                    </m:r>
                    <m:r>
                      <w:rPr>
                        <w:rFonts w:ascii="Cambria Math" w:hAnsi="Cambria Math"/>
                      </w:rPr>
                      <m:t>y</m:t>
                    </m:r>
                  </m:sub>
                </m:sSub>
                <m:r>
                  <w:rPr>
                    <w:rFonts w:ascii="Cambria Math" w:hAnsi="Cambria Math"/>
                    <w:lang w:val="en-US"/>
                  </w:rPr>
                  <m:t>×</m:t>
                </m:r>
                <m:r>
                  <w:rPr>
                    <w:rFonts w:ascii="Cambria Math" w:hAnsi="Cambria Math"/>
                  </w:rPr>
                  <m:t>44/12</m:t>
                </m:r>
              </m:oMath>
            </m:oMathPara>
          </w:p>
        </w:tc>
        <w:tc>
          <w:tcPr>
            <w:tcW w:w="1701" w:type="dxa"/>
          </w:tcPr>
          <w:p w14:paraId="04194028" w14:textId="77777777" w:rsidR="00A02E13" w:rsidRPr="002B6960" w:rsidRDefault="00A02E13" w:rsidP="007255A3">
            <w:pPr>
              <w:pStyle w:val="SDMMethEquationNr"/>
              <w:numPr>
                <w:ilvl w:val="0"/>
                <w:numId w:val="21"/>
              </w:numPr>
            </w:pPr>
          </w:p>
        </w:tc>
      </w:tr>
    </w:tbl>
    <w:p w14:paraId="518B1D17" w14:textId="77777777" w:rsidR="00A02E13" w:rsidRDefault="00A02E13"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E92779" w14:paraId="124DA7D4" w14:textId="77777777" w:rsidTr="008E3BD0">
        <w:tc>
          <w:tcPr>
            <w:tcW w:w="1701" w:type="dxa"/>
            <w:vAlign w:val="top"/>
          </w:tcPr>
          <w:p w14:paraId="60E7DBF0" w14:textId="02B47DDB" w:rsidR="00E92779" w:rsidRPr="007B6210"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FC,CO2,i,y</m:t>
                    </m:r>
                  </m:sub>
                </m:sSub>
              </m:oMath>
            </m:oMathPara>
          </w:p>
        </w:tc>
        <w:tc>
          <w:tcPr>
            <w:tcW w:w="345" w:type="dxa"/>
            <w:vAlign w:val="top"/>
          </w:tcPr>
          <w:p w14:paraId="39ED6533" w14:textId="77777777" w:rsidR="00E92779" w:rsidRDefault="00E92779" w:rsidP="008E3BD0">
            <w:pPr>
              <w:pStyle w:val="SDMTableBoxParaNotNumbered"/>
            </w:pPr>
            <w:r>
              <w:t>=</w:t>
            </w:r>
          </w:p>
        </w:tc>
        <w:tc>
          <w:tcPr>
            <w:tcW w:w="0" w:type="auto"/>
            <w:vAlign w:val="top"/>
          </w:tcPr>
          <w:p w14:paraId="6350154A" w14:textId="76426B1D" w:rsidR="00E92779" w:rsidRDefault="00E92779" w:rsidP="00E92779">
            <w:pPr>
              <w:pStyle w:val="SDMTableBoxParaNotNumbered"/>
            </w:pPr>
            <w:r>
              <w:t>CO</w:t>
            </w:r>
            <w:r w:rsidRPr="001943C1">
              <w:rPr>
                <w:vertAlign w:val="subscript"/>
              </w:rPr>
              <w:t>2</w:t>
            </w:r>
            <w:r>
              <w:t xml:space="preserve"> emission factor of fuel type </w:t>
            </w:r>
            <w:r w:rsidRPr="00EA2C8D">
              <w:rPr>
                <w:i/>
                <w:iCs/>
              </w:rPr>
              <w:t>i</w:t>
            </w:r>
            <w:r>
              <w:t xml:space="preserve"> in year </w:t>
            </w:r>
            <w:r w:rsidRPr="00EA2C8D">
              <w:rPr>
                <w:i/>
                <w:iCs/>
              </w:rPr>
              <w:t>y</w:t>
            </w:r>
            <w:r>
              <w:t xml:space="preserve"> (t CO</w:t>
            </w:r>
            <w:r w:rsidRPr="5ED1399A">
              <w:rPr>
                <w:vertAlign w:val="subscript"/>
              </w:rPr>
              <w:t>2</w:t>
            </w:r>
            <w:r w:rsidRPr="5ED1399A" w:rsidDel="003C0FCA">
              <w:t>e</w:t>
            </w:r>
            <w:r>
              <w:t>q / mass or volume unit)</w:t>
            </w:r>
          </w:p>
        </w:tc>
      </w:tr>
      <w:tr w:rsidR="00E92779" w14:paraId="5641E396" w14:textId="77777777" w:rsidTr="008E3BD0">
        <w:tc>
          <w:tcPr>
            <w:tcW w:w="1701" w:type="dxa"/>
            <w:vAlign w:val="top"/>
          </w:tcPr>
          <w:p w14:paraId="482C31BA" w14:textId="614CF11B" w:rsidR="00E92779" w:rsidRPr="007B6210"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c,i</m:t>
                    </m:r>
                    <m:r>
                      <w:rPr>
                        <w:rFonts w:ascii="Cambria Math" w:hAnsi="Cambria Math"/>
                        <w:lang w:val="en-US"/>
                      </w:rPr>
                      <m:t>,</m:t>
                    </m:r>
                    <m:r>
                      <w:rPr>
                        <w:rFonts w:ascii="Cambria Math" w:hAnsi="Cambria Math"/>
                      </w:rPr>
                      <m:t>y</m:t>
                    </m:r>
                  </m:sub>
                </m:sSub>
              </m:oMath>
            </m:oMathPara>
          </w:p>
        </w:tc>
        <w:tc>
          <w:tcPr>
            <w:tcW w:w="345" w:type="dxa"/>
            <w:vAlign w:val="top"/>
          </w:tcPr>
          <w:p w14:paraId="627C91DF" w14:textId="77777777" w:rsidR="00E92779" w:rsidRDefault="00E92779" w:rsidP="008E3BD0">
            <w:pPr>
              <w:pStyle w:val="SDMTableBoxParaNotNumbered"/>
            </w:pPr>
            <w:r>
              <w:t>=</w:t>
            </w:r>
          </w:p>
        </w:tc>
        <w:tc>
          <w:tcPr>
            <w:tcW w:w="0" w:type="auto"/>
            <w:vAlign w:val="top"/>
          </w:tcPr>
          <w:p w14:paraId="5FF50807" w14:textId="0CC21611" w:rsidR="00E92779" w:rsidRDefault="00E92779" w:rsidP="00E92779">
            <w:pPr>
              <w:pStyle w:val="SDMTableBoxParaNotNumbered"/>
            </w:pPr>
            <w:r>
              <w:t>Mass fraction of carbon in fuel type </w:t>
            </w:r>
            <w:r w:rsidRPr="006A030B">
              <w:rPr>
                <w:i/>
                <w:iCs/>
              </w:rPr>
              <w:t>i</w:t>
            </w:r>
            <w:r>
              <w:t xml:space="preserve"> in year </w:t>
            </w:r>
            <w:r w:rsidRPr="006A030B">
              <w:rPr>
                <w:i/>
                <w:iCs/>
              </w:rPr>
              <w:t>y</w:t>
            </w:r>
            <w:r>
              <w:t xml:space="preserve"> (t</w:t>
            </w:r>
            <w:r w:rsidR="00094649">
              <w:t> </w:t>
            </w:r>
            <w:r>
              <w:t>C / mass or volume unit)</w:t>
            </w:r>
          </w:p>
        </w:tc>
      </w:tr>
      <w:tr w:rsidR="00E92779" w14:paraId="07255036" w14:textId="77777777" w:rsidTr="008E3BD0">
        <w:tc>
          <w:tcPr>
            <w:tcW w:w="1701" w:type="dxa"/>
            <w:vAlign w:val="top"/>
          </w:tcPr>
          <w:p w14:paraId="38C4D2AD" w14:textId="634063EB" w:rsidR="00E92779" w:rsidRPr="007B6210"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ρ</m:t>
                    </m:r>
                  </m:e>
                  <m:sub>
                    <m:r>
                      <w:rPr>
                        <w:rFonts w:ascii="Cambria Math" w:hAnsi="Cambria Math"/>
                      </w:rPr>
                      <m:t>,i</m:t>
                    </m:r>
                    <m:r>
                      <w:rPr>
                        <w:rFonts w:ascii="Cambria Math" w:hAnsi="Cambria Math"/>
                        <w:lang w:val="en-US"/>
                      </w:rPr>
                      <m:t>,</m:t>
                    </m:r>
                    <m:r>
                      <w:rPr>
                        <w:rFonts w:ascii="Cambria Math" w:hAnsi="Cambria Math"/>
                      </w:rPr>
                      <m:t>y</m:t>
                    </m:r>
                  </m:sub>
                </m:sSub>
              </m:oMath>
            </m:oMathPara>
          </w:p>
        </w:tc>
        <w:tc>
          <w:tcPr>
            <w:tcW w:w="345" w:type="dxa"/>
            <w:vAlign w:val="top"/>
          </w:tcPr>
          <w:p w14:paraId="71D300E0" w14:textId="77777777" w:rsidR="00E92779" w:rsidRDefault="00E92779" w:rsidP="008E3BD0">
            <w:pPr>
              <w:pStyle w:val="SDMTableBoxParaNotNumbered"/>
            </w:pPr>
            <w:r>
              <w:t>=</w:t>
            </w:r>
          </w:p>
        </w:tc>
        <w:tc>
          <w:tcPr>
            <w:tcW w:w="0" w:type="auto"/>
            <w:vAlign w:val="top"/>
          </w:tcPr>
          <w:p w14:paraId="46D57CE6" w14:textId="6CA51616" w:rsidR="00E92779" w:rsidRDefault="00E92779" w:rsidP="00E92779">
            <w:pPr>
              <w:pStyle w:val="SDMTableBoxParaNotNumbered"/>
            </w:pPr>
            <w:r>
              <w:t>Density of fuel type </w:t>
            </w:r>
            <w:r w:rsidRPr="004C2D5A">
              <w:rPr>
                <w:i/>
                <w:iCs/>
              </w:rPr>
              <w:t>i</w:t>
            </w:r>
            <w:r>
              <w:t xml:space="preserve"> in year </w:t>
            </w:r>
            <w:r w:rsidRPr="004C2D5A">
              <w:rPr>
                <w:i/>
                <w:iCs/>
              </w:rPr>
              <w:t>y</w:t>
            </w:r>
            <w:r>
              <w:t xml:space="preserve"> (mass unit</w:t>
            </w:r>
            <w:r w:rsidR="00094649">
              <w:t> </w:t>
            </w:r>
            <w:r>
              <w:t>/</w:t>
            </w:r>
            <w:r w:rsidR="00094649">
              <w:t> </w:t>
            </w:r>
            <w:r>
              <w:t>volume unit)</w:t>
            </w:r>
          </w:p>
        </w:tc>
      </w:tr>
      <w:tr w:rsidR="007B6210" w14:paraId="7DCA74ED" w14:textId="77777777" w:rsidTr="008E3BD0">
        <w:tc>
          <w:tcPr>
            <w:tcW w:w="1701" w:type="dxa"/>
            <w:vAlign w:val="top"/>
          </w:tcPr>
          <w:p w14:paraId="447E6039" w14:textId="665DC8D6" w:rsidR="007B6210" w:rsidRPr="007B6210" w:rsidRDefault="007B6210" w:rsidP="008E3BD0">
            <w:pPr>
              <w:pStyle w:val="SDMTableBoxParaNotNumbered"/>
            </w:pPr>
            <m:oMathPara>
              <m:oMathParaPr>
                <m:jc m:val="left"/>
              </m:oMathParaPr>
              <m:oMath>
                <m:r>
                  <w:rPr>
                    <w:rFonts w:ascii="Cambria Math" w:hAnsi="Cambria Math"/>
                  </w:rPr>
                  <m:t>44/12</m:t>
                </m:r>
              </m:oMath>
            </m:oMathPara>
          </w:p>
        </w:tc>
        <w:tc>
          <w:tcPr>
            <w:tcW w:w="345" w:type="dxa"/>
            <w:vAlign w:val="top"/>
          </w:tcPr>
          <w:p w14:paraId="3F3E5388" w14:textId="7E270FAF" w:rsidR="007B6210" w:rsidRDefault="007B6210" w:rsidP="008E3BD0">
            <w:pPr>
              <w:pStyle w:val="SDMTableBoxParaNotNumbered"/>
            </w:pPr>
            <w:r>
              <w:t>=</w:t>
            </w:r>
          </w:p>
        </w:tc>
        <w:tc>
          <w:tcPr>
            <w:tcW w:w="0" w:type="auto"/>
          </w:tcPr>
          <w:p w14:paraId="551766AA" w14:textId="62652B44" w:rsidR="007B6210" w:rsidRDefault="007B6210" w:rsidP="007B6210">
            <w:pPr>
              <w:pStyle w:val="SDMTableBoxParaNotNumbered"/>
            </w:pPr>
            <w:r>
              <w:t>Unit conversion factor (t</w:t>
            </w:r>
            <w:r w:rsidR="00094649">
              <w:t> </w:t>
            </w:r>
            <w:r>
              <w:t>CO</w:t>
            </w:r>
            <w:r w:rsidRPr="005271A0">
              <w:rPr>
                <w:vertAlign w:val="subscript"/>
              </w:rPr>
              <w:t>2</w:t>
            </w:r>
            <w:r w:rsidR="00094649">
              <w:t> </w:t>
            </w:r>
            <w:r>
              <w:t>/</w:t>
            </w:r>
            <w:r w:rsidR="00094649">
              <w:t> </w:t>
            </w:r>
            <w:r>
              <w:t>t</w:t>
            </w:r>
            <w:r w:rsidR="00094649">
              <w:t> </w:t>
            </w:r>
            <w:r>
              <w:t>C)</w:t>
            </w:r>
          </w:p>
        </w:tc>
      </w:tr>
    </w:tbl>
    <w:p w14:paraId="4608C3DE" w14:textId="433BFE73" w:rsidR="00D629BB" w:rsidRDefault="009D6205" w:rsidP="00EC00DE">
      <w:pPr>
        <w:pStyle w:val="SDMSubPara1"/>
        <w:keepNext/>
      </w:pPr>
      <w:r w:rsidRPr="001C20C7">
        <w:rPr>
          <w:u w:val="single"/>
        </w:rPr>
        <w:t>Option</w:t>
      </w:r>
      <w:r>
        <w:rPr>
          <w:u w:val="single"/>
        </w:rPr>
        <w:t> </w:t>
      </w:r>
      <w:r w:rsidRPr="001C20C7">
        <w:rPr>
          <w:u w:val="single"/>
        </w:rPr>
        <w:t>B:</w:t>
      </w:r>
      <w:r>
        <w:t xml:space="preserve"> Calculated based on net calorific value and CO</w:t>
      </w:r>
      <w:r w:rsidRPr="00745F85">
        <w:rPr>
          <w:vertAlign w:val="subscript"/>
        </w:rPr>
        <w:t>2</w:t>
      </w:r>
      <w:r>
        <w:t xml:space="preserve"> emission factor of the fuel type </w:t>
      </w:r>
      <w:r w:rsidRPr="00745F85">
        <w:rPr>
          <w:i/>
          <w:iCs/>
        </w:rPr>
        <w:t>i</w:t>
      </w:r>
      <w:r>
        <w:t>, as follows:</w:t>
      </w:r>
    </w:p>
    <w:tbl>
      <w:tblPr>
        <w:tblStyle w:val="SDMMethTableEquation"/>
        <w:tblW w:w="8760" w:type="dxa"/>
        <w:tblLook w:val="0600" w:firstRow="0" w:lastRow="0" w:firstColumn="0" w:lastColumn="0" w:noHBand="1" w:noVBand="1"/>
      </w:tblPr>
      <w:tblGrid>
        <w:gridCol w:w="7092"/>
        <w:gridCol w:w="1668"/>
      </w:tblGrid>
      <w:tr w:rsidR="009D6205" w:rsidRPr="00E32F75" w14:paraId="6ABCBE10" w14:textId="77777777" w:rsidTr="00690A70">
        <w:tc>
          <w:tcPr>
            <w:tcW w:w="7224" w:type="dxa"/>
          </w:tcPr>
          <w:p w14:paraId="55A026D4" w14:textId="2331CD06" w:rsidR="009D6205" w:rsidRPr="00252AA4" w:rsidRDefault="0039641B" w:rsidP="00690A70">
            <w:pPr>
              <w:pStyle w:val="SDMMethEquation"/>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FC,CO2,i</m:t>
                    </m:r>
                    <m:r>
                      <w:rPr>
                        <w:rFonts w:ascii="Cambria Math" w:hAnsi="Cambria Math"/>
                        <w:lang w:val="en-US"/>
                      </w:rPr>
                      <m:t>,</m:t>
                    </m:r>
                    <m:r>
                      <w:rPr>
                        <w:rFonts w:ascii="Cambria Math" w:hAnsi="Cambria Math"/>
                      </w:rPr>
                      <m:t>y</m:t>
                    </m:r>
                  </m:sub>
                </m:sSub>
                <m:r>
                  <w:rPr>
                    <w:rFonts w:ascii="Cambria Math" w:hAnsi="Cambria Math"/>
                    <w:lang w:val="en-US"/>
                  </w:rPr>
                  <m:t>=</m:t>
                </m:r>
                <m:sSub>
                  <m:sSubPr>
                    <m:ctrlPr>
                      <w:rPr>
                        <w:rFonts w:ascii="Cambria Math" w:hAnsi="Cambria Math"/>
                        <w:i/>
                      </w:rPr>
                    </m:ctrlPr>
                  </m:sSubPr>
                  <m:e>
                    <m:r>
                      <w:rPr>
                        <w:rFonts w:ascii="Cambria Math" w:hAnsi="Cambria Math"/>
                      </w:rPr>
                      <m:t>NCV</m:t>
                    </m:r>
                  </m:e>
                  <m:sub>
                    <m:r>
                      <w:rPr>
                        <w:rFonts w:ascii="Cambria Math" w:hAnsi="Cambria Math"/>
                      </w:rPr>
                      <m:t>i</m:t>
                    </m:r>
                    <m:r>
                      <w:rPr>
                        <w:rFonts w:ascii="Cambria Math" w:hAnsi="Cambria Math"/>
                        <w:lang w:val="en-US"/>
                      </w:rPr>
                      <m:t>,</m:t>
                    </m:r>
                    <m:r>
                      <w:rPr>
                        <w:rFonts w:ascii="Cambria Math" w:hAnsi="Cambria Math"/>
                      </w:rPr>
                      <m:t>y</m:t>
                    </m:r>
                  </m:sub>
                </m:sSub>
                <m:r>
                  <w:rPr>
                    <w:rFonts w:ascii="Cambria Math" w:hAnsi="Cambria Math"/>
                    <w:lang w:val="en-US"/>
                  </w:rPr>
                  <m:t>×</m:t>
                </m:r>
                <m:sSub>
                  <m:sSubPr>
                    <m:ctrlPr>
                      <w:rPr>
                        <w:rFonts w:ascii="Cambria Math" w:hAnsi="Cambria Math"/>
                        <w:i/>
                      </w:rPr>
                    </m:ctrlPr>
                  </m:sSubPr>
                  <m:e>
                    <m:r>
                      <w:rPr>
                        <w:rFonts w:ascii="Cambria Math" w:hAnsi="Cambria Math"/>
                      </w:rPr>
                      <m:t>EF</m:t>
                    </m:r>
                  </m:e>
                  <m:sub>
                    <m:r>
                      <w:rPr>
                        <w:rFonts w:ascii="Cambria Math" w:hAnsi="Cambria Math"/>
                      </w:rPr>
                      <m:t>CO2,i</m:t>
                    </m:r>
                    <m:r>
                      <w:rPr>
                        <w:rFonts w:ascii="Cambria Math" w:hAnsi="Cambria Math"/>
                        <w:lang w:val="en-US"/>
                      </w:rPr>
                      <m:t>,</m:t>
                    </m:r>
                    <m:r>
                      <w:rPr>
                        <w:rFonts w:ascii="Cambria Math" w:hAnsi="Cambria Math"/>
                      </w:rPr>
                      <m:t>y</m:t>
                    </m:r>
                  </m:sub>
                </m:sSub>
              </m:oMath>
            </m:oMathPara>
          </w:p>
        </w:tc>
        <w:tc>
          <w:tcPr>
            <w:tcW w:w="1701" w:type="dxa"/>
          </w:tcPr>
          <w:p w14:paraId="7BFE6D87" w14:textId="77777777" w:rsidR="009D6205" w:rsidRPr="002B6960" w:rsidRDefault="009D6205" w:rsidP="007255A3">
            <w:pPr>
              <w:pStyle w:val="SDMMethEquationNr"/>
              <w:numPr>
                <w:ilvl w:val="0"/>
                <w:numId w:val="21"/>
              </w:numPr>
            </w:pPr>
          </w:p>
        </w:tc>
      </w:tr>
    </w:tbl>
    <w:p w14:paraId="65D46CE9" w14:textId="77777777" w:rsidR="009D6205" w:rsidRDefault="009D6205"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9D6205" w14:paraId="6C403264" w14:textId="77777777" w:rsidTr="008E3BD0">
        <w:tc>
          <w:tcPr>
            <w:tcW w:w="1701" w:type="dxa"/>
            <w:vAlign w:val="top"/>
          </w:tcPr>
          <w:p w14:paraId="21632593" w14:textId="41BB9A57" w:rsidR="009D6205" w:rsidRPr="0051107D"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FC,CO2,i</m:t>
                    </m:r>
                    <m:r>
                      <w:rPr>
                        <w:rFonts w:ascii="Cambria Math" w:hAnsi="Cambria Math"/>
                        <w:lang w:val="en-US"/>
                      </w:rPr>
                      <m:t>,</m:t>
                    </m:r>
                    <m:r>
                      <w:rPr>
                        <w:rFonts w:ascii="Cambria Math" w:hAnsi="Cambria Math"/>
                      </w:rPr>
                      <m:t>y</m:t>
                    </m:r>
                  </m:sub>
                </m:sSub>
              </m:oMath>
            </m:oMathPara>
          </w:p>
        </w:tc>
        <w:tc>
          <w:tcPr>
            <w:tcW w:w="345" w:type="dxa"/>
            <w:vAlign w:val="top"/>
          </w:tcPr>
          <w:p w14:paraId="73A546B3" w14:textId="77777777" w:rsidR="009D6205" w:rsidRDefault="009D6205" w:rsidP="008E3BD0">
            <w:pPr>
              <w:pStyle w:val="SDMTableBoxParaNotNumbered"/>
            </w:pPr>
            <w:r>
              <w:t>=</w:t>
            </w:r>
          </w:p>
        </w:tc>
        <w:tc>
          <w:tcPr>
            <w:tcW w:w="0" w:type="auto"/>
          </w:tcPr>
          <w:p w14:paraId="26963A1D" w14:textId="4F2D1258" w:rsidR="009D6205" w:rsidRDefault="002B7783" w:rsidP="00690A70">
            <w:pPr>
              <w:pStyle w:val="SDMTableBoxParaNotNumbered"/>
            </w:pPr>
            <w:r>
              <w:t>CO</w:t>
            </w:r>
            <w:r w:rsidRPr="00A96770">
              <w:rPr>
                <w:vertAlign w:val="subscript"/>
              </w:rPr>
              <w:t>2</w:t>
            </w:r>
            <w:r>
              <w:t xml:space="preserve"> emission factor of fuel type </w:t>
            </w:r>
            <w:r w:rsidRPr="00EA2C8D">
              <w:rPr>
                <w:i/>
                <w:iCs/>
              </w:rPr>
              <w:t>i</w:t>
            </w:r>
            <w:r>
              <w:t xml:space="preserve"> in year </w:t>
            </w:r>
            <w:r w:rsidRPr="00EA2C8D">
              <w:rPr>
                <w:i/>
                <w:iCs/>
              </w:rPr>
              <w:t>y</w:t>
            </w:r>
            <w:r>
              <w:t xml:space="preserve"> (t CO</w:t>
            </w:r>
            <w:r w:rsidRPr="5ED1399A">
              <w:rPr>
                <w:vertAlign w:val="subscript"/>
              </w:rPr>
              <w:t>2</w:t>
            </w:r>
            <w:r w:rsidRPr="5ED1399A" w:rsidDel="003C0FCA">
              <w:t>e</w:t>
            </w:r>
            <w:r>
              <w:t>q / mass or volume unit)</w:t>
            </w:r>
          </w:p>
        </w:tc>
      </w:tr>
      <w:tr w:rsidR="009D6205" w14:paraId="3E148C2B" w14:textId="77777777" w:rsidTr="008E3BD0">
        <w:tc>
          <w:tcPr>
            <w:tcW w:w="1701" w:type="dxa"/>
            <w:vAlign w:val="top"/>
          </w:tcPr>
          <w:p w14:paraId="75DA0795" w14:textId="18843E59" w:rsidR="009D6205" w:rsidRPr="0051107D"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NCV</m:t>
                    </m:r>
                  </m:e>
                  <m:sub>
                    <m:r>
                      <w:rPr>
                        <w:rFonts w:ascii="Cambria Math" w:hAnsi="Cambria Math"/>
                      </w:rPr>
                      <m:t>i</m:t>
                    </m:r>
                    <m:r>
                      <w:rPr>
                        <w:rFonts w:ascii="Cambria Math" w:hAnsi="Cambria Math"/>
                        <w:lang w:val="en-US"/>
                      </w:rPr>
                      <m:t>,</m:t>
                    </m:r>
                    <m:r>
                      <w:rPr>
                        <w:rFonts w:ascii="Cambria Math" w:hAnsi="Cambria Math"/>
                      </w:rPr>
                      <m:t>y</m:t>
                    </m:r>
                  </m:sub>
                </m:sSub>
              </m:oMath>
            </m:oMathPara>
          </w:p>
        </w:tc>
        <w:tc>
          <w:tcPr>
            <w:tcW w:w="345" w:type="dxa"/>
            <w:vAlign w:val="top"/>
          </w:tcPr>
          <w:p w14:paraId="4861D6A4" w14:textId="77777777" w:rsidR="009D6205" w:rsidRDefault="009D6205" w:rsidP="008E3BD0">
            <w:pPr>
              <w:pStyle w:val="SDMTableBoxParaNotNumbered"/>
            </w:pPr>
            <w:r>
              <w:t>=</w:t>
            </w:r>
          </w:p>
        </w:tc>
        <w:tc>
          <w:tcPr>
            <w:tcW w:w="0" w:type="auto"/>
          </w:tcPr>
          <w:p w14:paraId="6C7420A0" w14:textId="6E66A119" w:rsidR="009D6205" w:rsidRDefault="00F8478F" w:rsidP="00690A70">
            <w:pPr>
              <w:pStyle w:val="SDMTableBoxParaNotNumbered"/>
            </w:pPr>
            <w:r>
              <w:t xml:space="preserve">Net calorific value of the fuel type </w:t>
            </w:r>
            <w:r w:rsidRPr="002E4813">
              <w:rPr>
                <w:i/>
                <w:iCs/>
              </w:rPr>
              <w:t>i</w:t>
            </w:r>
            <w:r>
              <w:t xml:space="preserve"> in year </w:t>
            </w:r>
            <w:r w:rsidRPr="002E4813">
              <w:rPr>
                <w:i/>
                <w:iCs/>
              </w:rPr>
              <w:t>y</w:t>
            </w:r>
            <w:r>
              <w:t xml:space="preserve"> (GJ / mass or volume unit)</w:t>
            </w:r>
          </w:p>
        </w:tc>
      </w:tr>
      <w:tr w:rsidR="009D6205" w14:paraId="0F97B8F2" w14:textId="77777777" w:rsidTr="008E3BD0">
        <w:tc>
          <w:tcPr>
            <w:tcW w:w="1701" w:type="dxa"/>
            <w:vAlign w:val="top"/>
          </w:tcPr>
          <w:p w14:paraId="355212C8" w14:textId="53F90D4B" w:rsidR="009D6205" w:rsidRPr="0051107D" w:rsidRDefault="0039641B" w:rsidP="008E3BD0">
            <w:pPr>
              <w:pStyle w:val="SDMTableBoxParaNotNumbered"/>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CO2,i</m:t>
                    </m:r>
                    <m:r>
                      <w:rPr>
                        <w:rFonts w:ascii="Cambria Math" w:hAnsi="Cambria Math"/>
                        <w:lang w:val="en-US"/>
                      </w:rPr>
                      <m:t>,</m:t>
                    </m:r>
                    <m:r>
                      <w:rPr>
                        <w:rFonts w:ascii="Cambria Math" w:hAnsi="Cambria Math"/>
                      </w:rPr>
                      <m:t>y</m:t>
                    </m:r>
                  </m:sub>
                </m:sSub>
              </m:oMath>
            </m:oMathPara>
          </w:p>
        </w:tc>
        <w:tc>
          <w:tcPr>
            <w:tcW w:w="345" w:type="dxa"/>
            <w:vAlign w:val="top"/>
          </w:tcPr>
          <w:p w14:paraId="28A74F3C" w14:textId="77777777" w:rsidR="009D6205" w:rsidRDefault="009D6205" w:rsidP="008E3BD0">
            <w:pPr>
              <w:pStyle w:val="SDMTableBoxParaNotNumbered"/>
            </w:pPr>
            <w:r>
              <w:t>=</w:t>
            </w:r>
          </w:p>
        </w:tc>
        <w:tc>
          <w:tcPr>
            <w:tcW w:w="0" w:type="auto"/>
          </w:tcPr>
          <w:p w14:paraId="35977CB3" w14:textId="75FC2022" w:rsidR="009D6205" w:rsidRDefault="00596584" w:rsidP="00690A70">
            <w:pPr>
              <w:pStyle w:val="SDMTableBoxParaNotNumbered"/>
            </w:pPr>
            <w:r>
              <w:t>CO</w:t>
            </w:r>
            <w:r w:rsidRPr="002E4813">
              <w:rPr>
                <w:vertAlign w:val="subscript"/>
              </w:rPr>
              <w:t>2</w:t>
            </w:r>
            <w:r>
              <w:t xml:space="preserve"> emission factor of fuel type </w:t>
            </w:r>
            <w:r w:rsidRPr="002E4813">
              <w:rPr>
                <w:i/>
                <w:iCs/>
              </w:rPr>
              <w:t>i</w:t>
            </w:r>
            <w:r>
              <w:t xml:space="preserve"> in year </w:t>
            </w:r>
            <w:r w:rsidRPr="002E4813">
              <w:rPr>
                <w:i/>
                <w:iCs/>
              </w:rPr>
              <w:t>y</w:t>
            </w:r>
            <w:r>
              <w:t xml:space="preserve"> (t CO</w:t>
            </w:r>
            <w:r w:rsidRPr="5ED1399A">
              <w:rPr>
                <w:vertAlign w:val="subscript"/>
              </w:rPr>
              <w:t>2</w:t>
            </w:r>
            <w:r>
              <w:t> / GJ)</w:t>
            </w:r>
          </w:p>
        </w:tc>
      </w:tr>
    </w:tbl>
    <w:p w14:paraId="42FC074D" w14:textId="35174B27" w:rsidR="00D629BB" w:rsidRDefault="009763FA" w:rsidP="00963BA6">
      <w:pPr>
        <w:pStyle w:val="SDMPara"/>
      </w:pPr>
      <w:r w:rsidRPr="00345674">
        <w:rPr>
          <w:rFonts w:eastAsiaTheme="minorEastAsia"/>
          <w:lang w:val="en-US"/>
        </w:rPr>
        <w:t>Activity</w:t>
      </w:r>
      <w:r>
        <w:t xml:space="preserve"> participants shall use options A.1 or A.2, unless they can demonstrate that the necessary data are unavailable. If the necessary data are unavailable, activity participants may use option B.</w:t>
      </w:r>
    </w:p>
    <w:p w14:paraId="1BF1C398" w14:textId="214ED50B" w:rsidR="009763FA" w:rsidRDefault="00881395" w:rsidP="00881395">
      <w:pPr>
        <w:pStyle w:val="SDMHead2"/>
      </w:pPr>
      <w:bookmarkStart w:id="289" w:name="_Toc224306084"/>
      <w:bookmarkStart w:id="290" w:name="_Toc224660848"/>
      <w:bookmarkStart w:id="291" w:name="_Toc224660883"/>
      <w:bookmarkStart w:id="292" w:name="_Toc224661375"/>
      <w:bookmarkStart w:id="293" w:name="_Toc232451494"/>
      <w:bookmarkStart w:id="294" w:name="_Toc233281822"/>
      <w:bookmarkStart w:id="295" w:name="_Toc233881734"/>
      <w:bookmarkStart w:id="296" w:name="_Toc233882100"/>
      <w:bookmarkStart w:id="297" w:name="_Toc233884227"/>
      <w:bookmarkStart w:id="298" w:name="_Toc233902836"/>
      <w:bookmarkStart w:id="299" w:name="_Toc233902873"/>
      <w:bookmarkStart w:id="300" w:name="_Toc236391904"/>
      <w:bookmarkStart w:id="301" w:name="_Toc236394046"/>
      <w:r>
        <w:rPr>
          <w:rFonts w:eastAsiaTheme="minorEastAsia"/>
        </w:rPr>
        <w:t>Activity</w:t>
      </w:r>
      <w:r w:rsidRPr="37BFE766">
        <w:rPr>
          <w:rFonts w:eastAsiaTheme="minorEastAsia"/>
        </w:rPr>
        <w:t xml:space="preserve"> </w:t>
      </w:r>
      <w:r w:rsidRPr="032D336B">
        <w:rPr>
          <w:rFonts w:eastAsiaTheme="minorEastAsia"/>
        </w:rPr>
        <w:t>emissions</w:t>
      </w:r>
      <w:r w:rsidRPr="37BFE766">
        <w:rPr>
          <w:rFonts w:eastAsiaTheme="minorEastAsia"/>
        </w:rPr>
        <w:t xml:space="preserve"> from </w:t>
      </w:r>
      <w:r>
        <w:rPr>
          <w:rFonts w:eastAsiaTheme="minorEastAsia"/>
        </w:rPr>
        <w:t xml:space="preserve">electricity consumption </w:t>
      </w:r>
      <w:r w:rsidRPr="37BFE766">
        <w:rPr>
          <w:rFonts w:eastAsiaTheme="minorEastAsia"/>
        </w:rPr>
        <w:t>(</w:t>
      </w:r>
      <w:r>
        <w:rPr>
          <w:rFonts w:eastAsiaTheme="minorEastAsia"/>
          <w:i/>
          <w:iCs/>
        </w:rPr>
        <w:t>A</w:t>
      </w:r>
      <w:r w:rsidRPr="37BFE766">
        <w:rPr>
          <w:rFonts w:eastAsiaTheme="minorEastAsia"/>
          <w:i/>
          <w:iCs/>
        </w:rPr>
        <w:t>E</w:t>
      </w:r>
      <w:r>
        <w:rPr>
          <w:rFonts w:eastAsiaTheme="minorEastAsia"/>
          <w:i/>
          <w:iCs/>
          <w:vertAlign w:val="subscript"/>
        </w:rPr>
        <w:t>EC</w:t>
      </w:r>
      <w:r w:rsidRPr="37BFE766">
        <w:rPr>
          <w:rFonts w:eastAsiaTheme="minorEastAsia"/>
          <w:i/>
          <w:iCs/>
          <w:vertAlign w:val="subscript"/>
        </w:rPr>
        <w:t>,y</w:t>
      </w:r>
      <w:r w:rsidRPr="37BFE766">
        <w:rPr>
          <w:rFonts w:eastAsiaTheme="minorEastAsia"/>
        </w:rPr>
        <w:t>)</w:t>
      </w:r>
      <w:bookmarkEnd w:id="289"/>
      <w:bookmarkEnd w:id="290"/>
      <w:bookmarkEnd w:id="291"/>
      <w:bookmarkEnd w:id="292"/>
      <w:bookmarkEnd w:id="293"/>
      <w:bookmarkEnd w:id="294"/>
      <w:bookmarkEnd w:id="295"/>
      <w:bookmarkEnd w:id="296"/>
      <w:bookmarkEnd w:id="297"/>
      <w:bookmarkEnd w:id="298"/>
      <w:bookmarkEnd w:id="299"/>
      <w:bookmarkEnd w:id="300"/>
      <w:bookmarkEnd w:id="301"/>
    </w:p>
    <w:p w14:paraId="73679780" w14:textId="53918F01" w:rsidR="00D629BB" w:rsidRPr="00EC38B6" w:rsidRDefault="00EC38B6" w:rsidP="00EC00DE">
      <w:pPr>
        <w:pStyle w:val="SDMPara"/>
        <w:keepNext/>
      </w:pPr>
      <w:r w:rsidRPr="1D2AC06A">
        <w:rPr>
          <w:rFonts w:eastAsia="Arial"/>
          <w:lang w:val="en-US"/>
        </w:rPr>
        <w:t xml:space="preserve">Activity participants shall use a valid version of the “Methodological tool: Emissions from </w:t>
      </w:r>
      <w:r w:rsidRPr="002E1C85">
        <w:rPr>
          <w:rFonts w:eastAsia="Arial"/>
          <w:lang w:val="en-US"/>
        </w:rPr>
        <w:t>electricity</w:t>
      </w:r>
      <w:r w:rsidRPr="1D2AC06A">
        <w:rPr>
          <w:rFonts w:eastAsia="Arial"/>
          <w:lang w:val="en-US"/>
        </w:rPr>
        <w:t xml:space="preserve"> generation and consumption” (</w:t>
      </w:r>
      <w:r w:rsidRPr="1D2AC06A">
        <w:rPr>
          <w:lang w:val="en-US"/>
        </w:rPr>
        <w:t xml:space="preserve">A6.4-AMT-007) </w:t>
      </w:r>
      <w:r w:rsidRPr="1D2AC06A">
        <w:rPr>
          <w:rFonts w:eastAsia="Arial"/>
          <w:lang w:val="en-US"/>
        </w:rPr>
        <w:t xml:space="preserve">to calculate </w:t>
      </w:r>
      <w:r>
        <w:rPr>
          <w:lang w:val="en-US"/>
        </w:rPr>
        <w:t>activity</w:t>
      </w:r>
      <w:r w:rsidRPr="1D2AC06A">
        <w:rPr>
          <w:rFonts w:eastAsia="Arial"/>
          <w:lang w:val="en-US"/>
        </w:rPr>
        <w:t xml:space="preserve"> emissions</w:t>
      </w:r>
      <w:r>
        <w:rPr>
          <w:rFonts w:eastAsia="Arial"/>
          <w:lang w:val="en-US"/>
        </w:rPr>
        <w:t xml:space="preserve"> from electricity consumption </w:t>
      </w:r>
      <w:r w:rsidRPr="00E54178">
        <w:rPr>
          <w:rFonts w:eastAsia="Arial"/>
          <w:lang w:val="en-US"/>
        </w:rPr>
        <w:t>in year</w:t>
      </w:r>
      <w:r>
        <w:rPr>
          <w:rFonts w:eastAsia="Arial"/>
          <w:lang w:val="en-US"/>
        </w:rPr>
        <w:t> </w:t>
      </w:r>
      <w:r w:rsidRPr="00E01DD9">
        <w:rPr>
          <w:rFonts w:eastAsia="Arial"/>
          <w:i/>
          <w:iCs/>
          <w:lang w:val="en-US"/>
        </w:rPr>
        <w:t>y</w:t>
      </w:r>
      <w:r w:rsidRPr="00E54178">
        <w:rPr>
          <w:rFonts w:eastAsia="Arial"/>
          <w:lang w:val="en-US"/>
        </w:rPr>
        <w:t xml:space="preserve"> </w:t>
      </w:r>
      <w:r>
        <w:rPr>
          <w:rFonts w:eastAsia="Arial"/>
          <w:lang w:val="en-US"/>
        </w:rPr>
        <w:t>(</w:t>
      </w:r>
      <w:r>
        <w:rPr>
          <w:rFonts w:eastAsia="Arial"/>
          <w:i/>
          <w:iCs/>
          <w:lang w:val="en-US"/>
        </w:rPr>
        <w:t>A</w:t>
      </w:r>
      <w:r w:rsidRPr="00E01DD9">
        <w:rPr>
          <w:rFonts w:eastAsia="Arial"/>
          <w:i/>
          <w:iCs/>
          <w:lang w:val="en-US"/>
        </w:rPr>
        <w:t>E</w:t>
      </w:r>
      <w:r w:rsidRPr="00E01DD9">
        <w:rPr>
          <w:rFonts w:eastAsia="Arial"/>
          <w:i/>
          <w:iCs/>
          <w:vertAlign w:val="subscript"/>
          <w:lang w:val="en-US"/>
        </w:rPr>
        <w:t>E</w:t>
      </w:r>
      <w:r>
        <w:rPr>
          <w:rFonts w:eastAsia="Arial"/>
          <w:i/>
          <w:iCs/>
          <w:vertAlign w:val="subscript"/>
          <w:lang w:val="en-US"/>
        </w:rPr>
        <w:t>C</w:t>
      </w:r>
      <w:r w:rsidRPr="00E01DD9">
        <w:rPr>
          <w:rFonts w:eastAsia="Arial"/>
          <w:i/>
          <w:iCs/>
          <w:vertAlign w:val="subscript"/>
          <w:lang w:val="en-US"/>
        </w:rPr>
        <w:t>,y</w:t>
      </w:r>
      <w:r>
        <w:rPr>
          <w:rFonts w:eastAsia="Arial"/>
          <w:lang w:val="en-US"/>
        </w:rPr>
        <w:t>)</w:t>
      </w:r>
      <w:r w:rsidRPr="1D2AC06A">
        <w:rPr>
          <w:lang w:val="en-US"/>
        </w:rPr>
        <w:t>.</w:t>
      </w:r>
      <w:r w:rsidRPr="1D2AC06A">
        <w:rPr>
          <w:rFonts w:eastAsia="Arial"/>
          <w:lang w:val="en-US"/>
        </w:rPr>
        <w:t xml:space="preserve"> In applying the tool, </w:t>
      </w:r>
      <w:r w:rsidRPr="0724C3A5">
        <w:rPr>
          <w:rFonts w:eastAsiaTheme="minorEastAsia"/>
          <w:lang w:eastAsia="ja-JP"/>
        </w:rPr>
        <w:t>activity participants shall implement all of the following specifications</w:t>
      </w:r>
      <w:r w:rsidRPr="1D2AC06A">
        <w:rPr>
          <w:rFonts w:eastAsia="Arial"/>
          <w:lang w:val="en-US"/>
        </w:rPr>
        <w:t>:</w:t>
      </w:r>
    </w:p>
    <w:p w14:paraId="029DB338" w14:textId="3D8879D6" w:rsidR="00EC38B6" w:rsidRPr="000740AC" w:rsidRDefault="000740AC" w:rsidP="00EC38B6">
      <w:pPr>
        <w:pStyle w:val="SDMSubPara1"/>
      </w:pPr>
      <w:r w:rsidRPr="55B9EAFC">
        <w:rPr>
          <w:rFonts w:eastAsia="Arial"/>
          <w:b/>
          <w:bCs/>
          <w:color w:val="000000" w:themeColor="text1"/>
          <w:lang w:val="en-US"/>
        </w:rPr>
        <w:t>Electricity generation or consumption sources:</w:t>
      </w:r>
      <w:r w:rsidRPr="55B9EAFC">
        <w:rPr>
          <w:rFonts w:eastAsia="Arial"/>
          <w:color w:val="000000" w:themeColor="text1"/>
          <w:lang w:val="en-US"/>
        </w:rPr>
        <w:t xml:space="preserve"> the only source </w:t>
      </w:r>
      <w:r w:rsidRPr="55B9EAFC">
        <w:rPr>
          <w:rFonts w:eastAsia="Arial"/>
          <w:i/>
          <w:iCs/>
          <w:color w:val="000000" w:themeColor="text1"/>
          <w:lang w:val="en-US"/>
        </w:rPr>
        <w:t>s</w:t>
      </w:r>
      <w:r w:rsidRPr="55B9EAFC">
        <w:rPr>
          <w:rFonts w:eastAsia="Arial"/>
          <w:color w:val="000000" w:themeColor="text1"/>
          <w:lang w:val="en-US"/>
        </w:rPr>
        <w:t xml:space="preserve"> to be considered for determining </w:t>
      </w:r>
      <w:r>
        <w:rPr>
          <w:rFonts w:eastAsia="Arial"/>
          <w:color w:val="000000" w:themeColor="text1"/>
          <w:lang w:val="en-US"/>
        </w:rPr>
        <w:t>activity</w:t>
      </w:r>
      <w:r w:rsidRPr="55B9EAFC">
        <w:rPr>
          <w:rFonts w:eastAsia="Arial"/>
          <w:color w:val="000000" w:themeColor="text1"/>
          <w:lang w:val="en-US"/>
        </w:rPr>
        <w:t xml:space="preserve"> emissions from electricity consumption is the </w:t>
      </w:r>
      <w:r w:rsidRPr="55B9EAFC">
        <w:rPr>
          <w:rFonts w:eastAsia="Arial"/>
          <w:lang w:val="en-US"/>
        </w:rPr>
        <w:t>electricity consumed by the Article 6.4 project power plant from the electricity system;</w:t>
      </w:r>
    </w:p>
    <w:p w14:paraId="554924B2" w14:textId="1F06A4AD" w:rsidR="000740AC" w:rsidRPr="00D458B6" w:rsidRDefault="00D458B6" w:rsidP="00EC38B6">
      <w:pPr>
        <w:pStyle w:val="SDMSubPara1"/>
      </w:pPr>
      <w:r w:rsidRPr="55B9EAFC">
        <w:rPr>
          <w:rFonts w:eastAsia="Arial"/>
          <w:b/>
          <w:bCs/>
          <w:lang w:val="en-US"/>
        </w:rPr>
        <w:t>Determination of the amount of electricity generated or consumed:</w:t>
      </w:r>
      <w:r w:rsidRPr="55B9EAFC">
        <w:rPr>
          <w:rFonts w:eastAsia="Arial"/>
          <w:lang w:val="en-US"/>
        </w:rPr>
        <w:t xml:space="preserve"> the </w:t>
      </w:r>
      <w:r w:rsidRPr="55B9EAFC">
        <w:rPr>
          <w:lang w:val="en-US"/>
        </w:rPr>
        <w:t>quantity of electricity consumed by the Article 6.4 project power plant from the electricity system in year </w:t>
      </w:r>
      <w:r w:rsidRPr="55B9EAFC">
        <w:rPr>
          <w:i/>
          <w:iCs/>
          <w:lang w:val="en-US"/>
        </w:rPr>
        <w:t>y</w:t>
      </w:r>
      <w:r w:rsidRPr="55B9EAFC">
        <w:rPr>
          <w:lang w:val="en-US"/>
        </w:rPr>
        <w:t xml:space="preserve"> corresponds to the general parameters </w:t>
      </w:r>
      <w:r w:rsidRPr="55B9EAFC">
        <w:rPr>
          <w:rFonts w:eastAsia="Arial"/>
          <w:i/>
          <w:iCs/>
          <w:lang w:val="en-US"/>
        </w:rPr>
        <w:t>EC</w:t>
      </w:r>
      <w:r w:rsidRPr="55B9EAFC">
        <w:rPr>
          <w:rFonts w:eastAsia="Arial"/>
          <w:i/>
          <w:iCs/>
          <w:vertAlign w:val="subscript"/>
          <w:lang w:val="en-US"/>
        </w:rPr>
        <w:t>s,y</w:t>
      </w:r>
      <w:r w:rsidRPr="55B9EAFC">
        <w:rPr>
          <w:lang w:val="en-US"/>
        </w:rPr>
        <w:t xml:space="preserve"> or </w:t>
      </w:r>
      <w:r w:rsidRPr="55B9EAFC">
        <w:rPr>
          <w:rFonts w:eastAsia="Arial"/>
          <w:i/>
          <w:iCs/>
          <w:lang w:val="en-US"/>
        </w:rPr>
        <w:t>EC</w:t>
      </w:r>
      <w:r w:rsidRPr="55B9EAFC">
        <w:rPr>
          <w:rFonts w:eastAsia="Arial"/>
          <w:i/>
          <w:iCs/>
          <w:vertAlign w:val="subscript"/>
          <w:lang w:val="en-US"/>
        </w:rPr>
        <w:t>s,h</w:t>
      </w:r>
      <w:r w:rsidRPr="55B9EAFC">
        <w:rPr>
          <w:lang w:val="en-US"/>
        </w:rPr>
        <w:t xml:space="preserve"> in the methodological too</w:t>
      </w:r>
      <w:r w:rsidRPr="55B9EAFC">
        <w:rPr>
          <w:rFonts w:eastAsia="Arial"/>
          <w:color w:val="000000" w:themeColor="text1"/>
          <w:lang w:val="en-US"/>
        </w:rPr>
        <w:t>l;</w:t>
      </w:r>
    </w:p>
    <w:p w14:paraId="33398735" w14:textId="6ED52198" w:rsidR="00D458B6" w:rsidRPr="0071686E" w:rsidRDefault="0071686E" w:rsidP="00EC38B6">
      <w:pPr>
        <w:pStyle w:val="SDMSubPara1"/>
      </w:pPr>
      <w:r w:rsidRPr="5ED1399A">
        <w:rPr>
          <w:rFonts w:eastAsia="Arial"/>
          <w:b/>
          <w:bCs/>
          <w:color w:val="000000" w:themeColor="text1"/>
          <w:lang w:val="en-US"/>
        </w:rPr>
        <w:t xml:space="preserve">Type of electricity </w:t>
      </w:r>
      <w:r>
        <w:rPr>
          <w:rFonts w:eastAsia="Arial"/>
          <w:b/>
          <w:bCs/>
          <w:color w:val="000000" w:themeColor="text1"/>
          <w:lang w:val="en-US"/>
        </w:rPr>
        <w:t>consumption</w:t>
      </w:r>
      <w:r w:rsidRPr="5ED1399A">
        <w:rPr>
          <w:rFonts w:eastAsia="Arial"/>
          <w:b/>
          <w:bCs/>
          <w:color w:val="000000" w:themeColor="text1"/>
          <w:lang w:val="en-US"/>
        </w:rPr>
        <w:t xml:space="preserve"> source s:</w:t>
      </w:r>
      <w:r>
        <w:rPr>
          <w:rFonts w:eastAsia="Arial"/>
          <w:b/>
          <w:bCs/>
          <w:color w:val="000000" w:themeColor="text1"/>
          <w:lang w:val="en-US"/>
        </w:rPr>
        <w:t xml:space="preserve"> </w:t>
      </w:r>
      <w:r>
        <w:rPr>
          <w:rFonts w:eastAsia="Arial"/>
          <w:color w:val="000000" w:themeColor="text1"/>
          <w:lang w:val="en-US"/>
        </w:rPr>
        <w:t>for solar and wind power plants, the electricity consumption shall be considered as e</w:t>
      </w:r>
      <w:r w:rsidRPr="46A383F8">
        <w:rPr>
          <w:lang w:val="en-US"/>
        </w:rPr>
        <w:t xml:space="preserve">lectricity consumption sources </w:t>
      </w:r>
      <w:r w:rsidRPr="46A383F8" w:rsidDel="00BD750C">
        <w:rPr>
          <w:lang w:val="en-US"/>
        </w:rPr>
        <w:t xml:space="preserve">depending </w:t>
      </w:r>
      <w:r w:rsidRPr="46A383F8">
        <w:rPr>
          <w:lang w:val="en-US"/>
        </w:rPr>
        <w:t>on intermittent generation</w:t>
      </w:r>
      <w:r w:rsidRPr="46A383F8">
        <w:rPr>
          <w:rFonts w:eastAsia="Arial"/>
          <w:color w:val="000000" w:themeColor="text1"/>
          <w:lang w:val="en-US"/>
        </w:rPr>
        <w:t xml:space="preserve">, regardless of whether the plants are </w:t>
      </w:r>
      <w:r>
        <w:rPr>
          <w:rFonts w:eastAsia="Arial"/>
          <w:color w:val="000000" w:themeColor="text1"/>
          <w:lang w:val="en-US"/>
        </w:rPr>
        <w:t>operated with an integrated BESS.</w:t>
      </w:r>
      <w:r w:rsidRPr="46A383F8">
        <w:rPr>
          <w:rFonts w:eastAsia="Arial"/>
          <w:color w:val="000000" w:themeColor="text1"/>
          <w:lang w:val="en-US"/>
        </w:rPr>
        <w:t xml:space="preserve"> For geothermal power and hydropower plants, the electricity consumption shall be considered as e</w:t>
      </w:r>
      <w:r w:rsidRPr="46A383F8">
        <w:rPr>
          <w:lang w:val="en-US"/>
        </w:rPr>
        <w:t>lectricity consumption sources not depend</w:t>
      </w:r>
      <w:r w:rsidRPr="46A383F8" w:rsidDel="00BD750C">
        <w:rPr>
          <w:lang w:val="en-US"/>
        </w:rPr>
        <w:t>ing</w:t>
      </w:r>
      <w:r w:rsidRPr="46A383F8">
        <w:rPr>
          <w:lang w:val="en-US"/>
        </w:rPr>
        <w:t xml:space="preserve"> on intermittent generation</w:t>
      </w:r>
      <w:r>
        <w:rPr>
          <w:lang w:val="en-US"/>
        </w:rPr>
        <w:t>;</w:t>
      </w:r>
      <w:r>
        <w:rPr>
          <w:rStyle w:val="FootnoteReference"/>
          <w:rFonts w:eastAsia="Arial"/>
          <w:color w:val="000000" w:themeColor="text1"/>
          <w:lang w:val="en-US"/>
        </w:rPr>
        <w:footnoteReference w:id="37"/>
      </w:r>
    </w:p>
    <w:p w14:paraId="1C1B55A0" w14:textId="1972F77F" w:rsidR="0071686E" w:rsidRPr="006D04E9" w:rsidRDefault="006D04E9" w:rsidP="00EC38B6">
      <w:pPr>
        <w:pStyle w:val="SDMSubPara1"/>
      </w:pPr>
      <w:r w:rsidRPr="55B9EAFC">
        <w:rPr>
          <w:rFonts w:eastAsia="Arial"/>
          <w:b/>
          <w:bCs/>
          <w:color w:val="000000" w:themeColor="text1"/>
          <w:lang w:val="en-US"/>
        </w:rPr>
        <w:t>Applicable scenarios:</w:t>
      </w:r>
      <w:r w:rsidRPr="55B9EAFC">
        <w:rPr>
          <w:rFonts w:eastAsia="Arial"/>
          <w:color w:val="000000" w:themeColor="text1"/>
          <w:lang w:val="en-US"/>
        </w:rPr>
        <w:t xml:space="preserve"> scenario A in step 2 of the methodological tool A6.4-AMT-007 shall apply;</w:t>
      </w:r>
    </w:p>
    <w:p w14:paraId="2498F0CC" w14:textId="6E5474D9" w:rsidR="006D04E9" w:rsidRPr="00DC7E52" w:rsidRDefault="00DC7E52" w:rsidP="00EC38B6">
      <w:pPr>
        <w:pStyle w:val="SDMSubPara1"/>
      </w:pPr>
      <w:r w:rsidRPr="55B9EAFC">
        <w:rPr>
          <w:rFonts w:eastAsia="Arial"/>
          <w:b/>
          <w:bCs/>
          <w:color w:val="000000" w:themeColor="text1"/>
          <w:lang w:val="en-US"/>
        </w:rPr>
        <w:t xml:space="preserve">Whether </w:t>
      </w:r>
      <w:r w:rsidRPr="06B2C02A">
        <w:rPr>
          <w:rFonts w:eastAsia="Arial"/>
          <w:b/>
          <w:bCs/>
          <w:color w:val="000000" w:themeColor="text1"/>
          <w:lang w:val="en-US"/>
        </w:rPr>
        <w:t>case</w:t>
      </w:r>
      <w:r w:rsidRPr="55B9EAFC">
        <w:rPr>
          <w:rFonts w:eastAsia="Arial"/>
          <w:b/>
          <w:bCs/>
          <w:color w:val="000000" w:themeColor="text1"/>
          <w:lang w:val="en-US"/>
        </w:rPr>
        <w:t xml:space="preserve"> 1 or </w:t>
      </w:r>
      <w:r w:rsidRPr="06B2C02A">
        <w:rPr>
          <w:rFonts w:eastAsia="Arial"/>
          <w:b/>
          <w:bCs/>
          <w:color w:val="000000" w:themeColor="text1"/>
          <w:lang w:val="en-US"/>
        </w:rPr>
        <w:t>case</w:t>
      </w:r>
      <w:r w:rsidRPr="55B9EAFC">
        <w:rPr>
          <w:rFonts w:eastAsia="Arial"/>
          <w:b/>
          <w:bCs/>
          <w:color w:val="000000" w:themeColor="text1"/>
          <w:lang w:val="en-US"/>
        </w:rPr>
        <w:t> 2 applies:</w:t>
      </w:r>
      <w:r w:rsidRPr="55B9EAFC">
        <w:rPr>
          <w:rFonts w:eastAsia="Arial"/>
          <w:color w:val="000000" w:themeColor="text1"/>
          <w:lang w:val="en-US"/>
        </w:rPr>
        <w:t xml:space="preserve"> case 1 in step 4 of the methodological tool A6.4-AMT-007 shall apply; and</w:t>
      </w:r>
    </w:p>
    <w:p w14:paraId="1612EFAF" w14:textId="65590E84" w:rsidR="00DC7E52" w:rsidRDefault="000E072B" w:rsidP="00EC38B6">
      <w:pPr>
        <w:pStyle w:val="SDMSubPara1"/>
      </w:pPr>
      <w:r w:rsidRPr="55B9EAFC">
        <w:rPr>
          <w:b/>
          <w:bCs/>
          <w:lang w:val="en-US"/>
        </w:rPr>
        <w:t>Consideration of uncertainty:</w:t>
      </w:r>
      <w:r w:rsidRPr="55B9EAFC">
        <w:rPr>
          <w:lang w:val="en-US"/>
        </w:rPr>
        <w:t xml:space="preserve"> the upper bound of the uncertainty interval of the emission factor shall be used, determined in accordance with the provisions in the methodological tool. Uncertainty in the quantity of electricity consumed does not need to be accounted for.</w:t>
      </w:r>
    </w:p>
    <w:p w14:paraId="79CE0EF8" w14:textId="77543B61" w:rsidR="00D629BB" w:rsidRPr="00245526" w:rsidRDefault="00245526" w:rsidP="00963BA6">
      <w:pPr>
        <w:pStyle w:val="SDMPara"/>
      </w:pPr>
      <w:r w:rsidRPr="55B9EAFC">
        <w:rPr>
          <w:rFonts w:eastAsia="Arial"/>
          <w:lang w:val="en-US"/>
        </w:rPr>
        <w:t>The</w:t>
      </w:r>
      <w:r w:rsidRPr="55B9EAFC" w:rsidDel="004028AD">
        <w:rPr>
          <w:rFonts w:eastAsia="Arial"/>
          <w:lang w:val="en-US"/>
        </w:rPr>
        <w:t xml:space="preserve"> </w:t>
      </w:r>
      <w:r>
        <w:rPr>
          <w:rFonts w:eastAsia="Arial"/>
          <w:lang w:val="en-US"/>
        </w:rPr>
        <w:t>activity</w:t>
      </w:r>
      <w:r w:rsidRPr="55B9EAFC">
        <w:rPr>
          <w:rFonts w:eastAsia="Arial"/>
          <w:lang w:val="en-US"/>
        </w:rPr>
        <w:t xml:space="preserve"> emissions from electricity consumption in year </w:t>
      </w:r>
      <w:r w:rsidRPr="55B9EAFC">
        <w:rPr>
          <w:rFonts w:eastAsia="Arial"/>
          <w:i/>
          <w:iCs/>
          <w:lang w:val="en-US"/>
        </w:rPr>
        <w:t>y</w:t>
      </w:r>
      <w:r w:rsidRPr="55B9EAFC">
        <w:rPr>
          <w:rFonts w:eastAsia="Arial"/>
          <w:lang w:val="en-US"/>
        </w:rPr>
        <w:t xml:space="preserve"> (</w:t>
      </w:r>
      <w:r>
        <w:rPr>
          <w:rFonts w:eastAsia="Arial"/>
          <w:i/>
          <w:iCs/>
          <w:lang w:val="en-US"/>
        </w:rPr>
        <w:t>A</w:t>
      </w:r>
      <w:r w:rsidRPr="55B9EAFC">
        <w:rPr>
          <w:rFonts w:eastAsia="Arial"/>
          <w:i/>
          <w:iCs/>
          <w:lang w:val="en-US"/>
        </w:rPr>
        <w:t>E</w:t>
      </w:r>
      <w:r w:rsidRPr="55B9EAFC">
        <w:rPr>
          <w:rFonts w:eastAsia="Arial"/>
          <w:i/>
          <w:iCs/>
          <w:vertAlign w:val="subscript"/>
          <w:lang w:val="en-US"/>
        </w:rPr>
        <w:t>EC,y</w:t>
      </w:r>
      <w:r w:rsidRPr="55B9EAFC">
        <w:rPr>
          <w:rFonts w:eastAsia="Arial"/>
          <w:lang w:val="en-US"/>
        </w:rPr>
        <w:t xml:space="preserve">) shall be calculated in accordance with step 10 of the methodological tool </w:t>
      </w:r>
      <w:r w:rsidRPr="55B9EAFC">
        <w:rPr>
          <w:rFonts w:eastAsia="Arial"/>
          <w:color w:val="000000" w:themeColor="text1"/>
          <w:lang w:val="en-US"/>
        </w:rPr>
        <w:t>A6.4-AMT-007</w:t>
      </w:r>
      <w:r w:rsidRPr="55B9EAFC">
        <w:rPr>
          <w:rFonts w:eastAsia="Arial"/>
          <w:lang w:val="en-US"/>
        </w:rPr>
        <w:t>.</w:t>
      </w:r>
    </w:p>
    <w:p w14:paraId="6BC8806B" w14:textId="1397789C" w:rsidR="00245526" w:rsidRPr="007F7D23" w:rsidRDefault="006E5495" w:rsidP="007F7D23">
      <w:pPr>
        <w:pStyle w:val="SDMPara"/>
      </w:pPr>
      <w:r w:rsidRPr="007F7D23">
        <w:rPr>
          <w:lang w:val="en-US"/>
        </w:rPr>
        <w:lastRenderedPageBreak/>
        <w:t>In case the electricity consumption is netted from the total electricity generation in accordance with step 4 of the methodological tool A6.4-AMT-007, it shall not be included in activity emissions.</w:t>
      </w:r>
    </w:p>
    <w:p w14:paraId="21BB2BCE" w14:textId="6FB34724" w:rsidR="00D629BB" w:rsidRDefault="004865AD" w:rsidP="00E91A4D">
      <w:pPr>
        <w:pStyle w:val="SDMHead2"/>
        <w:keepNext w:val="0"/>
        <w:keepLines w:val="0"/>
      </w:pPr>
      <w:bookmarkStart w:id="302" w:name="_Toc224306085"/>
      <w:bookmarkStart w:id="303" w:name="_Toc224660849"/>
      <w:bookmarkStart w:id="304" w:name="_Toc224660884"/>
      <w:bookmarkStart w:id="305" w:name="_Toc224661376"/>
      <w:bookmarkStart w:id="306" w:name="_Toc232451495"/>
      <w:bookmarkStart w:id="307" w:name="_Toc233281823"/>
      <w:bookmarkStart w:id="308" w:name="_Toc233881735"/>
      <w:bookmarkStart w:id="309" w:name="_Toc233882101"/>
      <w:bookmarkStart w:id="310" w:name="_Toc233884228"/>
      <w:bookmarkStart w:id="311" w:name="_Toc233902837"/>
      <w:bookmarkStart w:id="312" w:name="_Toc233902874"/>
      <w:bookmarkStart w:id="313" w:name="_Toc236391905"/>
      <w:bookmarkStart w:id="314" w:name="_Toc236394047"/>
      <w:r>
        <w:rPr>
          <w:rFonts w:eastAsiaTheme="minorEastAsia"/>
        </w:rPr>
        <w:t>Activity</w:t>
      </w:r>
      <w:r w:rsidRPr="37BFE766">
        <w:rPr>
          <w:rFonts w:eastAsiaTheme="minorEastAsia"/>
        </w:rPr>
        <w:t xml:space="preserve"> </w:t>
      </w:r>
      <w:r w:rsidRPr="032D336B">
        <w:rPr>
          <w:rFonts w:eastAsiaTheme="minorEastAsia"/>
        </w:rPr>
        <w:t>emissions</w:t>
      </w:r>
      <w:r w:rsidRPr="37BFE766">
        <w:rPr>
          <w:rFonts w:eastAsiaTheme="minorEastAsia"/>
        </w:rPr>
        <w:t xml:space="preserve"> from the operation of geothermal power plants (</w:t>
      </w:r>
      <w:r>
        <w:rPr>
          <w:rFonts w:eastAsiaTheme="minorEastAsia"/>
          <w:i/>
          <w:iCs/>
        </w:rPr>
        <w:t>A</w:t>
      </w:r>
      <w:r w:rsidRPr="37BFE766">
        <w:rPr>
          <w:rFonts w:eastAsiaTheme="minorEastAsia"/>
          <w:i/>
          <w:iCs/>
        </w:rPr>
        <w:t>E</w:t>
      </w:r>
      <w:r w:rsidRPr="37BFE766">
        <w:rPr>
          <w:rFonts w:eastAsiaTheme="minorEastAsia"/>
          <w:i/>
          <w:iCs/>
          <w:vertAlign w:val="subscript"/>
        </w:rPr>
        <w:t>GP,y</w:t>
      </w:r>
      <w:r w:rsidRPr="37BFE766">
        <w:rPr>
          <w:rFonts w:eastAsiaTheme="minorEastAsia"/>
        </w:rPr>
        <w:t>)</w:t>
      </w:r>
      <w:bookmarkEnd w:id="302"/>
      <w:bookmarkEnd w:id="303"/>
      <w:bookmarkEnd w:id="304"/>
      <w:bookmarkEnd w:id="305"/>
      <w:bookmarkEnd w:id="306"/>
      <w:bookmarkEnd w:id="307"/>
      <w:bookmarkEnd w:id="308"/>
      <w:bookmarkEnd w:id="309"/>
      <w:bookmarkEnd w:id="310"/>
      <w:bookmarkEnd w:id="311"/>
      <w:bookmarkEnd w:id="312"/>
      <w:bookmarkEnd w:id="313"/>
      <w:bookmarkEnd w:id="314"/>
    </w:p>
    <w:p w14:paraId="66BF658A" w14:textId="053944A1" w:rsidR="006E5495" w:rsidRPr="00375F80" w:rsidRDefault="00375F80" w:rsidP="00EC00DE">
      <w:pPr>
        <w:pStyle w:val="SDMPara"/>
        <w:keepNext/>
      </w:pPr>
      <w:r w:rsidRPr="00345674">
        <w:rPr>
          <w:rFonts w:eastAsiaTheme="minorEastAsia"/>
          <w:lang w:val="en-US"/>
        </w:rPr>
        <w:t>Activity</w:t>
      </w:r>
      <w:r>
        <w:rPr>
          <w:rFonts w:eastAsiaTheme="minorEastAsia"/>
        </w:rPr>
        <w:t xml:space="preserve"> emissions from the operation of geothermal power plants in year </w:t>
      </w:r>
      <w:r w:rsidRPr="003D56C5">
        <w:rPr>
          <w:rFonts w:eastAsiaTheme="minorEastAsia"/>
          <w:i/>
          <w:iCs/>
        </w:rPr>
        <w:t>y</w:t>
      </w:r>
      <w:r>
        <w:rPr>
          <w:rFonts w:eastAsiaTheme="minorEastAsia"/>
        </w:rPr>
        <w:t xml:space="preserve"> (</w:t>
      </w:r>
      <w:r>
        <w:rPr>
          <w:rFonts w:eastAsiaTheme="minorEastAsia"/>
          <w:i/>
          <w:iCs/>
        </w:rPr>
        <w:t>A</w:t>
      </w:r>
      <w:r w:rsidRPr="2785112B">
        <w:rPr>
          <w:rFonts w:eastAsiaTheme="minorEastAsia"/>
          <w:i/>
          <w:iCs/>
        </w:rPr>
        <w:t>E</w:t>
      </w:r>
      <w:r w:rsidRPr="2785112B">
        <w:rPr>
          <w:rFonts w:eastAsiaTheme="minorEastAsia"/>
          <w:i/>
          <w:iCs/>
          <w:vertAlign w:val="subscript"/>
        </w:rPr>
        <w:t>GP,y</w:t>
      </w:r>
      <w:r>
        <w:rPr>
          <w:rFonts w:eastAsiaTheme="minorEastAsia"/>
        </w:rPr>
        <w:t>) shall include the following emission sources:</w:t>
      </w:r>
    </w:p>
    <w:p w14:paraId="28176974" w14:textId="7D59FF4D" w:rsidR="00375F80" w:rsidRPr="00993348" w:rsidRDefault="00993348" w:rsidP="00375F80">
      <w:pPr>
        <w:pStyle w:val="SDMSubPara1"/>
      </w:pPr>
      <w:r w:rsidRPr="55B9EAFC">
        <w:rPr>
          <w:rFonts w:eastAsiaTheme="minorEastAsia"/>
        </w:rPr>
        <w:t>For dry or flash steam geothermal power plants, activity participants shall account for emissions of CO</w:t>
      </w:r>
      <w:r w:rsidRPr="55B9EAFC">
        <w:rPr>
          <w:rFonts w:eastAsiaTheme="minorEastAsia"/>
          <w:vertAlign w:val="subscript"/>
        </w:rPr>
        <w:t>2</w:t>
      </w:r>
      <w:r w:rsidRPr="55B9EAFC">
        <w:rPr>
          <w:rFonts w:eastAsiaTheme="minorEastAsia"/>
        </w:rPr>
        <w:t xml:space="preserve"> and CH</w:t>
      </w:r>
      <w:r w:rsidRPr="55B9EAFC">
        <w:rPr>
          <w:rFonts w:eastAsiaTheme="minorEastAsia"/>
          <w:vertAlign w:val="subscript"/>
        </w:rPr>
        <w:t>4</w:t>
      </w:r>
      <w:r w:rsidRPr="55B9EAFC">
        <w:rPr>
          <w:rFonts w:eastAsiaTheme="minorEastAsia"/>
        </w:rPr>
        <w:t xml:space="preserve"> due to the release of non-condensable gases from produced steam (</w:t>
      </w:r>
      <w:r>
        <w:rPr>
          <w:rFonts w:eastAsiaTheme="minorEastAsia"/>
          <w:i/>
          <w:iCs/>
        </w:rPr>
        <w:t>A</w:t>
      </w:r>
      <w:r w:rsidRPr="55B9EAFC">
        <w:rPr>
          <w:rFonts w:eastAsiaTheme="minorEastAsia"/>
          <w:i/>
          <w:iCs/>
        </w:rPr>
        <w:t>E</w:t>
      </w:r>
      <w:r w:rsidRPr="55B9EAFC">
        <w:rPr>
          <w:rFonts w:eastAsiaTheme="minorEastAsia"/>
          <w:i/>
          <w:iCs/>
          <w:vertAlign w:val="subscript"/>
        </w:rPr>
        <w:t>dry or flash steam,y</w:t>
      </w:r>
      <w:r w:rsidRPr="55B9EAFC">
        <w:rPr>
          <w:rFonts w:eastAsiaTheme="minorEastAsia"/>
        </w:rPr>
        <w:t>). Non-condensable gases in geothermal reservoirs usually consist mainly of CO</w:t>
      </w:r>
      <w:r w:rsidRPr="55B9EAFC">
        <w:rPr>
          <w:rFonts w:eastAsiaTheme="minorEastAsia"/>
          <w:vertAlign w:val="subscript"/>
        </w:rPr>
        <w:t>2</w:t>
      </w:r>
      <w:r w:rsidRPr="55B9EAFC">
        <w:rPr>
          <w:rFonts w:eastAsiaTheme="minorEastAsia"/>
        </w:rPr>
        <w:t xml:space="preserve"> and H</w:t>
      </w:r>
      <w:r w:rsidRPr="55B9EAFC">
        <w:rPr>
          <w:rFonts w:eastAsiaTheme="minorEastAsia"/>
          <w:vertAlign w:val="subscript"/>
        </w:rPr>
        <w:t>2</w:t>
      </w:r>
      <w:r w:rsidRPr="55B9EAFC">
        <w:rPr>
          <w:rFonts w:eastAsiaTheme="minorEastAsia"/>
        </w:rPr>
        <w:t xml:space="preserve">S. They also contain a small quantity of hydrocarbons, </w:t>
      </w:r>
      <w:r w:rsidRPr="55B9EAFC">
        <w:rPr>
          <w:rFonts w:eastAsia="MS Mincho"/>
          <w:lang w:eastAsia="ja-JP"/>
        </w:rPr>
        <w:t>which are</w:t>
      </w:r>
      <w:r w:rsidRPr="55B9EAFC">
        <w:rPr>
          <w:rFonts w:eastAsiaTheme="minorEastAsia"/>
        </w:rPr>
        <w:t xml:space="preserve"> predominantly CH</w:t>
      </w:r>
      <w:r w:rsidRPr="55B9EAFC">
        <w:rPr>
          <w:rFonts w:eastAsiaTheme="minorEastAsia"/>
          <w:vertAlign w:val="subscript"/>
        </w:rPr>
        <w:t>4</w:t>
      </w:r>
      <w:r w:rsidRPr="55B9EAFC">
        <w:rPr>
          <w:rFonts w:eastAsiaTheme="minorEastAsia"/>
        </w:rPr>
        <w:t xml:space="preserve">. In dry or flash steam geothermal power projects, non-condensable gases flow with the steam into the power plant and </w:t>
      </w:r>
      <w:r w:rsidRPr="55B9EAFC">
        <w:rPr>
          <w:lang w:val="en-US"/>
        </w:rPr>
        <w:t>come in touch with the atmosphere through the heat exchange process. In such a process, non-condensable and other gases within the geothermal fluid are partially released to the atmosphere.</w:t>
      </w:r>
      <w:r w:rsidRPr="55B9EAFC">
        <w:rPr>
          <w:rFonts w:eastAsiaTheme="minorEastAsia"/>
          <w:lang w:val="en-US"/>
        </w:rPr>
        <w:t xml:space="preserve"> </w:t>
      </w:r>
      <w:r w:rsidRPr="55B9EAFC">
        <w:rPr>
          <w:rFonts w:eastAsiaTheme="minorEastAsia"/>
        </w:rPr>
        <w:t>A small proportion of the CO</w:t>
      </w:r>
      <w:r w:rsidRPr="55B9EAFC">
        <w:rPr>
          <w:rFonts w:eastAsiaTheme="minorEastAsia"/>
          <w:vertAlign w:val="subscript"/>
        </w:rPr>
        <w:t>2</w:t>
      </w:r>
      <w:r w:rsidRPr="55B9EAFC">
        <w:rPr>
          <w:rFonts w:eastAsiaTheme="minorEastAsia"/>
        </w:rPr>
        <w:t xml:space="preserve"> is converted into carbonate/bicarbonate in the cooling water circuit. In addition, parts of the non-condensable gases are re-injected into the geothermal reservoir. However, as a conservative approach, this mechanism methodology assumes that all non-condensable gases entering the power plant in dry or flash steam geothermal technologies are discharged to the atmosphere via the cooling tower. Fugitive CO</w:t>
      </w:r>
      <w:r w:rsidRPr="55B9EAFC">
        <w:rPr>
          <w:rFonts w:eastAsiaTheme="minorEastAsia"/>
          <w:vertAlign w:val="subscript"/>
        </w:rPr>
        <w:t>2</w:t>
      </w:r>
      <w:r w:rsidRPr="55B9EAFC">
        <w:rPr>
          <w:rFonts w:eastAsiaTheme="minorEastAsia"/>
        </w:rPr>
        <w:t xml:space="preserve"> and CH</w:t>
      </w:r>
      <w:r w:rsidRPr="55B9EAFC">
        <w:rPr>
          <w:rFonts w:eastAsiaTheme="minorEastAsia"/>
          <w:vertAlign w:val="subscript"/>
        </w:rPr>
        <w:t>4</w:t>
      </w:r>
      <w:r w:rsidRPr="55B9EAFC">
        <w:rPr>
          <w:rFonts w:eastAsiaTheme="minorEastAsia"/>
        </w:rPr>
        <w:t xml:space="preserve"> emissions due to well testing and well bleeding are not considered, as they are considered negligible (see appendix 1)</w:t>
      </w:r>
      <w:r>
        <w:rPr>
          <w:rFonts w:eastAsiaTheme="minorEastAsia"/>
        </w:rPr>
        <w:t>;</w:t>
      </w:r>
    </w:p>
    <w:p w14:paraId="371235C0" w14:textId="12396D2C" w:rsidR="00993348" w:rsidRDefault="00EC4263" w:rsidP="00375F80">
      <w:pPr>
        <w:pStyle w:val="SDMSubPara1"/>
      </w:pPr>
      <w:r>
        <w:rPr>
          <w:rFonts w:eastAsiaTheme="minorEastAsia"/>
        </w:rPr>
        <w:t xml:space="preserve">For binary geothermal power plants, </w:t>
      </w:r>
      <w:r w:rsidRPr="00B212BC">
        <w:rPr>
          <w:rFonts w:eastAsiaTheme="minorEastAsia"/>
        </w:rPr>
        <w:t xml:space="preserve">the underground fluid is re-injected back </w:t>
      </w:r>
      <w:r w:rsidRPr="0DEA7BBC">
        <w:rPr>
          <w:rFonts w:eastAsiaTheme="minorEastAsia"/>
        </w:rPr>
        <w:t>into</w:t>
      </w:r>
      <w:r w:rsidRPr="00B212BC">
        <w:rPr>
          <w:rFonts w:eastAsiaTheme="minorEastAsia"/>
        </w:rPr>
        <w:t xml:space="preserve"> the heat source without any exposure to the atmosphere. In this case, non-condensable and other gases within the geothermal fluid are kept within the outgoing geothermal fluid and sent back into the heat source. However, there may be some physical leakage from closed cycle pipes and wells.</w:t>
      </w:r>
      <w:r>
        <w:rPr>
          <w:rFonts w:eastAsiaTheme="minorEastAsia"/>
        </w:rPr>
        <w:t xml:space="preserve"> Therefore, activity participants shall account for emissions </w:t>
      </w:r>
      <w:r w:rsidRPr="00466209">
        <w:rPr>
          <w:rFonts w:eastAsiaTheme="minorEastAsia"/>
        </w:rPr>
        <w:t>from physical leakage of non-condensable gases</w:t>
      </w:r>
      <w:r>
        <w:rPr>
          <w:rFonts w:eastAsiaTheme="minorEastAsia"/>
        </w:rPr>
        <w:t xml:space="preserve"> </w:t>
      </w:r>
      <w:r>
        <w:t>(</w:t>
      </w:r>
      <w:r>
        <w:rPr>
          <w:i/>
          <w:iCs/>
        </w:rPr>
        <w:t>A</w:t>
      </w:r>
      <w:r w:rsidRPr="008777F6">
        <w:rPr>
          <w:i/>
          <w:iCs/>
        </w:rPr>
        <w:t>E</w:t>
      </w:r>
      <w:r w:rsidRPr="008777F6">
        <w:rPr>
          <w:i/>
          <w:iCs/>
          <w:vertAlign w:val="subscript"/>
        </w:rPr>
        <w:t>steam,y</w:t>
      </w:r>
      <w:r>
        <w:t xml:space="preserve">). In addition, activity participants shall account for </w:t>
      </w:r>
      <w:r w:rsidRPr="00466209">
        <w:rPr>
          <w:rFonts w:eastAsiaTheme="minorEastAsia"/>
        </w:rPr>
        <w:t xml:space="preserve">emissions from physical leakage of </w:t>
      </w:r>
      <w:r>
        <w:rPr>
          <w:rFonts w:eastAsiaTheme="minorEastAsia"/>
        </w:rPr>
        <w:t xml:space="preserve">the </w:t>
      </w:r>
      <w:r w:rsidRPr="00466209">
        <w:rPr>
          <w:rFonts w:eastAsiaTheme="minorEastAsia"/>
        </w:rPr>
        <w:t>working fluid contained in heat exchangers</w:t>
      </w:r>
      <w:r>
        <w:rPr>
          <w:rFonts w:eastAsiaTheme="minorEastAsia"/>
        </w:rPr>
        <w:t xml:space="preserve"> </w:t>
      </w:r>
      <w:r>
        <w:t>(</w:t>
      </w:r>
      <w:r>
        <w:rPr>
          <w:i/>
          <w:iCs/>
        </w:rPr>
        <w:t>A</w:t>
      </w:r>
      <w:r w:rsidRPr="008777F6">
        <w:rPr>
          <w:i/>
          <w:iCs/>
        </w:rPr>
        <w:t>E</w:t>
      </w:r>
      <w:r>
        <w:rPr>
          <w:i/>
          <w:iCs/>
          <w:vertAlign w:val="subscript"/>
        </w:rPr>
        <w:t>working fluid</w:t>
      </w:r>
      <w:r w:rsidRPr="008777F6">
        <w:rPr>
          <w:i/>
          <w:iCs/>
          <w:vertAlign w:val="subscript"/>
        </w:rPr>
        <w:t>,y</w:t>
      </w:r>
      <w:r>
        <w:t>).</w:t>
      </w:r>
    </w:p>
    <w:p w14:paraId="49D9253C" w14:textId="7B4FA5CD" w:rsidR="006E5495" w:rsidRPr="007F5F62" w:rsidRDefault="007F5F62" w:rsidP="00EC00DE">
      <w:pPr>
        <w:pStyle w:val="SDMPara"/>
        <w:keepNext/>
      </w:pPr>
      <w:r w:rsidRPr="00345674">
        <w:rPr>
          <w:rFonts w:eastAsiaTheme="minorEastAsia"/>
          <w:lang w:val="en-US"/>
        </w:rPr>
        <w:t>Accordingly</w:t>
      </w:r>
      <w:r w:rsidRPr="006E26B4">
        <w:rPr>
          <w:rFonts w:eastAsiaTheme="minorEastAsia"/>
        </w:rPr>
        <w:t xml:space="preserve">, </w:t>
      </w:r>
      <w:r>
        <w:rPr>
          <w:rFonts w:eastAsiaTheme="minorEastAsia"/>
          <w:i/>
          <w:iCs/>
        </w:rPr>
        <w:t>A</w:t>
      </w:r>
      <w:r w:rsidRPr="2785112B">
        <w:rPr>
          <w:rFonts w:eastAsiaTheme="minorEastAsia"/>
          <w:i/>
          <w:iCs/>
        </w:rPr>
        <w:t>E</w:t>
      </w:r>
      <w:r w:rsidRPr="2785112B">
        <w:rPr>
          <w:rFonts w:eastAsiaTheme="minorEastAsia"/>
          <w:i/>
          <w:iCs/>
          <w:vertAlign w:val="subscript"/>
        </w:rPr>
        <w:t>GP,y</w:t>
      </w:r>
      <w:r w:rsidRPr="00D4370C">
        <w:rPr>
          <w:rFonts w:eastAsiaTheme="minorEastAsia"/>
        </w:rPr>
        <w:t xml:space="preserve"> </w:t>
      </w:r>
      <w:r>
        <w:rPr>
          <w:rFonts w:eastAsiaTheme="minorEastAsia"/>
        </w:rPr>
        <w:t>shall be</w:t>
      </w:r>
      <w:r w:rsidRPr="00D4370C">
        <w:rPr>
          <w:rFonts w:eastAsiaTheme="minorEastAsia"/>
        </w:rPr>
        <w:t xml:space="preserve"> calculated as follows:</w:t>
      </w:r>
    </w:p>
    <w:p w14:paraId="307AAFEA" w14:textId="3FB7F3DE" w:rsidR="007F5F62" w:rsidRPr="007F5F62" w:rsidRDefault="003C4FDF" w:rsidP="00EC00DE">
      <w:pPr>
        <w:pStyle w:val="SDMSubPara1"/>
        <w:keepNext/>
      </w:pPr>
      <w:r>
        <w:rPr>
          <w:rFonts w:eastAsiaTheme="minorEastAsia"/>
        </w:rPr>
        <w:t xml:space="preserve">For </w:t>
      </w:r>
      <w:r w:rsidRPr="005B3827">
        <w:rPr>
          <w:rFonts w:eastAsiaTheme="minorEastAsia"/>
        </w:rPr>
        <w:t>dry or flash steam</w:t>
      </w:r>
      <w:r w:rsidRPr="005B3827" w:rsidDel="00476B02">
        <w:rPr>
          <w:rFonts w:eastAsiaTheme="minorEastAsia"/>
        </w:rPr>
        <w:t xml:space="preserve"> </w:t>
      </w:r>
      <w:r w:rsidRPr="005B3827">
        <w:rPr>
          <w:rFonts w:eastAsiaTheme="minorEastAsia"/>
        </w:rPr>
        <w:t>geothermal power plants</w:t>
      </w:r>
      <w:r>
        <w:rPr>
          <w:rFonts w:eastAsiaTheme="minorEastAsia"/>
        </w:rPr>
        <w:t>:</w:t>
      </w:r>
    </w:p>
    <w:tbl>
      <w:tblPr>
        <w:tblStyle w:val="SDMMethTableEquation"/>
        <w:tblW w:w="8760" w:type="dxa"/>
        <w:tblLook w:val="0600" w:firstRow="0" w:lastRow="0" w:firstColumn="0" w:lastColumn="0" w:noHBand="1" w:noVBand="1"/>
      </w:tblPr>
      <w:tblGrid>
        <w:gridCol w:w="7098"/>
        <w:gridCol w:w="1662"/>
      </w:tblGrid>
      <w:tr w:rsidR="007F5F62" w:rsidRPr="00E32F75" w14:paraId="571E28D4" w14:textId="77777777" w:rsidTr="00690A70">
        <w:tc>
          <w:tcPr>
            <w:tcW w:w="7224" w:type="dxa"/>
          </w:tcPr>
          <w:p w14:paraId="322C9E23" w14:textId="4BF33E9B" w:rsidR="007F5F62" w:rsidRPr="00252AA4" w:rsidRDefault="0039641B" w:rsidP="00690A70">
            <w:pPr>
              <w:pStyle w:val="SDMMethEquation"/>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GP</m:t>
                    </m:r>
                    <m:r>
                      <m:rPr>
                        <m:sty m:val="p"/>
                      </m:rPr>
                      <w:rPr>
                        <w:rFonts w:ascii="Cambria Math" w:eastAsiaTheme="minorEastAsia" w:hAnsi="Cambria Math"/>
                      </w:rPr>
                      <m:t>,</m:t>
                    </m:r>
                    <m:r>
                      <w:rPr>
                        <w:rFonts w:ascii="Cambria Math" w:eastAsiaTheme="minorEastAsia" w:hAnsi="Cambria Math"/>
                      </w:rPr>
                      <m:t>y</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 xml:space="preserve"> dry or flash steam</m:t>
                    </m:r>
                    <m:r>
                      <m:rPr>
                        <m:sty m:val="p"/>
                      </m:rPr>
                      <w:rPr>
                        <w:rFonts w:ascii="Cambria Math" w:eastAsiaTheme="minorEastAsia" w:hAnsi="Cambria Math"/>
                      </w:rPr>
                      <m:t xml:space="preserve">, </m:t>
                    </m:r>
                    <m:r>
                      <w:rPr>
                        <w:rFonts w:ascii="Cambria Math" w:eastAsiaTheme="minorEastAsia" w:hAnsi="Cambria Math"/>
                      </w:rPr>
                      <m:t>y</m:t>
                    </m:r>
                  </m:sub>
                </m:sSub>
              </m:oMath>
            </m:oMathPara>
          </w:p>
        </w:tc>
        <w:tc>
          <w:tcPr>
            <w:tcW w:w="1701" w:type="dxa"/>
          </w:tcPr>
          <w:p w14:paraId="74BB7902" w14:textId="77777777" w:rsidR="007F5F62" w:rsidRPr="002B6960" w:rsidRDefault="007F5F62" w:rsidP="007255A3">
            <w:pPr>
              <w:pStyle w:val="SDMMethEquationNr"/>
              <w:numPr>
                <w:ilvl w:val="0"/>
                <w:numId w:val="21"/>
              </w:numPr>
            </w:pPr>
          </w:p>
        </w:tc>
      </w:tr>
    </w:tbl>
    <w:p w14:paraId="3B112475" w14:textId="77777777" w:rsidR="007F5F62" w:rsidRDefault="007F5F62"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932"/>
        <w:gridCol w:w="345"/>
        <w:gridCol w:w="6483"/>
      </w:tblGrid>
      <w:tr w:rsidR="007F5F62" w14:paraId="3CBC38AF" w14:textId="77777777" w:rsidTr="008E3BD0">
        <w:tc>
          <w:tcPr>
            <w:tcW w:w="1932" w:type="dxa"/>
            <w:vAlign w:val="top"/>
          </w:tcPr>
          <w:p w14:paraId="1BB0755F" w14:textId="7762F615" w:rsidR="007F5F62" w:rsidRPr="00C47AF6" w:rsidRDefault="0039641B" w:rsidP="008E3BD0">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GP</m:t>
                    </m:r>
                    <m:r>
                      <m:rPr>
                        <m:sty m:val="p"/>
                      </m:rPr>
                      <w:rPr>
                        <w:rFonts w:ascii="Cambria Math" w:eastAsiaTheme="minorEastAsia" w:hAnsi="Cambria Math"/>
                      </w:rPr>
                      <m:t>,</m:t>
                    </m:r>
                    <m:r>
                      <w:rPr>
                        <w:rFonts w:ascii="Cambria Math" w:eastAsiaTheme="minorEastAsia" w:hAnsi="Cambria Math"/>
                      </w:rPr>
                      <m:t>y</m:t>
                    </m:r>
                  </m:sub>
                </m:sSub>
              </m:oMath>
            </m:oMathPara>
          </w:p>
        </w:tc>
        <w:tc>
          <w:tcPr>
            <w:tcW w:w="345" w:type="dxa"/>
            <w:vAlign w:val="top"/>
          </w:tcPr>
          <w:p w14:paraId="5B938152" w14:textId="77777777" w:rsidR="007F5F62" w:rsidRDefault="007F5F62" w:rsidP="008E3BD0">
            <w:pPr>
              <w:pStyle w:val="SDMTableBoxParaNotNumbered"/>
            </w:pPr>
            <w:r>
              <w:t>=</w:t>
            </w:r>
          </w:p>
        </w:tc>
        <w:tc>
          <w:tcPr>
            <w:tcW w:w="0" w:type="auto"/>
          </w:tcPr>
          <w:p w14:paraId="44D50F64" w14:textId="6CB1E6CC" w:rsidR="007F5F62" w:rsidRDefault="0017383E" w:rsidP="00690A70">
            <w:pPr>
              <w:pStyle w:val="SDMTableBoxParaNotNumbered"/>
            </w:pPr>
            <w:r>
              <w:rPr>
                <w:rFonts w:eastAsiaTheme="minorEastAsia" w:cs="Arial"/>
              </w:rPr>
              <w:t>Activity</w:t>
            </w:r>
            <w:r w:rsidRPr="00D4370C">
              <w:rPr>
                <w:rFonts w:eastAsiaTheme="minorEastAsia" w:cs="Arial"/>
              </w:rPr>
              <w:t xml:space="preserve"> emissions from the operation of </w:t>
            </w:r>
            <w:r>
              <w:rPr>
                <w:rFonts w:eastAsiaTheme="minorEastAsia" w:cs="Arial"/>
              </w:rPr>
              <w:t>the project</w:t>
            </w:r>
            <w:r w:rsidRPr="00D4370C">
              <w:rPr>
                <w:rFonts w:eastAsiaTheme="minorEastAsia" w:cs="Arial"/>
              </w:rPr>
              <w:t xml:space="preserve"> geothermal power plant in year </w:t>
            </w:r>
            <w:r w:rsidRPr="00D4370C">
              <w:rPr>
                <w:rFonts w:eastAsiaTheme="minorEastAsia" w:cs="Arial"/>
                <w:i/>
              </w:rPr>
              <w:t>y</w:t>
            </w:r>
            <w:r w:rsidRPr="00D4370C">
              <w:rPr>
                <w:rFonts w:eastAsiaTheme="minorEastAsia" w:cs="Arial"/>
              </w:rPr>
              <w:t xml:space="preserve"> (t CO</w:t>
            </w:r>
            <w:r w:rsidRPr="00D4370C">
              <w:rPr>
                <w:rFonts w:eastAsiaTheme="minorEastAsia" w:cs="Arial"/>
                <w:vertAlign w:val="subscript"/>
              </w:rPr>
              <w:t>2</w:t>
            </w:r>
            <w:r w:rsidRPr="00D4370C">
              <w:rPr>
                <w:rFonts w:eastAsiaTheme="minorEastAsia" w:cs="Arial"/>
              </w:rPr>
              <w:t>e</w:t>
            </w:r>
            <w:r>
              <w:rPr>
                <w:rFonts w:eastAsiaTheme="minorEastAsia" w:cs="Arial"/>
              </w:rPr>
              <w:t>q</w:t>
            </w:r>
            <w:r w:rsidRPr="00D4370C">
              <w:rPr>
                <w:rFonts w:eastAsiaTheme="minorEastAsia" w:cs="Arial"/>
              </w:rPr>
              <w:t>)</w:t>
            </w:r>
          </w:p>
        </w:tc>
      </w:tr>
      <w:tr w:rsidR="007F5F62" w14:paraId="082342A1" w14:textId="77777777" w:rsidTr="008E3BD0">
        <w:tc>
          <w:tcPr>
            <w:tcW w:w="1932" w:type="dxa"/>
            <w:vAlign w:val="top"/>
          </w:tcPr>
          <w:p w14:paraId="1BD764BF" w14:textId="523C253A" w:rsidR="007F5F62" w:rsidRPr="00C47AF6" w:rsidRDefault="0039641B" w:rsidP="008E3BD0">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 xml:space="preserve"> dry or flash steam</m:t>
                    </m:r>
                    <m:r>
                      <m:rPr>
                        <m:sty m:val="p"/>
                      </m:rPr>
                      <w:rPr>
                        <w:rFonts w:ascii="Cambria Math" w:eastAsiaTheme="minorEastAsia" w:hAnsi="Cambria Math"/>
                      </w:rPr>
                      <m:t xml:space="preserve">, </m:t>
                    </m:r>
                    <m:r>
                      <w:rPr>
                        <w:rFonts w:ascii="Cambria Math" w:eastAsiaTheme="minorEastAsia" w:hAnsi="Cambria Math"/>
                      </w:rPr>
                      <m:t>y</m:t>
                    </m:r>
                  </m:sub>
                </m:sSub>
              </m:oMath>
            </m:oMathPara>
          </w:p>
        </w:tc>
        <w:tc>
          <w:tcPr>
            <w:tcW w:w="345" w:type="dxa"/>
            <w:vAlign w:val="top"/>
          </w:tcPr>
          <w:p w14:paraId="3140BEB1" w14:textId="77777777" w:rsidR="007F5F62" w:rsidRDefault="007F5F62" w:rsidP="008E3BD0">
            <w:pPr>
              <w:pStyle w:val="SDMTableBoxParaNotNumbered"/>
            </w:pPr>
            <w:r>
              <w:t>=</w:t>
            </w:r>
          </w:p>
        </w:tc>
        <w:tc>
          <w:tcPr>
            <w:tcW w:w="0" w:type="auto"/>
          </w:tcPr>
          <w:p w14:paraId="1BE054D5" w14:textId="132AEC07" w:rsidR="007F5F62" w:rsidRDefault="00626042" w:rsidP="00690A70">
            <w:pPr>
              <w:pStyle w:val="SDMTableBoxParaNotNumbered"/>
            </w:pPr>
            <w:r>
              <w:rPr>
                <w:rFonts w:eastAsiaTheme="minorEastAsia" w:cs="Arial"/>
              </w:rPr>
              <w:t>Activity</w:t>
            </w:r>
            <w:r w:rsidRPr="00D4370C">
              <w:rPr>
                <w:rFonts w:eastAsiaTheme="minorEastAsia" w:cs="Arial"/>
              </w:rPr>
              <w:t xml:space="preserve"> emissions from the release of non-condensable gases </w:t>
            </w:r>
            <w:r>
              <w:rPr>
                <w:rFonts w:eastAsiaTheme="minorEastAsia" w:cs="Arial"/>
              </w:rPr>
              <w:t>in a</w:t>
            </w:r>
            <w:r w:rsidRPr="00D4370C">
              <w:rPr>
                <w:rFonts w:eastAsiaTheme="minorEastAsia" w:cs="Arial"/>
              </w:rPr>
              <w:t xml:space="preserve"> dry steam or flash steam </w:t>
            </w:r>
            <w:r>
              <w:rPr>
                <w:rFonts w:eastAsiaTheme="minorEastAsia" w:cs="Arial"/>
              </w:rPr>
              <w:t xml:space="preserve">project </w:t>
            </w:r>
            <w:r w:rsidRPr="00D4370C">
              <w:rPr>
                <w:rFonts w:eastAsiaTheme="minorEastAsia" w:cs="Arial"/>
              </w:rPr>
              <w:t>geothermal power plant in year </w:t>
            </w:r>
            <w:r w:rsidRPr="00D4370C">
              <w:rPr>
                <w:rFonts w:eastAsiaTheme="minorEastAsia" w:cs="Arial"/>
                <w:i/>
              </w:rPr>
              <w:t>y</w:t>
            </w:r>
            <w:r w:rsidRPr="00D4370C">
              <w:rPr>
                <w:rFonts w:eastAsiaTheme="minorEastAsia" w:cs="Arial"/>
              </w:rPr>
              <w:t xml:space="preserve"> (t CO</w:t>
            </w:r>
            <w:r w:rsidRPr="00D4370C">
              <w:rPr>
                <w:rFonts w:eastAsiaTheme="minorEastAsia" w:cs="Arial"/>
                <w:vertAlign w:val="subscript"/>
              </w:rPr>
              <w:t>2</w:t>
            </w:r>
            <w:r w:rsidRPr="00D4370C">
              <w:rPr>
                <w:rFonts w:eastAsiaTheme="minorEastAsia" w:cs="Arial"/>
              </w:rPr>
              <w:t>e</w:t>
            </w:r>
            <w:r>
              <w:rPr>
                <w:rFonts w:eastAsiaTheme="minorEastAsia" w:cs="Arial"/>
              </w:rPr>
              <w:t>q</w:t>
            </w:r>
            <w:r w:rsidRPr="00D4370C">
              <w:rPr>
                <w:rFonts w:eastAsiaTheme="minorEastAsia" w:cs="Arial"/>
              </w:rPr>
              <w:t>)</w:t>
            </w:r>
          </w:p>
        </w:tc>
      </w:tr>
    </w:tbl>
    <w:p w14:paraId="171B0366" w14:textId="7C2DB5BF" w:rsidR="006E5495" w:rsidRDefault="00626042" w:rsidP="00EC00DE">
      <w:pPr>
        <w:pStyle w:val="SDMSubPara1"/>
        <w:keepNext/>
      </w:pPr>
      <w:r>
        <w:lastRenderedPageBreak/>
        <w:t>For binary geothermal power plants:</w:t>
      </w:r>
    </w:p>
    <w:tbl>
      <w:tblPr>
        <w:tblStyle w:val="SDMMethTableEquation"/>
        <w:tblW w:w="8760" w:type="dxa"/>
        <w:tblLook w:val="0600" w:firstRow="0" w:lastRow="0" w:firstColumn="0" w:lastColumn="0" w:noHBand="1" w:noVBand="1"/>
      </w:tblPr>
      <w:tblGrid>
        <w:gridCol w:w="7095"/>
        <w:gridCol w:w="1665"/>
      </w:tblGrid>
      <w:tr w:rsidR="00626042" w:rsidRPr="00E32F75" w14:paraId="42758B5D" w14:textId="77777777" w:rsidTr="00690A70">
        <w:tc>
          <w:tcPr>
            <w:tcW w:w="7224" w:type="dxa"/>
          </w:tcPr>
          <w:p w14:paraId="72747939" w14:textId="12944FC7" w:rsidR="00626042" w:rsidRPr="00252AA4" w:rsidRDefault="0039641B" w:rsidP="00690A70">
            <w:pPr>
              <w:pStyle w:val="SDMMethEquation"/>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GP</m:t>
                    </m:r>
                    <m:r>
                      <m:rPr>
                        <m:sty m:val="p"/>
                      </m:rPr>
                      <w:rPr>
                        <w:rFonts w:ascii="Cambria Math" w:eastAsiaTheme="minorEastAsia" w:hAnsi="Cambria Math"/>
                      </w:rPr>
                      <m:t>,</m:t>
                    </m:r>
                    <m:r>
                      <w:rPr>
                        <w:rFonts w:ascii="Cambria Math" w:eastAsiaTheme="minorEastAsia" w:hAnsi="Cambria Math"/>
                      </w:rPr>
                      <m:t>y</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steam</m:t>
                    </m:r>
                    <m:r>
                      <m:rPr>
                        <m:sty m:val="p"/>
                      </m:rPr>
                      <w:rPr>
                        <w:rFonts w:ascii="Cambria Math" w:eastAsiaTheme="minorEastAsia" w:hAnsi="Cambria Math"/>
                      </w:rPr>
                      <m:t>,</m:t>
                    </m:r>
                    <m:r>
                      <w:rPr>
                        <w:rFonts w:ascii="Cambria Math" w:eastAsiaTheme="minorEastAsia" w:hAnsi="Cambria Math"/>
                      </w:rPr>
                      <m:t>y</m:t>
                    </m:r>
                  </m:sub>
                </m:sSub>
                <m: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working fluid</m:t>
                    </m:r>
                    <m:r>
                      <m:rPr>
                        <m:sty m:val="p"/>
                      </m:rPr>
                      <w:rPr>
                        <w:rFonts w:ascii="Cambria Math" w:eastAsiaTheme="minorEastAsia" w:hAnsi="Cambria Math"/>
                      </w:rPr>
                      <m:t>,</m:t>
                    </m:r>
                    <m:r>
                      <w:rPr>
                        <w:rFonts w:ascii="Cambria Math" w:eastAsiaTheme="minorEastAsia" w:hAnsi="Cambria Math"/>
                      </w:rPr>
                      <m:t>y</m:t>
                    </m:r>
                  </m:sub>
                </m:sSub>
              </m:oMath>
            </m:oMathPara>
          </w:p>
        </w:tc>
        <w:tc>
          <w:tcPr>
            <w:tcW w:w="1701" w:type="dxa"/>
          </w:tcPr>
          <w:p w14:paraId="795B666E" w14:textId="77777777" w:rsidR="00626042" w:rsidRPr="002B6960" w:rsidRDefault="00626042" w:rsidP="007255A3">
            <w:pPr>
              <w:pStyle w:val="SDMMethEquationNr"/>
              <w:numPr>
                <w:ilvl w:val="0"/>
                <w:numId w:val="21"/>
              </w:numPr>
            </w:pPr>
          </w:p>
        </w:tc>
      </w:tr>
    </w:tbl>
    <w:p w14:paraId="32703CF0" w14:textId="77777777" w:rsidR="00626042" w:rsidRDefault="00626042"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626042" w14:paraId="5534BBC2" w14:textId="77777777" w:rsidTr="00B7767A">
        <w:tc>
          <w:tcPr>
            <w:tcW w:w="1701" w:type="dxa"/>
            <w:vAlign w:val="top"/>
          </w:tcPr>
          <w:p w14:paraId="16DE87F9" w14:textId="0C3471D1" w:rsidR="00626042" w:rsidRPr="003F51FC"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GP</m:t>
                    </m:r>
                    <m:r>
                      <m:rPr>
                        <m:sty m:val="p"/>
                      </m:rPr>
                      <w:rPr>
                        <w:rFonts w:ascii="Cambria Math" w:eastAsiaTheme="minorEastAsia" w:hAnsi="Cambria Math"/>
                      </w:rPr>
                      <m:t>,</m:t>
                    </m:r>
                    <m:r>
                      <w:rPr>
                        <w:rFonts w:ascii="Cambria Math" w:eastAsiaTheme="minorEastAsia" w:hAnsi="Cambria Math"/>
                      </w:rPr>
                      <m:t>y</m:t>
                    </m:r>
                  </m:sub>
                </m:sSub>
              </m:oMath>
            </m:oMathPara>
          </w:p>
        </w:tc>
        <w:tc>
          <w:tcPr>
            <w:tcW w:w="345" w:type="dxa"/>
            <w:vAlign w:val="top"/>
          </w:tcPr>
          <w:p w14:paraId="72132B8D" w14:textId="77777777" w:rsidR="00626042" w:rsidRDefault="00626042" w:rsidP="00B7767A">
            <w:pPr>
              <w:pStyle w:val="SDMTableBoxParaNotNumbered"/>
            </w:pPr>
            <w:r>
              <w:t>=</w:t>
            </w:r>
          </w:p>
        </w:tc>
        <w:tc>
          <w:tcPr>
            <w:tcW w:w="0" w:type="auto"/>
            <w:vAlign w:val="top"/>
          </w:tcPr>
          <w:p w14:paraId="647AC717" w14:textId="1DA246DD" w:rsidR="00626042" w:rsidRDefault="00C914BD" w:rsidP="00B7767A">
            <w:pPr>
              <w:pStyle w:val="SDMTableBoxParaNotNumbered"/>
            </w:pPr>
            <w:r>
              <w:t>Activity</w:t>
            </w:r>
            <w:r w:rsidRPr="004C152E">
              <w:t xml:space="preserve"> emissions from the operation of the project geothermal power plant in year</w:t>
            </w:r>
            <w:r w:rsidRPr="00784924">
              <w:rPr>
                <w:i/>
                <w:iCs/>
              </w:rPr>
              <w:t xml:space="preserve"> y</w:t>
            </w:r>
            <w:r w:rsidRPr="004C152E">
              <w:t xml:space="preserve"> (t</w:t>
            </w:r>
            <w:r w:rsidR="0005672B">
              <w:t> </w:t>
            </w:r>
            <w:r w:rsidRPr="004C152E">
              <w:t>CO</w:t>
            </w:r>
            <w:r w:rsidRPr="004C152E">
              <w:rPr>
                <w:vertAlign w:val="subscript"/>
              </w:rPr>
              <w:t>2</w:t>
            </w:r>
            <w:r w:rsidRPr="004C152E">
              <w:t>eq)</w:t>
            </w:r>
          </w:p>
        </w:tc>
      </w:tr>
      <w:tr w:rsidR="00626042" w14:paraId="2AF36897" w14:textId="77777777" w:rsidTr="00B7767A">
        <w:tc>
          <w:tcPr>
            <w:tcW w:w="1701" w:type="dxa"/>
            <w:vAlign w:val="top"/>
          </w:tcPr>
          <w:p w14:paraId="6313EBB9" w14:textId="5C7E1294" w:rsidR="00626042" w:rsidRPr="003F51FC"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steam</m:t>
                    </m:r>
                    <m:r>
                      <m:rPr>
                        <m:sty m:val="p"/>
                      </m:rPr>
                      <w:rPr>
                        <w:rFonts w:ascii="Cambria Math" w:eastAsiaTheme="minorEastAsia" w:hAnsi="Cambria Math"/>
                      </w:rPr>
                      <m:t>,</m:t>
                    </m:r>
                    <m:r>
                      <w:rPr>
                        <w:rFonts w:ascii="Cambria Math" w:eastAsiaTheme="minorEastAsia" w:hAnsi="Cambria Math"/>
                      </w:rPr>
                      <m:t>y</m:t>
                    </m:r>
                  </m:sub>
                </m:sSub>
              </m:oMath>
            </m:oMathPara>
          </w:p>
        </w:tc>
        <w:tc>
          <w:tcPr>
            <w:tcW w:w="345" w:type="dxa"/>
            <w:vAlign w:val="top"/>
          </w:tcPr>
          <w:p w14:paraId="0E4707C7" w14:textId="77777777" w:rsidR="00626042" w:rsidRDefault="00626042" w:rsidP="00B7767A">
            <w:pPr>
              <w:pStyle w:val="SDMTableBoxParaNotNumbered"/>
            </w:pPr>
            <w:r>
              <w:t>=</w:t>
            </w:r>
          </w:p>
        </w:tc>
        <w:tc>
          <w:tcPr>
            <w:tcW w:w="0" w:type="auto"/>
            <w:vAlign w:val="top"/>
          </w:tcPr>
          <w:p w14:paraId="56022287" w14:textId="14B80455" w:rsidR="00626042" w:rsidRDefault="0038207E" w:rsidP="00B7767A">
            <w:pPr>
              <w:pStyle w:val="SDMTableBoxParaNotNumbered"/>
            </w:pPr>
            <w:r>
              <w:t>Activity</w:t>
            </w:r>
            <w:r w:rsidRPr="004C152E">
              <w:t xml:space="preserve"> emissions from physical leakage of non-condensable gases in a binary project geothermal power plant in year </w:t>
            </w:r>
            <w:r w:rsidRPr="00784924">
              <w:rPr>
                <w:i/>
                <w:iCs/>
              </w:rPr>
              <w:t>y</w:t>
            </w:r>
            <w:r w:rsidRPr="004C152E">
              <w:t xml:space="preserve"> (t</w:t>
            </w:r>
            <w:r w:rsidR="0005672B">
              <w:t> </w:t>
            </w:r>
            <w:r w:rsidRPr="004C152E">
              <w:t>CO</w:t>
            </w:r>
            <w:r w:rsidRPr="004C152E">
              <w:rPr>
                <w:vertAlign w:val="subscript"/>
              </w:rPr>
              <w:t>2</w:t>
            </w:r>
            <w:r w:rsidRPr="004C152E">
              <w:t>eq)</w:t>
            </w:r>
          </w:p>
        </w:tc>
      </w:tr>
      <w:tr w:rsidR="00626042" w14:paraId="73281835" w14:textId="77777777" w:rsidTr="00B7767A">
        <w:tc>
          <w:tcPr>
            <w:tcW w:w="1701" w:type="dxa"/>
            <w:vAlign w:val="top"/>
          </w:tcPr>
          <w:p w14:paraId="570030A3" w14:textId="08AC6273" w:rsidR="00626042" w:rsidRPr="003F51FC"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working fluid</m:t>
                    </m:r>
                    <m:r>
                      <m:rPr>
                        <m:sty m:val="p"/>
                      </m:rPr>
                      <w:rPr>
                        <w:rFonts w:ascii="Cambria Math" w:eastAsiaTheme="minorEastAsia" w:hAnsi="Cambria Math"/>
                      </w:rPr>
                      <m:t>,</m:t>
                    </m:r>
                    <m:r>
                      <w:rPr>
                        <w:rFonts w:ascii="Cambria Math" w:eastAsiaTheme="minorEastAsia" w:hAnsi="Cambria Math"/>
                      </w:rPr>
                      <m:t>y</m:t>
                    </m:r>
                  </m:sub>
                </m:sSub>
              </m:oMath>
            </m:oMathPara>
          </w:p>
        </w:tc>
        <w:tc>
          <w:tcPr>
            <w:tcW w:w="345" w:type="dxa"/>
            <w:vAlign w:val="top"/>
          </w:tcPr>
          <w:p w14:paraId="3D56B781" w14:textId="77777777" w:rsidR="00626042" w:rsidRDefault="00626042" w:rsidP="00B7767A">
            <w:pPr>
              <w:pStyle w:val="SDMTableBoxParaNotNumbered"/>
            </w:pPr>
            <w:r>
              <w:t>=</w:t>
            </w:r>
          </w:p>
        </w:tc>
        <w:tc>
          <w:tcPr>
            <w:tcW w:w="0" w:type="auto"/>
            <w:vAlign w:val="top"/>
          </w:tcPr>
          <w:p w14:paraId="42CAA4FB" w14:textId="2561CA8F" w:rsidR="00626042" w:rsidRDefault="0039685D" w:rsidP="00B7767A">
            <w:pPr>
              <w:pStyle w:val="SDMTableBoxParaNotNumbered"/>
            </w:pPr>
            <w:r>
              <w:rPr>
                <w:rFonts w:eastAsiaTheme="minorEastAsia" w:cs="Arial"/>
              </w:rPr>
              <w:t>Activity</w:t>
            </w:r>
            <w:r w:rsidRPr="00D4370C">
              <w:rPr>
                <w:rFonts w:eastAsiaTheme="minorEastAsia" w:cs="Arial"/>
              </w:rPr>
              <w:t xml:space="preserve"> emissions from physical leakage of working fluid </w:t>
            </w:r>
            <w:r w:rsidRPr="00D4370C">
              <w:rPr>
                <w:rFonts w:eastAsiaTheme="minorEastAsia"/>
              </w:rPr>
              <w:t xml:space="preserve">contained in heat exchangers </w:t>
            </w:r>
            <w:r>
              <w:rPr>
                <w:rFonts w:eastAsiaTheme="minorEastAsia" w:cs="Arial"/>
              </w:rPr>
              <w:t xml:space="preserve">in a </w:t>
            </w:r>
            <w:r w:rsidRPr="00D4370C">
              <w:rPr>
                <w:rFonts w:eastAsiaTheme="minorEastAsia" w:cs="Arial"/>
              </w:rPr>
              <w:t xml:space="preserve">binary </w:t>
            </w:r>
            <w:r>
              <w:rPr>
                <w:rFonts w:eastAsiaTheme="minorEastAsia"/>
              </w:rPr>
              <w:t xml:space="preserve">project </w:t>
            </w:r>
            <w:r w:rsidRPr="00D4370C">
              <w:rPr>
                <w:rFonts w:eastAsiaTheme="minorEastAsia" w:cs="Arial"/>
              </w:rPr>
              <w:t xml:space="preserve">geothermal power </w:t>
            </w:r>
            <w:r w:rsidRPr="00D4370C">
              <w:rPr>
                <w:rFonts w:eastAsiaTheme="minorEastAsia"/>
              </w:rPr>
              <w:t>plant</w:t>
            </w:r>
            <w:r w:rsidRPr="00D4370C">
              <w:rPr>
                <w:rFonts w:eastAsiaTheme="minorEastAsia" w:cs="Arial"/>
              </w:rPr>
              <w:t xml:space="preserve"> due to in year </w:t>
            </w:r>
            <w:r w:rsidRPr="00D4370C">
              <w:rPr>
                <w:rFonts w:eastAsiaTheme="minorEastAsia" w:cs="Arial"/>
                <w:i/>
              </w:rPr>
              <w:t>y</w:t>
            </w:r>
            <w:r w:rsidRPr="00D4370C">
              <w:rPr>
                <w:rFonts w:eastAsiaTheme="minorEastAsia" w:cs="Arial"/>
              </w:rPr>
              <w:t xml:space="preserve"> (t </w:t>
            </w:r>
            <w:r w:rsidRPr="00D4370C">
              <w:rPr>
                <w:rFonts w:eastAsiaTheme="minorEastAsia"/>
              </w:rPr>
              <w:t>CO</w:t>
            </w:r>
            <w:r w:rsidRPr="0082317F">
              <w:rPr>
                <w:rFonts w:eastAsiaTheme="minorEastAsia"/>
                <w:vertAlign w:val="subscript"/>
              </w:rPr>
              <w:t>2</w:t>
            </w:r>
            <w:r w:rsidRPr="00D4370C">
              <w:rPr>
                <w:rFonts w:eastAsiaTheme="minorEastAsia"/>
              </w:rPr>
              <w:t>e</w:t>
            </w:r>
            <w:r>
              <w:rPr>
                <w:rFonts w:eastAsiaTheme="minorEastAsia"/>
              </w:rPr>
              <w:t>q</w:t>
            </w:r>
            <w:r w:rsidRPr="00D4370C">
              <w:rPr>
                <w:rFonts w:eastAsiaTheme="minorEastAsia" w:cs="Arial"/>
              </w:rPr>
              <w:t>)</w:t>
            </w:r>
          </w:p>
        </w:tc>
      </w:tr>
    </w:tbl>
    <w:p w14:paraId="6EA17442" w14:textId="5BA10A79" w:rsidR="006E5495" w:rsidRDefault="007624CD" w:rsidP="00EC00DE">
      <w:pPr>
        <w:pStyle w:val="SDMPara"/>
        <w:keepNext/>
      </w:pPr>
      <w:r w:rsidRPr="00345674">
        <w:rPr>
          <w:rFonts w:eastAsiaTheme="minorEastAsia"/>
          <w:lang w:val="en-US"/>
        </w:rPr>
        <w:t>Activity</w:t>
      </w:r>
      <w:r w:rsidRPr="006813AA">
        <w:t xml:space="preserve"> emissions from the release of non-condensable gases in a dry steam or flash steam project geothermal power plant in year</w:t>
      </w:r>
      <w:r>
        <w:t> </w:t>
      </w:r>
      <w:r w:rsidRPr="0098195E">
        <w:rPr>
          <w:i/>
          <w:iCs/>
        </w:rPr>
        <w:t>y</w:t>
      </w:r>
      <w:r w:rsidRPr="006813AA">
        <w:t xml:space="preserve"> </w:t>
      </w:r>
      <w:r>
        <w:t>(</w:t>
      </w:r>
      <w:r>
        <w:rPr>
          <w:rFonts w:eastAsiaTheme="minorEastAsia"/>
          <w:i/>
          <w:iCs/>
        </w:rPr>
        <w:t>A</w:t>
      </w:r>
      <w:r w:rsidRPr="00EA0685">
        <w:rPr>
          <w:rFonts w:eastAsiaTheme="minorEastAsia"/>
          <w:i/>
          <w:iCs/>
        </w:rPr>
        <w:t>E</w:t>
      </w:r>
      <w:r w:rsidRPr="00EA0685">
        <w:rPr>
          <w:rFonts w:eastAsiaTheme="minorEastAsia"/>
          <w:i/>
          <w:iCs/>
          <w:vertAlign w:val="subscript"/>
        </w:rPr>
        <w:t>dry or flash steam,y</w:t>
      </w:r>
      <w:r>
        <w:t>) shall be calculated as follow</w:t>
      </w:r>
      <w:r w:rsidRPr="00D4370C">
        <w:t>s:</w:t>
      </w:r>
    </w:p>
    <w:tbl>
      <w:tblPr>
        <w:tblStyle w:val="SDMMethTableEquation"/>
        <w:tblW w:w="8760" w:type="dxa"/>
        <w:tblLook w:val="0600" w:firstRow="0" w:lastRow="0" w:firstColumn="0" w:lastColumn="0" w:noHBand="1" w:noVBand="1"/>
      </w:tblPr>
      <w:tblGrid>
        <w:gridCol w:w="7095"/>
        <w:gridCol w:w="1665"/>
      </w:tblGrid>
      <w:tr w:rsidR="007624CD" w:rsidRPr="00E32F75" w14:paraId="2E379141" w14:textId="77777777" w:rsidTr="00690A70">
        <w:tc>
          <w:tcPr>
            <w:tcW w:w="7224" w:type="dxa"/>
          </w:tcPr>
          <w:p w14:paraId="78232E09" w14:textId="2052E0E7" w:rsidR="007624CD" w:rsidRPr="00252AA4" w:rsidRDefault="0039641B" w:rsidP="00690A70">
            <w:pPr>
              <w:pStyle w:val="SDMMethEquation"/>
            </w:pPr>
            <m:oMathPara>
              <m:oMathParaPr>
                <m:jc m:val="left"/>
              </m:oMathParaPr>
              <m:oMath>
                <m:sSub>
                  <m:sSubPr>
                    <m:ctrlPr>
                      <w:rPr>
                        <w:rFonts w:ascii="Cambria Math" w:eastAsiaTheme="minorEastAsia" w:hAnsi="Cambria Math"/>
                        <w:sz w:val="20"/>
                      </w:rPr>
                    </m:ctrlPr>
                  </m:sSubPr>
                  <m:e>
                    <m:r>
                      <w:rPr>
                        <w:rFonts w:ascii="Cambria Math" w:eastAsiaTheme="minorEastAsia" w:hAnsi="Cambria Math"/>
                        <w:sz w:val="20"/>
                      </w:rPr>
                      <m:t>AE</m:t>
                    </m:r>
                  </m:e>
                  <m:sub>
                    <m:r>
                      <w:rPr>
                        <w:rFonts w:ascii="Cambria Math" w:eastAsiaTheme="minorEastAsia" w:hAnsi="Cambria Math"/>
                        <w:sz w:val="20"/>
                      </w:rPr>
                      <m:t>dry or flash steam</m:t>
                    </m:r>
                    <m:r>
                      <m:rPr>
                        <m:sty m:val="p"/>
                      </m:rPr>
                      <w:rPr>
                        <w:rFonts w:ascii="Cambria Math" w:eastAsiaTheme="minorEastAsia" w:hAnsi="Cambria Math"/>
                        <w:sz w:val="20"/>
                      </w:rPr>
                      <m:t xml:space="preserve">, </m:t>
                    </m:r>
                    <m:r>
                      <w:rPr>
                        <w:rFonts w:ascii="Cambria Math" w:eastAsiaTheme="minorEastAsia" w:hAnsi="Cambria Math"/>
                        <w:sz w:val="20"/>
                      </w:rPr>
                      <m:t>y</m:t>
                    </m:r>
                  </m:sub>
                </m:sSub>
                <m:r>
                  <m:rPr>
                    <m:sty m:val="p"/>
                  </m:rPr>
                  <w:rPr>
                    <w:rFonts w:ascii="Cambria Math" w:eastAsiaTheme="minorEastAsia" w:hAnsi="Cambria Math"/>
                    <w:sz w:val="20"/>
                  </w:rPr>
                  <m:t>=</m:t>
                </m:r>
                <m:d>
                  <m:dPr>
                    <m:ctrlPr>
                      <w:rPr>
                        <w:rFonts w:ascii="Cambria Math" w:eastAsiaTheme="minorEastAsia" w:hAnsi="Cambria Math"/>
                        <w:sz w:val="20"/>
                      </w:rPr>
                    </m:ctrlPr>
                  </m:dPr>
                  <m:e>
                    <m:sSub>
                      <m:sSubPr>
                        <m:ctrlPr>
                          <w:rPr>
                            <w:rFonts w:ascii="Cambria Math" w:eastAsiaTheme="minorEastAsia" w:hAnsi="Cambria Math"/>
                            <w:sz w:val="20"/>
                          </w:rPr>
                        </m:ctrlPr>
                      </m:sSubPr>
                      <m:e>
                        <m:r>
                          <w:rPr>
                            <w:rFonts w:ascii="Cambria Math" w:eastAsiaTheme="minorEastAsia" w:hAnsi="Cambria Math"/>
                            <w:sz w:val="20"/>
                          </w:rPr>
                          <m:t>w</m:t>
                        </m:r>
                      </m:e>
                      <m:sub>
                        <m:r>
                          <w:rPr>
                            <w:rFonts w:ascii="Cambria Math" w:eastAsiaTheme="minorEastAsia" w:hAnsi="Cambria Math"/>
                            <w:sz w:val="20"/>
                          </w:rPr>
                          <m:t>steam</m:t>
                        </m:r>
                        <m:r>
                          <m:rPr>
                            <m:sty m:val="p"/>
                          </m:rPr>
                          <w:rPr>
                            <w:rFonts w:ascii="Cambria Math" w:eastAsiaTheme="minorEastAsia" w:hAnsi="Cambria Math"/>
                            <w:sz w:val="20"/>
                          </w:rPr>
                          <m:t>,</m:t>
                        </m:r>
                        <m:r>
                          <w:rPr>
                            <w:rFonts w:ascii="Cambria Math" w:eastAsiaTheme="minorEastAsia" w:hAnsi="Cambria Math"/>
                            <w:sz w:val="20"/>
                          </w:rPr>
                          <m:t>CO</m:t>
                        </m:r>
                        <m:r>
                          <m:rPr>
                            <m:sty m:val="p"/>
                          </m:rPr>
                          <w:rPr>
                            <w:rFonts w:ascii="Cambria Math" w:eastAsiaTheme="minorEastAsia" w:hAnsi="Cambria Math"/>
                            <w:sz w:val="20"/>
                          </w:rPr>
                          <m:t>2,</m:t>
                        </m:r>
                        <m:r>
                          <w:rPr>
                            <w:rFonts w:ascii="Cambria Math" w:eastAsiaTheme="minorEastAsia" w:hAnsi="Cambria Math"/>
                            <w:sz w:val="20"/>
                          </w:rPr>
                          <m:t>y</m:t>
                        </m:r>
                      </m:sub>
                    </m:sSub>
                    <m:r>
                      <m:rPr>
                        <m:sty m:val="p"/>
                      </m:rPr>
                      <w:rPr>
                        <w:rFonts w:ascii="Cambria Math" w:eastAsiaTheme="minorEastAsia" w:hAnsi="Cambria Math"/>
                        <w:sz w:val="20"/>
                      </w:rPr>
                      <m:t>+</m:t>
                    </m:r>
                    <m:sSub>
                      <m:sSubPr>
                        <m:ctrlPr>
                          <w:rPr>
                            <w:rFonts w:ascii="Cambria Math" w:eastAsiaTheme="minorEastAsia" w:hAnsi="Cambria Math"/>
                            <w:sz w:val="20"/>
                          </w:rPr>
                        </m:ctrlPr>
                      </m:sSubPr>
                      <m:e>
                        <m:r>
                          <w:rPr>
                            <w:rFonts w:ascii="Cambria Math" w:eastAsiaTheme="minorEastAsia" w:hAnsi="Cambria Math"/>
                            <w:sz w:val="20"/>
                          </w:rPr>
                          <m:t>w</m:t>
                        </m:r>
                      </m:e>
                      <m:sub>
                        <m:r>
                          <w:rPr>
                            <w:rFonts w:ascii="Cambria Math" w:eastAsiaTheme="minorEastAsia" w:hAnsi="Cambria Math"/>
                            <w:sz w:val="20"/>
                          </w:rPr>
                          <m:t>steam</m:t>
                        </m:r>
                        <m:r>
                          <m:rPr>
                            <m:sty m:val="p"/>
                          </m:rPr>
                          <w:rPr>
                            <w:rFonts w:ascii="Cambria Math" w:eastAsiaTheme="minorEastAsia" w:hAnsi="Cambria Math"/>
                            <w:sz w:val="20"/>
                          </w:rPr>
                          <m:t>,</m:t>
                        </m:r>
                        <m:r>
                          <w:rPr>
                            <w:rFonts w:ascii="Cambria Math" w:eastAsiaTheme="minorEastAsia" w:hAnsi="Cambria Math"/>
                            <w:sz w:val="20"/>
                          </w:rPr>
                          <m:t>CH</m:t>
                        </m:r>
                        <m:r>
                          <m:rPr>
                            <m:sty m:val="p"/>
                          </m:rPr>
                          <w:rPr>
                            <w:rFonts w:ascii="Cambria Math" w:eastAsiaTheme="minorEastAsia" w:hAnsi="Cambria Math"/>
                            <w:sz w:val="20"/>
                          </w:rPr>
                          <m:t>4,</m:t>
                        </m:r>
                        <m:r>
                          <w:rPr>
                            <w:rFonts w:ascii="Cambria Math" w:eastAsiaTheme="minorEastAsia" w:hAnsi="Cambria Math"/>
                            <w:sz w:val="20"/>
                          </w:rPr>
                          <m:t>y</m:t>
                        </m:r>
                      </m:sub>
                    </m:sSub>
                    <m:r>
                      <m:rPr>
                        <m:sty m:val="p"/>
                      </m:rPr>
                      <w:rPr>
                        <w:rFonts w:ascii="Cambria Math" w:eastAsiaTheme="minorEastAsia" w:hAnsi="Cambria Math"/>
                        <w:sz w:val="20"/>
                      </w:rPr>
                      <m:t>×</m:t>
                    </m:r>
                    <m:sSub>
                      <m:sSubPr>
                        <m:ctrlPr>
                          <w:rPr>
                            <w:rFonts w:ascii="Cambria Math" w:eastAsiaTheme="minorEastAsia" w:hAnsi="Cambria Math"/>
                            <w:sz w:val="20"/>
                          </w:rPr>
                        </m:ctrlPr>
                      </m:sSubPr>
                      <m:e>
                        <m:r>
                          <w:rPr>
                            <w:rFonts w:ascii="Cambria Math" w:eastAsiaTheme="minorEastAsia" w:hAnsi="Cambria Math"/>
                            <w:sz w:val="20"/>
                          </w:rPr>
                          <m:t>GWP</m:t>
                        </m:r>
                      </m:e>
                      <m:sub>
                        <m:r>
                          <w:rPr>
                            <w:rFonts w:ascii="Cambria Math" w:eastAsiaTheme="minorEastAsia" w:hAnsi="Cambria Math"/>
                            <w:sz w:val="20"/>
                          </w:rPr>
                          <m:t>CH</m:t>
                        </m:r>
                        <m:r>
                          <m:rPr>
                            <m:sty m:val="p"/>
                          </m:rPr>
                          <w:rPr>
                            <w:rFonts w:ascii="Cambria Math" w:eastAsiaTheme="minorEastAsia" w:hAnsi="Cambria Math"/>
                            <w:sz w:val="20"/>
                          </w:rPr>
                          <m:t>4</m:t>
                        </m:r>
                      </m:sub>
                    </m:sSub>
                  </m:e>
                </m:d>
                <m:r>
                  <m:rPr>
                    <m:sty m:val="p"/>
                  </m:rPr>
                  <w:rPr>
                    <w:rFonts w:ascii="Cambria Math" w:eastAsiaTheme="minorEastAsia" w:hAnsi="Cambria Math"/>
                    <w:sz w:val="20"/>
                  </w:rPr>
                  <m:t>×</m:t>
                </m:r>
                <m:sSub>
                  <m:sSubPr>
                    <m:ctrlPr>
                      <w:rPr>
                        <w:rFonts w:ascii="Cambria Math" w:eastAsiaTheme="minorEastAsia" w:hAnsi="Cambria Math"/>
                        <w:sz w:val="20"/>
                      </w:rPr>
                    </m:ctrlPr>
                  </m:sSubPr>
                  <m:e>
                    <m:r>
                      <w:rPr>
                        <w:rFonts w:ascii="Cambria Math" w:eastAsiaTheme="minorEastAsia" w:hAnsi="Cambria Math"/>
                        <w:sz w:val="20"/>
                      </w:rPr>
                      <m:t>M</m:t>
                    </m:r>
                  </m:e>
                  <m:sub>
                    <m:r>
                      <w:rPr>
                        <w:rFonts w:ascii="Cambria Math" w:eastAsiaTheme="minorEastAsia" w:hAnsi="Cambria Math"/>
                        <w:sz w:val="20"/>
                      </w:rPr>
                      <m:t>st</m:t>
                    </m:r>
                    <m:r>
                      <m:rPr>
                        <m:sty m:val="p"/>
                      </m:rPr>
                      <w:rPr>
                        <w:rFonts w:ascii="Cambria Math" w:eastAsiaTheme="minorEastAsia" w:hAnsi="Cambria Math"/>
                        <w:sz w:val="20"/>
                      </w:rPr>
                      <m:t>e</m:t>
                    </m:r>
                    <m:r>
                      <w:rPr>
                        <w:rFonts w:ascii="Cambria Math" w:eastAsiaTheme="minorEastAsia" w:hAnsi="Cambria Math"/>
                        <w:sz w:val="20"/>
                      </w:rPr>
                      <m:t>am</m:t>
                    </m:r>
                    <m:r>
                      <m:rPr>
                        <m:sty m:val="p"/>
                      </m:rPr>
                      <w:rPr>
                        <w:rFonts w:ascii="Cambria Math" w:eastAsiaTheme="minorEastAsia" w:hAnsi="Cambria Math"/>
                        <w:sz w:val="20"/>
                      </w:rPr>
                      <m:t>,</m:t>
                    </m:r>
                    <m:r>
                      <w:rPr>
                        <w:rFonts w:ascii="Cambria Math" w:eastAsiaTheme="minorEastAsia" w:hAnsi="Cambria Math"/>
                        <w:sz w:val="20"/>
                      </w:rPr>
                      <m:t>y</m:t>
                    </m:r>
                  </m:sub>
                </m:sSub>
              </m:oMath>
            </m:oMathPara>
          </w:p>
        </w:tc>
        <w:tc>
          <w:tcPr>
            <w:tcW w:w="1701" w:type="dxa"/>
          </w:tcPr>
          <w:p w14:paraId="78AA0966" w14:textId="77777777" w:rsidR="007624CD" w:rsidRPr="002B6960" w:rsidRDefault="007624CD" w:rsidP="007255A3">
            <w:pPr>
              <w:pStyle w:val="SDMMethEquationNr"/>
              <w:numPr>
                <w:ilvl w:val="0"/>
                <w:numId w:val="21"/>
              </w:numPr>
            </w:pPr>
          </w:p>
        </w:tc>
      </w:tr>
    </w:tbl>
    <w:p w14:paraId="24CC468D" w14:textId="77777777" w:rsidR="007624CD" w:rsidRDefault="007624CD"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901"/>
        <w:gridCol w:w="345"/>
        <w:gridCol w:w="6514"/>
      </w:tblGrid>
      <w:tr w:rsidR="007624CD" w14:paraId="3CBA6BBC" w14:textId="77777777" w:rsidTr="00B7767A">
        <w:tc>
          <w:tcPr>
            <w:tcW w:w="1901" w:type="dxa"/>
            <w:vAlign w:val="top"/>
          </w:tcPr>
          <w:p w14:paraId="4BBB6431" w14:textId="578E0D23" w:rsidR="007624CD" w:rsidRPr="00DA6A59"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dry or flash steam</m:t>
                    </m:r>
                    <m:r>
                      <m:rPr>
                        <m:sty m:val="p"/>
                      </m:rPr>
                      <w:rPr>
                        <w:rFonts w:ascii="Cambria Math" w:eastAsiaTheme="minorEastAsia" w:hAnsi="Cambria Math"/>
                      </w:rPr>
                      <m:t xml:space="preserve">, </m:t>
                    </m:r>
                    <m:r>
                      <w:rPr>
                        <w:rFonts w:ascii="Cambria Math" w:eastAsiaTheme="minorEastAsia" w:hAnsi="Cambria Math"/>
                      </w:rPr>
                      <m:t>y</m:t>
                    </m:r>
                  </m:sub>
                </m:sSub>
              </m:oMath>
            </m:oMathPara>
          </w:p>
        </w:tc>
        <w:tc>
          <w:tcPr>
            <w:tcW w:w="345" w:type="dxa"/>
            <w:vAlign w:val="top"/>
          </w:tcPr>
          <w:p w14:paraId="6EFF84E3" w14:textId="77777777" w:rsidR="007624CD" w:rsidRDefault="007624CD" w:rsidP="00B7767A">
            <w:pPr>
              <w:pStyle w:val="SDMTableBoxParaNotNumbered"/>
            </w:pPr>
            <w:r>
              <w:t>=</w:t>
            </w:r>
          </w:p>
        </w:tc>
        <w:tc>
          <w:tcPr>
            <w:tcW w:w="0" w:type="auto"/>
            <w:vAlign w:val="top"/>
          </w:tcPr>
          <w:p w14:paraId="5B99F78B" w14:textId="5B789EF6" w:rsidR="007624CD" w:rsidRDefault="009C63B2" w:rsidP="00B7767A">
            <w:pPr>
              <w:pStyle w:val="SDMTableBoxParaNotNumbered"/>
            </w:pPr>
            <w:r>
              <w:rPr>
                <w:rFonts w:eastAsiaTheme="minorEastAsia" w:cs="Arial"/>
              </w:rPr>
              <w:t>Activity</w:t>
            </w:r>
            <w:r w:rsidRPr="00D4370C">
              <w:rPr>
                <w:rFonts w:eastAsiaTheme="minorEastAsia" w:cs="Arial"/>
              </w:rPr>
              <w:t xml:space="preserve"> emissions from the release of non-condensable gases </w:t>
            </w:r>
            <w:r>
              <w:rPr>
                <w:rFonts w:eastAsiaTheme="minorEastAsia" w:cs="Arial"/>
              </w:rPr>
              <w:t xml:space="preserve">in a </w:t>
            </w:r>
            <w:r w:rsidRPr="00D4370C">
              <w:rPr>
                <w:rFonts w:eastAsiaTheme="minorEastAsia" w:cs="Arial"/>
              </w:rPr>
              <w:t xml:space="preserve">dry steam or flash steam </w:t>
            </w:r>
            <w:r>
              <w:rPr>
                <w:rFonts w:eastAsiaTheme="minorEastAsia" w:cs="Arial"/>
              </w:rPr>
              <w:t xml:space="preserve">project </w:t>
            </w:r>
            <w:r w:rsidRPr="00D4370C">
              <w:rPr>
                <w:rFonts w:eastAsiaTheme="minorEastAsia" w:cs="Arial"/>
              </w:rPr>
              <w:t>geothermal power plant in year </w:t>
            </w:r>
            <w:r w:rsidRPr="00D4370C">
              <w:rPr>
                <w:rFonts w:eastAsiaTheme="minorEastAsia" w:cs="Arial"/>
                <w:i/>
              </w:rPr>
              <w:t>y</w:t>
            </w:r>
            <w:r w:rsidRPr="00D4370C">
              <w:rPr>
                <w:rFonts w:eastAsiaTheme="minorEastAsia" w:cs="Arial"/>
              </w:rPr>
              <w:t xml:space="preserve"> (t CO</w:t>
            </w:r>
            <w:r w:rsidRPr="00D4370C">
              <w:rPr>
                <w:rFonts w:eastAsiaTheme="minorEastAsia" w:cs="Arial"/>
                <w:vertAlign w:val="subscript"/>
              </w:rPr>
              <w:t>2</w:t>
            </w:r>
            <w:r w:rsidRPr="00D4370C">
              <w:rPr>
                <w:rFonts w:eastAsiaTheme="minorEastAsia" w:cs="Arial"/>
              </w:rPr>
              <w:t>e</w:t>
            </w:r>
            <w:r>
              <w:rPr>
                <w:rFonts w:eastAsiaTheme="minorEastAsia" w:cs="Arial"/>
              </w:rPr>
              <w:t>q</w:t>
            </w:r>
            <w:r w:rsidRPr="00D4370C">
              <w:rPr>
                <w:rFonts w:eastAsiaTheme="minorEastAsia" w:cs="Arial"/>
              </w:rPr>
              <w:t>)</w:t>
            </w:r>
          </w:p>
        </w:tc>
      </w:tr>
      <w:tr w:rsidR="007624CD" w14:paraId="6EC0D3B7" w14:textId="77777777" w:rsidTr="00B7767A">
        <w:tc>
          <w:tcPr>
            <w:tcW w:w="1901" w:type="dxa"/>
            <w:vAlign w:val="top"/>
          </w:tcPr>
          <w:p w14:paraId="56C3D5C6" w14:textId="5D2A69A4" w:rsidR="007624CD" w:rsidRPr="00DA6A59"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w</m:t>
                    </m:r>
                  </m:e>
                  <m:sub>
                    <m:r>
                      <w:rPr>
                        <w:rFonts w:ascii="Cambria Math" w:eastAsiaTheme="minorEastAsia" w:hAnsi="Cambria Math"/>
                      </w:rPr>
                      <m:t>steam</m:t>
                    </m:r>
                    <m:r>
                      <m:rPr>
                        <m:sty m:val="p"/>
                      </m:rPr>
                      <w:rPr>
                        <w:rFonts w:ascii="Cambria Math" w:eastAsiaTheme="minorEastAsia" w:hAnsi="Cambria Math"/>
                      </w:rPr>
                      <m:t>,</m:t>
                    </m:r>
                    <m:r>
                      <w:rPr>
                        <w:rFonts w:ascii="Cambria Math" w:eastAsiaTheme="minorEastAsia" w:hAnsi="Cambria Math"/>
                      </w:rPr>
                      <m:t>CO</m:t>
                    </m:r>
                    <m:r>
                      <m:rPr>
                        <m:sty m:val="p"/>
                      </m:rPr>
                      <w:rPr>
                        <w:rFonts w:ascii="Cambria Math" w:eastAsiaTheme="minorEastAsia" w:hAnsi="Cambria Math"/>
                      </w:rPr>
                      <m:t>2,</m:t>
                    </m:r>
                    <m:r>
                      <w:rPr>
                        <w:rFonts w:ascii="Cambria Math" w:eastAsiaTheme="minorEastAsia" w:hAnsi="Cambria Math"/>
                      </w:rPr>
                      <m:t>y</m:t>
                    </m:r>
                  </m:sub>
                </m:sSub>
              </m:oMath>
            </m:oMathPara>
          </w:p>
        </w:tc>
        <w:tc>
          <w:tcPr>
            <w:tcW w:w="345" w:type="dxa"/>
            <w:vAlign w:val="top"/>
          </w:tcPr>
          <w:p w14:paraId="31ECFBE6" w14:textId="77777777" w:rsidR="007624CD" w:rsidRDefault="007624CD" w:rsidP="00B7767A">
            <w:pPr>
              <w:pStyle w:val="SDMTableBoxParaNotNumbered"/>
            </w:pPr>
            <w:r>
              <w:t>=</w:t>
            </w:r>
          </w:p>
        </w:tc>
        <w:tc>
          <w:tcPr>
            <w:tcW w:w="0" w:type="auto"/>
            <w:vAlign w:val="top"/>
          </w:tcPr>
          <w:p w14:paraId="6B8880C4" w14:textId="75BE0F17" w:rsidR="007624CD" w:rsidRDefault="00CD4147" w:rsidP="00B7767A">
            <w:pPr>
              <w:pStyle w:val="SDMTableBoxParaNotNumbered"/>
            </w:pPr>
            <w:r w:rsidRPr="00D4370C">
              <w:rPr>
                <w:rFonts w:eastAsiaTheme="minorEastAsia" w:cs="Arial"/>
              </w:rPr>
              <w:t>Average mass fraction of CO</w:t>
            </w:r>
            <w:r w:rsidRPr="00D4370C">
              <w:rPr>
                <w:rFonts w:eastAsiaTheme="minorEastAsia" w:cs="Arial"/>
                <w:vertAlign w:val="subscript"/>
              </w:rPr>
              <w:t>2</w:t>
            </w:r>
            <w:r w:rsidRPr="00D4370C">
              <w:rPr>
                <w:rFonts w:eastAsiaTheme="minorEastAsia" w:cs="Arial"/>
              </w:rPr>
              <w:t xml:space="preserve"> in the produced steam in year </w:t>
            </w:r>
            <w:r w:rsidRPr="00D4370C">
              <w:rPr>
                <w:rFonts w:eastAsiaTheme="minorEastAsia" w:cs="Arial"/>
                <w:i/>
              </w:rPr>
              <w:t>y</w:t>
            </w:r>
            <w:r w:rsidRPr="00D4370C">
              <w:rPr>
                <w:rFonts w:eastAsiaTheme="minorEastAsia" w:cs="Arial"/>
              </w:rPr>
              <w:t xml:space="preserve"> (t CO</w:t>
            </w:r>
            <w:r w:rsidRPr="00D4370C">
              <w:rPr>
                <w:rFonts w:eastAsiaTheme="minorEastAsia" w:cs="Arial"/>
                <w:vertAlign w:val="subscript"/>
              </w:rPr>
              <w:t>2</w:t>
            </w:r>
            <w:r w:rsidR="0005672B">
              <w:rPr>
                <w:rFonts w:eastAsiaTheme="minorEastAsia" w:cs="Arial"/>
              </w:rPr>
              <w:t> / </w:t>
            </w:r>
            <w:r w:rsidRPr="00D4370C">
              <w:rPr>
                <w:rFonts w:eastAsiaTheme="minorEastAsia" w:cs="Arial"/>
              </w:rPr>
              <w:t>t steam)</w:t>
            </w:r>
          </w:p>
        </w:tc>
      </w:tr>
      <w:tr w:rsidR="007624CD" w14:paraId="6E3FE701" w14:textId="77777777" w:rsidTr="00B7767A">
        <w:tc>
          <w:tcPr>
            <w:tcW w:w="1901" w:type="dxa"/>
            <w:vAlign w:val="top"/>
          </w:tcPr>
          <w:p w14:paraId="7686FEB3" w14:textId="6DC85BB2" w:rsidR="007624CD" w:rsidRPr="00DA6A59"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w</m:t>
                    </m:r>
                  </m:e>
                  <m:sub>
                    <m:r>
                      <w:rPr>
                        <w:rFonts w:ascii="Cambria Math" w:eastAsiaTheme="minorEastAsia" w:hAnsi="Cambria Math"/>
                      </w:rPr>
                      <m:t>steam</m:t>
                    </m:r>
                    <m:r>
                      <m:rPr>
                        <m:sty m:val="p"/>
                      </m:rPr>
                      <w:rPr>
                        <w:rFonts w:ascii="Cambria Math" w:eastAsiaTheme="minorEastAsia" w:hAnsi="Cambria Math"/>
                      </w:rPr>
                      <m:t>,</m:t>
                    </m:r>
                    <m:r>
                      <w:rPr>
                        <w:rFonts w:ascii="Cambria Math" w:eastAsiaTheme="minorEastAsia" w:hAnsi="Cambria Math"/>
                      </w:rPr>
                      <m:t>CH</m:t>
                    </m:r>
                    <m:r>
                      <m:rPr>
                        <m:sty m:val="p"/>
                      </m:rPr>
                      <w:rPr>
                        <w:rFonts w:ascii="Cambria Math" w:eastAsiaTheme="minorEastAsia" w:hAnsi="Cambria Math"/>
                      </w:rPr>
                      <m:t>4,</m:t>
                    </m:r>
                    <m:r>
                      <w:rPr>
                        <w:rFonts w:ascii="Cambria Math" w:eastAsiaTheme="minorEastAsia" w:hAnsi="Cambria Math"/>
                      </w:rPr>
                      <m:t>y</m:t>
                    </m:r>
                  </m:sub>
                </m:sSub>
              </m:oMath>
            </m:oMathPara>
          </w:p>
        </w:tc>
        <w:tc>
          <w:tcPr>
            <w:tcW w:w="345" w:type="dxa"/>
            <w:vAlign w:val="top"/>
          </w:tcPr>
          <w:p w14:paraId="33E61689" w14:textId="77777777" w:rsidR="007624CD" w:rsidRDefault="007624CD" w:rsidP="00B7767A">
            <w:pPr>
              <w:pStyle w:val="SDMTableBoxParaNotNumbered"/>
            </w:pPr>
            <w:r>
              <w:t>=</w:t>
            </w:r>
          </w:p>
        </w:tc>
        <w:tc>
          <w:tcPr>
            <w:tcW w:w="0" w:type="auto"/>
            <w:vAlign w:val="top"/>
          </w:tcPr>
          <w:p w14:paraId="1CFB42D7" w14:textId="4D13C785" w:rsidR="007624CD" w:rsidRDefault="0017761D" w:rsidP="00B7767A">
            <w:pPr>
              <w:pStyle w:val="SDMTableBoxParaNotNumbered"/>
            </w:pPr>
            <w:r w:rsidRPr="00D4370C">
              <w:rPr>
                <w:rFonts w:eastAsiaTheme="minorEastAsia" w:cs="Arial"/>
              </w:rPr>
              <w:t>Average mass fraction of CH</w:t>
            </w:r>
            <w:r w:rsidRPr="00D4370C">
              <w:rPr>
                <w:rFonts w:eastAsiaTheme="minorEastAsia" w:cs="Arial"/>
                <w:vertAlign w:val="subscript"/>
              </w:rPr>
              <w:t>4</w:t>
            </w:r>
            <w:r w:rsidRPr="00D4370C">
              <w:rPr>
                <w:rFonts w:eastAsiaTheme="minorEastAsia" w:cs="Arial"/>
              </w:rPr>
              <w:t xml:space="preserve"> in the produced steam in year </w:t>
            </w:r>
            <w:r w:rsidRPr="00D4370C">
              <w:rPr>
                <w:rFonts w:eastAsiaTheme="minorEastAsia" w:cs="Arial"/>
                <w:i/>
              </w:rPr>
              <w:t>y</w:t>
            </w:r>
            <w:r w:rsidRPr="00D4370C">
              <w:rPr>
                <w:rFonts w:eastAsiaTheme="minorEastAsia" w:cs="Arial"/>
              </w:rPr>
              <w:t xml:space="preserve"> (t CH</w:t>
            </w:r>
            <w:r w:rsidRPr="00D4370C">
              <w:rPr>
                <w:rFonts w:eastAsiaTheme="minorEastAsia" w:cs="Arial"/>
                <w:vertAlign w:val="subscript"/>
              </w:rPr>
              <w:t>4</w:t>
            </w:r>
            <w:r w:rsidR="0005672B">
              <w:rPr>
                <w:rFonts w:eastAsiaTheme="minorEastAsia" w:cs="Arial"/>
              </w:rPr>
              <w:t> / </w:t>
            </w:r>
            <w:r w:rsidRPr="00D4370C">
              <w:rPr>
                <w:rFonts w:eastAsiaTheme="minorEastAsia" w:cs="Arial"/>
              </w:rPr>
              <w:t>t steam)</w:t>
            </w:r>
          </w:p>
        </w:tc>
      </w:tr>
      <w:tr w:rsidR="00DA6A59" w14:paraId="7FE0D9F2" w14:textId="77777777" w:rsidTr="00B7767A">
        <w:tc>
          <w:tcPr>
            <w:tcW w:w="1901" w:type="dxa"/>
            <w:vAlign w:val="top"/>
          </w:tcPr>
          <w:p w14:paraId="6662F3CC" w14:textId="4E9FF04D" w:rsidR="00DA6A59" w:rsidRPr="00DA6A59"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GWP</m:t>
                    </m:r>
                  </m:e>
                  <m:sub>
                    <m:r>
                      <w:rPr>
                        <w:rFonts w:ascii="Cambria Math" w:eastAsiaTheme="minorEastAsia" w:hAnsi="Cambria Math"/>
                      </w:rPr>
                      <m:t>CH</m:t>
                    </m:r>
                    <m:r>
                      <m:rPr>
                        <m:sty m:val="p"/>
                      </m:rPr>
                      <w:rPr>
                        <w:rFonts w:ascii="Cambria Math" w:eastAsiaTheme="minorEastAsia" w:hAnsi="Cambria Math"/>
                      </w:rPr>
                      <m:t>4</m:t>
                    </m:r>
                  </m:sub>
                </m:sSub>
              </m:oMath>
            </m:oMathPara>
          </w:p>
        </w:tc>
        <w:tc>
          <w:tcPr>
            <w:tcW w:w="345" w:type="dxa"/>
            <w:vAlign w:val="top"/>
          </w:tcPr>
          <w:p w14:paraId="7D2FBBB6" w14:textId="701619F0" w:rsidR="00DA6A59" w:rsidRDefault="00DA6A59" w:rsidP="00B7767A">
            <w:pPr>
              <w:pStyle w:val="SDMTableBoxParaNotNumbered"/>
            </w:pPr>
            <w:r>
              <w:t>=</w:t>
            </w:r>
          </w:p>
        </w:tc>
        <w:tc>
          <w:tcPr>
            <w:tcW w:w="0" w:type="auto"/>
            <w:vAlign w:val="top"/>
          </w:tcPr>
          <w:p w14:paraId="2B4136D2" w14:textId="119C2CE7" w:rsidR="00DA6A59" w:rsidRDefault="00A80E69" w:rsidP="00B7767A">
            <w:pPr>
              <w:pStyle w:val="SDMTableBoxParaNotNumbered"/>
            </w:pPr>
            <w:r w:rsidRPr="00D4370C">
              <w:rPr>
                <w:rFonts w:eastAsiaTheme="minorEastAsia" w:cs="Arial"/>
              </w:rPr>
              <w:t>Global warming potential of CH</w:t>
            </w:r>
            <w:r w:rsidRPr="00D4370C">
              <w:rPr>
                <w:rFonts w:eastAsiaTheme="minorEastAsia" w:cs="Arial"/>
                <w:vertAlign w:val="subscript"/>
              </w:rPr>
              <w:t>4</w:t>
            </w:r>
            <w:r w:rsidRPr="00D4370C">
              <w:rPr>
                <w:rFonts w:eastAsiaTheme="minorEastAsia" w:cs="Arial"/>
              </w:rPr>
              <w:t xml:space="preserve"> valid for the relevant commitment period </w:t>
            </w:r>
            <w:r w:rsidRPr="00D4370C">
              <w:rPr>
                <w:rFonts w:eastAsiaTheme="minorEastAsia" w:cs="Arial"/>
                <w:iCs/>
              </w:rPr>
              <w:t>(t</w:t>
            </w:r>
            <w:r w:rsidRPr="00D4370C">
              <w:rPr>
                <w:rFonts w:eastAsiaTheme="minorEastAsia" w:cs="Arial"/>
              </w:rPr>
              <w:t> </w:t>
            </w:r>
            <w:r w:rsidRPr="00D4370C">
              <w:rPr>
                <w:rFonts w:eastAsiaTheme="minorEastAsia" w:cs="Arial"/>
                <w:iCs/>
              </w:rPr>
              <w:t>CO</w:t>
            </w:r>
            <w:r w:rsidRPr="00D4370C">
              <w:rPr>
                <w:rFonts w:eastAsiaTheme="minorEastAsia" w:cs="Arial"/>
                <w:iCs/>
                <w:vertAlign w:val="subscript"/>
              </w:rPr>
              <w:t>2</w:t>
            </w:r>
            <w:r w:rsidRPr="00D4370C">
              <w:rPr>
                <w:rFonts w:eastAsiaTheme="minorEastAsia" w:cs="Arial"/>
                <w:iCs/>
              </w:rPr>
              <w:t>e</w:t>
            </w:r>
            <w:r>
              <w:rPr>
                <w:rFonts w:eastAsiaTheme="minorEastAsia" w:cs="Arial"/>
                <w:iCs/>
              </w:rPr>
              <w:t>q </w:t>
            </w:r>
            <w:r w:rsidRPr="00D4370C">
              <w:rPr>
                <w:rFonts w:eastAsiaTheme="minorEastAsia" w:cs="Arial"/>
                <w:iCs/>
              </w:rPr>
              <w:t>/</w:t>
            </w:r>
            <w:r>
              <w:rPr>
                <w:rFonts w:eastAsiaTheme="minorEastAsia" w:cs="Arial"/>
                <w:iCs/>
              </w:rPr>
              <w:t> </w:t>
            </w:r>
            <w:r w:rsidRPr="00D4370C">
              <w:rPr>
                <w:rFonts w:eastAsiaTheme="minorEastAsia" w:cs="Arial"/>
                <w:iCs/>
              </w:rPr>
              <w:t>t</w:t>
            </w:r>
            <w:r w:rsidRPr="00D4370C">
              <w:rPr>
                <w:rFonts w:eastAsiaTheme="minorEastAsia" w:cs="Arial"/>
              </w:rPr>
              <w:t> </w:t>
            </w:r>
            <w:r w:rsidRPr="00D4370C">
              <w:rPr>
                <w:rFonts w:eastAsiaTheme="minorEastAsia" w:cs="Arial"/>
                <w:iCs/>
              </w:rPr>
              <w:t>CH</w:t>
            </w:r>
            <w:r w:rsidRPr="00D4370C">
              <w:rPr>
                <w:rFonts w:eastAsiaTheme="minorEastAsia" w:cs="Arial"/>
                <w:iCs/>
                <w:vertAlign w:val="subscript"/>
              </w:rPr>
              <w:t>4</w:t>
            </w:r>
            <w:r w:rsidRPr="00D4370C">
              <w:rPr>
                <w:rFonts w:eastAsiaTheme="minorEastAsia" w:cs="Arial"/>
                <w:iCs/>
              </w:rPr>
              <w:t>)</w:t>
            </w:r>
          </w:p>
        </w:tc>
      </w:tr>
      <w:tr w:rsidR="00DA6A59" w14:paraId="32BCB03D" w14:textId="77777777" w:rsidTr="00B7767A">
        <w:tc>
          <w:tcPr>
            <w:tcW w:w="1901" w:type="dxa"/>
            <w:vAlign w:val="top"/>
          </w:tcPr>
          <w:p w14:paraId="47022D8C" w14:textId="339CC7DB" w:rsidR="00DA6A59" w:rsidRPr="00DA6A59"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M</m:t>
                    </m:r>
                  </m:e>
                  <m:sub>
                    <m:r>
                      <w:rPr>
                        <w:rFonts w:ascii="Cambria Math" w:eastAsiaTheme="minorEastAsia" w:hAnsi="Cambria Math"/>
                      </w:rPr>
                      <m:t>st</m:t>
                    </m:r>
                    <m:r>
                      <m:rPr>
                        <m:sty m:val="p"/>
                      </m:rPr>
                      <w:rPr>
                        <w:rFonts w:ascii="Cambria Math" w:eastAsiaTheme="minorEastAsia" w:hAnsi="Cambria Math"/>
                      </w:rPr>
                      <m:t>e</m:t>
                    </m:r>
                    <m:r>
                      <w:rPr>
                        <w:rFonts w:ascii="Cambria Math" w:eastAsiaTheme="minorEastAsia" w:hAnsi="Cambria Math"/>
                      </w:rPr>
                      <m:t>am</m:t>
                    </m:r>
                    <m:r>
                      <m:rPr>
                        <m:sty m:val="p"/>
                      </m:rPr>
                      <w:rPr>
                        <w:rFonts w:ascii="Cambria Math" w:eastAsiaTheme="minorEastAsia" w:hAnsi="Cambria Math"/>
                      </w:rPr>
                      <m:t>,</m:t>
                    </m:r>
                    <m:r>
                      <w:rPr>
                        <w:rFonts w:ascii="Cambria Math" w:eastAsiaTheme="minorEastAsia" w:hAnsi="Cambria Math"/>
                      </w:rPr>
                      <m:t>y</m:t>
                    </m:r>
                  </m:sub>
                </m:sSub>
              </m:oMath>
            </m:oMathPara>
          </w:p>
        </w:tc>
        <w:tc>
          <w:tcPr>
            <w:tcW w:w="345" w:type="dxa"/>
            <w:vAlign w:val="top"/>
          </w:tcPr>
          <w:p w14:paraId="399A1CB1" w14:textId="0BC1DA12" w:rsidR="00DA6A59" w:rsidRDefault="00DA6A59" w:rsidP="00B7767A">
            <w:pPr>
              <w:pStyle w:val="SDMTableBoxParaNotNumbered"/>
            </w:pPr>
            <w:r>
              <w:t>=</w:t>
            </w:r>
          </w:p>
        </w:tc>
        <w:tc>
          <w:tcPr>
            <w:tcW w:w="0" w:type="auto"/>
            <w:vAlign w:val="top"/>
          </w:tcPr>
          <w:p w14:paraId="684B7B0E" w14:textId="1BE3B198" w:rsidR="00DA6A59" w:rsidRDefault="00252C19" w:rsidP="00B7767A">
            <w:pPr>
              <w:pStyle w:val="SDMTableBoxParaNotNumbered"/>
            </w:pPr>
            <w:r w:rsidRPr="00D4370C">
              <w:rPr>
                <w:rFonts w:eastAsiaTheme="minorEastAsia" w:cs="Arial"/>
              </w:rPr>
              <w:t>Quantity of steam produced in year </w:t>
            </w:r>
            <w:r w:rsidRPr="00D4370C">
              <w:rPr>
                <w:rFonts w:eastAsiaTheme="minorEastAsia" w:cs="Arial"/>
                <w:i/>
              </w:rPr>
              <w:t>y</w:t>
            </w:r>
            <w:r w:rsidRPr="00D4370C">
              <w:rPr>
                <w:rFonts w:eastAsiaTheme="minorEastAsia" w:cs="Arial"/>
                <w:iCs/>
              </w:rPr>
              <w:t xml:space="preserve"> (t steam)</w:t>
            </w:r>
          </w:p>
        </w:tc>
      </w:tr>
    </w:tbl>
    <w:p w14:paraId="7339A8B3" w14:textId="6437EEDA" w:rsidR="007F5F62" w:rsidRDefault="00B74CDE" w:rsidP="00EC00DE">
      <w:pPr>
        <w:pStyle w:val="SDMPara"/>
        <w:keepNext/>
      </w:pPr>
      <w:r w:rsidRPr="00345674">
        <w:rPr>
          <w:rFonts w:eastAsiaTheme="minorEastAsia"/>
          <w:lang w:val="en-US"/>
        </w:rPr>
        <w:t>Activity</w:t>
      </w:r>
      <w:r w:rsidRPr="0098195E">
        <w:t xml:space="preserve"> emissions from physical leakage of non-condensable gases in a binary project geothermal power plant in year</w:t>
      </w:r>
      <w:r>
        <w:t> </w:t>
      </w:r>
      <w:r w:rsidRPr="0098195E">
        <w:rPr>
          <w:i/>
          <w:iCs/>
        </w:rPr>
        <w:t>y</w:t>
      </w:r>
      <w:r w:rsidRPr="0098195E">
        <w:t xml:space="preserve"> </w:t>
      </w:r>
      <w:r>
        <w:t>(</w:t>
      </w:r>
      <w:r>
        <w:rPr>
          <w:i/>
          <w:iCs/>
        </w:rPr>
        <w:t>A</w:t>
      </w:r>
      <w:r w:rsidRPr="008777F6">
        <w:rPr>
          <w:i/>
          <w:iCs/>
        </w:rPr>
        <w:t>E</w:t>
      </w:r>
      <w:r w:rsidRPr="008777F6">
        <w:rPr>
          <w:i/>
          <w:iCs/>
          <w:vertAlign w:val="subscript"/>
        </w:rPr>
        <w:t>steam,y</w:t>
      </w:r>
      <w:r>
        <w:t>) shall be calculated as follow</w:t>
      </w:r>
      <w:r w:rsidRPr="00D4370C">
        <w:t>s:</w:t>
      </w:r>
    </w:p>
    <w:tbl>
      <w:tblPr>
        <w:tblStyle w:val="SDMMethTableEquation"/>
        <w:tblW w:w="8760" w:type="dxa"/>
        <w:tblLook w:val="0600" w:firstRow="0" w:lastRow="0" w:firstColumn="0" w:lastColumn="0" w:noHBand="1" w:noVBand="1"/>
      </w:tblPr>
      <w:tblGrid>
        <w:gridCol w:w="7099"/>
        <w:gridCol w:w="1661"/>
      </w:tblGrid>
      <w:tr w:rsidR="00B74CDE" w:rsidRPr="00E32F75" w14:paraId="61EBA19C" w14:textId="77777777" w:rsidTr="00690A70">
        <w:tc>
          <w:tcPr>
            <w:tcW w:w="7224" w:type="dxa"/>
          </w:tcPr>
          <w:p w14:paraId="56ABE536" w14:textId="6A5E4E3C" w:rsidR="00B74CDE" w:rsidRPr="00252AA4" w:rsidRDefault="0039641B" w:rsidP="00690A70">
            <w:pPr>
              <w:pStyle w:val="SDMMethEquation"/>
            </w:pPr>
            <m:oMathPara>
              <m:oMathParaPr>
                <m:jc m:val="left"/>
              </m:oMathParaPr>
              <m:oMath>
                <m:sSub>
                  <m:sSubPr>
                    <m:ctrlPr>
                      <w:rPr>
                        <w:rFonts w:ascii="Cambria Math" w:eastAsiaTheme="minorEastAsia" w:hAnsi="Cambria Math"/>
                        <w:sz w:val="20"/>
                      </w:rPr>
                    </m:ctrlPr>
                  </m:sSubPr>
                  <m:e>
                    <m:r>
                      <w:rPr>
                        <w:rFonts w:ascii="Cambria Math" w:eastAsiaTheme="minorEastAsia" w:hAnsi="Cambria Math"/>
                        <w:sz w:val="20"/>
                      </w:rPr>
                      <m:t>AE</m:t>
                    </m:r>
                  </m:e>
                  <m:sub>
                    <m:r>
                      <w:rPr>
                        <w:rFonts w:ascii="Cambria Math" w:eastAsiaTheme="minorEastAsia" w:hAnsi="Cambria Math"/>
                        <w:sz w:val="20"/>
                      </w:rPr>
                      <m:t>steam</m:t>
                    </m:r>
                    <m:r>
                      <m:rPr>
                        <m:sty m:val="p"/>
                      </m:rPr>
                      <w:rPr>
                        <w:rFonts w:ascii="Cambria Math" w:eastAsiaTheme="minorEastAsia" w:hAnsi="Cambria Math"/>
                        <w:sz w:val="20"/>
                      </w:rPr>
                      <m:t>,</m:t>
                    </m:r>
                    <m:r>
                      <w:rPr>
                        <w:rFonts w:ascii="Cambria Math" w:eastAsiaTheme="minorEastAsia" w:hAnsi="Cambria Math"/>
                        <w:sz w:val="20"/>
                      </w:rPr>
                      <m:t>y</m:t>
                    </m:r>
                  </m:sub>
                </m:sSub>
                <m:r>
                  <m:rPr>
                    <m:sty m:val="p"/>
                  </m:rPr>
                  <w:rPr>
                    <w:rFonts w:ascii="Cambria Math" w:eastAsiaTheme="minorEastAsia" w:hAnsi="Cambria Math"/>
                    <w:sz w:val="20"/>
                  </w:rPr>
                  <m:t>=</m:t>
                </m:r>
                <m:d>
                  <m:dPr>
                    <m:ctrlPr>
                      <w:rPr>
                        <w:rFonts w:ascii="Cambria Math" w:eastAsiaTheme="minorEastAsia" w:hAnsi="Cambria Math"/>
                        <w:i/>
                        <w:sz w:val="20"/>
                      </w:rPr>
                    </m:ctrlPr>
                  </m:dPr>
                  <m:e>
                    <m:sSub>
                      <m:sSubPr>
                        <m:ctrlPr>
                          <w:rPr>
                            <w:rFonts w:ascii="Cambria Math" w:eastAsiaTheme="minorEastAsia" w:hAnsi="Cambria Math"/>
                            <w:i/>
                            <w:sz w:val="20"/>
                          </w:rPr>
                        </m:ctrlPr>
                      </m:sSubPr>
                      <m:e>
                        <m:r>
                          <w:rPr>
                            <w:rFonts w:ascii="Cambria Math" w:eastAsiaTheme="minorEastAsia" w:hAnsi="Cambria Math"/>
                            <w:sz w:val="20"/>
                          </w:rPr>
                          <m:t>M</m:t>
                        </m:r>
                      </m:e>
                      <m:sub>
                        <m:r>
                          <w:rPr>
                            <w:rFonts w:ascii="Cambria Math" w:eastAsiaTheme="minorEastAsia" w:hAnsi="Cambria Math"/>
                            <w:sz w:val="20"/>
                          </w:rPr>
                          <m:t>Inflow,y</m:t>
                        </m:r>
                      </m:sub>
                    </m:sSub>
                    <m:r>
                      <w:rPr>
                        <w:rFonts w:ascii="Cambria Math" w:eastAsiaTheme="minorEastAsia" w:hAnsi="Cambria Math"/>
                        <w:sz w:val="20"/>
                      </w:rPr>
                      <m:t>-</m:t>
                    </m:r>
                    <m:sSub>
                      <m:sSubPr>
                        <m:ctrlPr>
                          <w:rPr>
                            <w:rFonts w:ascii="Cambria Math" w:eastAsiaTheme="minorEastAsia" w:hAnsi="Cambria Math"/>
                            <w:i/>
                            <w:sz w:val="20"/>
                          </w:rPr>
                        </m:ctrlPr>
                      </m:sSubPr>
                      <m:e>
                        <m:r>
                          <w:rPr>
                            <w:rFonts w:ascii="Cambria Math" w:eastAsiaTheme="minorEastAsia" w:hAnsi="Cambria Math"/>
                            <w:sz w:val="20"/>
                          </w:rPr>
                          <m:t>M</m:t>
                        </m:r>
                      </m:e>
                      <m:sub>
                        <m:r>
                          <w:rPr>
                            <w:rFonts w:ascii="Cambria Math" w:eastAsiaTheme="minorEastAsia" w:hAnsi="Cambria Math"/>
                            <w:sz w:val="20"/>
                          </w:rPr>
                          <m:t>outflow,y</m:t>
                        </m:r>
                      </m:sub>
                    </m:sSub>
                  </m:e>
                </m:d>
                <m:r>
                  <w:rPr>
                    <w:rFonts w:ascii="Cambria Math" w:eastAsiaTheme="minorEastAsia" w:hAnsi="Cambria Math"/>
                    <w:sz w:val="20"/>
                  </w:rPr>
                  <m:t>×</m:t>
                </m:r>
                <m:d>
                  <m:dPr>
                    <m:ctrlPr>
                      <w:rPr>
                        <w:rFonts w:ascii="Cambria Math" w:eastAsiaTheme="minorEastAsia" w:hAnsi="Cambria Math"/>
                        <w:i/>
                        <w:sz w:val="20"/>
                      </w:rPr>
                    </m:ctrlPr>
                  </m:dPr>
                  <m:e>
                    <m:sSub>
                      <m:sSubPr>
                        <m:ctrlPr>
                          <w:rPr>
                            <w:rFonts w:ascii="Cambria Math" w:eastAsiaTheme="minorEastAsia" w:hAnsi="Cambria Math"/>
                            <w:sz w:val="20"/>
                          </w:rPr>
                        </m:ctrlPr>
                      </m:sSubPr>
                      <m:e>
                        <m:r>
                          <w:rPr>
                            <w:rFonts w:ascii="Cambria Math" w:eastAsiaTheme="minorEastAsia" w:hAnsi="Cambria Math"/>
                            <w:sz w:val="20"/>
                          </w:rPr>
                          <m:t>w</m:t>
                        </m:r>
                      </m:e>
                      <m:sub>
                        <m:r>
                          <w:rPr>
                            <w:rFonts w:ascii="Cambria Math" w:eastAsiaTheme="minorEastAsia" w:hAnsi="Cambria Math"/>
                            <w:sz w:val="20"/>
                          </w:rPr>
                          <m:t>steam</m:t>
                        </m:r>
                        <m:r>
                          <m:rPr>
                            <m:sty m:val="p"/>
                          </m:rPr>
                          <w:rPr>
                            <w:rFonts w:ascii="Cambria Math" w:eastAsiaTheme="minorEastAsia" w:hAnsi="Cambria Math"/>
                            <w:sz w:val="20"/>
                          </w:rPr>
                          <m:t>,</m:t>
                        </m:r>
                        <m:r>
                          <w:rPr>
                            <w:rFonts w:ascii="Cambria Math" w:eastAsiaTheme="minorEastAsia" w:hAnsi="Cambria Math"/>
                            <w:sz w:val="20"/>
                          </w:rPr>
                          <m:t>CO</m:t>
                        </m:r>
                        <m:r>
                          <m:rPr>
                            <m:sty m:val="p"/>
                          </m:rPr>
                          <w:rPr>
                            <w:rFonts w:ascii="Cambria Math" w:eastAsiaTheme="minorEastAsia" w:hAnsi="Cambria Math"/>
                            <w:sz w:val="20"/>
                          </w:rPr>
                          <m:t>2,</m:t>
                        </m:r>
                        <m:r>
                          <w:rPr>
                            <w:rFonts w:ascii="Cambria Math" w:eastAsiaTheme="minorEastAsia" w:hAnsi="Cambria Math"/>
                            <w:sz w:val="20"/>
                          </w:rPr>
                          <m:t>y</m:t>
                        </m:r>
                      </m:sub>
                    </m:sSub>
                    <m:sSub>
                      <m:sSubPr>
                        <m:ctrlPr>
                          <w:rPr>
                            <w:rFonts w:ascii="Cambria Math" w:eastAsiaTheme="minorEastAsia" w:hAnsi="Cambria Math"/>
                            <w:sz w:val="20"/>
                          </w:rPr>
                        </m:ctrlPr>
                      </m:sSubPr>
                      <m:e>
                        <m:r>
                          <w:rPr>
                            <w:rFonts w:ascii="Cambria Math" w:eastAsiaTheme="minorEastAsia" w:hAnsi="Cambria Math"/>
                            <w:sz w:val="20"/>
                          </w:rPr>
                          <m:t>+ w</m:t>
                        </m:r>
                      </m:e>
                      <m:sub>
                        <m:r>
                          <w:rPr>
                            <w:rFonts w:ascii="Cambria Math" w:eastAsiaTheme="minorEastAsia" w:hAnsi="Cambria Math"/>
                            <w:sz w:val="20"/>
                          </w:rPr>
                          <m:t>steam</m:t>
                        </m:r>
                        <m:r>
                          <m:rPr>
                            <m:sty m:val="p"/>
                          </m:rPr>
                          <w:rPr>
                            <w:rFonts w:ascii="Cambria Math" w:eastAsiaTheme="minorEastAsia" w:hAnsi="Cambria Math"/>
                            <w:sz w:val="20"/>
                          </w:rPr>
                          <m:t>,</m:t>
                        </m:r>
                        <m:r>
                          <w:rPr>
                            <w:rFonts w:ascii="Cambria Math" w:eastAsiaTheme="minorEastAsia" w:hAnsi="Cambria Math"/>
                            <w:sz w:val="20"/>
                          </w:rPr>
                          <m:t>CH</m:t>
                        </m:r>
                        <m:r>
                          <m:rPr>
                            <m:sty m:val="p"/>
                          </m:rPr>
                          <w:rPr>
                            <w:rFonts w:ascii="Cambria Math" w:eastAsiaTheme="minorEastAsia" w:hAnsi="Cambria Math"/>
                            <w:sz w:val="20"/>
                          </w:rPr>
                          <m:t>4,</m:t>
                        </m:r>
                        <m:r>
                          <w:rPr>
                            <w:rFonts w:ascii="Cambria Math" w:eastAsiaTheme="minorEastAsia" w:hAnsi="Cambria Math"/>
                            <w:sz w:val="20"/>
                          </w:rPr>
                          <m:t>y</m:t>
                        </m:r>
                      </m:sub>
                    </m:sSub>
                    <m:r>
                      <w:rPr>
                        <w:rFonts w:ascii="Cambria Math" w:eastAsiaTheme="minorEastAsia" w:hAnsi="Cambria Math"/>
                        <w:sz w:val="20"/>
                      </w:rPr>
                      <m:t>×</m:t>
                    </m:r>
                    <m:sSub>
                      <m:sSubPr>
                        <m:ctrlPr>
                          <w:rPr>
                            <w:rFonts w:ascii="Cambria Math" w:eastAsiaTheme="minorEastAsia" w:hAnsi="Cambria Math"/>
                            <w:i/>
                            <w:sz w:val="20"/>
                          </w:rPr>
                        </m:ctrlPr>
                      </m:sSubPr>
                      <m:e>
                        <m:r>
                          <w:rPr>
                            <w:rFonts w:ascii="Cambria Math" w:eastAsiaTheme="minorEastAsia" w:hAnsi="Cambria Math"/>
                            <w:sz w:val="20"/>
                          </w:rPr>
                          <m:t>GWP</m:t>
                        </m:r>
                      </m:e>
                      <m:sub>
                        <m:r>
                          <w:rPr>
                            <w:rFonts w:ascii="Cambria Math" w:eastAsiaTheme="minorEastAsia" w:hAnsi="Cambria Math"/>
                            <w:sz w:val="20"/>
                          </w:rPr>
                          <m:t>CH4</m:t>
                        </m:r>
                      </m:sub>
                    </m:sSub>
                  </m:e>
                </m:d>
              </m:oMath>
            </m:oMathPara>
          </w:p>
        </w:tc>
        <w:tc>
          <w:tcPr>
            <w:tcW w:w="1701" w:type="dxa"/>
          </w:tcPr>
          <w:p w14:paraId="1B853FC1" w14:textId="77777777" w:rsidR="00B74CDE" w:rsidRPr="002B6960" w:rsidRDefault="00B74CDE" w:rsidP="007255A3">
            <w:pPr>
              <w:pStyle w:val="SDMMethEquationNr"/>
              <w:numPr>
                <w:ilvl w:val="0"/>
                <w:numId w:val="21"/>
              </w:numPr>
            </w:pPr>
          </w:p>
        </w:tc>
      </w:tr>
    </w:tbl>
    <w:p w14:paraId="27A3B6FD" w14:textId="77777777" w:rsidR="00B74CDE" w:rsidRDefault="00B74CDE"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B74CDE" w14:paraId="274CF211" w14:textId="77777777" w:rsidTr="00B7767A">
        <w:tc>
          <w:tcPr>
            <w:tcW w:w="1701" w:type="dxa"/>
            <w:vAlign w:val="top"/>
          </w:tcPr>
          <w:p w14:paraId="4EAFCF2B" w14:textId="41DDD746" w:rsidR="00B74CDE" w:rsidRPr="00FB0FE0"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steam</m:t>
                    </m:r>
                    <m:r>
                      <m:rPr>
                        <m:sty m:val="p"/>
                      </m:rPr>
                      <w:rPr>
                        <w:rFonts w:ascii="Cambria Math" w:eastAsiaTheme="minorEastAsia" w:hAnsi="Cambria Math"/>
                      </w:rPr>
                      <m:t>,</m:t>
                    </m:r>
                    <m:r>
                      <w:rPr>
                        <w:rFonts w:ascii="Cambria Math" w:eastAsiaTheme="minorEastAsia" w:hAnsi="Cambria Math"/>
                      </w:rPr>
                      <m:t>y</m:t>
                    </m:r>
                  </m:sub>
                </m:sSub>
              </m:oMath>
            </m:oMathPara>
          </w:p>
        </w:tc>
        <w:tc>
          <w:tcPr>
            <w:tcW w:w="345" w:type="dxa"/>
            <w:vAlign w:val="top"/>
          </w:tcPr>
          <w:p w14:paraId="49AB747F" w14:textId="77777777" w:rsidR="00B74CDE" w:rsidRDefault="00B74CDE" w:rsidP="00B7767A">
            <w:pPr>
              <w:pStyle w:val="SDMTableBoxParaNotNumbered"/>
            </w:pPr>
            <w:r>
              <w:t>=</w:t>
            </w:r>
          </w:p>
        </w:tc>
        <w:tc>
          <w:tcPr>
            <w:tcW w:w="0" w:type="auto"/>
            <w:vAlign w:val="top"/>
          </w:tcPr>
          <w:p w14:paraId="51A0F7BD" w14:textId="3AE8BAD7" w:rsidR="00B74CDE" w:rsidRDefault="00CD516B" w:rsidP="00B7767A">
            <w:pPr>
              <w:pStyle w:val="SDMTableBoxParaNotNumbered"/>
            </w:pPr>
            <w:r>
              <w:rPr>
                <w:rFonts w:eastAsiaTheme="minorEastAsia"/>
              </w:rPr>
              <w:t>Activity</w:t>
            </w:r>
            <w:r w:rsidRPr="00D4370C">
              <w:rPr>
                <w:rFonts w:eastAsiaTheme="minorEastAsia"/>
              </w:rPr>
              <w:t xml:space="preserve"> emissions from physical leakage of non-condensable gases </w:t>
            </w:r>
            <w:r>
              <w:rPr>
                <w:rFonts w:eastAsiaTheme="minorEastAsia"/>
              </w:rPr>
              <w:t xml:space="preserve">in a </w:t>
            </w:r>
            <w:r w:rsidRPr="00D4370C">
              <w:rPr>
                <w:rFonts w:eastAsiaTheme="minorEastAsia"/>
              </w:rPr>
              <w:t>binary</w:t>
            </w:r>
            <w:r>
              <w:rPr>
                <w:rFonts w:eastAsiaTheme="minorEastAsia"/>
              </w:rPr>
              <w:t xml:space="preserve"> project</w:t>
            </w:r>
            <w:r w:rsidRPr="00D4370C">
              <w:rPr>
                <w:rFonts w:eastAsiaTheme="minorEastAsia"/>
              </w:rPr>
              <w:t xml:space="preserve"> geothermal power plant in year </w:t>
            </w:r>
            <w:r w:rsidRPr="00D4370C">
              <w:rPr>
                <w:rFonts w:eastAsiaTheme="minorEastAsia"/>
                <w:i/>
              </w:rPr>
              <w:t>y</w:t>
            </w:r>
            <w:r w:rsidRPr="00D4370C">
              <w:rPr>
                <w:rFonts w:eastAsiaTheme="minorEastAsia"/>
              </w:rPr>
              <w:t xml:space="preserve"> (t CO</w:t>
            </w:r>
            <w:r w:rsidRPr="00D4370C">
              <w:rPr>
                <w:rFonts w:eastAsiaTheme="minorEastAsia"/>
                <w:vertAlign w:val="subscript"/>
              </w:rPr>
              <w:t>2</w:t>
            </w:r>
            <w:r w:rsidRPr="00D4370C">
              <w:rPr>
                <w:rFonts w:eastAsiaTheme="minorEastAsia"/>
              </w:rPr>
              <w:t>e</w:t>
            </w:r>
            <w:r>
              <w:rPr>
                <w:rFonts w:eastAsiaTheme="minorEastAsia"/>
              </w:rPr>
              <w:t>q</w:t>
            </w:r>
            <w:r w:rsidRPr="00D4370C">
              <w:rPr>
                <w:rFonts w:eastAsiaTheme="minorEastAsia"/>
              </w:rPr>
              <w:t>)</w:t>
            </w:r>
          </w:p>
        </w:tc>
      </w:tr>
      <w:tr w:rsidR="00B74CDE" w14:paraId="7DD86D4C" w14:textId="77777777" w:rsidTr="00B7767A">
        <w:tc>
          <w:tcPr>
            <w:tcW w:w="1701" w:type="dxa"/>
            <w:vAlign w:val="top"/>
          </w:tcPr>
          <w:p w14:paraId="4DEF38F0" w14:textId="7CA52477" w:rsidR="00B74CDE" w:rsidRPr="00FB0FE0" w:rsidRDefault="0039641B" w:rsidP="00B7767A">
            <w:pPr>
              <w:pStyle w:val="SDMTableBoxParaNotNumbered"/>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Inflow,y</m:t>
                    </m:r>
                  </m:sub>
                </m:sSub>
              </m:oMath>
            </m:oMathPara>
          </w:p>
        </w:tc>
        <w:tc>
          <w:tcPr>
            <w:tcW w:w="345" w:type="dxa"/>
            <w:vAlign w:val="top"/>
          </w:tcPr>
          <w:p w14:paraId="6D6822F4" w14:textId="77777777" w:rsidR="00B74CDE" w:rsidRDefault="00B74CDE" w:rsidP="00B7767A">
            <w:pPr>
              <w:pStyle w:val="SDMTableBoxParaNotNumbered"/>
            </w:pPr>
            <w:r>
              <w:t>=</w:t>
            </w:r>
          </w:p>
        </w:tc>
        <w:tc>
          <w:tcPr>
            <w:tcW w:w="0" w:type="auto"/>
            <w:vAlign w:val="top"/>
          </w:tcPr>
          <w:p w14:paraId="4F11EDB1" w14:textId="767ADCF4" w:rsidR="00B74CDE" w:rsidRDefault="008F6771" w:rsidP="00B7767A">
            <w:pPr>
              <w:pStyle w:val="SDMTableBoxParaNotNumbered"/>
            </w:pPr>
            <w:r w:rsidRPr="00D4370C">
              <w:rPr>
                <w:rFonts w:eastAsiaTheme="minorEastAsia"/>
              </w:rPr>
              <w:t>Quantity of steam entering the geothermal plant in year </w:t>
            </w:r>
            <w:r w:rsidRPr="00D4370C">
              <w:rPr>
                <w:rFonts w:eastAsiaTheme="minorEastAsia"/>
                <w:i/>
              </w:rPr>
              <w:t>y</w:t>
            </w:r>
            <w:r w:rsidRPr="00D4370C">
              <w:rPr>
                <w:rFonts w:eastAsiaTheme="minorEastAsia"/>
              </w:rPr>
              <w:t xml:space="preserve"> (t steam)</w:t>
            </w:r>
          </w:p>
        </w:tc>
      </w:tr>
      <w:tr w:rsidR="00B74CDE" w14:paraId="760AA4BB" w14:textId="77777777" w:rsidTr="00B7767A">
        <w:tc>
          <w:tcPr>
            <w:tcW w:w="1701" w:type="dxa"/>
            <w:vAlign w:val="top"/>
          </w:tcPr>
          <w:p w14:paraId="72E6002E" w14:textId="2C3B47D9" w:rsidR="00B74CDE" w:rsidRPr="00FB0FE0" w:rsidRDefault="0039641B" w:rsidP="00B7767A">
            <w:pPr>
              <w:pStyle w:val="SDMTableBoxParaNotNumbered"/>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outflow,y</m:t>
                    </m:r>
                  </m:sub>
                </m:sSub>
              </m:oMath>
            </m:oMathPara>
          </w:p>
        </w:tc>
        <w:tc>
          <w:tcPr>
            <w:tcW w:w="345" w:type="dxa"/>
            <w:vAlign w:val="top"/>
          </w:tcPr>
          <w:p w14:paraId="7CA1E369" w14:textId="77777777" w:rsidR="00B74CDE" w:rsidRDefault="00B74CDE" w:rsidP="00B7767A">
            <w:pPr>
              <w:pStyle w:val="SDMTableBoxParaNotNumbered"/>
            </w:pPr>
            <w:r>
              <w:t>=</w:t>
            </w:r>
          </w:p>
        </w:tc>
        <w:tc>
          <w:tcPr>
            <w:tcW w:w="0" w:type="auto"/>
            <w:vAlign w:val="top"/>
          </w:tcPr>
          <w:p w14:paraId="699E3957" w14:textId="2C79C736" w:rsidR="00B74CDE" w:rsidRDefault="0079676B" w:rsidP="00B7767A">
            <w:pPr>
              <w:pStyle w:val="SDMTableBoxParaNotNumbered"/>
            </w:pPr>
            <w:r w:rsidRPr="00D4370C">
              <w:rPr>
                <w:rFonts w:eastAsiaTheme="minorEastAsia"/>
              </w:rPr>
              <w:t>Quantity of steam leaving the geothermal plant in year </w:t>
            </w:r>
            <w:r w:rsidRPr="00D4370C">
              <w:rPr>
                <w:rFonts w:eastAsiaTheme="minorEastAsia"/>
                <w:i/>
              </w:rPr>
              <w:t>y</w:t>
            </w:r>
            <w:r w:rsidRPr="00D4370C">
              <w:rPr>
                <w:rFonts w:eastAsiaTheme="minorEastAsia"/>
              </w:rPr>
              <w:t xml:space="preserve"> (t steam)</w:t>
            </w:r>
          </w:p>
        </w:tc>
      </w:tr>
      <w:tr w:rsidR="00FB0FE0" w14:paraId="4FAF55A1" w14:textId="77777777" w:rsidTr="00B7767A">
        <w:tc>
          <w:tcPr>
            <w:tcW w:w="1701" w:type="dxa"/>
            <w:vAlign w:val="top"/>
          </w:tcPr>
          <w:p w14:paraId="70D458B0" w14:textId="608C64A9" w:rsidR="00FB0FE0" w:rsidRPr="00FB0FE0"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w</m:t>
                    </m:r>
                  </m:e>
                  <m:sub>
                    <m:r>
                      <w:rPr>
                        <w:rFonts w:ascii="Cambria Math" w:eastAsiaTheme="minorEastAsia" w:hAnsi="Cambria Math"/>
                      </w:rPr>
                      <m:t>steam</m:t>
                    </m:r>
                    <m:r>
                      <m:rPr>
                        <m:sty m:val="p"/>
                      </m:rPr>
                      <w:rPr>
                        <w:rFonts w:ascii="Cambria Math" w:eastAsiaTheme="minorEastAsia" w:hAnsi="Cambria Math"/>
                      </w:rPr>
                      <m:t>,</m:t>
                    </m:r>
                    <m:r>
                      <w:rPr>
                        <w:rFonts w:ascii="Cambria Math" w:eastAsiaTheme="minorEastAsia" w:hAnsi="Cambria Math"/>
                      </w:rPr>
                      <m:t>CO</m:t>
                    </m:r>
                    <m:r>
                      <m:rPr>
                        <m:sty m:val="p"/>
                      </m:rPr>
                      <w:rPr>
                        <w:rFonts w:ascii="Cambria Math" w:eastAsiaTheme="minorEastAsia" w:hAnsi="Cambria Math"/>
                      </w:rPr>
                      <m:t>2,</m:t>
                    </m:r>
                    <m:r>
                      <w:rPr>
                        <w:rFonts w:ascii="Cambria Math" w:eastAsiaTheme="minorEastAsia" w:hAnsi="Cambria Math"/>
                      </w:rPr>
                      <m:t>y</m:t>
                    </m:r>
                  </m:sub>
                </m:sSub>
              </m:oMath>
            </m:oMathPara>
          </w:p>
        </w:tc>
        <w:tc>
          <w:tcPr>
            <w:tcW w:w="345" w:type="dxa"/>
            <w:vAlign w:val="top"/>
          </w:tcPr>
          <w:p w14:paraId="1D5B4CC1" w14:textId="12B72600" w:rsidR="00FB0FE0" w:rsidRDefault="00A40F6D" w:rsidP="00B7767A">
            <w:pPr>
              <w:pStyle w:val="SDMTableBoxParaNotNumbered"/>
            </w:pPr>
            <w:r>
              <w:t>=</w:t>
            </w:r>
          </w:p>
        </w:tc>
        <w:tc>
          <w:tcPr>
            <w:tcW w:w="0" w:type="auto"/>
            <w:vAlign w:val="top"/>
          </w:tcPr>
          <w:p w14:paraId="529C427B" w14:textId="23EB6E5E" w:rsidR="00FB0FE0" w:rsidRDefault="00A40F6D" w:rsidP="00B7767A">
            <w:pPr>
              <w:pStyle w:val="SDMTableBoxParaNotNumbered"/>
            </w:pPr>
            <w:r w:rsidRPr="00D4370C">
              <w:rPr>
                <w:rFonts w:eastAsiaTheme="minorEastAsia"/>
              </w:rPr>
              <w:t>Average mass fraction of CO</w:t>
            </w:r>
            <w:r w:rsidRPr="00D4370C">
              <w:rPr>
                <w:rFonts w:eastAsiaTheme="minorEastAsia"/>
                <w:vertAlign w:val="subscript"/>
              </w:rPr>
              <w:t>2</w:t>
            </w:r>
            <w:r w:rsidRPr="00D4370C">
              <w:rPr>
                <w:rFonts w:eastAsiaTheme="minorEastAsia"/>
              </w:rPr>
              <w:t xml:space="preserve"> in the produced steam</w:t>
            </w:r>
            <w:r w:rsidRPr="00D4370C" w:rsidDel="007C4E7B">
              <w:rPr>
                <w:rFonts w:eastAsiaTheme="minorEastAsia"/>
              </w:rPr>
              <w:t xml:space="preserve"> </w:t>
            </w:r>
            <w:r w:rsidRPr="00D4370C">
              <w:rPr>
                <w:rFonts w:eastAsiaTheme="minorEastAsia"/>
              </w:rPr>
              <w:t>in year </w:t>
            </w:r>
            <w:r w:rsidRPr="00D4370C">
              <w:rPr>
                <w:rFonts w:eastAsiaTheme="minorEastAsia"/>
                <w:i/>
              </w:rPr>
              <w:t>y</w:t>
            </w:r>
            <w:r w:rsidRPr="00D4370C">
              <w:rPr>
                <w:rFonts w:eastAsiaTheme="minorEastAsia"/>
              </w:rPr>
              <w:t xml:space="preserve"> (t CO</w:t>
            </w:r>
            <w:r w:rsidRPr="00D4370C">
              <w:rPr>
                <w:rFonts w:eastAsiaTheme="minorEastAsia"/>
                <w:vertAlign w:val="subscript"/>
              </w:rPr>
              <w:t>2</w:t>
            </w:r>
            <w:r w:rsidR="00C77F8F">
              <w:rPr>
                <w:rFonts w:eastAsiaTheme="minorEastAsia" w:cs="Arial"/>
              </w:rPr>
              <w:t> / </w:t>
            </w:r>
            <w:r w:rsidRPr="00D4370C">
              <w:rPr>
                <w:rFonts w:eastAsiaTheme="minorEastAsia"/>
              </w:rPr>
              <w:t>t steam)</w:t>
            </w:r>
          </w:p>
        </w:tc>
      </w:tr>
      <w:tr w:rsidR="00FB0FE0" w14:paraId="76781BA8" w14:textId="77777777" w:rsidTr="00B7767A">
        <w:tc>
          <w:tcPr>
            <w:tcW w:w="1701" w:type="dxa"/>
            <w:vAlign w:val="top"/>
          </w:tcPr>
          <w:p w14:paraId="70240F30" w14:textId="339D3ECB" w:rsidR="00FB0FE0" w:rsidRPr="00FB0FE0"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w</m:t>
                    </m:r>
                  </m:e>
                  <m:sub>
                    <m:r>
                      <w:rPr>
                        <w:rFonts w:ascii="Cambria Math" w:eastAsiaTheme="minorEastAsia" w:hAnsi="Cambria Math"/>
                      </w:rPr>
                      <m:t>steam</m:t>
                    </m:r>
                    <m:r>
                      <m:rPr>
                        <m:sty m:val="p"/>
                      </m:rPr>
                      <w:rPr>
                        <w:rFonts w:ascii="Cambria Math" w:eastAsiaTheme="minorEastAsia" w:hAnsi="Cambria Math"/>
                      </w:rPr>
                      <m:t>,</m:t>
                    </m:r>
                    <m:r>
                      <w:rPr>
                        <w:rFonts w:ascii="Cambria Math" w:eastAsiaTheme="minorEastAsia" w:hAnsi="Cambria Math"/>
                      </w:rPr>
                      <m:t>CH</m:t>
                    </m:r>
                    <m:r>
                      <m:rPr>
                        <m:sty m:val="p"/>
                      </m:rPr>
                      <w:rPr>
                        <w:rFonts w:ascii="Cambria Math" w:eastAsiaTheme="minorEastAsia" w:hAnsi="Cambria Math"/>
                      </w:rPr>
                      <m:t>4,</m:t>
                    </m:r>
                    <m:r>
                      <w:rPr>
                        <w:rFonts w:ascii="Cambria Math" w:eastAsiaTheme="minorEastAsia" w:hAnsi="Cambria Math"/>
                      </w:rPr>
                      <m:t>y</m:t>
                    </m:r>
                  </m:sub>
                </m:sSub>
              </m:oMath>
            </m:oMathPara>
          </w:p>
        </w:tc>
        <w:tc>
          <w:tcPr>
            <w:tcW w:w="345" w:type="dxa"/>
            <w:vAlign w:val="top"/>
          </w:tcPr>
          <w:p w14:paraId="32679834" w14:textId="17398380" w:rsidR="00FB0FE0" w:rsidRDefault="00A40F6D" w:rsidP="00B7767A">
            <w:pPr>
              <w:pStyle w:val="SDMTableBoxParaNotNumbered"/>
            </w:pPr>
            <w:r>
              <w:t>=</w:t>
            </w:r>
          </w:p>
        </w:tc>
        <w:tc>
          <w:tcPr>
            <w:tcW w:w="0" w:type="auto"/>
            <w:vAlign w:val="top"/>
          </w:tcPr>
          <w:p w14:paraId="4B46CECB" w14:textId="16BD4D32" w:rsidR="00FB0FE0" w:rsidRDefault="00962391" w:rsidP="00B7767A">
            <w:pPr>
              <w:pStyle w:val="SDMTableBoxParaNotNumbered"/>
            </w:pPr>
            <w:r w:rsidRPr="00D4370C">
              <w:rPr>
                <w:rFonts w:eastAsiaTheme="minorEastAsia"/>
              </w:rPr>
              <w:t>Average mass fraction of CH</w:t>
            </w:r>
            <w:r w:rsidRPr="00D4370C">
              <w:rPr>
                <w:rFonts w:eastAsiaTheme="minorEastAsia"/>
                <w:vertAlign w:val="subscript"/>
              </w:rPr>
              <w:t>4</w:t>
            </w:r>
            <w:r w:rsidRPr="00D4370C">
              <w:rPr>
                <w:rFonts w:eastAsiaTheme="minorEastAsia"/>
              </w:rPr>
              <w:t xml:space="preserve"> in the produced steam</w:t>
            </w:r>
            <w:r w:rsidRPr="00D4370C" w:rsidDel="007C4E7B">
              <w:rPr>
                <w:rFonts w:eastAsiaTheme="minorEastAsia"/>
              </w:rPr>
              <w:t xml:space="preserve"> </w:t>
            </w:r>
            <w:r w:rsidRPr="00D4370C">
              <w:rPr>
                <w:rFonts w:eastAsiaTheme="minorEastAsia"/>
              </w:rPr>
              <w:t>in year </w:t>
            </w:r>
            <w:r w:rsidRPr="00D4370C">
              <w:rPr>
                <w:rFonts w:eastAsiaTheme="minorEastAsia"/>
                <w:i/>
              </w:rPr>
              <w:t>y</w:t>
            </w:r>
            <w:r w:rsidRPr="00D4370C">
              <w:rPr>
                <w:rFonts w:eastAsiaTheme="minorEastAsia"/>
              </w:rPr>
              <w:t xml:space="preserve"> (t CH</w:t>
            </w:r>
            <w:r w:rsidRPr="00D4370C">
              <w:rPr>
                <w:rFonts w:eastAsiaTheme="minorEastAsia"/>
                <w:vertAlign w:val="subscript"/>
              </w:rPr>
              <w:t>4</w:t>
            </w:r>
            <w:r w:rsidR="00C77F8F">
              <w:rPr>
                <w:rFonts w:eastAsiaTheme="minorEastAsia" w:cs="Arial"/>
              </w:rPr>
              <w:t> / </w:t>
            </w:r>
            <w:r w:rsidRPr="00D4370C">
              <w:rPr>
                <w:rFonts w:eastAsiaTheme="minorEastAsia"/>
              </w:rPr>
              <w:t>t steam)</w:t>
            </w:r>
          </w:p>
        </w:tc>
      </w:tr>
      <w:tr w:rsidR="00FB0FE0" w14:paraId="10B691DB" w14:textId="77777777" w:rsidTr="00B7767A">
        <w:tc>
          <w:tcPr>
            <w:tcW w:w="1701" w:type="dxa"/>
            <w:vAlign w:val="top"/>
          </w:tcPr>
          <w:p w14:paraId="6E264F5D" w14:textId="6FE8BACD" w:rsidR="00FB0FE0" w:rsidRPr="00FB0FE0" w:rsidRDefault="0039641B" w:rsidP="00B7767A">
            <w:pPr>
              <w:pStyle w:val="SDMTableBoxParaNotNumbered"/>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GWP</m:t>
                    </m:r>
                  </m:e>
                  <m:sub>
                    <m:r>
                      <w:rPr>
                        <w:rFonts w:ascii="Cambria Math" w:eastAsiaTheme="minorEastAsia" w:hAnsi="Cambria Math"/>
                      </w:rPr>
                      <m:t>CH4</m:t>
                    </m:r>
                  </m:sub>
                </m:sSub>
              </m:oMath>
            </m:oMathPara>
          </w:p>
        </w:tc>
        <w:tc>
          <w:tcPr>
            <w:tcW w:w="345" w:type="dxa"/>
            <w:vAlign w:val="top"/>
          </w:tcPr>
          <w:p w14:paraId="4EBF83BE" w14:textId="14769381" w:rsidR="00FB0FE0" w:rsidRDefault="00A40F6D" w:rsidP="00B7767A">
            <w:pPr>
              <w:pStyle w:val="SDMTableBoxParaNotNumbered"/>
            </w:pPr>
            <w:r>
              <w:t>=</w:t>
            </w:r>
          </w:p>
        </w:tc>
        <w:tc>
          <w:tcPr>
            <w:tcW w:w="0" w:type="auto"/>
            <w:vAlign w:val="top"/>
          </w:tcPr>
          <w:p w14:paraId="242DEBAA" w14:textId="3FFD6789" w:rsidR="00FB0FE0" w:rsidRDefault="0096580F" w:rsidP="00B7767A">
            <w:pPr>
              <w:pStyle w:val="SDMTableBoxParaNotNumbered"/>
            </w:pPr>
            <w:r w:rsidRPr="00D4370C">
              <w:rPr>
                <w:rFonts w:eastAsiaTheme="minorEastAsia"/>
              </w:rPr>
              <w:t>Global warming potential of CH</w:t>
            </w:r>
            <w:r w:rsidRPr="00D4370C">
              <w:rPr>
                <w:rFonts w:eastAsiaTheme="minorEastAsia"/>
                <w:vertAlign w:val="subscript"/>
              </w:rPr>
              <w:t>4</w:t>
            </w:r>
            <w:r w:rsidRPr="00D4370C">
              <w:rPr>
                <w:rFonts w:eastAsiaTheme="minorEastAsia"/>
              </w:rPr>
              <w:t xml:space="preserve"> (t CO</w:t>
            </w:r>
            <w:r w:rsidRPr="00A416E7">
              <w:rPr>
                <w:rFonts w:eastAsiaTheme="minorEastAsia"/>
                <w:vertAlign w:val="subscript"/>
              </w:rPr>
              <w:t>2</w:t>
            </w:r>
            <w:r w:rsidRPr="00D4370C">
              <w:rPr>
                <w:rFonts w:eastAsiaTheme="minorEastAsia"/>
              </w:rPr>
              <w:t>e</w:t>
            </w:r>
            <w:r>
              <w:rPr>
                <w:rFonts w:eastAsiaTheme="minorEastAsia"/>
              </w:rPr>
              <w:t>q </w:t>
            </w:r>
            <w:r w:rsidRPr="00D4370C">
              <w:rPr>
                <w:rFonts w:eastAsiaTheme="minorEastAsia"/>
              </w:rPr>
              <w:t>/</w:t>
            </w:r>
            <w:r>
              <w:rPr>
                <w:rFonts w:eastAsiaTheme="minorEastAsia"/>
              </w:rPr>
              <w:t> </w:t>
            </w:r>
            <w:r w:rsidRPr="00D4370C">
              <w:rPr>
                <w:rFonts w:eastAsiaTheme="minorEastAsia"/>
              </w:rPr>
              <w:t>t CH</w:t>
            </w:r>
            <w:r w:rsidRPr="00D4370C">
              <w:rPr>
                <w:rFonts w:eastAsiaTheme="minorEastAsia"/>
                <w:vertAlign w:val="subscript"/>
              </w:rPr>
              <w:t>4</w:t>
            </w:r>
            <w:r w:rsidRPr="00D4370C">
              <w:rPr>
                <w:rFonts w:eastAsiaTheme="minorEastAsia"/>
              </w:rPr>
              <w:t>)</w:t>
            </w:r>
          </w:p>
        </w:tc>
      </w:tr>
    </w:tbl>
    <w:p w14:paraId="42BEFD18" w14:textId="2C2DF2F6" w:rsidR="007F5F62" w:rsidRDefault="009845FE" w:rsidP="00EC00DE">
      <w:pPr>
        <w:pStyle w:val="SDMPara"/>
        <w:keepNext/>
      </w:pPr>
      <w:r w:rsidRPr="00345674">
        <w:rPr>
          <w:rFonts w:eastAsiaTheme="minorEastAsia"/>
          <w:lang w:val="en-US"/>
        </w:rPr>
        <w:t>Activity</w:t>
      </w:r>
      <w:r w:rsidRPr="00022A37">
        <w:t xml:space="preserve"> emissions from physical leakage of working fluid contained in heat exchangers in a binary project geothermal power plant due to in </w:t>
      </w:r>
      <w:r w:rsidRPr="000F4DAB">
        <w:t>year</w:t>
      </w:r>
      <w:r>
        <w:t> </w:t>
      </w:r>
      <w:r w:rsidRPr="00907878">
        <w:rPr>
          <w:i/>
          <w:iCs/>
        </w:rPr>
        <w:t>y</w:t>
      </w:r>
      <w:r w:rsidRPr="000F4DAB">
        <w:t xml:space="preserve"> </w:t>
      </w:r>
      <w:r>
        <w:t>(</w:t>
      </w:r>
      <w:r>
        <w:rPr>
          <w:i/>
          <w:iCs/>
        </w:rPr>
        <w:t>A</w:t>
      </w:r>
      <w:r w:rsidRPr="008777F6">
        <w:rPr>
          <w:i/>
          <w:iCs/>
        </w:rPr>
        <w:t>E</w:t>
      </w:r>
      <w:r>
        <w:rPr>
          <w:i/>
          <w:iCs/>
          <w:vertAlign w:val="subscript"/>
        </w:rPr>
        <w:t>working fluid</w:t>
      </w:r>
      <w:r w:rsidRPr="008777F6">
        <w:rPr>
          <w:i/>
          <w:iCs/>
          <w:vertAlign w:val="subscript"/>
        </w:rPr>
        <w:t>,y</w:t>
      </w:r>
      <w:r>
        <w:t>) shall be calculated as follow</w:t>
      </w:r>
      <w:r w:rsidRPr="00D4370C">
        <w:t>s:</w:t>
      </w:r>
    </w:p>
    <w:tbl>
      <w:tblPr>
        <w:tblStyle w:val="SDMMethTableEquation"/>
        <w:tblW w:w="8760" w:type="dxa"/>
        <w:tblLook w:val="0600" w:firstRow="0" w:lastRow="0" w:firstColumn="0" w:lastColumn="0" w:noHBand="1" w:noVBand="1"/>
      </w:tblPr>
      <w:tblGrid>
        <w:gridCol w:w="7096"/>
        <w:gridCol w:w="1664"/>
      </w:tblGrid>
      <w:tr w:rsidR="009845FE" w:rsidRPr="00E32F75" w14:paraId="568493F0" w14:textId="77777777" w:rsidTr="00690A70">
        <w:tc>
          <w:tcPr>
            <w:tcW w:w="7224" w:type="dxa"/>
          </w:tcPr>
          <w:p w14:paraId="0E7F3FBA" w14:textId="77717345" w:rsidR="009845FE" w:rsidRPr="00252AA4" w:rsidRDefault="0039641B" w:rsidP="00690A70">
            <w:pPr>
              <w:pStyle w:val="SDMMethEquation"/>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working fluid</m:t>
                    </m:r>
                    <m:r>
                      <m:rPr>
                        <m:sty m:val="p"/>
                      </m:rPr>
                      <w:rPr>
                        <w:rFonts w:ascii="Cambria Math" w:eastAsiaTheme="minorEastAsia" w:hAnsi="Cambria Math"/>
                      </w:rPr>
                      <m:t>,</m:t>
                    </m:r>
                    <m:r>
                      <w:rPr>
                        <w:rFonts w:ascii="Cambria Math" w:eastAsiaTheme="minorEastAsia" w:hAnsi="Cambria Math"/>
                      </w:rPr>
                      <m:t>y</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M</m:t>
                    </m:r>
                  </m:e>
                  <m:sub>
                    <m:r>
                      <w:rPr>
                        <w:rFonts w:ascii="Cambria Math" w:eastAsiaTheme="minorEastAsia" w:hAnsi="Cambria Math"/>
                      </w:rPr>
                      <m:t>working fluid</m:t>
                    </m:r>
                    <m:r>
                      <m:rPr>
                        <m:sty m:val="p"/>
                      </m:rPr>
                      <w:rPr>
                        <w:rFonts w:ascii="Cambria Math" w:eastAsiaTheme="minorEastAsia" w:hAnsi="Cambria Math"/>
                      </w:rPr>
                      <m:t>,</m:t>
                    </m:r>
                    <m:r>
                      <w:rPr>
                        <w:rFonts w:ascii="Cambria Math" w:eastAsiaTheme="minorEastAsia" w:hAnsi="Cambria Math"/>
                      </w:rPr>
                      <m:t xml:space="preserve">y </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GWP</m:t>
                    </m:r>
                  </m:e>
                  <m:sub>
                    <m:r>
                      <w:rPr>
                        <w:rFonts w:ascii="Cambria Math" w:eastAsiaTheme="minorEastAsia" w:hAnsi="Cambria Math"/>
                      </w:rPr>
                      <m:t>working fluid</m:t>
                    </m:r>
                  </m:sub>
                </m:sSub>
              </m:oMath>
            </m:oMathPara>
          </w:p>
        </w:tc>
        <w:tc>
          <w:tcPr>
            <w:tcW w:w="1701" w:type="dxa"/>
          </w:tcPr>
          <w:p w14:paraId="42BC8D46" w14:textId="77777777" w:rsidR="009845FE" w:rsidRPr="002B6960" w:rsidRDefault="009845FE" w:rsidP="007255A3">
            <w:pPr>
              <w:pStyle w:val="SDMMethEquationNr"/>
              <w:numPr>
                <w:ilvl w:val="0"/>
                <w:numId w:val="21"/>
              </w:numPr>
            </w:pPr>
          </w:p>
        </w:tc>
      </w:tr>
    </w:tbl>
    <w:p w14:paraId="372C5267" w14:textId="77777777" w:rsidR="009845FE" w:rsidRDefault="009845FE"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9845FE" w14:paraId="3F80FF4D" w14:textId="77777777" w:rsidTr="00B7767A">
        <w:tc>
          <w:tcPr>
            <w:tcW w:w="1701" w:type="dxa"/>
            <w:vAlign w:val="top"/>
          </w:tcPr>
          <w:p w14:paraId="3A6208B1" w14:textId="49C8AE24" w:rsidR="009845FE" w:rsidRDefault="0039641B" w:rsidP="00B7767A">
            <w:pPr>
              <w:pStyle w:val="SDMTableBoxParaNotNumbered"/>
            </w:pPr>
            <m:oMathPara>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working fluid</m:t>
                    </m:r>
                    <m:r>
                      <m:rPr>
                        <m:sty m:val="p"/>
                      </m:rPr>
                      <w:rPr>
                        <w:rFonts w:ascii="Cambria Math" w:eastAsiaTheme="minorEastAsia" w:hAnsi="Cambria Math"/>
                      </w:rPr>
                      <m:t>,</m:t>
                    </m:r>
                    <m:r>
                      <w:rPr>
                        <w:rFonts w:ascii="Cambria Math" w:eastAsiaTheme="minorEastAsia" w:hAnsi="Cambria Math"/>
                      </w:rPr>
                      <m:t>y</m:t>
                    </m:r>
                  </m:sub>
                </m:sSub>
              </m:oMath>
            </m:oMathPara>
          </w:p>
        </w:tc>
        <w:tc>
          <w:tcPr>
            <w:tcW w:w="345" w:type="dxa"/>
            <w:vAlign w:val="top"/>
          </w:tcPr>
          <w:p w14:paraId="5DF44EE2" w14:textId="77777777" w:rsidR="009845FE" w:rsidRDefault="009845FE" w:rsidP="00B7767A">
            <w:pPr>
              <w:pStyle w:val="SDMTableBoxParaNotNumbered"/>
            </w:pPr>
            <w:r>
              <w:t>=</w:t>
            </w:r>
          </w:p>
        </w:tc>
        <w:tc>
          <w:tcPr>
            <w:tcW w:w="0" w:type="auto"/>
            <w:vAlign w:val="top"/>
          </w:tcPr>
          <w:p w14:paraId="0083131D" w14:textId="1C72428D" w:rsidR="009845FE" w:rsidRDefault="00DE1CAC" w:rsidP="00B7767A">
            <w:pPr>
              <w:pStyle w:val="SDMTableBoxParaNotNumbered"/>
            </w:pPr>
            <w:r>
              <w:rPr>
                <w:rFonts w:eastAsiaTheme="minorEastAsia" w:cs="Arial"/>
              </w:rPr>
              <w:t>Activity</w:t>
            </w:r>
            <w:r w:rsidRPr="00D4370C">
              <w:rPr>
                <w:rFonts w:eastAsiaTheme="minorEastAsia" w:cs="Arial"/>
              </w:rPr>
              <w:t xml:space="preserve"> emissions from physical leakage of working fluid </w:t>
            </w:r>
            <w:r w:rsidRPr="00D4370C">
              <w:rPr>
                <w:rFonts w:eastAsiaTheme="minorEastAsia"/>
              </w:rPr>
              <w:t xml:space="preserve">contained in heat exchangers </w:t>
            </w:r>
            <w:r>
              <w:rPr>
                <w:rFonts w:eastAsiaTheme="minorEastAsia" w:cs="Arial"/>
              </w:rPr>
              <w:t xml:space="preserve">in a </w:t>
            </w:r>
            <w:r w:rsidRPr="00D4370C">
              <w:rPr>
                <w:rFonts w:eastAsiaTheme="minorEastAsia" w:cs="Arial"/>
              </w:rPr>
              <w:t xml:space="preserve">binary </w:t>
            </w:r>
            <w:r>
              <w:rPr>
                <w:rFonts w:eastAsiaTheme="minorEastAsia"/>
              </w:rPr>
              <w:t xml:space="preserve">project </w:t>
            </w:r>
            <w:r w:rsidRPr="00D4370C">
              <w:rPr>
                <w:rFonts w:eastAsiaTheme="minorEastAsia" w:cs="Arial"/>
              </w:rPr>
              <w:t xml:space="preserve">geothermal power </w:t>
            </w:r>
            <w:r w:rsidRPr="00D4370C">
              <w:rPr>
                <w:rFonts w:eastAsiaTheme="minorEastAsia"/>
              </w:rPr>
              <w:t>plant</w:t>
            </w:r>
            <w:r w:rsidRPr="00D4370C">
              <w:rPr>
                <w:rFonts w:eastAsiaTheme="minorEastAsia" w:cs="Arial"/>
              </w:rPr>
              <w:t xml:space="preserve"> due to in year </w:t>
            </w:r>
            <w:r w:rsidRPr="00D4370C">
              <w:rPr>
                <w:rFonts w:eastAsiaTheme="minorEastAsia" w:cs="Arial"/>
                <w:i/>
              </w:rPr>
              <w:t>y</w:t>
            </w:r>
            <w:r w:rsidRPr="00D4370C">
              <w:rPr>
                <w:rFonts w:eastAsiaTheme="minorEastAsia" w:cs="Arial"/>
              </w:rPr>
              <w:t xml:space="preserve"> (t </w:t>
            </w:r>
            <w:r w:rsidRPr="00D4370C">
              <w:rPr>
                <w:rFonts w:eastAsiaTheme="minorEastAsia"/>
              </w:rPr>
              <w:t>CO</w:t>
            </w:r>
            <w:r w:rsidRPr="0082317F">
              <w:rPr>
                <w:rFonts w:eastAsiaTheme="minorEastAsia"/>
                <w:vertAlign w:val="subscript"/>
              </w:rPr>
              <w:t>2</w:t>
            </w:r>
            <w:r w:rsidRPr="00D4370C">
              <w:rPr>
                <w:rFonts w:eastAsiaTheme="minorEastAsia"/>
              </w:rPr>
              <w:t>e</w:t>
            </w:r>
            <w:r>
              <w:rPr>
                <w:rFonts w:eastAsiaTheme="minorEastAsia"/>
              </w:rPr>
              <w:t>q</w:t>
            </w:r>
            <w:r w:rsidRPr="00D4370C">
              <w:rPr>
                <w:rFonts w:eastAsiaTheme="minorEastAsia" w:cs="Arial"/>
              </w:rPr>
              <w:t>)</w:t>
            </w:r>
          </w:p>
        </w:tc>
      </w:tr>
      <w:tr w:rsidR="009845FE" w14:paraId="2B602AEF" w14:textId="77777777" w:rsidTr="00B7767A">
        <w:tc>
          <w:tcPr>
            <w:tcW w:w="1701" w:type="dxa"/>
            <w:vAlign w:val="top"/>
          </w:tcPr>
          <w:p w14:paraId="52CEF68D" w14:textId="34499BAA" w:rsidR="009845FE" w:rsidRDefault="0039641B" w:rsidP="00B7767A">
            <w:pPr>
              <w:pStyle w:val="SDMTableBoxParaNotNumbered"/>
            </w:pPr>
            <m:oMathPara>
              <m:oMath>
                <m:sSub>
                  <m:sSubPr>
                    <m:ctrlPr>
                      <w:rPr>
                        <w:rFonts w:ascii="Cambria Math" w:eastAsiaTheme="minorEastAsia" w:hAnsi="Cambria Math"/>
                      </w:rPr>
                    </m:ctrlPr>
                  </m:sSubPr>
                  <m:e>
                    <m:r>
                      <w:rPr>
                        <w:rFonts w:ascii="Cambria Math" w:eastAsiaTheme="minorEastAsia" w:hAnsi="Cambria Math"/>
                      </w:rPr>
                      <m:t>M</m:t>
                    </m:r>
                  </m:e>
                  <m:sub>
                    <m:r>
                      <w:rPr>
                        <w:rFonts w:ascii="Cambria Math" w:eastAsiaTheme="minorEastAsia" w:hAnsi="Cambria Math"/>
                      </w:rPr>
                      <m:t>working fluid</m:t>
                    </m:r>
                    <m:r>
                      <m:rPr>
                        <m:sty m:val="p"/>
                      </m:rPr>
                      <w:rPr>
                        <w:rFonts w:ascii="Cambria Math" w:eastAsiaTheme="minorEastAsia" w:hAnsi="Cambria Math"/>
                      </w:rPr>
                      <m:t>,</m:t>
                    </m:r>
                    <m:r>
                      <w:rPr>
                        <w:rFonts w:ascii="Cambria Math" w:eastAsiaTheme="minorEastAsia" w:hAnsi="Cambria Math"/>
                      </w:rPr>
                      <m:t xml:space="preserve">y </m:t>
                    </m:r>
                  </m:sub>
                </m:sSub>
              </m:oMath>
            </m:oMathPara>
          </w:p>
        </w:tc>
        <w:tc>
          <w:tcPr>
            <w:tcW w:w="345" w:type="dxa"/>
            <w:vAlign w:val="top"/>
          </w:tcPr>
          <w:p w14:paraId="68D572C3" w14:textId="77777777" w:rsidR="009845FE" w:rsidRDefault="009845FE" w:rsidP="00B7767A">
            <w:pPr>
              <w:pStyle w:val="SDMTableBoxParaNotNumbered"/>
            </w:pPr>
            <w:r>
              <w:t>=</w:t>
            </w:r>
          </w:p>
        </w:tc>
        <w:tc>
          <w:tcPr>
            <w:tcW w:w="0" w:type="auto"/>
            <w:vAlign w:val="top"/>
          </w:tcPr>
          <w:p w14:paraId="5FA08020" w14:textId="224B63C0" w:rsidR="009845FE" w:rsidRDefault="00025A12" w:rsidP="00B7767A">
            <w:pPr>
              <w:pStyle w:val="SDMTableBoxParaNotNumbered"/>
            </w:pPr>
            <w:r w:rsidRPr="00D4370C">
              <w:rPr>
                <w:rFonts w:eastAsiaTheme="minorEastAsia"/>
              </w:rPr>
              <w:t>Quantity of working fluid leaked/reinjected in year </w:t>
            </w:r>
            <w:r w:rsidRPr="00D4370C">
              <w:rPr>
                <w:rFonts w:eastAsiaTheme="minorEastAsia"/>
                <w:i/>
              </w:rPr>
              <w:t>y</w:t>
            </w:r>
            <w:r w:rsidRPr="00D4370C">
              <w:rPr>
                <w:rFonts w:eastAsiaTheme="minorEastAsia"/>
              </w:rPr>
              <w:t xml:space="preserve"> (t working</w:t>
            </w:r>
            <w:r>
              <w:rPr>
                <w:rFonts w:eastAsiaTheme="minorEastAsia"/>
              </w:rPr>
              <w:t> </w:t>
            </w:r>
            <w:r w:rsidRPr="00D4370C">
              <w:rPr>
                <w:rFonts w:eastAsiaTheme="minorEastAsia"/>
              </w:rPr>
              <w:t>fluid)</w:t>
            </w:r>
          </w:p>
        </w:tc>
      </w:tr>
      <w:tr w:rsidR="009845FE" w14:paraId="2F232FCA" w14:textId="77777777" w:rsidTr="00B7767A">
        <w:tc>
          <w:tcPr>
            <w:tcW w:w="1701" w:type="dxa"/>
            <w:vAlign w:val="top"/>
          </w:tcPr>
          <w:p w14:paraId="235BEE77" w14:textId="5AB2FFC3" w:rsidR="009845FE" w:rsidRDefault="0039641B" w:rsidP="00B7767A">
            <w:pPr>
              <w:pStyle w:val="SDMTableBoxParaNotNumbered"/>
            </w:pPr>
            <m:oMathPara>
              <m:oMath>
                <m:sSub>
                  <m:sSubPr>
                    <m:ctrlPr>
                      <w:rPr>
                        <w:rFonts w:ascii="Cambria Math" w:eastAsiaTheme="minorEastAsia" w:hAnsi="Cambria Math"/>
                      </w:rPr>
                    </m:ctrlPr>
                  </m:sSubPr>
                  <m:e>
                    <m:r>
                      <w:rPr>
                        <w:rFonts w:ascii="Cambria Math" w:eastAsiaTheme="minorEastAsia" w:hAnsi="Cambria Math"/>
                      </w:rPr>
                      <m:t>GWP</m:t>
                    </m:r>
                  </m:e>
                  <m:sub>
                    <m:r>
                      <w:rPr>
                        <w:rFonts w:ascii="Cambria Math" w:eastAsiaTheme="minorEastAsia" w:hAnsi="Cambria Math"/>
                      </w:rPr>
                      <m:t>working fluid</m:t>
                    </m:r>
                  </m:sub>
                </m:sSub>
              </m:oMath>
            </m:oMathPara>
          </w:p>
        </w:tc>
        <w:tc>
          <w:tcPr>
            <w:tcW w:w="345" w:type="dxa"/>
            <w:vAlign w:val="top"/>
          </w:tcPr>
          <w:p w14:paraId="18D80454" w14:textId="77777777" w:rsidR="009845FE" w:rsidRDefault="009845FE" w:rsidP="00B7767A">
            <w:pPr>
              <w:pStyle w:val="SDMTableBoxParaNotNumbered"/>
            </w:pPr>
            <w:r>
              <w:t>=</w:t>
            </w:r>
          </w:p>
        </w:tc>
        <w:tc>
          <w:tcPr>
            <w:tcW w:w="0" w:type="auto"/>
            <w:vAlign w:val="top"/>
          </w:tcPr>
          <w:p w14:paraId="322ACDBA" w14:textId="17EA4D6B" w:rsidR="009845FE" w:rsidRDefault="00C952F0" w:rsidP="00B7767A">
            <w:pPr>
              <w:pStyle w:val="SDMTableBoxParaNotNumbered"/>
            </w:pPr>
            <w:r w:rsidRPr="00D4370C">
              <w:rPr>
                <w:rFonts w:eastAsiaTheme="minorEastAsia"/>
              </w:rPr>
              <w:t>Global Warming Potential for the working fluid used in the binary geothermal power plant</w:t>
            </w:r>
            <w:r>
              <w:rPr>
                <w:rFonts w:eastAsiaTheme="minorEastAsia"/>
              </w:rPr>
              <w:t xml:space="preserve"> </w:t>
            </w:r>
            <w:r w:rsidRPr="00D4370C">
              <w:rPr>
                <w:rFonts w:eastAsiaTheme="minorEastAsia"/>
              </w:rPr>
              <w:t>(t CO</w:t>
            </w:r>
            <w:r w:rsidRPr="00A416E7">
              <w:rPr>
                <w:rFonts w:eastAsiaTheme="minorEastAsia"/>
                <w:vertAlign w:val="subscript"/>
              </w:rPr>
              <w:t>2</w:t>
            </w:r>
            <w:r w:rsidRPr="00D4370C">
              <w:rPr>
                <w:rFonts w:eastAsiaTheme="minorEastAsia"/>
              </w:rPr>
              <w:t>e</w:t>
            </w:r>
            <w:r>
              <w:rPr>
                <w:rFonts w:eastAsiaTheme="minorEastAsia"/>
              </w:rPr>
              <w:t>q </w:t>
            </w:r>
            <w:r w:rsidRPr="00D4370C">
              <w:rPr>
                <w:rFonts w:eastAsiaTheme="minorEastAsia"/>
              </w:rPr>
              <w:t>/</w:t>
            </w:r>
            <w:r>
              <w:rPr>
                <w:rFonts w:eastAsiaTheme="minorEastAsia"/>
              </w:rPr>
              <w:t> </w:t>
            </w:r>
            <w:r w:rsidRPr="00D4370C">
              <w:rPr>
                <w:rFonts w:eastAsiaTheme="minorEastAsia"/>
              </w:rPr>
              <w:t>t </w:t>
            </w:r>
            <w:r>
              <w:rPr>
                <w:rFonts w:eastAsiaTheme="minorEastAsia"/>
              </w:rPr>
              <w:t>working fluid</w:t>
            </w:r>
            <w:r w:rsidRPr="00D4370C">
              <w:rPr>
                <w:rFonts w:eastAsiaTheme="minorEastAsia"/>
              </w:rPr>
              <w:t>)</w:t>
            </w:r>
          </w:p>
        </w:tc>
      </w:tr>
    </w:tbl>
    <w:p w14:paraId="3E212F6A" w14:textId="77777777" w:rsidR="002C3056" w:rsidRPr="00CB7EFA" w:rsidRDefault="00B960DB" w:rsidP="00B960DB">
      <w:pPr>
        <w:pStyle w:val="SDMHead1"/>
      </w:pPr>
      <w:bookmarkStart w:id="315" w:name="_Toc233881736"/>
      <w:bookmarkStart w:id="316" w:name="_Toc233882102"/>
      <w:bookmarkStart w:id="317" w:name="_Toc233884229"/>
      <w:bookmarkStart w:id="318" w:name="_Toc233902838"/>
      <w:bookmarkStart w:id="319" w:name="_Toc233902875"/>
      <w:bookmarkStart w:id="320" w:name="_Toc236391906"/>
      <w:bookmarkStart w:id="321" w:name="_Toc236394048"/>
      <w:r w:rsidRPr="00CB7EFA">
        <w:t>Leakage</w:t>
      </w:r>
      <w:bookmarkEnd w:id="315"/>
      <w:bookmarkEnd w:id="316"/>
      <w:bookmarkEnd w:id="317"/>
      <w:bookmarkEnd w:id="318"/>
      <w:bookmarkEnd w:id="319"/>
      <w:bookmarkEnd w:id="320"/>
      <w:bookmarkEnd w:id="321"/>
    </w:p>
    <w:p w14:paraId="6C12901E" w14:textId="0F1BE1D7" w:rsidR="00B960DB" w:rsidRPr="00CB7EFA" w:rsidRDefault="00E82052" w:rsidP="00963BA6">
      <w:pPr>
        <w:pStyle w:val="SDMPara"/>
      </w:pPr>
      <w:r w:rsidRPr="00345674">
        <w:rPr>
          <w:rFonts w:eastAsiaTheme="minorEastAsia"/>
          <w:lang w:val="en-US"/>
        </w:rPr>
        <w:t>Leakage</w:t>
      </w:r>
      <w:r>
        <w:rPr>
          <w:rFonts w:eastAsiaTheme="minorEastAsia"/>
        </w:rPr>
        <w:t xml:space="preserve"> emissions include upstream emissions from the production, transport and installation </w:t>
      </w:r>
      <w:r w:rsidRPr="3958E31C">
        <w:rPr>
          <w:rFonts w:eastAsiaTheme="minorEastAsia"/>
        </w:rPr>
        <w:t>of</w:t>
      </w:r>
      <w:r w:rsidRPr="4844F138">
        <w:rPr>
          <w:rFonts w:eastAsiaTheme="minorEastAsia"/>
        </w:rPr>
        <w:t xml:space="preserve"> </w:t>
      </w:r>
      <w:r>
        <w:rPr>
          <w:rFonts w:eastAsiaTheme="minorEastAsia"/>
        </w:rPr>
        <w:t xml:space="preserve">any BESS </w:t>
      </w:r>
      <w:r>
        <w:rPr>
          <w:lang w:val="en-US"/>
        </w:rPr>
        <w:t>l</w:t>
      </w:r>
      <w:r w:rsidRPr="00306DD5">
        <w:rPr>
          <w:lang w:val="en-US"/>
        </w:rPr>
        <w:t>ocated at the same site as</w:t>
      </w:r>
      <w:r w:rsidRPr="0093433E">
        <w:rPr>
          <w:lang w:val="en-US"/>
        </w:rPr>
        <w:t xml:space="preserve"> the renewable energy power plant</w:t>
      </w:r>
      <w:r>
        <w:rPr>
          <w:rFonts w:eastAsiaTheme="minorEastAsia"/>
        </w:rPr>
        <w:t>. Any</w:t>
      </w:r>
      <w:r w:rsidRPr="004559E8">
        <w:rPr>
          <w:rFonts w:eastAsiaTheme="minorEastAsia"/>
        </w:rPr>
        <w:t xml:space="preserve"> </w:t>
      </w:r>
      <w:r w:rsidRPr="2390F54D">
        <w:rPr>
          <w:rFonts w:eastAsiaTheme="minorEastAsia"/>
        </w:rPr>
        <w:t>wake</w:t>
      </w:r>
      <w:r w:rsidRPr="004559E8">
        <w:rPr>
          <w:rFonts w:eastAsiaTheme="minorEastAsia"/>
        </w:rPr>
        <w:t xml:space="preserve"> effects of wind power plants are, for simplicity, accounted for in determining the electricity generation from the Article 6.4 activity (</w:t>
      </w:r>
      <w:r w:rsidRPr="2390F54D">
        <w:rPr>
          <w:rFonts w:eastAsiaTheme="minorEastAsia"/>
          <w:i/>
          <w:iCs/>
        </w:rPr>
        <w:t>EG</w:t>
      </w:r>
      <w:r w:rsidRPr="2390F54D">
        <w:rPr>
          <w:rFonts w:eastAsiaTheme="minorEastAsia"/>
          <w:i/>
          <w:iCs/>
          <w:vertAlign w:val="subscript"/>
        </w:rPr>
        <w:t>PJ,y</w:t>
      </w:r>
      <w:r w:rsidRPr="2390F54D">
        <w:rPr>
          <w:rFonts w:eastAsiaTheme="minorEastAsia"/>
          <w:i/>
          <w:iCs/>
        </w:rPr>
        <w:t xml:space="preserve"> </w:t>
      </w:r>
      <w:r w:rsidRPr="004559E8">
        <w:rPr>
          <w:rFonts w:eastAsiaTheme="minorEastAsia"/>
        </w:rPr>
        <w:t xml:space="preserve">or </w:t>
      </w:r>
      <w:r w:rsidRPr="2390F54D">
        <w:rPr>
          <w:rFonts w:eastAsiaTheme="minorEastAsia"/>
          <w:i/>
          <w:iCs/>
        </w:rPr>
        <w:t>EG</w:t>
      </w:r>
      <w:r w:rsidRPr="2390F54D">
        <w:rPr>
          <w:rFonts w:eastAsiaTheme="minorEastAsia"/>
          <w:i/>
          <w:iCs/>
          <w:vertAlign w:val="subscript"/>
        </w:rPr>
        <w:t>PJ,h</w:t>
      </w:r>
      <w:r w:rsidRPr="004559E8">
        <w:rPr>
          <w:rFonts w:eastAsiaTheme="minorEastAsia"/>
        </w:rPr>
        <w:t xml:space="preserve">) in </w:t>
      </w:r>
      <w:r>
        <w:rPr>
          <w:rFonts w:eastAsiaTheme="minorEastAsia"/>
        </w:rPr>
        <w:t xml:space="preserve">section </w:t>
      </w:r>
      <w:r w:rsidRPr="00A81B76">
        <w:rPr>
          <w:rFonts w:eastAsiaTheme="minorEastAsia"/>
        </w:rPr>
        <w:t>7.2.2</w:t>
      </w:r>
      <w:r w:rsidRPr="004559E8">
        <w:rPr>
          <w:rFonts w:eastAsiaTheme="minorEastAsia"/>
        </w:rPr>
        <w:t>, and are thus not accounted for in this section.</w:t>
      </w:r>
      <w:r>
        <w:rPr>
          <w:rFonts w:eastAsiaTheme="minorEastAsia"/>
        </w:rPr>
        <w:t xml:space="preserve"> Other leakage emission sources do not need to be estimated. Further informati</w:t>
      </w:r>
      <w:r w:rsidRPr="00E82052">
        <w:rPr>
          <w:rFonts w:eastAsiaTheme="minorEastAsia"/>
        </w:rPr>
        <w:t xml:space="preserve">on on the consideration of other leakage emission sources is included in </w:t>
      </w:r>
      <w:r w:rsidR="00A81B76">
        <w:rPr>
          <w:rFonts w:eastAsiaTheme="minorEastAsia"/>
        </w:rPr>
        <w:t>a</w:t>
      </w:r>
      <w:r w:rsidRPr="00E82052">
        <w:rPr>
          <w:rFonts w:eastAsiaTheme="minorEastAsia"/>
        </w:rPr>
        <w:t>ppendix 1.</w:t>
      </w:r>
    </w:p>
    <w:p w14:paraId="1F2FBCE5" w14:textId="5A85A4F5" w:rsidR="00B960DB" w:rsidRPr="009E5388" w:rsidRDefault="009E5388" w:rsidP="00EC00DE">
      <w:pPr>
        <w:pStyle w:val="SDMPara"/>
        <w:keepNext/>
      </w:pPr>
      <w:r w:rsidRPr="00345674">
        <w:rPr>
          <w:rFonts w:eastAsiaTheme="minorEastAsia"/>
          <w:lang w:val="en-US"/>
        </w:rPr>
        <w:t>Leakage</w:t>
      </w:r>
      <w:r>
        <w:rPr>
          <w:rFonts w:eastAsiaTheme="minorEastAsia"/>
        </w:rPr>
        <w:t xml:space="preserve"> emissions shall be calculated as follows:</w:t>
      </w:r>
    </w:p>
    <w:tbl>
      <w:tblPr>
        <w:tblStyle w:val="SDMMethTableEquation"/>
        <w:tblW w:w="8760" w:type="dxa"/>
        <w:tblLook w:val="0600" w:firstRow="0" w:lastRow="0" w:firstColumn="0" w:lastColumn="0" w:noHBand="1" w:noVBand="1"/>
      </w:tblPr>
      <w:tblGrid>
        <w:gridCol w:w="7095"/>
        <w:gridCol w:w="1665"/>
      </w:tblGrid>
      <w:tr w:rsidR="009E5388" w:rsidRPr="00E32F75" w14:paraId="340F2219" w14:textId="77777777" w:rsidTr="00690A70">
        <w:tc>
          <w:tcPr>
            <w:tcW w:w="7224" w:type="dxa"/>
          </w:tcPr>
          <w:p w14:paraId="2635E563" w14:textId="6298D07C" w:rsidR="009E5388" w:rsidRPr="00252AA4" w:rsidRDefault="0039641B" w:rsidP="00690A70">
            <w:pPr>
              <w:pStyle w:val="SDMMethEquation"/>
            </w:pPr>
            <m:oMathPara>
              <m:oMathParaPr>
                <m:jc m:val="left"/>
              </m:oMathParaPr>
              <m:oMath>
                <m:sSub>
                  <m:sSubPr>
                    <m:ctrlPr>
                      <w:rPr>
                        <w:rFonts w:ascii="Cambria Math" w:eastAsiaTheme="minorEastAsia" w:hAnsi="Cambria Math"/>
                        <w:sz w:val="20"/>
                      </w:rPr>
                    </m:ctrlPr>
                  </m:sSubPr>
                  <m:e>
                    <m:r>
                      <w:rPr>
                        <w:rFonts w:ascii="Cambria Math" w:eastAsiaTheme="minorEastAsia" w:hAnsi="Cambria Math"/>
                        <w:sz w:val="20"/>
                      </w:rPr>
                      <m:t>LE</m:t>
                    </m:r>
                  </m:e>
                  <m:sub>
                    <m:r>
                      <w:rPr>
                        <w:rFonts w:ascii="Cambria Math" w:eastAsiaTheme="minorEastAsia" w:hAnsi="Cambria Math"/>
                        <w:sz w:val="20"/>
                      </w:rPr>
                      <m:t>y</m:t>
                    </m:r>
                  </m:sub>
                </m:sSub>
                <m:r>
                  <m:rPr>
                    <m:sty m:val="p"/>
                  </m:rPr>
                  <w:rPr>
                    <w:rFonts w:ascii="Cambria Math" w:eastAsiaTheme="minorEastAsia" w:hAnsi="Cambria Math"/>
                    <w:sz w:val="20"/>
                  </w:rPr>
                  <m:t>=</m:t>
                </m:r>
                <m:sSub>
                  <m:sSubPr>
                    <m:ctrlPr>
                      <w:rPr>
                        <w:rFonts w:ascii="Cambria Math" w:eastAsiaTheme="minorEastAsia" w:hAnsi="Cambria Math"/>
                        <w:i/>
                        <w:sz w:val="20"/>
                      </w:rPr>
                    </m:ctrlPr>
                  </m:sSubPr>
                  <m:e>
                    <m:r>
                      <w:rPr>
                        <w:rFonts w:ascii="Cambria Math" w:eastAsiaTheme="minorEastAsia" w:hAnsi="Cambria Math"/>
                        <w:sz w:val="20"/>
                      </w:rPr>
                      <m:t>EG</m:t>
                    </m:r>
                  </m:e>
                  <m:sub>
                    <m:r>
                      <w:rPr>
                        <w:rFonts w:ascii="Cambria Math" w:eastAsiaTheme="minorEastAsia" w:hAnsi="Cambria Math"/>
                        <w:sz w:val="20"/>
                      </w:rPr>
                      <m:t>BESS,delivered,y</m:t>
                    </m:r>
                  </m:sub>
                </m:sSub>
                <m:r>
                  <w:rPr>
                    <w:rFonts w:ascii="Cambria Math" w:eastAsiaTheme="minorEastAsia" w:hAnsi="Cambria Math"/>
                    <w:sz w:val="20"/>
                  </w:rPr>
                  <m:t>×</m:t>
                </m:r>
                <m:sSub>
                  <m:sSubPr>
                    <m:ctrlPr>
                      <w:rPr>
                        <w:rFonts w:ascii="Cambria Math" w:eastAsiaTheme="minorEastAsia" w:hAnsi="Cambria Math"/>
                        <w:i/>
                        <w:sz w:val="20"/>
                      </w:rPr>
                    </m:ctrlPr>
                  </m:sSubPr>
                  <m:e>
                    <m:r>
                      <w:rPr>
                        <w:rFonts w:ascii="Cambria Math" w:eastAsiaTheme="minorEastAsia" w:hAnsi="Cambria Math"/>
                        <w:sz w:val="20"/>
                      </w:rPr>
                      <m:t>EF</m:t>
                    </m:r>
                  </m:e>
                  <m:sub>
                    <m:r>
                      <w:rPr>
                        <w:rFonts w:ascii="Cambria Math" w:eastAsiaTheme="minorEastAsia" w:hAnsi="Cambria Math"/>
                        <w:sz w:val="20"/>
                      </w:rPr>
                      <m:t>BESS, upstream</m:t>
                    </m:r>
                  </m:sub>
                </m:sSub>
              </m:oMath>
            </m:oMathPara>
          </w:p>
        </w:tc>
        <w:tc>
          <w:tcPr>
            <w:tcW w:w="1701" w:type="dxa"/>
          </w:tcPr>
          <w:p w14:paraId="7CADD69C" w14:textId="77777777" w:rsidR="009E5388" w:rsidRPr="002B6960" w:rsidRDefault="009E5388" w:rsidP="007255A3">
            <w:pPr>
              <w:pStyle w:val="SDMMethEquationNr"/>
              <w:numPr>
                <w:ilvl w:val="0"/>
                <w:numId w:val="21"/>
              </w:numPr>
            </w:pPr>
          </w:p>
        </w:tc>
      </w:tr>
    </w:tbl>
    <w:p w14:paraId="439BE3A3" w14:textId="77777777" w:rsidR="009E5388" w:rsidRDefault="009E5388" w:rsidP="00EC00DE">
      <w:pPr>
        <w:pStyle w:val="SDMMethCaptionEquationParametersTable"/>
      </w:pPr>
      <w:r>
        <w:t>Where:</w:t>
      </w:r>
    </w:p>
    <w:tbl>
      <w:tblPr>
        <w:tblStyle w:val="SDMMethTableEquationParameters"/>
        <w:tblW w:w="8760" w:type="dxa"/>
        <w:tblLook w:val="04A0" w:firstRow="1" w:lastRow="0" w:firstColumn="1" w:lastColumn="0" w:noHBand="0" w:noVBand="1"/>
      </w:tblPr>
      <w:tblGrid>
        <w:gridCol w:w="1701"/>
        <w:gridCol w:w="345"/>
        <w:gridCol w:w="6714"/>
      </w:tblGrid>
      <w:tr w:rsidR="009E5388" w14:paraId="3CB6F618" w14:textId="77777777" w:rsidTr="00B7767A">
        <w:tc>
          <w:tcPr>
            <w:tcW w:w="1701" w:type="dxa"/>
            <w:vAlign w:val="top"/>
          </w:tcPr>
          <w:p w14:paraId="4E78B3CA" w14:textId="3F159F42" w:rsidR="009E5388" w:rsidRPr="00586DA2"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LE</m:t>
                    </m:r>
                  </m:e>
                  <m:sub>
                    <m:r>
                      <w:rPr>
                        <w:rFonts w:ascii="Cambria Math" w:eastAsiaTheme="minorEastAsia" w:hAnsi="Cambria Math"/>
                      </w:rPr>
                      <m:t>y</m:t>
                    </m:r>
                  </m:sub>
                </m:sSub>
              </m:oMath>
            </m:oMathPara>
          </w:p>
        </w:tc>
        <w:tc>
          <w:tcPr>
            <w:tcW w:w="345" w:type="dxa"/>
            <w:vAlign w:val="top"/>
          </w:tcPr>
          <w:p w14:paraId="0796227B" w14:textId="77777777" w:rsidR="009E5388" w:rsidRDefault="009E5388" w:rsidP="00B7767A">
            <w:pPr>
              <w:pStyle w:val="SDMTableBoxParaNotNumbered"/>
            </w:pPr>
            <w:r>
              <w:t>=</w:t>
            </w:r>
          </w:p>
        </w:tc>
        <w:tc>
          <w:tcPr>
            <w:tcW w:w="0" w:type="auto"/>
            <w:vAlign w:val="top"/>
          </w:tcPr>
          <w:p w14:paraId="25B570D9" w14:textId="0308DD7F" w:rsidR="009E5388" w:rsidRDefault="00824058" w:rsidP="00B7767A">
            <w:pPr>
              <w:pStyle w:val="SDMTableBoxParaNotNumbered"/>
            </w:pPr>
            <w:r>
              <w:rPr>
                <w:rFonts w:eastAsiaTheme="minorEastAsia"/>
              </w:rPr>
              <w:t>Leakage emissions in year </w:t>
            </w:r>
            <w:r w:rsidRPr="002C7552">
              <w:rPr>
                <w:rFonts w:eastAsiaTheme="minorEastAsia"/>
                <w:i/>
                <w:iCs/>
              </w:rPr>
              <w:t>y</w:t>
            </w:r>
            <w:r>
              <w:rPr>
                <w:rFonts w:eastAsiaTheme="minorEastAsia"/>
              </w:rPr>
              <w:t xml:space="preserve"> </w:t>
            </w:r>
            <w:r w:rsidRPr="00D4370C">
              <w:rPr>
                <w:rFonts w:eastAsiaTheme="minorEastAsia"/>
              </w:rPr>
              <w:t>(t CO</w:t>
            </w:r>
            <w:r w:rsidRPr="00D4370C">
              <w:rPr>
                <w:rFonts w:eastAsiaTheme="minorEastAsia"/>
                <w:vertAlign w:val="subscript"/>
              </w:rPr>
              <w:t>2</w:t>
            </w:r>
            <w:r w:rsidRPr="00D4370C">
              <w:rPr>
                <w:rFonts w:eastAsiaTheme="minorEastAsia"/>
              </w:rPr>
              <w:t>e</w:t>
            </w:r>
            <w:r>
              <w:rPr>
                <w:rFonts w:eastAsiaTheme="minorEastAsia"/>
              </w:rPr>
              <w:t>q</w:t>
            </w:r>
            <w:r w:rsidRPr="00D4370C">
              <w:rPr>
                <w:rFonts w:eastAsiaTheme="minorEastAsia"/>
              </w:rPr>
              <w:t>)</w:t>
            </w:r>
          </w:p>
        </w:tc>
      </w:tr>
      <w:tr w:rsidR="009E5388" w14:paraId="261A8C17" w14:textId="77777777" w:rsidTr="00B7767A">
        <w:tc>
          <w:tcPr>
            <w:tcW w:w="1701" w:type="dxa"/>
            <w:vAlign w:val="top"/>
          </w:tcPr>
          <w:p w14:paraId="520BD893" w14:textId="7821C6CB" w:rsidR="009E5388" w:rsidRPr="00586DA2" w:rsidRDefault="0039641B" w:rsidP="00B7767A">
            <w:pPr>
              <w:pStyle w:val="SDMTableBoxParaNotNumbered"/>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EG</m:t>
                    </m:r>
                  </m:e>
                  <m:sub>
                    <m:r>
                      <w:rPr>
                        <w:rFonts w:ascii="Cambria Math" w:eastAsiaTheme="minorEastAsia" w:hAnsi="Cambria Math"/>
                      </w:rPr>
                      <m:t>BESS,delivered,y</m:t>
                    </m:r>
                  </m:sub>
                </m:sSub>
              </m:oMath>
            </m:oMathPara>
          </w:p>
        </w:tc>
        <w:tc>
          <w:tcPr>
            <w:tcW w:w="345" w:type="dxa"/>
            <w:vAlign w:val="top"/>
          </w:tcPr>
          <w:p w14:paraId="2B8061C9" w14:textId="77777777" w:rsidR="009E5388" w:rsidRDefault="009E5388" w:rsidP="00B7767A">
            <w:pPr>
              <w:pStyle w:val="SDMTableBoxParaNotNumbered"/>
            </w:pPr>
            <w:r>
              <w:t>=</w:t>
            </w:r>
          </w:p>
        </w:tc>
        <w:tc>
          <w:tcPr>
            <w:tcW w:w="0" w:type="auto"/>
            <w:vAlign w:val="top"/>
          </w:tcPr>
          <w:p w14:paraId="77342273" w14:textId="4D5B0EFC" w:rsidR="009E5388" w:rsidRDefault="00E84841" w:rsidP="00B7767A">
            <w:pPr>
              <w:pStyle w:val="SDMTableBoxParaNotNumbered"/>
            </w:pPr>
            <w:r w:rsidRPr="00F30744">
              <w:t xml:space="preserve">Quantity of electricity </w:t>
            </w:r>
            <w:r>
              <w:t xml:space="preserve">delivered by the BESS in year </w:t>
            </w:r>
            <w:r w:rsidRPr="00F30744">
              <w:rPr>
                <w:i/>
                <w:iCs/>
              </w:rPr>
              <w:t>y</w:t>
            </w:r>
            <w:r w:rsidRPr="00F30744">
              <w:t xml:space="preserve"> (MWh)</w:t>
            </w:r>
          </w:p>
        </w:tc>
      </w:tr>
      <w:tr w:rsidR="009E5388" w14:paraId="4B9E011C" w14:textId="77777777" w:rsidTr="00B7767A">
        <w:tc>
          <w:tcPr>
            <w:tcW w:w="1701" w:type="dxa"/>
            <w:vAlign w:val="top"/>
          </w:tcPr>
          <w:p w14:paraId="637D2100" w14:textId="72CFB554" w:rsidR="009E5388" w:rsidRPr="00586DA2" w:rsidRDefault="0039641B" w:rsidP="00B7767A">
            <w:pPr>
              <w:pStyle w:val="SDMTableBoxParaNotNumbered"/>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EF</m:t>
                    </m:r>
                  </m:e>
                  <m:sub>
                    <m:r>
                      <w:rPr>
                        <w:rFonts w:ascii="Cambria Math" w:eastAsiaTheme="minorEastAsia" w:hAnsi="Cambria Math"/>
                      </w:rPr>
                      <m:t>BESS, upstream</m:t>
                    </m:r>
                  </m:sub>
                </m:sSub>
              </m:oMath>
            </m:oMathPara>
          </w:p>
        </w:tc>
        <w:tc>
          <w:tcPr>
            <w:tcW w:w="345" w:type="dxa"/>
            <w:vAlign w:val="top"/>
          </w:tcPr>
          <w:p w14:paraId="5267E440" w14:textId="77777777" w:rsidR="009E5388" w:rsidRDefault="009E5388" w:rsidP="00B7767A">
            <w:pPr>
              <w:pStyle w:val="SDMTableBoxParaNotNumbered"/>
            </w:pPr>
            <w:r>
              <w:t>=</w:t>
            </w:r>
          </w:p>
        </w:tc>
        <w:tc>
          <w:tcPr>
            <w:tcW w:w="0" w:type="auto"/>
            <w:vAlign w:val="top"/>
          </w:tcPr>
          <w:p w14:paraId="76AC50A0" w14:textId="7C8ACC35" w:rsidR="009E5388" w:rsidRDefault="00AF1ECC" w:rsidP="00B7767A">
            <w:pPr>
              <w:pStyle w:val="SDMTableBoxParaNotNumbered"/>
            </w:pPr>
            <w:r>
              <w:rPr>
                <w:rFonts w:eastAsiaTheme="minorEastAsia"/>
              </w:rPr>
              <w:t>Emission factor for the upstream emissions from the production, transportation and installation of a BESS relative to the electricity delivered by the BESS (</w:t>
            </w:r>
            <w:r w:rsidRPr="00D4370C">
              <w:rPr>
                <w:rFonts w:eastAsiaTheme="minorEastAsia"/>
              </w:rPr>
              <w:t>t CO</w:t>
            </w:r>
            <w:r w:rsidRPr="00D4370C">
              <w:rPr>
                <w:rFonts w:eastAsiaTheme="minorEastAsia"/>
                <w:vertAlign w:val="subscript"/>
              </w:rPr>
              <w:t>2</w:t>
            </w:r>
            <w:r w:rsidRPr="00D4370C">
              <w:rPr>
                <w:rFonts w:eastAsiaTheme="minorEastAsia"/>
              </w:rPr>
              <w:t>e</w:t>
            </w:r>
            <w:r>
              <w:rPr>
                <w:rFonts w:eastAsiaTheme="minorEastAsia"/>
              </w:rPr>
              <w:t>q / kWh</w:t>
            </w:r>
            <w:r w:rsidRPr="00D4370C">
              <w:rPr>
                <w:rFonts w:eastAsiaTheme="minorEastAsia"/>
              </w:rPr>
              <w:t>)</w:t>
            </w:r>
          </w:p>
        </w:tc>
      </w:tr>
      <w:tr w:rsidR="00AF1ECC" w14:paraId="4DD6382F" w14:textId="77777777" w:rsidTr="00B7767A">
        <w:tc>
          <w:tcPr>
            <w:tcW w:w="1701" w:type="dxa"/>
            <w:vAlign w:val="top"/>
          </w:tcPr>
          <w:p w14:paraId="31B3EA98" w14:textId="05EB12B0" w:rsidR="00AF1ECC" w:rsidRPr="00B85000" w:rsidRDefault="00AF1ECC" w:rsidP="00B7767A">
            <w:pPr>
              <w:pStyle w:val="SDMTableBoxParaNotNumbered"/>
            </w:pPr>
            <m:oMathPara>
              <m:oMathParaPr>
                <m:jc m:val="left"/>
              </m:oMathParaPr>
              <m:oMath>
                <m:r>
                  <w:rPr>
                    <w:rFonts w:ascii="Cambria Math" w:eastAsiaTheme="minorEastAsia" w:hAnsi="Cambria Math"/>
                  </w:rPr>
                  <m:t>y</m:t>
                </m:r>
              </m:oMath>
            </m:oMathPara>
          </w:p>
        </w:tc>
        <w:tc>
          <w:tcPr>
            <w:tcW w:w="345" w:type="dxa"/>
            <w:vAlign w:val="top"/>
          </w:tcPr>
          <w:p w14:paraId="5E3B8AB4" w14:textId="589E8A11" w:rsidR="00AF1ECC" w:rsidRDefault="00AF1ECC" w:rsidP="00B7767A">
            <w:pPr>
              <w:pStyle w:val="SDMTableBoxParaNotNumbered"/>
            </w:pPr>
            <w:r>
              <w:t>=</w:t>
            </w:r>
          </w:p>
        </w:tc>
        <w:tc>
          <w:tcPr>
            <w:tcW w:w="0" w:type="auto"/>
            <w:vAlign w:val="top"/>
          </w:tcPr>
          <w:p w14:paraId="2D451227" w14:textId="646EB7F5" w:rsidR="00AF1ECC" w:rsidRDefault="00B85000" w:rsidP="00B7767A">
            <w:pPr>
              <w:pStyle w:val="SDMTableBoxParaNotNumbered"/>
              <w:rPr>
                <w:rFonts w:eastAsiaTheme="minorEastAsia"/>
              </w:rPr>
            </w:pPr>
            <w:r w:rsidRPr="00B80CEF">
              <w:t>Calendar year</w:t>
            </w:r>
            <w:r>
              <w:t>s</w:t>
            </w:r>
            <w:r w:rsidRPr="00B80CEF">
              <w:t xml:space="preserve"> of the crediting period</w:t>
            </w:r>
          </w:p>
        </w:tc>
      </w:tr>
    </w:tbl>
    <w:p w14:paraId="0229704E" w14:textId="77777777" w:rsidR="002C3056" w:rsidRPr="00CB7EFA" w:rsidRDefault="00B960DB" w:rsidP="00B960DB">
      <w:pPr>
        <w:pStyle w:val="SDMHead1"/>
      </w:pPr>
      <w:bookmarkStart w:id="322" w:name="_Toc233881737"/>
      <w:bookmarkStart w:id="323" w:name="_Toc233882103"/>
      <w:bookmarkStart w:id="324" w:name="_Toc233884230"/>
      <w:bookmarkStart w:id="325" w:name="_Toc233902839"/>
      <w:bookmarkStart w:id="326" w:name="_Toc233902876"/>
      <w:bookmarkStart w:id="327" w:name="_Toc236391907"/>
      <w:bookmarkStart w:id="328" w:name="_Toc236394049"/>
      <w:r w:rsidRPr="00CB7EFA">
        <w:t>Emission reductions</w:t>
      </w:r>
      <w:bookmarkEnd w:id="322"/>
      <w:bookmarkEnd w:id="323"/>
      <w:bookmarkEnd w:id="324"/>
      <w:bookmarkEnd w:id="325"/>
      <w:bookmarkEnd w:id="326"/>
      <w:bookmarkEnd w:id="327"/>
      <w:bookmarkEnd w:id="328"/>
    </w:p>
    <w:p w14:paraId="16BB8D17" w14:textId="77777777" w:rsidR="00B85000" w:rsidRDefault="00B960DB" w:rsidP="00EC00DE">
      <w:pPr>
        <w:pStyle w:val="SDMPara"/>
        <w:keepNext/>
      </w:pPr>
      <w:r w:rsidRPr="00CB7EFA">
        <w:t>Emission reductions shall be determined as follows</w:t>
      </w:r>
      <w:r w:rsidR="00B85000">
        <w:t>:</w:t>
      </w:r>
    </w:p>
    <w:tbl>
      <w:tblPr>
        <w:tblStyle w:val="SDMMethTableEquation"/>
        <w:tblW w:w="8760" w:type="dxa"/>
        <w:tblLook w:val="0600" w:firstRow="0" w:lastRow="0" w:firstColumn="0" w:lastColumn="0" w:noHBand="1" w:noVBand="1"/>
      </w:tblPr>
      <w:tblGrid>
        <w:gridCol w:w="7092"/>
        <w:gridCol w:w="1668"/>
      </w:tblGrid>
      <w:tr w:rsidR="008157A2" w:rsidRPr="00E32F75" w14:paraId="3A08AFF0" w14:textId="77777777" w:rsidTr="00690A70">
        <w:tc>
          <w:tcPr>
            <w:tcW w:w="7224" w:type="dxa"/>
          </w:tcPr>
          <w:p w14:paraId="3BD037A3" w14:textId="42DA7BA0" w:rsidR="008157A2" w:rsidRPr="00252AA4" w:rsidRDefault="0039641B" w:rsidP="00690A70">
            <w:pPr>
              <w:pStyle w:val="SDMMethEquation"/>
            </w:pPr>
            <m:oMathPara>
              <m:oMathParaPr>
                <m:jc m:val="left"/>
              </m:oMathParaPr>
              <m:oMath>
                <m:sSub>
                  <m:sSubPr>
                    <m:ctrlPr>
                      <w:rPr>
                        <w:rFonts w:ascii="Cambria Math" w:eastAsiaTheme="minorEastAsia" w:hAnsi="Cambria Math"/>
                      </w:rPr>
                    </m:ctrlPr>
                  </m:sSubPr>
                  <m:e>
                    <m:r>
                      <w:rPr>
                        <w:rFonts w:ascii="Cambria Math" w:eastAsiaTheme="minorEastAsia" w:hAnsi="Cambria Math"/>
                      </w:rPr>
                      <m:t>ER</m:t>
                    </m:r>
                  </m:e>
                  <m:sub>
                    <m:r>
                      <w:rPr>
                        <w:rFonts w:ascii="Cambria Math" w:eastAsiaTheme="minorEastAsia" w:hAnsi="Cambria Math"/>
                      </w:rPr>
                      <m:t>y</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BE</m:t>
                    </m:r>
                  </m:e>
                  <m:sub>
                    <m:r>
                      <w:rPr>
                        <w:rFonts w:ascii="Cambria Math" w:eastAsiaTheme="minorEastAsia" w:hAnsi="Cambria Math"/>
                      </w:rPr>
                      <m:t>EG,adj,y</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y</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LE</m:t>
                    </m:r>
                  </m:e>
                  <m:sub>
                    <m:r>
                      <w:rPr>
                        <w:rFonts w:ascii="Cambria Math" w:eastAsiaTheme="minorEastAsia" w:hAnsi="Cambria Math"/>
                      </w:rPr>
                      <m:t>y</m:t>
                    </m:r>
                  </m:sub>
                </m:sSub>
              </m:oMath>
            </m:oMathPara>
          </w:p>
        </w:tc>
        <w:tc>
          <w:tcPr>
            <w:tcW w:w="1701" w:type="dxa"/>
          </w:tcPr>
          <w:p w14:paraId="3DF34E1E" w14:textId="77777777" w:rsidR="008157A2" w:rsidRPr="002B6960" w:rsidRDefault="008157A2" w:rsidP="007255A3">
            <w:pPr>
              <w:pStyle w:val="SDMMethEquationNr"/>
              <w:numPr>
                <w:ilvl w:val="0"/>
                <w:numId w:val="21"/>
              </w:numPr>
            </w:pPr>
          </w:p>
        </w:tc>
      </w:tr>
    </w:tbl>
    <w:p w14:paraId="7A525842" w14:textId="77777777" w:rsidR="008157A2" w:rsidRDefault="008157A2" w:rsidP="00EC00DE">
      <w:pPr>
        <w:pStyle w:val="SDMMethCaptionEquationParametersTable"/>
      </w:pPr>
      <w:r>
        <w:lastRenderedPageBreak/>
        <w:t>Where:</w:t>
      </w:r>
    </w:p>
    <w:tbl>
      <w:tblPr>
        <w:tblStyle w:val="SDMMethTableEquationParameters"/>
        <w:tblW w:w="8760" w:type="dxa"/>
        <w:tblLook w:val="04A0" w:firstRow="1" w:lastRow="0" w:firstColumn="1" w:lastColumn="0" w:noHBand="0" w:noVBand="1"/>
      </w:tblPr>
      <w:tblGrid>
        <w:gridCol w:w="1701"/>
        <w:gridCol w:w="345"/>
        <w:gridCol w:w="6714"/>
      </w:tblGrid>
      <w:tr w:rsidR="008157A2" w14:paraId="2DD91E5F" w14:textId="77777777" w:rsidTr="00B7767A">
        <w:tc>
          <w:tcPr>
            <w:tcW w:w="1701" w:type="dxa"/>
            <w:vAlign w:val="top"/>
          </w:tcPr>
          <w:p w14:paraId="4410E685" w14:textId="70460A3D" w:rsidR="008157A2" w:rsidRPr="0063134C"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ER</m:t>
                    </m:r>
                  </m:e>
                  <m:sub>
                    <m:r>
                      <w:rPr>
                        <w:rFonts w:ascii="Cambria Math" w:eastAsiaTheme="minorEastAsia" w:hAnsi="Cambria Math"/>
                      </w:rPr>
                      <m:t>y</m:t>
                    </m:r>
                  </m:sub>
                </m:sSub>
              </m:oMath>
            </m:oMathPara>
          </w:p>
        </w:tc>
        <w:tc>
          <w:tcPr>
            <w:tcW w:w="345" w:type="dxa"/>
            <w:vAlign w:val="top"/>
          </w:tcPr>
          <w:p w14:paraId="5768509C" w14:textId="77777777" w:rsidR="008157A2" w:rsidRDefault="008157A2" w:rsidP="00B7767A">
            <w:pPr>
              <w:pStyle w:val="SDMTableBoxParaNotNumbered"/>
            </w:pPr>
            <w:r>
              <w:t>=</w:t>
            </w:r>
          </w:p>
        </w:tc>
        <w:tc>
          <w:tcPr>
            <w:tcW w:w="0" w:type="auto"/>
            <w:vAlign w:val="top"/>
          </w:tcPr>
          <w:p w14:paraId="57E957C6" w14:textId="28491377" w:rsidR="008157A2" w:rsidRDefault="005045E2" w:rsidP="00B7767A">
            <w:pPr>
              <w:pStyle w:val="SDMTableBoxParaNotNumbered"/>
            </w:pPr>
            <w:r w:rsidRPr="00D4370C">
              <w:rPr>
                <w:rFonts w:eastAsiaTheme="minorEastAsia" w:cs="Arial"/>
              </w:rPr>
              <w:t>Emission reductions in year </w:t>
            </w:r>
            <w:r w:rsidRPr="00D4370C">
              <w:rPr>
                <w:rFonts w:eastAsiaTheme="minorEastAsia" w:cs="Arial"/>
                <w:i/>
              </w:rPr>
              <w:t>y</w:t>
            </w:r>
            <w:r w:rsidRPr="00D4370C">
              <w:rPr>
                <w:rFonts w:eastAsiaTheme="minorEastAsia" w:cs="Arial"/>
              </w:rPr>
              <w:t xml:space="preserve"> (t </w:t>
            </w:r>
            <w:r w:rsidRPr="35B22908">
              <w:rPr>
                <w:rFonts w:eastAsiaTheme="minorEastAsia" w:cs="Arial"/>
              </w:rPr>
              <w:t>CO</w:t>
            </w:r>
            <w:r w:rsidRPr="35B22908">
              <w:rPr>
                <w:rFonts w:eastAsiaTheme="minorEastAsia" w:cs="Arial"/>
                <w:vertAlign w:val="subscript"/>
              </w:rPr>
              <w:t>2</w:t>
            </w:r>
            <w:r w:rsidRPr="35B22908">
              <w:rPr>
                <w:rFonts w:eastAsiaTheme="minorEastAsia" w:cs="Arial"/>
              </w:rPr>
              <w:t>eq</w:t>
            </w:r>
            <w:r w:rsidRPr="00D4370C">
              <w:rPr>
                <w:rFonts w:eastAsiaTheme="minorEastAsia" w:cs="Arial"/>
              </w:rPr>
              <w:t>)</w:t>
            </w:r>
          </w:p>
        </w:tc>
      </w:tr>
      <w:tr w:rsidR="008157A2" w14:paraId="09CF4699" w14:textId="77777777" w:rsidTr="00B7767A">
        <w:tc>
          <w:tcPr>
            <w:tcW w:w="1701" w:type="dxa"/>
            <w:vAlign w:val="top"/>
          </w:tcPr>
          <w:p w14:paraId="7D6EFB60" w14:textId="2E37FA03" w:rsidR="008157A2" w:rsidRPr="0063134C"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BE</m:t>
                    </m:r>
                  </m:e>
                  <m:sub>
                    <m:r>
                      <w:rPr>
                        <w:rFonts w:ascii="Cambria Math" w:eastAsiaTheme="minorEastAsia" w:hAnsi="Cambria Math"/>
                      </w:rPr>
                      <m:t>EG,adj,y</m:t>
                    </m:r>
                  </m:sub>
                </m:sSub>
              </m:oMath>
            </m:oMathPara>
          </w:p>
        </w:tc>
        <w:tc>
          <w:tcPr>
            <w:tcW w:w="345" w:type="dxa"/>
            <w:vAlign w:val="top"/>
          </w:tcPr>
          <w:p w14:paraId="25AE7C0D" w14:textId="77777777" w:rsidR="008157A2" w:rsidRDefault="008157A2" w:rsidP="00B7767A">
            <w:pPr>
              <w:pStyle w:val="SDMTableBoxParaNotNumbered"/>
            </w:pPr>
            <w:r>
              <w:t>=</w:t>
            </w:r>
          </w:p>
        </w:tc>
        <w:tc>
          <w:tcPr>
            <w:tcW w:w="0" w:type="auto"/>
            <w:vAlign w:val="top"/>
          </w:tcPr>
          <w:p w14:paraId="31D9C109" w14:textId="1D4E5CE0" w:rsidR="008157A2" w:rsidRDefault="00E10BF4" w:rsidP="00B7767A">
            <w:pPr>
              <w:pStyle w:val="SDMTableBoxParaNotNumbered"/>
            </w:pPr>
            <w:r w:rsidRPr="5ED1399A">
              <w:rPr>
                <w:rFonts w:eastAsiaTheme="minorEastAsia" w:cs="Arial"/>
              </w:rPr>
              <w:t>Downward adjusted baseline</w:t>
            </w:r>
            <w:r w:rsidRPr="00D4370C">
              <w:rPr>
                <w:rFonts w:eastAsiaTheme="minorEastAsia" w:cs="Arial"/>
              </w:rPr>
              <w:t xml:space="preserve"> emissions </w:t>
            </w:r>
            <w:r>
              <w:rPr>
                <w:rFonts w:eastAsiaTheme="minorEastAsia" w:cs="Arial"/>
              </w:rPr>
              <w:t>from electricity generation</w:t>
            </w:r>
            <w:r w:rsidRPr="00D4370C">
              <w:rPr>
                <w:rFonts w:eastAsiaTheme="minorEastAsia" w:cs="Arial"/>
              </w:rPr>
              <w:t xml:space="preserve"> </w:t>
            </w:r>
            <w:r>
              <w:rPr>
                <w:rFonts w:eastAsiaTheme="minorEastAsia" w:cs="Arial"/>
              </w:rPr>
              <w:t xml:space="preserve">from the Article 6.4 activity </w:t>
            </w:r>
            <w:r w:rsidRPr="00D4370C">
              <w:rPr>
                <w:rFonts w:eastAsiaTheme="minorEastAsia" w:cs="Arial"/>
              </w:rPr>
              <w:t>in year </w:t>
            </w:r>
            <w:r w:rsidRPr="36FE4677">
              <w:rPr>
                <w:rFonts w:eastAsiaTheme="minorEastAsia" w:cs="Arial"/>
                <w:i/>
                <w:iCs/>
              </w:rPr>
              <w:t>y</w:t>
            </w:r>
            <w:r w:rsidRPr="00D4370C">
              <w:rPr>
                <w:rFonts w:eastAsiaTheme="minorEastAsia" w:cs="Arial"/>
              </w:rPr>
              <w:t xml:space="preserve"> (t </w:t>
            </w:r>
            <w:r w:rsidRPr="5ECADFE4">
              <w:rPr>
                <w:rFonts w:eastAsiaTheme="minorEastAsia" w:cs="Arial"/>
              </w:rPr>
              <w:t>CO</w:t>
            </w:r>
            <w:r w:rsidRPr="5ECADFE4">
              <w:rPr>
                <w:rFonts w:eastAsiaTheme="minorEastAsia" w:cs="Arial"/>
                <w:vertAlign w:val="subscript"/>
              </w:rPr>
              <w:t>2</w:t>
            </w:r>
            <w:r w:rsidRPr="5ECADFE4">
              <w:rPr>
                <w:rFonts w:eastAsiaTheme="minorEastAsia" w:cs="Arial"/>
              </w:rPr>
              <w:t>eq</w:t>
            </w:r>
            <w:r w:rsidRPr="5ED1399A">
              <w:rPr>
                <w:rFonts w:eastAsiaTheme="minorEastAsia" w:cs="Arial"/>
              </w:rPr>
              <w:t>)</w:t>
            </w:r>
          </w:p>
        </w:tc>
      </w:tr>
      <w:tr w:rsidR="008157A2" w14:paraId="738AE16F" w14:textId="77777777" w:rsidTr="00B7767A">
        <w:tc>
          <w:tcPr>
            <w:tcW w:w="1701" w:type="dxa"/>
            <w:vAlign w:val="top"/>
          </w:tcPr>
          <w:p w14:paraId="6FD40444" w14:textId="2588CF4E" w:rsidR="008157A2" w:rsidRPr="0063134C" w:rsidRDefault="0039641B" w:rsidP="00B7767A">
            <w:pPr>
              <w:pStyle w:val="SDMTableBoxParaNotNumbered"/>
            </w:pPr>
            <m:oMathPara>
              <m:oMathParaPr>
                <m:jc m:val="left"/>
              </m:oMathParaPr>
              <m:oMath>
                <m:sSub>
                  <m:sSubPr>
                    <m:ctrlPr>
                      <w:rPr>
                        <w:rFonts w:ascii="Cambria Math" w:eastAsiaTheme="minorEastAsia" w:hAnsi="Cambria Math"/>
                      </w:rPr>
                    </m:ctrlPr>
                  </m:sSubPr>
                  <m:e>
                    <m:r>
                      <w:rPr>
                        <w:rFonts w:ascii="Cambria Math" w:eastAsiaTheme="minorEastAsia" w:hAnsi="Cambria Math"/>
                      </w:rPr>
                      <m:t>AE</m:t>
                    </m:r>
                  </m:e>
                  <m:sub>
                    <m:r>
                      <w:rPr>
                        <w:rFonts w:ascii="Cambria Math" w:eastAsiaTheme="minorEastAsia" w:hAnsi="Cambria Math"/>
                      </w:rPr>
                      <m:t>y</m:t>
                    </m:r>
                  </m:sub>
                </m:sSub>
              </m:oMath>
            </m:oMathPara>
          </w:p>
        </w:tc>
        <w:tc>
          <w:tcPr>
            <w:tcW w:w="345" w:type="dxa"/>
            <w:vAlign w:val="top"/>
          </w:tcPr>
          <w:p w14:paraId="33B496BF" w14:textId="77777777" w:rsidR="008157A2" w:rsidRDefault="008157A2" w:rsidP="00B7767A">
            <w:pPr>
              <w:pStyle w:val="SDMTableBoxParaNotNumbered"/>
            </w:pPr>
            <w:r>
              <w:t>=</w:t>
            </w:r>
          </w:p>
        </w:tc>
        <w:tc>
          <w:tcPr>
            <w:tcW w:w="0" w:type="auto"/>
            <w:vAlign w:val="top"/>
          </w:tcPr>
          <w:p w14:paraId="3207E28C" w14:textId="4B99BB83" w:rsidR="008157A2" w:rsidRDefault="0069539A" w:rsidP="00B7767A">
            <w:pPr>
              <w:pStyle w:val="SDMTableBoxParaNotNumbered"/>
            </w:pPr>
            <w:r>
              <w:rPr>
                <w:rFonts w:eastAsiaTheme="minorEastAsia" w:cs="Arial"/>
              </w:rPr>
              <w:t>Activity</w:t>
            </w:r>
            <w:r w:rsidRPr="00D4370C">
              <w:rPr>
                <w:rFonts w:eastAsiaTheme="minorEastAsia" w:cs="Arial"/>
              </w:rPr>
              <w:t xml:space="preserve"> emissions in year </w:t>
            </w:r>
            <w:r w:rsidRPr="00D4370C">
              <w:rPr>
                <w:rFonts w:eastAsiaTheme="minorEastAsia" w:cs="Arial"/>
                <w:i/>
              </w:rPr>
              <w:t>y</w:t>
            </w:r>
            <w:r w:rsidRPr="00D4370C">
              <w:rPr>
                <w:rFonts w:eastAsiaTheme="minorEastAsia" w:cs="Arial"/>
              </w:rPr>
              <w:t xml:space="preserve"> (t </w:t>
            </w:r>
            <w:r w:rsidRPr="35B22908">
              <w:rPr>
                <w:rFonts w:eastAsiaTheme="minorEastAsia" w:cs="Arial"/>
              </w:rPr>
              <w:t>CO</w:t>
            </w:r>
            <w:r w:rsidRPr="35B22908">
              <w:rPr>
                <w:rFonts w:eastAsiaTheme="minorEastAsia" w:cs="Arial"/>
                <w:vertAlign w:val="subscript"/>
              </w:rPr>
              <w:t>2</w:t>
            </w:r>
            <w:r w:rsidRPr="35B22908">
              <w:rPr>
                <w:rFonts w:eastAsiaTheme="minorEastAsia" w:cs="Arial"/>
              </w:rPr>
              <w:t>eq</w:t>
            </w:r>
            <w:r w:rsidRPr="00D4370C">
              <w:rPr>
                <w:rFonts w:eastAsiaTheme="minorEastAsia" w:cs="Arial"/>
              </w:rPr>
              <w:t>)</w:t>
            </w:r>
          </w:p>
        </w:tc>
      </w:tr>
      <w:tr w:rsidR="0063134C" w14:paraId="12C4BECD" w14:textId="77777777" w:rsidTr="00B7767A">
        <w:tc>
          <w:tcPr>
            <w:tcW w:w="1701" w:type="dxa"/>
            <w:vAlign w:val="top"/>
          </w:tcPr>
          <w:p w14:paraId="21C6A88C" w14:textId="79046A27" w:rsidR="0063134C" w:rsidRPr="0063134C" w:rsidRDefault="0039641B" w:rsidP="00B7767A">
            <w:pPr>
              <w:pStyle w:val="SDMTableBoxParaNotNumbered"/>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LE</m:t>
                    </m:r>
                  </m:e>
                  <m:sub>
                    <m:r>
                      <w:rPr>
                        <w:rFonts w:ascii="Cambria Math" w:eastAsiaTheme="minorEastAsia" w:hAnsi="Cambria Math"/>
                      </w:rPr>
                      <m:t>y</m:t>
                    </m:r>
                  </m:sub>
                </m:sSub>
              </m:oMath>
            </m:oMathPara>
          </w:p>
        </w:tc>
        <w:tc>
          <w:tcPr>
            <w:tcW w:w="345" w:type="dxa"/>
            <w:vAlign w:val="top"/>
          </w:tcPr>
          <w:p w14:paraId="5D3CCBFD" w14:textId="20D885E2" w:rsidR="0063134C" w:rsidRDefault="0063134C" w:rsidP="00B7767A">
            <w:pPr>
              <w:pStyle w:val="SDMTableBoxParaNotNumbered"/>
            </w:pPr>
            <w:r>
              <w:t>=</w:t>
            </w:r>
          </w:p>
        </w:tc>
        <w:tc>
          <w:tcPr>
            <w:tcW w:w="0" w:type="auto"/>
            <w:vAlign w:val="top"/>
          </w:tcPr>
          <w:p w14:paraId="006A8D8B" w14:textId="500F97CF" w:rsidR="0063134C" w:rsidRDefault="0017534A" w:rsidP="00B7767A">
            <w:pPr>
              <w:pStyle w:val="SDMTableBoxParaNotNumbered"/>
            </w:pPr>
            <w:r>
              <w:rPr>
                <w:rFonts w:eastAsiaTheme="minorEastAsia"/>
              </w:rPr>
              <w:t>Leakage emissions in year </w:t>
            </w:r>
            <w:r w:rsidRPr="002C7552">
              <w:rPr>
                <w:rFonts w:eastAsiaTheme="minorEastAsia"/>
                <w:i/>
                <w:iCs/>
              </w:rPr>
              <w:t>y</w:t>
            </w:r>
            <w:r>
              <w:rPr>
                <w:rFonts w:eastAsiaTheme="minorEastAsia"/>
              </w:rPr>
              <w:t xml:space="preserve"> </w:t>
            </w:r>
            <w:r w:rsidRPr="00D4370C">
              <w:rPr>
                <w:rFonts w:eastAsiaTheme="minorEastAsia"/>
              </w:rPr>
              <w:t>(t CO</w:t>
            </w:r>
            <w:r w:rsidRPr="00D4370C">
              <w:rPr>
                <w:rFonts w:eastAsiaTheme="minorEastAsia"/>
                <w:vertAlign w:val="subscript"/>
              </w:rPr>
              <w:t>2</w:t>
            </w:r>
            <w:r w:rsidRPr="00D4370C">
              <w:rPr>
                <w:rFonts w:eastAsiaTheme="minorEastAsia"/>
              </w:rPr>
              <w:t>e</w:t>
            </w:r>
            <w:r>
              <w:rPr>
                <w:rFonts w:eastAsiaTheme="minorEastAsia"/>
              </w:rPr>
              <w:t>q</w:t>
            </w:r>
            <w:r w:rsidRPr="00D4370C">
              <w:rPr>
                <w:rFonts w:eastAsiaTheme="minorEastAsia"/>
              </w:rPr>
              <w:t>)</w:t>
            </w:r>
          </w:p>
        </w:tc>
      </w:tr>
      <w:tr w:rsidR="0063134C" w14:paraId="44F0407E" w14:textId="77777777" w:rsidTr="00B7767A">
        <w:tc>
          <w:tcPr>
            <w:tcW w:w="1701" w:type="dxa"/>
            <w:vAlign w:val="top"/>
          </w:tcPr>
          <w:p w14:paraId="2423FA54" w14:textId="58B17407" w:rsidR="0063134C" w:rsidRPr="0063134C" w:rsidRDefault="0063134C" w:rsidP="00B7767A">
            <w:pPr>
              <w:pStyle w:val="SDMTableBoxParaNotNumbered"/>
            </w:pPr>
            <m:oMathPara>
              <m:oMathParaPr>
                <m:jc m:val="left"/>
              </m:oMathParaPr>
              <m:oMath>
                <m:r>
                  <w:rPr>
                    <w:rFonts w:ascii="Cambria Math" w:eastAsiaTheme="minorEastAsia" w:hAnsi="Cambria Math"/>
                  </w:rPr>
                  <m:t>y</m:t>
                </m:r>
              </m:oMath>
            </m:oMathPara>
          </w:p>
        </w:tc>
        <w:tc>
          <w:tcPr>
            <w:tcW w:w="345" w:type="dxa"/>
            <w:vAlign w:val="top"/>
          </w:tcPr>
          <w:p w14:paraId="13471F4B" w14:textId="4FE7007B" w:rsidR="0063134C" w:rsidRDefault="0063134C" w:rsidP="00B7767A">
            <w:pPr>
              <w:pStyle w:val="SDMTableBoxParaNotNumbered"/>
            </w:pPr>
            <w:r>
              <w:t>=</w:t>
            </w:r>
          </w:p>
        </w:tc>
        <w:tc>
          <w:tcPr>
            <w:tcW w:w="0" w:type="auto"/>
            <w:vAlign w:val="top"/>
          </w:tcPr>
          <w:p w14:paraId="2A882B42" w14:textId="6433B5FC" w:rsidR="0063134C" w:rsidRDefault="004B5BDF" w:rsidP="00B7767A">
            <w:pPr>
              <w:pStyle w:val="SDMTableBoxParaNotNumbered"/>
            </w:pPr>
            <w:r>
              <w:rPr>
                <w:rFonts w:eastAsiaTheme="minorEastAsia" w:cs="Arial"/>
              </w:rPr>
              <w:t>Calendar years of the crediting period</w:t>
            </w:r>
          </w:p>
        </w:tc>
      </w:tr>
    </w:tbl>
    <w:p w14:paraId="68FDA580" w14:textId="73E5F964" w:rsidR="002C3056" w:rsidRPr="00CB7EFA" w:rsidRDefault="00517263" w:rsidP="00BC6A82">
      <w:pPr>
        <w:pStyle w:val="SDMPara"/>
      </w:pPr>
      <w:r>
        <w:t xml:space="preserve">Note that in this mechanisms methodology the uncertainty of baseline emissions is addressed through the determination of the initial downward adjustment. With respect to activity emissions and leakage </w:t>
      </w:r>
      <w:r w:rsidRPr="00CA3521">
        <w:rPr>
          <w:rFonts w:eastAsiaTheme="minorEastAsia"/>
        </w:rPr>
        <w:t>emissions</w:t>
      </w:r>
      <w:r>
        <w:t xml:space="preserve">, the methodology addresses </w:t>
      </w:r>
      <w:r w:rsidRPr="6C50512D">
        <w:rPr>
          <w:rFonts w:eastAsiaTheme="minorEastAsia"/>
        </w:rPr>
        <w:t>uncertainty</w:t>
      </w:r>
      <w:r>
        <w:t xml:space="preserve"> in the determination of individual parameters and through conservative assumptions (see also </w:t>
      </w:r>
      <w:r w:rsidR="00B76221">
        <w:t>a</w:t>
      </w:r>
      <w:r>
        <w:t xml:space="preserve">ppendix </w:t>
      </w:r>
      <w:r w:rsidR="00B76221">
        <w:t>1</w:t>
      </w:r>
      <w:r>
        <w:t>). It is therefore not necessary to determine the overall uncertainty of the aggregated emission reductions.</w:t>
      </w:r>
    </w:p>
    <w:p w14:paraId="6E598A37" w14:textId="01A71F4A" w:rsidR="00B960DB" w:rsidRPr="00CB7EFA" w:rsidRDefault="00B960DB" w:rsidP="00B960DB">
      <w:pPr>
        <w:pStyle w:val="SDMHead1"/>
      </w:pPr>
      <w:bookmarkStart w:id="329" w:name="_Toc233881738"/>
      <w:bookmarkStart w:id="330" w:name="_Toc233882104"/>
      <w:bookmarkStart w:id="331" w:name="_Toc233884231"/>
      <w:bookmarkStart w:id="332" w:name="_Toc233902840"/>
      <w:bookmarkStart w:id="333" w:name="_Toc233902877"/>
      <w:bookmarkStart w:id="334" w:name="_Toc236391908"/>
      <w:bookmarkStart w:id="335" w:name="_Toc236394050"/>
      <w:r w:rsidRPr="00CB7EFA">
        <w:t xml:space="preserve">Avoidance of </w:t>
      </w:r>
      <w:r w:rsidR="000944E3">
        <w:t>d</w:t>
      </w:r>
      <w:r w:rsidRPr="00CB7EFA">
        <w:t xml:space="preserve">ouble </w:t>
      </w:r>
      <w:r w:rsidR="000944E3">
        <w:t>c</w:t>
      </w:r>
      <w:r w:rsidRPr="00CB7EFA">
        <w:t>ounting</w:t>
      </w:r>
      <w:bookmarkEnd w:id="329"/>
      <w:bookmarkEnd w:id="330"/>
      <w:bookmarkEnd w:id="331"/>
      <w:bookmarkEnd w:id="332"/>
      <w:bookmarkEnd w:id="333"/>
      <w:bookmarkEnd w:id="334"/>
      <w:bookmarkEnd w:id="335"/>
    </w:p>
    <w:p w14:paraId="7C185983" w14:textId="163DB93B" w:rsidR="00B960DB" w:rsidRPr="00CB7EFA" w:rsidRDefault="00B960DB" w:rsidP="00EC00DE">
      <w:pPr>
        <w:pStyle w:val="SDMPara"/>
        <w:keepNext/>
      </w:pPr>
      <w:r w:rsidRPr="00CB7EFA">
        <w:t>Activity participants shall demonstrate that the Article 6.4 activity will not result in double counting by:</w:t>
      </w:r>
    </w:p>
    <w:p w14:paraId="4D2EE868" w14:textId="66EA84B9" w:rsidR="00B960DB" w:rsidRPr="0030091C" w:rsidRDefault="0030091C" w:rsidP="00EC00DE">
      <w:pPr>
        <w:pStyle w:val="SDMSubPara1"/>
        <w:keepNext/>
      </w:pPr>
      <w:bookmarkStart w:id="336" w:name="_Ref232431974"/>
      <w:r w:rsidRPr="636CA247">
        <w:rPr>
          <w:rFonts w:eastAsia="SimSun"/>
          <w:lang w:eastAsia="zh-CN"/>
        </w:rPr>
        <w:t xml:space="preserve">Providing evidence, in each monitoring report, that the </w:t>
      </w:r>
      <w:r w:rsidRPr="636CA247">
        <w:rPr>
          <w:rFonts w:eastAsia="SimSun"/>
          <w:lang w:val="en-US" w:eastAsia="zh-CN"/>
        </w:rPr>
        <w:t>renewable electricity generated by the Article 6.4 activity, together with any associated mitigation outcomes and environmental attributes (e.g., issuance of renewable energy certificates with respect to the renewable electricity generated under the Article 6.4 activity)</w:t>
      </w:r>
      <w:r>
        <w:rPr>
          <w:rFonts w:eastAsia="SimSun"/>
          <w:lang w:val="en-US" w:eastAsia="zh-CN"/>
        </w:rPr>
        <w:t>,</w:t>
      </w:r>
      <w:r w:rsidRPr="636CA247">
        <w:rPr>
          <w:rFonts w:eastAsia="SimSun"/>
          <w:lang w:eastAsia="zh-CN"/>
        </w:rPr>
        <w:t xml:space="preserve"> is not </w:t>
      </w:r>
      <w:r w:rsidRPr="636CA247">
        <w:rPr>
          <w:rFonts w:eastAsia="SimSun"/>
          <w:lang w:val="en-US" w:eastAsia="zh-CN"/>
        </w:rPr>
        <w:t>claimed under any other crediting mechanism or certification scheme. This may be ensured by either:</w:t>
      </w:r>
      <w:bookmarkEnd w:id="336"/>
    </w:p>
    <w:p w14:paraId="4C47C5A2" w14:textId="71CDB8AE" w:rsidR="0030091C" w:rsidRPr="000F5463" w:rsidRDefault="000F5463" w:rsidP="0030091C">
      <w:pPr>
        <w:pStyle w:val="SDMSubPara2"/>
      </w:pPr>
      <w:r w:rsidRPr="00CD4E05">
        <w:rPr>
          <w:rFonts w:eastAsia="SimSun"/>
          <w:lang w:val="en-US" w:eastAsia="zh-CN"/>
        </w:rPr>
        <w:t>Not</w:t>
      </w:r>
      <w:r w:rsidRPr="00FE35BE">
        <w:rPr>
          <w:lang w:val="en-US"/>
        </w:rPr>
        <w:t xml:space="preserve"> issuing any such emission reduction or environmental attributes</w:t>
      </w:r>
      <w:r w:rsidRPr="636CA247">
        <w:rPr>
          <w:lang w:val="en-US"/>
        </w:rPr>
        <w:t>;</w:t>
      </w:r>
      <w:r w:rsidRPr="00FE35BE">
        <w:rPr>
          <w:lang w:val="en-US"/>
        </w:rPr>
        <w:t xml:space="preserve"> or</w:t>
      </w:r>
    </w:p>
    <w:p w14:paraId="243CAC7F" w14:textId="4023F518" w:rsidR="000F5463" w:rsidRPr="00CB7EFA" w:rsidRDefault="00EE44E8" w:rsidP="0030091C">
      <w:pPr>
        <w:pStyle w:val="SDMSubPara2"/>
      </w:pPr>
      <w:r>
        <w:rPr>
          <w:lang w:val="en-US"/>
        </w:rPr>
        <w:t>A</w:t>
      </w:r>
      <w:r w:rsidRPr="00FE35BE">
        <w:rPr>
          <w:lang w:val="en-US"/>
        </w:rPr>
        <w:t>ny issued emission reductions or environmental attributes are administratively cancelled without making any claim in association with the cancellation; and</w:t>
      </w:r>
    </w:p>
    <w:p w14:paraId="1B96B453" w14:textId="4514E6E6" w:rsidR="00B960DB" w:rsidRPr="00CB7EFA" w:rsidRDefault="00C412D3" w:rsidP="00EC00DE">
      <w:pPr>
        <w:pStyle w:val="SDMSubPara1"/>
        <w:keepNext/>
      </w:pPr>
      <w:bookmarkStart w:id="337" w:name="_Ref232432266"/>
      <w:r w:rsidRPr="31C8FB4F">
        <w:rPr>
          <w:rFonts w:eastAsia="SimSun"/>
          <w:lang w:eastAsia="zh-CN"/>
        </w:rPr>
        <w:t>Demonstrating that the reported GHG emission reductions for which they intend to request issuance of A6.4ERs do not overlap with mandatory domestic mitigation schemes (e.g., emissions trading systems), or that measures are in place to ensure that any relevant impacts of the activity (e.g., the GHG emission reductions achieved or the kilowatt-hours of renewable electricity produced) are not counted towards the achievement of targets or obligations under the mandatory domestic mitigation scheme (e.g., by cancelling allowances from the emissions trading system before issuing carbon credits) if an overlap exists, by:</w:t>
      </w:r>
      <w:bookmarkEnd w:id="337"/>
    </w:p>
    <w:p w14:paraId="7F90A61F" w14:textId="5DF34EF3" w:rsidR="00B960DB" w:rsidRPr="00CB7EFA" w:rsidRDefault="00EA6C5C" w:rsidP="002C3056">
      <w:pPr>
        <w:pStyle w:val="SDMSubPara2"/>
      </w:pPr>
      <w:r w:rsidRPr="00370727">
        <w:rPr>
          <w:rFonts w:eastAsia="SimSun"/>
          <w:lang w:eastAsia="zh-CN"/>
        </w:rPr>
        <w:t>Declaring and providing evidence in each monitoring report that the Article 6.4 activity and the activities displaced in the baseline scenario do not fall within the scope of any mandatory domestic mitigation scheme; or</w:t>
      </w:r>
    </w:p>
    <w:p w14:paraId="6B41E886" w14:textId="73F8F4D5" w:rsidR="00B960DB" w:rsidRPr="00CB7EFA" w:rsidRDefault="00190DD9" w:rsidP="002C3056">
      <w:pPr>
        <w:pStyle w:val="SDMSubPara2"/>
      </w:pPr>
      <w:r w:rsidRPr="636CA247">
        <w:rPr>
          <w:rFonts w:eastAsia="SimSun"/>
          <w:lang w:eastAsia="zh-CN"/>
        </w:rPr>
        <w:t>Where the Article 6.4 activity or the activities displaced in the baseline scenario fall within the scope of a mandatory domestic mitigation scheme, activity participants</w:t>
      </w:r>
      <w:r>
        <w:rPr>
          <w:rFonts w:eastAsia="SimSun"/>
          <w:lang w:eastAsia="zh-CN"/>
        </w:rPr>
        <w:t xml:space="preserve"> </w:t>
      </w:r>
      <w:r w:rsidRPr="636CA247">
        <w:rPr>
          <w:rFonts w:eastAsia="SimSun"/>
          <w:lang w:eastAsia="zh-CN"/>
        </w:rPr>
        <w:t xml:space="preserve">shall provide evidence in each monitoring report that the mitigation outcomes of the Article 6.4 activity are not counted in the </w:t>
      </w:r>
      <w:r w:rsidRPr="636CA247">
        <w:rPr>
          <w:rFonts w:eastAsia="SimSun"/>
          <w:lang w:eastAsia="zh-CN"/>
        </w:rPr>
        <w:lastRenderedPageBreak/>
        <w:t xml:space="preserve">mandatory mitigation scheme to reduce the obligations of the entities covered by the scheme. For example, in the case of an emissions trading system covering electricity generation, </w:t>
      </w:r>
      <w:r w:rsidRPr="636CA247">
        <w:rPr>
          <w:rFonts w:eastAsia="Arial"/>
        </w:rPr>
        <w:t>a confirmation from the operator of the emissions trading system may be sought that a number of allowances equal to the A6.4ERs being requested for issuance for the electricity generation component were cancelled before the issuance of the A6.4ERs.</w:t>
      </w:r>
    </w:p>
    <w:p w14:paraId="51FF0C37" w14:textId="09C6B10C" w:rsidR="00B960DB" w:rsidRPr="00CB7EFA" w:rsidRDefault="00B960DB" w:rsidP="00B960DB">
      <w:pPr>
        <w:pStyle w:val="SDMHead1"/>
      </w:pPr>
      <w:bookmarkStart w:id="338" w:name="_Toc233881739"/>
      <w:bookmarkStart w:id="339" w:name="_Toc233882105"/>
      <w:bookmarkStart w:id="340" w:name="_Toc233884232"/>
      <w:bookmarkStart w:id="341" w:name="_Toc233902841"/>
      <w:bookmarkStart w:id="342" w:name="_Toc233902878"/>
      <w:bookmarkStart w:id="343" w:name="_Toc236391909"/>
      <w:bookmarkStart w:id="344" w:name="_Toc236394051"/>
      <w:r w:rsidRPr="00CB7EFA">
        <w:t xml:space="preserve">Demonstration of </w:t>
      </w:r>
      <w:r w:rsidR="000944E3">
        <w:t>a</w:t>
      </w:r>
      <w:r w:rsidRPr="00CB7EFA">
        <w:t xml:space="preserve">lignment with the </w:t>
      </w:r>
      <w:r w:rsidR="000944E3">
        <w:t>p</w:t>
      </w:r>
      <w:r w:rsidRPr="00CB7EFA">
        <w:t xml:space="preserve">olicies, </w:t>
      </w:r>
      <w:r w:rsidR="000944E3">
        <w:t>o</w:t>
      </w:r>
      <w:r w:rsidRPr="00CB7EFA">
        <w:t xml:space="preserve">ptions and </w:t>
      </w:r>
      <w:r w:rsidR="000944E3">
        <w:t>i</w:t>
      </w:r>
      <w:r w:rsidRPr="00CB7EFA">
        <w:t>mplementation plans of the Host Party with regard to its NDC and LT</w:t>
      </w:r>
      <w:r w:rsidR="002C3056" w:rsidRPr="00CB7EFA">
        <w:noBreakHyphen/>
      </w:r>
      <w:r w:rsidRPr="00CB7EFA">
        <w:t xml:space="preserve">LEDS and the </w:t>
      </w:r>
      <w:r w:rsidR="000944E3">
        <w:t>l</w:t>
      </w:r>
      <w:r w:rsidRPr="00CB7EFA">
        <w:t>ong</w:t>
      </w:r>
      <w:r w:rsidR="002C3056" w:rsidRPr="00CB7EFA">
        <w:noBreakHyphen/>
      </w:r>
      <w:r w:rsidR="000944E3">
        <w:t>t</w:t>
      </w:r>
      <w:r w:rsidRPr="00CB7EFA">
        <w:t xml:space="preserve">erm </w:t>
      </w:r>
      <w:r w:rsidR="000944E3">
        <w:t>t</w:t>
      </w:r>
      <w:r w:rsidRPr="00CB7EFA">
        <w:t xml:space="preserve">emperature </w:t>
      </w:r>
      <w:r w:rsidR="000944E3">
        <w:t>g</w:t>
      </w:r>
      <w:r w:rsidRPr="00CB7EFA">
        <w:t xml:space="preserve">oal of </w:t>
      </w:r>
      <w:r w:rsidR="00593E5E">
        <w:t>t</w:t>
      </w:r>
      <w:r w:rsidRPr="00CB7EFA">
        <w:t xml:space="preserve">he Paris Agreement and </w:t>
      </w:r>
      <w:r w:rsidR="00593E5E">
        <w:t>l</w:t>
      </w:r>
      <w:r w:rsidRPr="00CB7EFA">
        <w:t>ong</w:t>
      </w:r>
      <w:r w:rsidR="002C3056" w:rsidRPr="00CB7EFA">
        <w:noBreakHyphen/>
      </w:r>
      <w:r w:rsidR="00593E5E">
        <w:t>t</w:t>
      </w:r>
      <w:r w:rsidRPr="00CB7EFA">
        <w:t xml:space="preserve">erm </w:t>
      </w:r>
      <w:r w:rsidR="00593E5E">
        <w:t>g</w:t>
      </w:r>
      <w:r w:rsidRPr="00CB7EFA">
        <w:t xml:space="preserve">oals of </w:t>
      </w:r>
      <w:r w:rsidR="00593E5E">
        <w:t>t</w:t>
      </w:r>
      <w:r w:rsidRPr="00CB7EFA">
        <w:t>he Paris Agreement</w:t>
      </w:r>
      <w:bookmarkEnd w:id="338"/>
      <w:bookmarkEnd w:id="339"/>
      <w:bookmarkEnd w:id="340"/>
      <w:bookmarkEnd w:id="341"/>
      <w:bookmarkEnd w:id="342"/>
      <w:bookmarkEnd w:id="343"/>
      <w:bookmarkEnd w:id="344"/>
    </w:p>
    <w:p w14:paraId="40848115" w14:textId="2E56B7C8" w:rsidR="00B960DB" w:rsidRPr="00CB7EFA" w:rsidRDefault="00B960DB" w:rsidP="00D57E39">
      <w:pPr>
        <w:pStyle w:val="SDMPara"/>
      </w:pPr>
      <w:r w:rsidRPr="00CB7EFA">
        <w:t>The activity participants applying this methodology shall ensure that the activity complies with paragraph 10 in Appendix of the “Standard: Setting the baseline in mechanism methodologies” (A6.4</w:t>
      </w:r>
      <w:r w:rsidR="002C3056" w:rsidRPr="00CB7EFA">
        <w:noBreakHyphen/>
      </w:r>
      <w:r w:rsidRPr="00CB7EFA">
        <w:t>STAN</w:t>
      </w:r>
      <w:r w:rsidR="002C3056" w:rsidRPr="00CB7EFA">
        <w:noBreakHyphen/>
      </w:r>
      <w:r w:rsidRPr="00CB7EFA">
        <w:t>METH</w:t>
      </w:r>
      <w:r w:rsidR="002C3056" w:rsidRPr="00CB7EFA">
        <w:noBreakHyphen/>
      </w:r>
      <w:r w:rsidRPr="00CB7EFA">
        <w:t>004).</w:t>
      </w:r>
    </w:p>
    <w:p w14:paraId="2E88C7E7" w14:textId="398FA1F4" w:rsidR="002C3056" w:rsidRPr="00CB7EFA" w:rsidRDefault="00B960DB" w:rsidP="00B960DB">
      <w:pPr>
        <w:pStyle w:val="SDMHead1"/>
      </w:pPr>
      <w:bookmarkStart w:id="345" w:name="_Toc233881740"/>
      <w:bookmarkStart w:id="346" w:name="_Toc233882106"/>
      <w:bookmarkStart w:id="347" w:name="_Toc233884233"/>
      <w:bookmarkStart w:id="348" w:name="_Toc233902842"/>
      <w:bookmarkStart w:id="349" w:name="_Toc233902879"/>
      <w:bookmarkStart w:id="350" w:name="_Toc236391910"/>
      <w:bookmarkStart w:id="351" w:name="_Toc236394052"/>
      <w:r w:rsidRPr="00CB7EFA">
        <w:t xml:space="preserve">Data and </w:t>
      </w:r>
      <w:r w:rsidR="00593E5E">
        <w:t>p</w:t>
      </w:r>
      <w:r w:rsidRPr="00CB7EFA">
        <w:t>arameters not monitored</w:t>
      </w:r>
      <w:bookmarkEnd w:id="345"/>
      <w:bookmarkEnd w:id="346"/>
      <w:bookmarkEnd w:id="347"/>
      <w:bookmarkEnd w:id="348"/>
      <w:bookmarkEnd w:id="349"/>
      <w:bookmarkEnd w:id="350"/>
      <w:bookmarkEnd w:id="351"/>
    </w:p>
    <w:p w14:paraId="29190298" w14:textId="54C7A50A" w:rsidR="00B960DB" w:rsidRDefault="00B960DB" w:rsidP="0044042E">
      <w:pPr>
        <w:pStyle w:val="SDMPara"/>
      </w:pPr>
      <w:r w:rsidRPr="00CB7EFA">
        <w:t>For parameters where the uncertainty was not provided, activity participants shall assume uncertainty based on expert judgement and justify the estimates.</w:t>
      </w:r>
    </w:p>
    <w:p w14:paraId="67B0F142" w14:textId="23AA21BF" w:rsidR="00B960DB" w:rsidRPr="00CB7EFA" w:rsidRDefault="00573386" w:rsidP="00573386">
      <w:pPr>
        <w:pStyle w:val="Caption"/>
      </w:pPr>
      <w:r w:rsidRPr="00CB7EFA">
        <w:t>Data / Parameter table </w:t>
      </w:r>
      <w:fldSimple w:instr=" SEQ Data_/_Parameter_table \* ARABIC ">
        <w:r w:rsidR="00D0578E">
          <w:rPr>
            <w:noProof/>
          </w:rPr>
          <w:t>1</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1065"/>
        <w:gridCol w:w="1064"/>
        <w:gridCol w:w="2129"/>
      </w:tblGrid>
      <w:tr w:rsidR="00573386" w:rsidRPr="00CB7EFA" w14:paraId="14F8CAE1" w14:textId="77777777" w:rsidTr="00785D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2" w:type="dxa"/>
          </w:tcPr>
          <w:p w14:paraId="2EB9F8BD" w14:textId="77777777" w:rsidR="00573386" w:rsidRPr="00CB7EFA" w:rsidRDefault="00573386" w:rsidP="00994EFD">
            <w:pPr>
              <w:pStyle w:val="SDMTableBoxParaNotNumbered"/>
              <w:spacing w:before="40" w:after="40"/>
            </w:pPr>
            <w:r w:rsidRPr="00CB7EFA">
              <w:t>Data / Parameter:</w:t>
            </w:r>
          </w:p>
        </w:tc>
        <w:tc>
          <w:tcPr>
            <w:tcW w:w="6386" w:type="dxa"/>
            <w:gridSpan w:val="4"/>
          </w:tcPr>
          <w:p w14:paraId="2F8824CE" w14:textId="29B9E334" w:rsidR="00573386" w:rsidRPr="00A317D1" w:rsidRDefault="0039641B" w:rsidP="00785DA5">
            <w:pPr>
              <w:pStyle w:val="SDMTableBoxParaNotNumbered"/>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bCs/>
                        <w:i/>
                      </w:rPr>
                    </m:ctrlPr>
                  </m:sSubPr>
                  <m:e>
                    <m:r>
                      <m:rPr>
                        <m:sty m:val="bi"/>
                      </m:rPr>
                      <w:rPr>
                        <w:rFonts w:ascii="Cambria Math" w:hAnsi="Cambria Math"/>
                      </w:rPr>
                      <m:t>F</m:t>
                    </m:r>
                  </m:e>
                  <m:sub>
                    <m:r>
                      <m:rPr>
                        <m:sty m:val="bi"/>
                      </m:rPr>
                      <w:rPr>
                        <w:rFonts w:ascii="Cambria Math" w:hAnsi="Cambria Math"/>
                      </w:rPr>
                      <m:t>CH</m:t>
                    </m:r>
                    <m:r>
                      <m:rPr>
                        <m:sty m:val="bi"/>
                      </m:rPr>
                      <w:rPr>
                        <w:rFonts w:ascii="Cambria Math" w:hAnsi="Cambria Math"/>
                      </w:rPr>
                      <m:t>4/N</m:t>
                    </m:r>
                    <m:r>
                      <m:rPr>
                        <m:sty m:val="bi"/>
                      </m:rPr>
                      <w:rPr>
                        <w:rFonts w:ascii="Cambria Math" w:hAnsi="Cambria Math"/>
                      </w:rPr>
                      <m:t>2</m:t>
                    </m:r>
                    <m:r>
                      <m:rPr>
                        <m:sty m:val="bi"/>
                      </m:rPr>
                      <w:rPr>
                        <w:rFonts w:ascii="Cambria Math" w:hAnsi="Cambria Math"/>
                      </w:rPr>
                      <m:t>O,i</m:t>
                    </m:r>
                  </m:sub>
                </m:sSub>
              </m:oMath>
            </m:oMathPara>
          </w:p>
        </w:tc>
      </w:tr>
      <w:tr w:rsidR="00573386" w:rsidRPr="00CB7EFA" w14:paraId="1E5FDE1D"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278BDDA0" w14:textId="4D6DD8C2" w:rsidR="00573386" w:rsidRPr="00CB7EFA" w:rsidRDefault="00573386" w:rsidP="00994EFD">
            <w:pPr>
              <w:pStyle w:val="SDMTableBoxParaNotNumbered"/>
              <w:spacing w:before="40" w:after="40"/>
            </w:pPr>
            <w:r w:rsidRPr="00CB7EFA">
              <w:t>Description:</w:t>
            </w:r>
          </w:p>
        </w:tc>
        <w:tc>
          <w:tcPr>
            <w:tcW w:w="6386" w:type="dxa"/>
            <w:gridSpan w:val="4"/>
          </w:tcPr>
          <w:p w14:paraId="3BC20C55" w14:textId="144C2A58" w:rsidR="00573386" w:rsidRPr="00CB7EFA" w:rsidRDefault="0088438C" w:rsidP="009213C6">
            <w:pPr>
              <w:pStyle w:val="SDMTableBoxParaNotNumbered"/>
              <w:keepNext/>
              <w:keepLines/>
              <w:spacing w:before="40" w:after="40"/>
              <w:jc w:val="both"/>
              <w:cnfStyle w:val="000000000000" w:firstRow="0" w:lastRow="0" w:firstColumn="0" w:lastColumn="0" w:oddVBand="0" w:evenVBand="0" w:oddHBand="0" w:evenHBand="0" w:firstRowFirstColumn="0" w:firstRowLastColumn="0" w:lastRowFirstColumn="0" w:lastRowLastColumn="0"/>
            </w:pPr>
            <w:r w:rsidRPr="00E21FEB">
              <w:rPr>
                <w:lang w:eastAsia="zh-CN"/>
              </w:rPr>
              <w:t>Factor to account for CH</w:t>
            </w:r>
            <w:r w:rsidRPr="009213C6">
              <w:rPr>
                <w:vertAlign w:val="subscript"/>
                <w:lang w:eastAsia="zh-CN"/>
              </w:rPr>
              <w:t>4</w:t>
            </w:r>
            <w:r w:rsidRPr="00E21FEB">
              <w:rPr>
                <w:lang w:eastAsia="zh-CN"/>
              </w:rPr>
              <w:t xml:space="preserve"> and N</w:t>
            </w:r>
            <w:r w:rsidRPr="009213C6">
              <w:rPr>
                <w:vertAlign w:val="subscript"/>
                <w:lang w:eastAsia="zh-CN"/>
              </w:rPr>
              <w:t>2</w:t>
            </w:r>
            <w:r w:rsidRPr="00E21FEB">
              <w:rPr>
                <w:lang w:eastAsia="zh-CN"/>
              </w:rPr>
              <w:t>O emissions in relation to CO</w:t>
            </w:r>
            <w:r w:rsidRPr="009213C6">
              <w:rPr>
                <w:vertAlign w:val="subscript"/>
                <w:lang w:eastAsia="zh-CN"/>
              </w:rPr>
              <w:t>2</w:t>
            </w:r>
            <w:r w:rsidRPr="00E21FEB">
              <w:rPr>
                <w:lang w:eastAsia="zh-CN"/>
              </w:rPr>
              <w:t xml:space="preserve"> emissions for fuel type i</w:t>
            </w:r>
          </w:p>
        </w:tc>
      </w:tr>
      <w:tr w:rsidR="00573386" w:rsidRPr="00CB7EFA" w14:paraId="065A9170"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5ED8D214" w14:textId="5D596C7B" w:rsidR="00573386" w:rsidRPr="00CB7EFA" w:rsidRDefault="00573386" w:rsidP="00994EFD">
            <w:pPr>
              <w:pStyle w:val="SDMTableBoxParaNotNumbered"/>
              <w:tabs>
                <w:tab w:val="right" w:pos="2016"/>
              </w:tabs>
              <w:spacing w:before="40" w:after="40"/>
            </w:pPr>
            <w:r w:rsidRPr="00CB7EFA">
              <w:t>Data unit:</w:t>
            </w:r>
          </w:p>
        </w:tc>
        <w:tc>
          <w:tcPr>
            <w:tcW w:w="6386" w:type="dxa"/>
            <w:gridSpan w:val="4"/>
          </w:tcPr>
          <w:p w14:paraId="3F003769" w14:textId="4EFCFFFD" w:rsidR="00573386" w:rsidRPr="00CB7EFA" w:rsidRDefault="00027E0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Dimensionless</w:t>
            </w:r>
          </w:p>
        </w:tc>
      </w:tr>
      <w:tr w:rsidR="00573386" w:rsidRPr="00CB7EFA" w14:paraId="1AB4D1BE" w14:textId="77777777" w:rsidTr="0044042E">
        <w:tc>
          <w:tcPr>
            <w:cnfStyle w:val="001000000000" w:firstRow="0" w:lastRow="0" w:firstColumn="1" w:lastColumn="0" w:oddVBand="0" w:evenVBand="0" w:oddHBand="0" w:evenHBand="0" w:firstRowFirstColumn="0" w:firstRowLastColumn="0" w:lastRowFirstColumn="0" w:lastRowLastColumn="0"/>
            <w:tcW w:w="2232" w:type="dxa"/>
          </w:tcPr>
          <w:p w14:paraId="5B8A2471" w14:textId="4D88C977" w:rsidR="00573386" w:rsidRPr="00CB7EFA" w:rsidRDefault="008A71E8" w:rsidP="00994EFD">
            <w:pPr>
              <w:pStyle w:val="SDMTableBoxParaNotNumbered"/>
              <w:spacing w:before="40" w:after="40"/>
            </w:pPr>
            <w:r w:rsidRPr="008A71E8">
              <w:t>Equations referred</w:t>
            </w:r>
            <w:r w:rsidR="00675D7A" w:rsidRPr="00675D7A">
              <w:t>:</w:t>
            </w:r>
          </w:p>
        </w:tc>
        <w:tc>
          <w:tcPr>
            <w:tcW w:w="6386" w:type="dxa"/>
            <w:gridSpan w:val="4"/>
            <w:tcBorders>
              <w:bottom w:val="single" w:sz="4" w:space="0" w:color="auto"/>
            </w:tcBorders>
          </w:tcPr>
          <w:p w14:paraId="5DA4EA13" w14:textId="206683D9" w:rsidR="00573386" w:rsidRPr="00926B53" w:rsidRDefault="00AC3667"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 xml:space="preserve">Equation </w:t>
            </w:r>
            <w:r w:rsidR="00926B53" w:rsidRPr="00926B53">
              <w:t>(10)</w:t>
            </w:r>
          </w:p>
        </w:tc>
      </w:tr>
      <w:tr w:rsidR="00573386" w:rsidRPr="00CB7EFA" w14:paraId="6CBD1E31" w14:textId="77777777" w:rsidTr="0044042E">
        <w:tc>
          <w:tcPr>
            <w:cnfStyle w:val="001000000000" w:firstRow="0" w:lastRow="0" w:firstColumn="1" w:lastColumn="0" w:oddVBand="0" w:evenVBand="0" w:oddHBand="0" w:evenHBand="0" w:firstRowFirstColumn="0" w:firstRowLastColumn="0" w:lastRowFirstColumn="0" w:lastRowLastColumn="0"/>
            <w:tcW w:w="2232" w:type="dxa"/>
          </w:tcPr>
          <w:p w14:paraId="34A9DB2A" w14:textId="3548EA3B" w:rsidR="00573386" w:rsidRPr="00CB7EFA" w:rsidRDefault="00573386" w:rsidP="00994EFD">
            <w:pPr>
              <w:pStyle w:val="SDMTableBoxParaNotNumbered"/>
              <w:spacing w:before="40" w:after="40"/>
            </w:pPr>
            <w:r w:rsidRPr="00CB7EFA">
              <w:t>Purpose of data:</w:t>
            </w:r>
          </w:p>
        </w:tc>
        <w:tc>
          <w:tcPr>
            <w:tcW w:w="2128" w:type="dxa"/>
            <w:tcBorders>
              <w:right w:val="nil"/>
            </w:tcBorders>
          </w:tcPr>
          <w:p w14:paraId="3018F1F1" w14:textId="263F47B4" w:rsidR="00573386" w:rsidRPr="00CB7EFA" w:rsidRDefault="00573386"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bookmarkStart w:id="352" w:name="Check2"/>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bookmarkEnd w:id="352"/>
            <w:r w:rsidRPr="00CB7EFA">
              <w:t xml:space="preserve"> Baseline Scenario</w:t>
            </w:r>
          </w:p>
        </w:tc>
        <w:tc>
          <w:tcPr>
            <w:tcW w:w="2129" w:type="dxa"/>
            <w:gridSpan w:val="2"/>
            <w:tcBorders>
              <w:left w:val="nil"/>
              <w:right w:val="nil"/>
            </w:tcBorders>
          </w:tcPr>
          <w:p w14:paraId="45E39766" w14:textId="042DA5E1" w:rsidR="00573386" w:rsidRPr="00CB7EFA" w:rsidRDefault="00926B53"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00573386" w:rsidRPr="00CB7EFA">
              <w:rPr>
                <w:shd w:val="clear" w:color="auto" w:fill="E6E6E6"/>
              </w:rPr>
              <w:t xml:space="preserve"> </w:t>
            </w:r>
            <w:r w:rsidRPr="00CB7EFA">
              <w:t xml:space="preserve">Activity Scenario </w:t>
            </w:r>
          </w:p>
        </w:tc>
        <w:tc>
          <w:tcPr>
            <w:tcW w:w="2129" w:type="dxa"/>
            <w:tcBorders>
              <w:left w:val="nil"/>
            </w:tcBorders>
          </w:tcPr>
          <w:p w14:paraId="7349AEA0" w14:textId="1B639473" w:rsidR="00573386" w:rsidRPr="00CB7EFA" w:rsidRDefault="00926B53"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0"/>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00573386" w:rsidRPr="00CB7EFA">
              <w:rPr>
                <w:shd w:val="clear" w:color="auto" w:fill="E6E6E6"/>
              </w:rPr>
              <w:t xml:space="preserve"> </w:t>
            </w:r>
            <w:r w:rsidRPr="00CB7EFA">
              <w:t>Leakage</w:t>
            </w:r>
          </w:p>
        </w:tc>
      </w:tr>
      <w:tr w:rsidR="000D3CF0" w:rsidRPr="00CB7EFA" w14:paraId="3E594AFC" w14:textId="77777777" w:rsidTr="00994EFD">
        <w:trPr>
          <w:trHeight w:val="22"/>
        </w:trPr>
        <w:tc>
          <w:tcPr>
            <w:cnfStyle w:val="001000000000" w:firstRow="0" w:lastRow="0" w:firstColumn="1" w:lastColumn="0" w:oddVBand="0" w:evenVBand="0" w:oddHBand="0" w:evenHBand="0" w:firstRowFirstColumn="0" w:firstRowLastColumn="0" w:lastRowFirstColumn="0" w:lastRowLastColumn="0"/>
            <w:tcW w:w="2232" w:type="dxa"/>
          </w:tcPr>
          <w:p w14:paraId="590245EE" w14:textId="1B75233C" w:rsidR="000D3CF0" w:rsidRPr="00CB7EFA" w:rsidRDefault="000D3CF0" w:rsidP="00994EFD">
            <w:pPr>
              <w:pStyle w:val="SDMTableBoxParaNotNumbered"/>
              <w:spacing w:before="40" w:after="40"/>
            </w:pPr>
            <w:r w:rsidRPr="00CB7EFA">
              <w:t>Value(s) applied:</w:t>
            </w:r>
          </w:p>
        </w:tc>
        <w:tc>
          <w:tcPr>
            <w:tcW w:w="6386" w:type="dxa"/>
            <w:gridSpan w:val="4"/>
          </w:tcPr>
          <w:p w14:paraId="4741B213" w14:textId="0C3926A1" w:rsidR="000D3CF0" w:rsidRPr="00CB7EFA" w:rsidRDefault="00926B53"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1.002</w:t>
            </w:r>
          </w:p>
        </w:tc>
      </w:tr>
      <w:tr w:rsidR="009875DC" w:rsidRPr="00CB7EFA" w14:paraId="1D199233" w14:textId="77777777" w:rsidTr="0044042E">
        <w:tc>
          <w:tcPr>
            <w:cnfStyle w:val="001000000000" w:firstRow="0" w:lastRow="0" w:firstColumn="1" w:lastColumn="0" w:oddVBand="0" w:evenVBand="0" w:oddHBand="0" w:evenHBand="0" w:firstRowFirstColumn="0" w:firstRowLastColumn="0" w:lastRowFirstColumn="0" w:lastRowLastColumn="0"/>
            <w:tcW w:w="2232" w:type="dxa"/>
          </w:tcPr>
          <w:p w14:paraId="1A5A8C0D" w14:textId="6D444507" w:rsidR="009875DC" w:rsidRPr="00CB7EFA" w:rsidRDefault="009875DC" w:rsidP="00994EFD">
            <w:pPr>
              <w:pStyle w:val="SDMTableBoxParaNotNumbered"/>
              <w:spacing w:before="40" w:after="40"/>
            </w:pPr>
            <w:r w:rsidRPr="00CB7EFA">
              <w:t>Source of data</w:t>
            </w:r>
            <w:r w:rsidR="00675D7A" w:rsidRPr="00675D7A">
              <w:t>:</w:t>
            </w:r>
          </w:p>
        </w:tc>
        <w:tc>
          <w:tcPr>
            <w:tcW w:w="3193" w:type="dxa"/>
            <w:gridSpan w:val="2"/>
            <w:tcBorders>
              <w:right w:val="nil"/>
            </w:tcBorders>
          </w:tcPr>
          <w:p w14:paraId="58595843" w14:textId="5E527464" w:rsidR="009875DC" w:rsidRPr="00CB7EFA" w:rsidRDefault="009875DC"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Measured</w:t>
            </w:r>
          </w:p>
        </w:tc>
        <w:tc>
          <w:tcPr>
            <w:tcW w:w="3193" w:type="dxa"/>
            <w:gridSpan w:val="2"/>
            <w:tcBorders>
              <w:left w:val="nil"/>
            </w:tcBorders>
          </w:tcPr>
          <w:p w14:paraId="1EBB9396" w14:textId="7D06ADCE" w:rsidR="009875DC" w:rsidRPr="00CB7EFA" w:rsidRDefault="00926B53"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009875DC" w:rsidRPr="00CB7EFA">
              <w:t xml:space="preserve"> Other sources</w:t>
            </w:r>
          </w:p>
        </w:tc>
      </w:tr>
      <w:tr w:rsidR="00573386" w:rsidRPr="00CB7EFA" w14:paraId="526F4CF1"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790A648C" w14:textId="0B8BCCEF" w:rsidR="00573386" w:rsidRPr="00CB7EFA" w:rsidRDefault="00573386" w:rsidP="00994EFD">
            <w:pPr>
              <w:pStyle w:val="SDMTableBoxParaNotNumbered"/>
              <w:spacing w:before="40" w:after="40"/>
            </w:pPr>
            <w:r w:rsidRPr="00CB7EFA">
              <w:t>Choice of data or measurement methods and procedures</w:t>
            </w:r>
            <w:r w:rsidR="00675D7A" w:rsidRPr="00675D7A">
              <w:t>:</w:t>
            </w:r>
          </w:p>
        </w:tc>
        <w:tc>
          <w:tcPr>
            <w:tcW w:w="6386" w:type="dxa"/>
            <w:gridSpan w:val="4"/>
          </w:tcPr>
          <w:p w14:paraId="1EC04DA4" w14:textId="6319B986" w:rsidR="00573386" w:rsidRPr="00CB7EFA" w:rsidRDefault="006453FA" w:rsidP="009213C6">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6453FA">
              <w:t>This value was derived from table 2.2 of volume 2, chapter 1 of the 2006 IPCC Guidelines for National Greenhouse Gas Inventories</w:t>
            </w:r>
          </w:p>
        </w:tc>
      </w:tr>
      <w:tr w:rsidR="00573386" w:rsidRPr="00CB7EFA" w14:paraId="07344EC1"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12E79484" w14:textId="59516F32" w:rsidR="00573386" w:rsidRPr="00CB7EFA" w:rsidRDefault="00573386" w:rsidP="00B7767A">
            <w:pPr>
              <w:pStyle w:val="SDMTableBoxParaNotNumbered"/>
              <w:keepNext/>
              <w:spacing w:before="40" w:after="40"/>
            </w:pPr>
            <w:r w:rsidRPr="00CB7EFA">
              <w:t>Treatment of uncertainty</w:t>
            </w:r>
            <w:r w:rsidR="00675D7A" w:rsidRPr="00675D7A">
              <w:t>:</w:t>
            </w:r>
          </w:p>
        </w:tc>
        <w:tc>
          <w:tcPr>
            <w:tcW w:w="6386" w:type="dxa"/>
            <w:gridSpan w:val="4"/>
          </w:tcPr>
          <w:p w14:paraId="5939530F" w14:textId="6668FCFB" w:rsidR="00573386" w:rsidRPr="00CB7EFA" w:rsidRDefault="00BA7B40"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rsidRPr="00BA7B40">
              <w:t>Not applicable (uncertainty was taken into account in determining the above value)</w:t>
            </w:r>
          </w:p>
        </w:tc>
      </w:tr>
      <w:tr w:rsidR="00573386" w:rsidRPr="00CB7EFA" w14:paraId="2A469919"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60A1EAD7" w14:textId="457A193D" w:rsidR="00573386" w:rsidRPr="00CB7EFA" w:rsidRDefault="00573386" w:rsidP="00994EFD">
            <w:pPr>
              <w:pStyle w:val="SDMTableBoxParaNotNumbered"/>
              <w:spacing w:before="40" w:after="40"/>
            </w:pPr>
            <w:r w:rsidRPr="00CB7EFA">
              <w:t>Additional comments</w:t>
            </w:r>
            <w:r w:rsidR="00675D7A" w:rsidRPr="00675D7A">
              <w:t>:</w:t>
            </w:r>
          </w:p>
        </w:tc>
        <w:tc>
          <w:tcPr>
            <w:tcW w:w="6386" w:type="dxa"/>
            <w:gridSpan w:val="4"/>
          </w:tcPr>
          <w:p w14:paraId="3EBB15F8" w14:textId="6B470F2A" w:rsidR="00573386" w:rsidRPr="00CB7EFA" w:rsidRDefault="00BA7B40"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w:t>
            </w:r>
          </w:p>
        </w:tc>
      </w:tr>
    </w:tbl>
    <w:p w14:paraId="2BE8D84D" w14:textId="693F0814" w:rsidR="00BA7B40" w:rsidRPr="00CB7EFA" w:rsidRDefault="00BA7B40" w:rsidP="00BA7B40">
      <w:pPr>
        <w:pStyle w:val="Caption"/>
      </w:pPr>
      <w:r w:rsidRPr="00CB7EFA">
        <w:lastRenderedPageBreak/>
        <w:t>Data / Parameter table </w:t>
      </w:r>
      <w:fldSimple w:instr=" SEQ Data_/_Parameter_table \* ARABIC ">
        <w:r w:rsidR="00D0578E">
          <w:rPr>
            <w:noProof/>
          </w:rPr>
          <w:t>2</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1065"/>
        <w:gridCol w:w="1064"/>
        <w:gridCol w:w="2129"/>
      </w:tblGrid>
      <w:tr w:rsidR="00BA7B40" w:rsidRPr="00CB7EFA" w14:paraId="77FB7C7B" w14:textId="77777777" w:rsidTr="00690A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2" w:type="dxa"/>
          </w:tcPr>
          <w:p w14:paraId="1EBEDF09" w14:textId="77777777" w:rsidR="00BA7B40" w:rsidRPr="00CB7EFA" w:rsidRDefault="00BA7B40" w:rsidP="00994EFD">
            <w:pPr>
              <w:pStyle w:val="SDMTableBoxParaNotNumbered"/>
              <w:spacing w:before="40" w:after="40"/>
            </w:pPr>
            <w:r w:rsidRPr="00CB7EFA">
              <w:t>Data / Parameter:</w:t>
            </w:r>
          </w:p>
        </w:tc>
        <w:tc>
          <w:tcPr>
            <w:tcW w:w="6386" w:type="dxa"/>
            <w:gridSpan w:val="4"/>
          </w:tcPr>
          <w:p w14:paraId="1B7F26AD" w14:textId="689FF305" w:rsidR="00BA7B40" w:rsidRPr="00A317D1" w:rsidRDefault="0039641B" w:rsidP="00994EFD">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bCs/>
                        <w:i/>
                      </w:rPr>
                    </m:ctrlPr>
                  </m:sSubPr>
                  <m:e>
                    <m:r>
                      <m:rPr>
                        <m:sty m:val="bi"/>
                      </m:rPr>
                      <w:rPr>
                        <w:rFonts w:ascii="Cambria Math" w:hAnsi="Cambria Math"/>
                      </w:rPr>
                      <m:t>GWP</m:t>
                    </m:r>
                  </m:e>
                  <m:sub>
                    <m:r>
                      <m:rPr>
                        <m:sty m:val="bi"/>
                      </m:rPr>
                      <w:rPr>
                        <w:rFonts w:ascii="Cambria Math" w:hAnsi="Cambria Math"/>
                      </w:rPr>
                      <m:t>CH</m:t>
                    </m:r>
                    <m:r>
                      <m:rPr>
                        <m:sty m:val="bi"/>
                      </m:rPr>
                      <w:rPr>
                        <w:rFonts w:ascii="Cambria Math" w:hAnsi="Cambria Math"/>
                      </w:rPr>
                      <m:t>4</m:t>
                    </m:r>
                  </m:sub>
                </m:sSub>
              </m:oMath>
            </m:oMathPara>
          </w:p>
        </w:tc>
      </w:tr>
      <w:tr w:rsidR="00BA7B40" w:rsidRPr="00CB7EFA" w14:paraId="5E0A516A"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05E37F63" w14:textId="77777777" w:rsidR="00BA7B40" w:rsidRPr="00CB7EFA" w:rsidRDefault="00BA7B40" w:rsidP="00994EFD">
            <w:pPr>
              <w:pStyle w:val="SDMTableBoxParaNotNumbered"/>
              <w:spacing w:before="40" w:after="40"/>
            </w:pPr>
            <w:r w:rsidRPr="00CB7EFA">
              <w:t>Description:</w:t>
            </w:r>
          </w:p>
        </w:tc>
        <w:tc>
          <w:tcPr>
            <w:tcW w:w="6386" w:type="dxa"/>
            <w:gridSpan w:val="4"/>
          </w:tcPr>
          <w:p w14:paraId="039AA075" w14:textId="62311948" w:rsidR="00BA7B40" w:rsidRPr="00CB7EFA" w:rsidRDefault="00063349"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0C5FD6">
              <w:rPr>
                <w:lang w:eastAsia="zh-CN"/>
              </w:rPr>
              <w:t>Global warming potential of CH</w:t>
            </w:r>
            <w:r w:rsidRPr="000C5FD6">
              <w:rPr>
                <w:vertAlign w:val="subscript"/>
                <w:lang w:eastAsia="zh-CN"/>
              </w:rPr>
              <w:t>4</w:t>
            </w:r>
          </w:p>
        </w:tc>
      </w:tr>
      <w:tr w:rsidR="00BA7B40" w:rsidRPr="00CB7EFA" w14:paraId="0715F2EB"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4CE23017" w14:textId="78271E76" w:rsidR="00BA7B40" w:rsidRPr="00CB7EFA" w:rsidRDefault="00BA7B40" w:rsidP="00994EFD">
            <w:pPr>
              <w:pStyle w:val="SDMTableBoxParaNotNumbered"/>
              <w:tabs>
                <w:tab w:val="right" w:pos="2016"/>
              </w:tabs>
              <w:spacing w:before="40" w:after="40"/>
            </w:pPr>
            <w:r w:rsidRPr="00CB7EFA">
              <w:t>Data unit:</w:t>
            </w:r>
          </w:p>
        </w:tc>
        <w:tc>
          <w:tcPr>
            <w:tcW w:w="6386" w:type="dxa"/>
            <w:gridSpan w:val="4"/>
          </w:tcPr>
          <w:p w14:paraId="1C5BC15E" w14:textId="3DC89031" w:rsidR="00BA7B40" w:rsidRPr="00CB7EFA" w:rsidRDefault="009F7C5E"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0C5FD6">
              <w:t>t</w:t>
            </w:r>
            <w:r w:rsidR="00AC3667">
              <w:t> </w:t>
            </w:r>
            <w:r>
              <w:t>CO</w:t>
            </w:r>
            <w:r w:rsidRPr="101A3897">
              <w:rPr>
                <w:vertAlign w:val="subscript"/>
              </w:rPr>
              <w:t>2</w:t>
            </w:r>
            <w:r>
              <w:t>eq</w:t>
            </w:r>
            <w:r w:rsidR="00AC3667">
              <w:t> </w:t>
            </w:r>
            <w:r w:rsidRPr="000C5FD6">
              <w:t>/</w:t>
            </w:r>
            <w:r w:rsidR="00AC3667">
              <w:t> </w:t>
            </w:r>
            <w:r w:rsidRPr="000C5FD6">
              <w:t>t</w:t>
            </w:r>
            <w:r w:rsidR="00AC3667">
              <w:t> </w:t>
            </w:r>
            <w:r w:rsidRPr="000C5FD6">
              <w:t>CH</w:t>
            </w:r>
            <w:r w:rsidRPr="000C5FD6">
              <w:rPr>
                <w:vertAlign w:val="subscript"/>
              </w:rPr>
              <w:t>4</w:t>
            </w:r>
          </w:p>
        </w:tc>
      </w:tr>
      <w:tr w:rsidR="00BA7B40" w:rsidRPr="00CB7EFA" w14:paraId="488B1E0E"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014C496" w14:textId="5978C4CE" w:rsidR="00BA7B40" w:rsidRPr="00CB7EFA" w:rsidRDefault="00BA7B40" w:rsidP="00994EFD">
            <w:pPr>
              <w:pStyle w:val="SDMTableBoxParaNotNumbered"/>
              <w:spacing w:before="40" w:after="40"/>
            </w:pPr>
            <w:r w:rsidRPr="008A71E8">
              <w:t>Equations referred</w:t>
            </w:r>
            <w:r w:rsidR="00675D7A" w:rsidRPr="00675D7A">
              <w:t>:</w:t>
            </w:r>
          </w:p>
        </w:tc>
        <w:tc>
          <w:tcPr>
            <w:tcW w:w="6386" w:type="dxa"/>
            <w:gridSpan w:val="4"/>
            <w:tcBorders>
              <w:bottom w:val="single" w:sz="4" w:space="0" w:color="auto"/>
            </w:tcBorders>
          </w:tcPr>
          <w:p w14:paraId="67C69691" w14:textId="1A09D63E" w:rsidR="00BA7B40" w:rsidRPr="00926B53" w:rsidRDefault="00AC3667"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Equation</w:t>
            </w:r>
            <w:r w:rsidR="003E50CE">
              <w:t>s</w:t>
            </w:r>
            <w:r>
              <w:t xml:space="preserve"> </w:t>
            </w:r>
            <w:r w:rsidR="00BA7B40" w:rsidRPr="00926B53">
              <w:t>(1</w:t>
            </w:r>
            <w:r w:rsidR="00563B57">
              <w:t>6</w:t>
            </w:r>
            <w:r w:rsidR="00BA7B40" w:rsidRPr="00926B53">
              <w:t>)</w:t>
            </w:r>
            <w:r w:rsidR="003E50CE">
              <w:t>, (17)</w:t>
            </w:r>
          </w:p>
        </w:tc>
      </w:tr>
      <w:tr w:rsidR="00BA7B40" w:rsidRPr="00CB7EFA" w14:paraId="4EF148CD"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1C0CCFB6" w14:textId="77777777" w:rsidR="00BA7B40" w:rsidRPr="00CB7EFA" w:rsidRDefault="00BA7B40" w:rsidP="00994EFD">
            <w:pPr>
              <w:pStyle w:val="SDMTableBoxParaNotNumbered"/>
              <w:spacing w:before="40" w:after="40"/>
            </w:pPr>
            <w:r w:rsidRPr="00CB7EFA">
              <w:t>Purpose of data:</w:t>
            </w:r>
          </w:p>
        </w:tc>
        <w:tc>
          <w:tcPr>
            <w:tcW w:w="2128" w:type="dxa"/>
            <w:tcBorders>
              <w:right w:val="nil"/>
            </w:tcBorders>
          </w:tcPr>
          <w:p w14:paraId="32893DAD" w14:textId="77777777" w:rsidR="00BA7B40" w:rsidRPr="00CB7EFA" w:rsidRDefault="00BA7B40"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560FF767" w14:textId="77777777" w:rsidR="00BA7B40" w:rsidRPr="00CB7EFA" w:rsidRDefault="00BA7B40"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rPr>
                <w:shd w:val="clear" w:color="auto" w:fill="E6E6E6"/>
              </w:rPr>
              <w:t xml:space="preserve"> </w:t>
            </w:r>
            <w:r w:rsidRPr="00CB7EFA">
              <w:t xml:space="preserve">Activity Scenario </w:t>
            </w:r>
          </w:p>
        </w:tc>
        <w:tc>
          <w:tcPr>
            <w:tcW w:w="2129" w:type="dxa"/>
            <w:tcBorders>
              <w:left w:val="nil"/>
            </w:tcBorders>
          </w:tcPr>
          <w:p w14:paraId="3D93174A" w14:textId="77777777" w:rsidR="00BA7B40" w:rsidRPr="00CB7EFA" w:rsidRDefault="00BA7B40"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0"/>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rPr>
                <w:shd w:val="clear" w:color="auto" w:fill="E6E6E6"/>
              </w:rPr>
              <w:t xml:space="preserve"> </w:t>
            </w:r>
            <w:r w:rsidRPr="00CB7EFA">
              <w:t>Leakage</w:t>
            </w:r>
          </w:p>
        </w:tc>
      </w:tr>
      <w:tr w:rsidR="00BA7B40" w:rsidRPr="00CB7EFA" w14:paraId="78E7064D" w14:textId="77777777" w:rsidTr="00994EFD">
        <w:trPr>
          <w:trHeight w:val="22"/>
        </w:trPr>
        <w:tc>
          <w:tcPr>
            <w:cnfStyle w:val="001000000000" w:firstRow="0" w:lastRow="0" w:firstColumn="1" w:lastColumn="0" w:oddVBand="0" w:evenVBand="0" w:oddHBand="0" w:evenHBand="0" w:firstRowFirstColumn="0" w:firstRowLastColumn="0" w:lastRowFirstColumn="0" w:lastRowLastColumn="0"/>
            <w:tcW w:w="2232" w:type="dxa"/>
          </w:tcPr>
          <w:p w14:paraId="1982AEED" w14:textId="77777777" w:rsidR="00BA7B40" w:rsidRPr="00CB7EFA" w:rsidRDefault="00BA7B40" w:rsidP="00994EFD">
            <w:pPr>
              <w:pStyle w:val="SDMTableBoxParaNotNumbered"/>
              <w:spacing w:before="40" w:after="40"/>
            </w:pPr>
            <w:r w:rsidRPr="00CB7EFA">
              <w:t>Value(s) applied:</w:t>
            </w:r>
          </w:p>
        </w:tc>
        <w:tc>
          <w:tcPr>
            <w:tcW w:w="6386" w:type="dxa"/>
            <w:gridSpan w:val="4"/>
          </w:tcPr>
          <w:p w14:paraId="457D7464" w14:textId="2D5A1E42" w:rsidR="00BA7B40" w:rsidRPr="00CB7EFA" w:rsidRDefault="00994EFD"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28</w:t>
            </w:r>
          </w:p>
        </w:tc>
      </w:tr>
      <w:tr w:rsidR="00BA7B40" w:rsidRPr="00CB7EFA" w14:paraId="58362294"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1E9C057" w14:textId="0F2C8B6D" w:rsidR="00BA7B40" w:rsidRPr="00CB7EFA" w:rsidRDefault="00BA7B40" w:rsidP="00994EFD">
            <w:pPr>
              <w:pStyle w:val="SDMTableBoxParaNotNumbered"/>
              <w:spacing w:before="40" w:after="40"/>
            </w:pPr>
            <w:r w:rsidRPr="00CB7EFA">
              <w:t>Source of data</w:t>
            </w:r>
            <w:r w:rsidR="00675D7A" w:rsidRPr="00675D7A">
              <w:t>:</w:t>
            </w:r>
          </w:p>
        </w:tc>
        <w:tc>
          <w:tcPr>
            <w:tcW w:w="3193" w:type="dxa"/>
            <w:gridSpan w:val="2"/>
            <w:tcBorders>
              <w:right w:val="nil"/>
            </w:tcBorders>
          </w:tcPr>
          <w:p w14:paraId="0F84B9ED" w14:textId="77777777" w:rsidR="00BA7B40" w:rsidRPr="00CB7EFA" w:rsidRDefault="00BA7B40"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Measured</w:t>
            </w:r>
          </w:p>
        </w:tc>
        <w:tc>
          <w:tcPr>
            <w:tcW w:w="3193" w:type="dxa"/>
            <w:gridSpan w:val="2"/>
            <w:tcBorders>
              <w:left w:val="nil"/>
            </w:tcBorders>
          </w:tcPr>
          <w:p w14:paraId="71DD7749" w14:textId="77777777" w:rsidR="00BA7B40" w:rsidRPr="00CB7EFA" w:rsidRDefault="00BA7B40"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Other sources</w:t>
            </w:r>
          </w:p>
        </w:tc>
      </w:tr>
      <w:tr w:rsidR="00BA7B40" w:rsidRPr="00CB7EFA" w14:paraId="72C7CF5D"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2FD979BC" w14:textId="26963C61" w:rsidR="00BA7B40" w:rsidRPr="00CB7EFA" w:rsidRDefault="00BA7B40" w:rsidP="00994EFD">
            <w:pPr>
              <w:pStyle w:val="SDMTableBoxParaNotNumbered"/>
              <w:spacing w:before="40" w:after="40"/>
            </w:pPr>
            <w:r w:rsidRPr="00CB7EFA">
              <w:t>Choice of data or measurement methods and procedures</w:t>
            </w:r>
            <w:r w:rsidR="00675D7A" w:rsidRPr="00675D7A">
              <w:t>:</w:t>
            </w:r>
          </w:p>
        </w:tc>
        <w:tc>
          <w:tcPr>
            <w:tcW w:w="6386" w:type="dxa"/>
            <w:gridSpan w:val="4"/>
          </w:tcPr>
          <w:p w14:paraId="451FDF56" w14:textId="77777777" w:rsidR="00BA7B40" w:rsidRPr="00CB7EFA" w:rsidRDefault="00BA7B40" w:rsidP="00114F85">
            <w:pPr>
              <w:pStyle w:val="SDMTableBoxParaNotNumbered"/>
              <w:spacing w:before="40" w:after="40"/>
              <w:ind w:right="12"/>
              <w:jc w:val="both"/>
              <w:cnfStyle w:val="000000000000" w:firstRow="0" w:lastRow="0" w:firstColumn="0" w:lastColumn="0" w:oddVBand="0" w:evenVBand="0" w:oddHBand="0" w:evenHBand="0" w:firstRowFirstColumn="0" w:firstRowLastColumn="0" w:lastRowFirstColumn="0" w:lastRowLastColumn="0"/>
            </w:pPr>
            <w:r w:rsidRPr="006453FA">
              <w:t>This value was derived from table 2.2 of volume 2, chapter 1 of the 2006 IPCC Guidelines for National Greenhouse Gas Inventories</w:t>
            </w:r>
          </w:p>
        </w:tc>
      </w:tr>
      <w:tr w:rsidR="00BA7B40" w:rsidRPr="00CB7EFA" w14:paraId="10490D32"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66B1CEA" w14:textId="50398D3E" w:rsidR="00BA7B40" w:rsidRPr="00CB7EFA" w:rsidRDefault="00BA7B40" w:rsidP="00B7767A">
            <w:pPr>
              <w:pStyle w:val="SDMTableBoxParaNotNumbered"/>
              <w:keepNext/>
              <w:spacing w:before="40" w:after="40"/>
            </w:pPr>
            <w:r w:rsidRPr="00CB7EFA">
              <w:t>Treatment of uncertainty</w:t>
            </w:r>
            <w:r w:rsidR="00675D7A" w:rsidRPr="00675D7A">
              <w:t>:</w:t>
            </w:r>
          </w:p>
        </w:tc>
        <w:tc>
          <w:tcPr>
            <w:tcW w:w="6386" w:type="dxa"/>
            <w:gridSpan w:val="4"/>
          </w:tcPr>
          <w:p w14:paraId="06414036" w14:textId="77777777" w:rsidR="00BA7B40" w:rsidRPr="00CB7EFA" w:rsidRDefault="00BA7B40"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rsidRPr="00BA7B40">
              <w:t>Not applicable (uncertainty was taken into account in determining the above value)</w:t>
            </w:r>
          </w:p>
        </w:tc>
      </w:tr>
      <w:tr w:rsidR="00BA7B40" w:rsidRPr="00CB7EFA" w14:paraId="5965F8BF"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D8BE5C5" w14:textId="6964438E" w:rsidR="00BA7B40" w:rsidRPr="00CB7EFA" w:rsidRDefault="00BA7B40" w:rsidP="00994EFD">
            <w:pPr>
              <w:pStyle w:val="SDMTableBoxParaNotNumbered"/>
              <w:spacing w:before="40" w:after="40"/>
            </w:pPr>
            <w:r w:rsidRPr="00CB7EFA">
              <w:t>Additional comments</w:t>
            </w:r>
            <w:r w:rsidR="00675D7A" w:rsidRPr="00675D7A">
              <w:t>:</w:t>
            </w:r>
          </w:p>
        </w:tc>
        <w:tc>
          <w:tcPr>
            <w:tcW w:w="6386" w:type="dxa"/>
            <w:gridSpan w:val="4"/>
          </w:tcPr>
          <w:p w14:paraId="5AFA8FA8" w14:textId="77777777" w:rsidR="00BA7B40" w:rsidRPr="00CB7EFA" w:rsidRDefault="00BA7B40"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w:t>
            </w:r>
          </w:p>
        </w:tc>
      </w:tr>
    </w:tbl>
    <w:p w14:paraId="74D6D63D" w14:textId="40F4A150" w:rsidR="00A30734" w:rsidRPr="00CB7EFA" w:rsidRDefault="00A30734" w:rsidP="00A30734">
      <w:pPr>
        <w:pStyle w:val="Caption"/>
      </w:pPr>
      <w:r w:rsidRPr="00CB7EFA">
        <w:t>Data / Parameter table </w:t>
      </w:r>
      <w:fldSimple w:instr=" SEQ Data_/_Parameter_table \* ARABIC ">
        <w:r w:rsidR="00D0578E">
          <w:rPr>
            <w:noProof/>
          </w:rPr>
          <w:t>3</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1065"/>
        <w:gridCol w:w="1064"/>
        <w:gridCol w:w="2129"/>
      </w:tblGrid>
      <w:tr w:rsidR="00A30734" w:rsidRPr="00CB7EFA" w14:paraId="0EF570CF" w14:textId="77777777" w:rsidTr="00690A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2" w:type="dxa"/>
          </w:tcPr>
          <w:p w14:paraId="70E5C583" w14:textId="77777777" w:rsidR="00A30734" w:rsidRPr="00CB7EFA" w:rsidRDefault="00A30734" w:rsidP="00994EFD">
            <w:pPr>
              <w:pStyle w:val="SDMTableBoxParaNotNumbered"/>
              <w:spacing w:before="40" w:after="40"/>
            </w:pPr>
            <w:r w:rsidRPr="00CB7EFA">
              <w:t>Data / Parameter:</w:t>
            </w:r>
          </w:p>
        </w:tc>
        <w:tc>
          <w:tcPr>
            <w:tcW w:w="6386" w:type="dxa"/>
            <w:gridSpan w:val="4"/>
          </w:tcPr>
          <w:p w14:paraId="39D72D66" w14:textId="5CE44B90" w:rsidR="00A30734" w:rsidRPr="00A317D1" w:rsidRDefault="0039641B" w:rsidP="00994EFD">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bCs/>
                        <w:i/>
                      </w:rPr>
                    </m:ctrlPr>
                  </m:sSubPr>
                  <m:e>
                    <m:r>
                      <m:rPr>
                        <m:sty m:val="bi"/>
                      </m:rPr>
                      <w:rPr>
                        <w:rFonts w:ascii="Cambria Math" w:hAnsi="Cambria Math"/>
                      </w:rPr>
                      <m:t>GWP</m:t>
                    </m:r>
                  </m:e>
                  <m:sub>
                    <m:r>
                      <m:rPr>
                        <m:sty m:val="bi"/>
                      </m:rPr>
                      <w:rPr>
                        <w:rFonts w:ascii="Cambria Math" w:hAnsi="Cambria Math"/>
                      </w:rPr>
                      <m:t>working fluid</m:t>
                    </m:r>
                  </m:sub>
                </m:sSub>
              </m:oMath>
            </m:oMathPara>
          </w:p>
        </w:tc>
      </w:tr>
      <w:tr w:rsidR="00A30734" w:rsidRPr="00CB7EFA" w14:paraId="5B643123"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8F56500" w14:textId="77777777" w:rsidR="00A30734" w:rsidRPr="00CB7EFA" w:rsidRDefault="00A30734" w:rsidP="00994EFD">
            <w:pPr>
              <w:pStyle w:val="SDMTableBoxParaNotNumbered"/>
              <w:spacing w:before="40" w:after="40"/>
            </w:pPr>
            <w:r w:rsidRPr="00CB7EFA">
              <w:t>Description:</w:t>
            </w:r>
          </w:p>
        </w:tc>
        <w:tc>
          <w:tcPr>
            <w:tcW w:w="6386" w:type="dxa"/>
            <w:gridSpan w:val="4"/>
          </w:tcPr>
          <w:p w14:paraId="7930ACDA" w14:textId="6D22B9BB" w:rsidR="00A30734" w:rsidRPr="00CB7EFA" w:rsidRDefault="00987918"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987918">
              <w:rPr>
                <w:lang w:eastAsia="zh-CN"/>
              </w:rPr>
              <w:t>Global Warming Potential for the working fluid used in the binary geothermal power plant</w:t>
            </w:r>
          </w:p>
        </w:tc>
      </w:tr>
      <w:tr w:rsidR="00A30734" w:rsidRPr="00CB7EFA" w14:paraId="3A02D4D8"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2DBDF4FE" w14:textId="3EF87355" w:rsidR="00A30734" w:rsidRPr="00CB7EFA" w:rsidRDefault="00A30734" w:rsidP="00994EFD">
            <w:pPr>
              <w:pStyle w:val="SDMTableBoxParaNotNumbered"/>
              <w:tabs>
                <w:tab w:val="right" w:pos="2016"/>
              </w:tabs>
              <w:spacing w:before="40" w:after="40"/>
            </w:pPr>
            <w:r w:rsidRPr="00CB7EFA">
              <w:t>Data unit:</w:t>
            </w:r>
          </w:p>
        </w:tc>
        <w:tc>
          <w:tcPr>
            <w:tcW w:w="6386" w:type="dxa"/>
            <w:gridSpan w:val="4"/>
          </w:tcPr>
          <w:p w14:paraId="6B6C6F9D" w14:textId="61594AD8" w:rsidR="00A30734" w:rsidRPr="00CB7EFA" w:rsidRDefault="00A3073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0C5FD6">
              <w:t>t</w:t>
            </w:r>
            <w:r w:rsidR="00AC3667">
              <w:t> </w:t>
            </w:r>
            <w:r>
              <w:t>CO</w:t>
            </w:r>
            <w:r w:rsidRPr="101A3897">
              <w:rPr>
                <w:vertAlign w:val="subscript"/>
              </w:rPr>
              <w:t>2</w:t>
            </w:r>
            <w:r>
              <w:t>eq</w:t>
            </w:r>
            <w:r w:rsidR="00AC3667">
              <w:t> </w:t>
            </w:r>
            <w:r w:rsidRPr="000C5FD6">
              <w:t>/</w:t>
            </w:r>
            <w:r w:rsidR="00AC3667">
              <w:t> </w:t>
            </w:r>
            <w:r w:rsidRPr="000C5FD6">
              <w:t>t</w:t>
            </w:r>
            <w:r w:rsidR="00AC3667">
              <w:t> </w:t>
            </w:r>
            <w:r w:rsidR="00987918">
              <w:t>working fluid</w:t>
            </w:r>
          </w:p>
        </w:tc>
      </w:tr>
      <w:tr w:rsidR="00A30734" w:rsidRPr="00CB7EFA" w14:paraId="6FD20215"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19AC3139" w14:textId="74903CE5" w:rsidR="00A30734" w:rsidRPr="00CB7EFA" w:rsidRDefault="00A30734" w:rsidP="00994EFD">
            <w:pPr>
              <w:pStyle w:val="SDMTableBoxParaNotNumbered"/>
              <w:spacing w:before="40" w:after="40"/>
            </w:pPr>
            <w:r w:rsidRPr="008A71E8">
              <w:t>Equations referred</w:t>
            </w:r>
            <w:r w:rsidR="00675D7A" w:rsidRPr="00675D7A">
              <w:t>:</w:t>
            </w:r>
          </w:p>
        </w:tc>
        <w:tc>
          <w:tcPr>
            <w:tcW w:w="6386" w:type="dxa"/>
            <w:gridSpan w:val="4"/>
            <w:tcBorders>
              <w:bottom w:val="single" w:sz="4" w:space="0" w:color="auto"/>
            </w:tcBorders>
          </w:tcPr>
          <w:p w14:paraId="7DE90782" w14:textId="525078A6" w:rsidR="00A30734" w:rsidRPr="00926B53" w:rsidRDefault="00AC3667"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 xml:space="preserve">Equation </w:t>
            </w:r>
            <w:r w:rsidR="00A30734" w:rsidRPr="00926B53">
              <w:t>(1</w:t>
            </w:r>
            <w:r w:rsidR="004C77E6">
              <w:t>8</w:t>
            </w:r>
            <w:r w:rsidR="00A30734" w:rsidRPr="00926B53">
              <w:t>)</w:t>
            </w:r>
          </w:p>
        </w:tc>
      </w:tr>
      <w:tr w:rsidR="00A30734" w:rsidRPr="00CB7EFA" w14:paraId="0F0AAFD8"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66A6C335" w14:textId="77777777" w:rsidR="00A30734" w:rsidRPr="00CB7EFA" w:rsidRDefault="00A30734" w:rsidP="00994EFD">
            <w:pPr>
              <w:pStyle w:val="SDMTableBoxParaNotNumbered"/>
              <w:spacing w:before="40" w:after="40"/>
            </w:pPr>
            <w:r w:rsidRPr="00CB7EFA">
              <w:t>Purpose of data:</w:t>
            </w:r>
          </w:p>
        </w:tc>
        <w:tc>
          <w:tcPr>
            <w:tcW w:w="2128" w:type="dxa"/>
            <w:tcBorders>
              <w:right w:val="nil"/>
            </w:tcBorders>
          </w:tcPr>
          <w:p w14:paraId="269BB188" w14:textId="77777777" w:rsidR="00A30734" w:rsidRPr="00CB7EFA" w:rsidRDefault="00A3073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3DF669C0" w14:textId="2D05ED05" w:rsidR="00A30734" w:rsidRPr="00CB7EFA" w:rsidRDefault="00A3073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rPr>
                <w:shd w:val="clear" w:color="auto" w:fill="E6E6E6"/>
              </w:rPr>
              <w:t xml:space="preserve"> </w:t>
            </w:r>
            <w:r w:rsidRPr="00CB7EFA">
              <w:t>Activity Scenario</w:t>
            </w:r>
          </w:p>
        </w:tc>
        <w:tc>
          <w:tcPr>
            <w:tcW w:w="2129" w:type="dxa"/>
            <w:tcBorders>
              <w:left w:val="nil"/>
            </w:tcBorders>
          </w:tcPr>
          <w:p w14:paraId="3143BF32" w14:textId="77777777" w:rsidR="00A30734" w:rsidRPr="00CB7EFA" w:rsidRDefault="00A3073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0"/>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rPr>
                <w:shd w:val="clear" w:color="auto" w:fill="E6E6E6"/>
              </w:rPr>
              <w:t xml:space="preserve"> </w:t>
            </w:r>
            <w:r w:rsidRPr="00CB7EFA">
              <w:t>Leakage</w:t>
            </w:r>
          </w:p>
        </w:tc>
      </w:tr>
      <w:tr w:rsidR="00A30734" w:rsidRPr="00CB7EFA" w14:paraId="45E3FC68" w14:textId="77777777" w:rsidTr="00994EFD">
        <w:trPr>
          <w:trHeight w:val="22"/>
        </w:trPr>
        <w:tc>
          <w:tcPr>
            <w:cnfStyle w:val="001000000000" w:firstRow="0" w:lastRow="0" w:firstColumn="1" w:lastColumn="0" w:oddVBand="0" w:evenVBand="0" w:oddHBand="0" w:evenHBand="0" w:firstRowFirstColumn="0" w:firstRowLastColumn="0" w:lastRowFirstColumn="0" w:lastRowLastColumn="0"/>
            <w:tcW w:w="2232" w:type="dxa"/>
          </w:tcPr>
          <w:p w14:paraId="28089A4E" w14:textId="77777777" w:rsidR="00A30734" w:rsidRPr="00CB7EFA" w:rsidRDefault="00A30734" w:rsidP="00994EFD">
            <w:pPr>
              <w:pStyle w:val="SDMTableBoxParaNotNumbered"/>
              <w:spacing w:before="40" w:after="40"/>
            </w:pPr>
            <w:r w:rsidRPr="00CB7EFA">
              <w:t>Value(s) applied:</w:t>
            </w:r>
          </w:p>
        </w:tc>
        <w:tc>
          <w:tcPr>
            <w:tcW w:w="6386" w:type="dxa"/>
            <w:gridSpan w:val="4"/>
          </w:tcPr>
          <w:p w14:paraId="6D147BF3" w14:textId="36DED57D" w:rsidR="00A30734" w:rsidRPr="00CB7EFA" w:rsidRDefault="00E7546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E7546F">
              <w:t>Default value depending on the type of working fluid</w:t>
            </w:r>
          </w:p>
        </w:tc>
      </w:tr>
      <w:tr w:rsidR="00A30734" w:rsidRPr="00CB7EFA" w14:paraId="62337E25"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657079C" w14:textId="7ED76366" w:rsidR="00A30734" w:rsidRPr="00CB7EFA" w:rsidRDefault="00A30734" w:rsidP="00994EFD">
            <w:pPr>
              <w:pStyle w:val="SDMTableBoxParaNotNumbered"/>
              <w:spacing w:before="40" w:after="40"/>
            </w:pPr>
            <w:r w:rsidRPr="00CB7EFA">
              <w:t>Source of data</w:t>
            </w:r>
            <w:r w:rsidR="00675D7A" w:rsidRPr="00675D7A">
              <w:t>:</w:t>
            </w:r>
          </w:p>
        </w:tc>
        <w:tc>
          <w:tcPr>
            <w:tcW w:w="3193" w:type="dxa"/>
            <w:gridSpan w:val="2"/>
            <w:tcBorders>
              <w:right w:val="nil"/>
            </w:tcBorders>
          </w:tcPr>
          <w:p w14:paraId="63CBBFBD" w14:textId="77777777" w:rsidR="00A30734" w:rsidRPr="00CB7EFA" w:rsidRDefault="00A3073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Measured</w:t>
            </w:r>
          </w:p>
        </w:tc>
        <w:tc>
          <w:tcPr>
            <w:tcW w:w="3193" w:type="dxa"/>
            <w:gridSpan w:val="2"/>
            <w:tcBorders>
              <w:left w:val="nil"/>
            </w:tcBorders>
          </w:tcPr>
          <w:p w14:paraId="1A87AE39" w14:textId="77777777" w:rsidR="00A30734" w:rsidRPr="00CB7EFA" w:rsidRDefault="00A3073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Other sources</w:t>
            </w:r>
          </w:p>
        </w:tc>
      </w:tr>
      <w:tr w:rsidR="00A30734" w:rsidRPr="00CB7EFA" w14:paraId="2155E3A3"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6C7B4F8B" w14:textId="0A05D0F5" w:rsidR="00A30734" w:rsidRPr="00CB7EFA" w:rsidRDefault="00A30734" w:rsidP="00994EFD">
            <w:pPr>
              <w:pStyle w:val="SDMTableBoxParaNotNumbered"/>
              <w:spacing w:before="40" w:after="40"/>
            </w:pPr>
            <w:r w:rsidRPr="00CB7EFA">
              <w:t>Choice of data or measurement methods and procedures</w:t>
            </w:r>
            <w:r w:rsidR="00675D7A" w:rsidRPr="00675D7A">
              <w:t>:</w:t>
            </w:r>
          </w:p>
        </w:tc>
        <w:tc>
          <w:tcPr>
            <w:tcW w:w="6386" w:type="dxa"/>
            <w:gridSpan w:val="4"/>
          </w:tcPr>
          <w:p w14:paraId="51A77C3C" w14:textId="76917067" w:rsidR="00A30734" w:rsidRPr="00CB7EFA" w:rsidRDefault="00F63B8B"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F63B8B">
              <w:t>Default value and uncertainty from the IPCC Fifth Assessment Report (AR5). Shall be updated according to any future CMA decisions</w:t>
            </w:r>
          </w:p>
        </w:tc>
      </w:tr>
      <w:tr w:rsidR="00A30734" w:rsidRPr="00CB7EFA" w14:paraId="5A0B05DB"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70AB5E2" w14:textId="6A1F6FEB" w:rsidR="00A30734" w:rsidRPr="00CB7EFA" w:rsidRDefault="00A30734" w:rsidP="00B7767A">
            <w:pPr>
              <w:pStyle w:val="SDMTableBoxParaNotNumbered"/>
              <w:keepNext/>
              <w:spacing w:before="40" w:after="40"/>
            </w:pPr>
            <w:r w:rsidRPr="00CB7EFA">
              <w:t>Treatment of uncertainty</w:t>
            </w:r>
            <w:r w:rsidR="00675D7A" w:rsidRPr="00675D7A">
              <w:t>:</w:t>
            </w:r>
          </w:p>
        </w:tc>
        <w:tc>
          <w:tcPr>
            <w:tcW w:w="6386" w:type="dxa"/>
            <w:gridSpan w:val="4"/>
          </w:tcPr>
          <w:p w14:paraId="70F09EDA" w14:textId="73EAA22F" w:rsidR="00A30734" w:rsidRPr="00CB7EFA" w:rsidRDefault="00F63B8B" w:rsidP="00B7767A">
            <w:pPr>
              <w:pStyle w:val="SDMTableBoxParaNotNumbered"/>
              <w:keepNext/>
              <w:spacing w:before="40" w:after="40"/>
              <w:cnfStyle w:val="000000000000" w:firstRow="0" w:lastRow="0" w:firstColumn="0" w:lastColumn="0" w:oddVBand="0" w:evenVBand="0" w:oddHBand="0" w:evenHBand="0" w:firstRowFirstColumn="0" w:firstRowLastColumn="0" w:lastRowFirstColumn="0" w:lastRowLastColumn="0"/>
            </w:pPr>
            <w:r>
              <w:t>N/A</w:t>
            </w:r>
          </w:p>
        </w:tc>
      </w:tr>
      <w:tr w:rsidR="00A30734" w:rsidRPr="00CB7EFA" w14:paraId="4F6C6D42"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3EC9BB7" w14:textId="393BF576" w:rsidR="00A30734" w:rsidRPr="00CB7EFA" w:rsidRDefault="00A30734" w:rsidP="00994EFD">
            <w:pPr>
              <w:pStyle w:val="SDMTableBoxParaNotNumbered"/>
              <w:spacing w:before="40" w:after="40"/>
            </w:pPr>
            <w:r w:rsidRPr="00CB7EFA">
              <w:t>Additional comments</w:t>
            </w:r>
            <w:r w:rsidR="00675D7A" w:rsidRPr="00675D7A">
              <w:t>:</w:t>
            </w:r>
          </w:p>
        </w:tc>
        <w:tc>
          <w:tcPr>
            <w:tcW w:w="6386" w:type="dxa"/>
            <w:gridSpan w:val="4"/>
          </w:tcPr>
          <w:p w14:paraId="571EB0AB" w14:textId="77777777" w:rsidR="00A30734" w:rsidRPr="00CB7EFA" w:rsidRDefault="00A3073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w:t>
            </w:r>
          </w:p>
        </w:tc>
      </w:tr>
    </w:tbl>
    <w:p w14:paraId="1CBABAA6" w14:textId="3F3435EA" w:rsidR="00F63B8B" w:rsidRPr="00CB7EFA" w:rsidRDefault="00F63B8B" w:rsidP="00F63B8B">
      <w:pPr>
        <w:pStyle w:val="Caption"/>
      </w:pPr>
      <w:r w:rsidRPr="00CB7EFA">
        <w:t>Data / Parameter table </w:t>
      </w:r>
      <w:fldSimple w:instr=" SEQ Data_/_Parameter_table \* ARABIC ">
        <w:r w:rsidR="00D0578E">
          <w:rPr>
            <w:noProof/>
          </w:rPr>
          <w:t>4</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1065"/>
        <w:gridCol w:w="1064"/>
        <w:gridCol w:w="2129"/>
      </w:tblGrid>
      <w:tr w:rsidR="00F63B8B" w:rsidRPr="00CB7EFA" w14:paraId="64CDE6FE" w14:textId="77777777" w:rsidTr="00690A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2" w:type="dxa"/>
          </w:tcPr>
          <w:p w14:paraId="4297378A" w14:textId="77777777" w:rsidR="00F63B8B" w:rsidRPr="00CB7EFA" w:rsidRDefault="00F63B8B" w:rsidP="00994EFD">
            <w:pPr>
              <w:pStyle w:val="SDMTableBoxParaNotNumbered"/>
              <w:spacing w:before="40" w:after="40"/>
            </w:pPr>
            <w:r w:rsidRPr="00CB7EFA">
              <w:t>Data / Parameter:</w:t>
            </w:r>
          </w:p>
        </w:tc>
        <w:tc>
          <w:tcPr>
            <w:tcW w:w="6386" w:type="dxa"/>
            <w:gridSpan w:val="4"/>
          </w:tcPr>
          <w:p w14:paraId="3E3A7CAE" w14:textId="69CD090F" w:rsidR="00F63B8B" w:rsidRPr="00A317D1" w:rsidRDefault="0039641B" w:rsidP="00994EFD">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eastAsiaTheme="minorEastAsia" w:hAnsi="Cambria Math"/>
                        <w:bCs/>
                        <w:i/>
                      </w:rPr>
                    </m:ctrlPr>
                  </m:sSubPr>
                  <m:e>
                    <m:r>
                      <m:rPr>
                        <m:sty m:val="bi"/>
                      </m:rPr>
                      <w:rPr>
                        <w:rFonts w:ascii="Cambria Math" w:eastAsiaTheme="minorEastAsia" w:hAnsi="Cambria Math"/>
                      </w:rPr>
                      <m:t>EF</m:t>
                    </m:r>
                  </m:e>
                  <m:sub>
                    <m:r>
                      <m:rPr>
                        <m:sty m:val="bi"/>
                      </m:rPr>
                      <w:rPr>
                        <w:rFonts w:ascii="Cambria Math" w:eastAsiaTheme="minorEastAsia" w:hAnsi="Cambria Math"/>
                      </w:rPr>
                      <m:t>BESS, upstream</m:t>
                    </m:r>
                  </m:sub>
                </m:sSub>
              </m:oMath>
            </m:oMathPara>
          </w:p>
        </w:tc>
      </w:tr>
      <w:tr w:rsidR="00F63B8B" w:rsidRPr="00CB7EFA" w14:paraId="7FA4BFFC"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4A237890" w14:textId="77777777" w:rsidR="00F63B8B" w:rsidRPr="00CB7EFA" w:rsidRDefault="00F63B8B" w:rsidP="00994EFD">
            <w:pPr>
              <w:pStyle w:val="SDMTableBoxParaNotNumbered"/>
              <w:spacing w:before="40" w:after="40"/>
            </w:pPr>
            <w:r w:rsidRPr="00CB7EFA">
              <w:t>Description:</w:t>
            </w:r>
          </w:p>
        </w:tc>
        <w:tc>
          <w:tcPr>
            <w:tcW w:w="6386" w:type="dxa"/>
            <w:gridSpan w:val="4"/>
          </w:tcPr>
          <w:p w14:paraId="4DD5016E" w14:textId="413DFC3B" w:rsidR="00F63B8B" w:rsidRPr="00CB7EFA" w:rsidRDefault="002E7304"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2E7304">
              <w:rPr>
                <w:lang w:eastAsia="zh-CN"/>
              </w:rPr>
              <w:t>Emission factor for the upstream emissions from the production, transportation and installation of a BESS relative to the electricity delivered by the BESS</w:t>
            </w:r>
          </w:p>
        </w:tc>
      </w:tr>
      <w:tr w:rsidR="00F63B8B" w:rsidRPr="00CB7EFA" w14:paraId="3F88C51C"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6E661D61" w14:textId="7E0133CB" w:rsidR="00F63B8B" w:rsidRPr="00CB7EFA" w:rsidRDefault="00F63B8B" w:rsidP="00994EFD">
            <w:pPr>
              <w:pStyle w:val="SDMTableBoxParaNotNumbered"/>
              <w:tabs>
                <w:tab w:val="right" w:pos="2016"/>
              </w:tabs>
              <w:spacing w:before="40" w:after="40"/>
            </w:pPr>
            <w:r w:rsidRPr="00CB7EFA">
              <w:lastRenderedPageBreak/>
              <w:t>Data unit:</w:t>
            </w:r>
          </w:p>
        </w:tc>
        <w:tc>
          <w:tcPr>
            <w:tcW w:w="6386" w:type="dxa"/>
            <w:gridSpan w:val="4"/>
          </w:tcPr>
          <w:p w14:paraId="5E8215BC" w14:textId="700B678B" w:rsidR="00F63B8B" w:rsidRPr="00CB7EFA" w:rsidRDefault="00F63B8B"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0C5FD6">
              <w:t>t</w:t>
            </w:r>
            <w:r w:rsidR="00172BC6">
              <w:t> </w:t>
            </w:r>
            <w:r>
              <w:t>CO</w:t>
            </w:r>
            <w:r w:rsidRPr="101A3897">
              <w:rPr>
                <w:vertAlign w:val="subscript"/>
              </w:rPr>
              <w:t>2</w:t>
            </w:r>
            <w:r>
              <w:t>eq</w:t>
            </w:r>
            <w:r w:rsidR="00172BC6">
              <w:t> </w:t>
            </w:r>
            <w:r w:rsidRPr="000C5FD6">
              <w:t>/</w:t>
            </w:r>
            <w:r w:rsidR="00172BC6">
              <w:t> </w:t>
            </w:r>
            <w:r w:rsidR="002E7304">
              <w:t>MWh</w:t>
            </w:r>
          </w:p>
        </w:tc>
      </w:tr>
      <w:tr w:rsidR="00F63B8B" w:rsidRPr="00CB7EFA" w14:paraId="63822877"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CFE87A7" w14:textId="025BAD20" w:rsidR="00F63B8B" w:rsidRPr="00CB7EFA" w:rsidRDefault="00F63B8B" w:rsidP="00994EFD">
            <w:pPr>
              <w:pStyle w:val="SDMTableBoxParaNotNumbered"/>
              <w:spacing w:before="40" w:after="40"/>
            </w:pPr>
            <w:r w:rsidRPr="008A71E8">
              <w:t>Equations referred</w:t>
            </w:r>
            <w:r w:rsidR="00632F88" w:rsidRPr="00632F88">
              <w:t>:</w:t>
            </w:r>
          </w:p>
        </w:tc>
        <w:tc>
          <w:tcPr>
            <w:tcW w:w="6386" w:type="dxa"/>
            <w:gridSpan w:val="4"/>
            <w:tcBorders>
              <w:bottom w:val="single" w:sz="4" w:space="0" w:color="auto"/>
            </w:tcBorders>
          </w:tcPr>
          <w:p w14:paraId="4BA7129F" w14:textId="39991B95" w:rsidR="00F63B8B" w:rsidRPr="00926B53" w:rsidRDefault="00AC3667"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 xml:space="preserve">Equation </w:t>
            </w:r>
            <w:r w:rsidR="00F63B8B" w:rsidRPr="00926B53">
              <w:t>(1</w:t>
            </w:r>
            <w:r w:rsidR="002E7304">
              <w:t>9</w:t>
            </w:r>
            <w:r w:rsidR="00F63B8B" w:rsidRPr="00926B53">
              <w:t>)</w:t>
            </w:r>
          </w:p>
        </w:tc>
      </w:tr>
      <w:tr w:rsidR="00F63B8B" w:rsidRPr="00CB7EFA" w14:paraId="61B9BB8C"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13573ABE" w14:textId="77777777" w:rsidR="00F63B8B" w:rsidRPr="00CB7EFA" w:rsidRDefault="00F63B8B" w:rsidP="00994EFD">
            <w:pPr>
              <w:pStyle w:val="SDMTableBoxParaNotNumbered"/>
              <w:spacing w:before="40" w:after="40"/>
            </w:pPr>
            <w:r w:rsidRPr="00CB7EFA">
              <w:t>Purpose of data:</w:t>
            </w:r>
          </w:p>
        </w:tc>
        <w:tc>
          <w:tcPr>
            <w:tcW w:w="2128" w:type="dxa"/>
            <w:tcBorders>
              <w:right w:val="nil"/>
            </w:tcBorders>
          </w:tcPr>
          <w:p w14:paraId="147558E0" w14:textId="77777777" w:rsidR="00F63B8B" w:rsidRPr="00CB7EFA" w:rsidRDefault="00F63B8B"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74DF58A5" w14:textId="454A2FC3" w:rsidR="00F63B8B" w:rsidRPr="00CB7EFA" w:rsidRDefault="002E730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0"/>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00F63B8B" w:rsidRPr="00CB7EFA">
              <w:rPr>
                <w:shd w:val="clear" w:color="auto" w:fill="E6E6E6"/>
              </w:rPr>
              <w:t xml:space="preserve"> </w:t>
            </w:r>
            <w:r w:rsidR="00F63B8B" w:rsidRPr="00CB7EFA">
              <w:t>Activity Scenario</w:t>
            </w:r>
          </w:p>
        </w:tc>
        <w:tc>
          <w:tcPr>
            <w:tcW w:w="2129" w:type="dxa"/>
            <w:tcBorders>
              <w:left w:val="nil"/>
            </w:tcBorders>
          </w:tcPr>
          <w:p w14:paraId="3758B8E3" w14:textId="0757D5B1" w:rsidR="00F63B8B" w:rsidRPr="00CB7EFA" w:rsidRDefault="002E730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00F63B8B" w:rsidRPr="00CB7EFA">
              <w:rPr>
                <w:shd w:val="clear" w:color="auto" w:fill="E6E6E6"/>
              </w:rPr>
              <w:t xml:space="preserve"> </w:t>
            </w:r>
            <w:r w:rsidR="00F63B8B" w:rsidRPr="00CB7EFA">
              <w:t>Leakage</w:t>
            </w:r>
          </w:p>
        </w:tc>
      </w:tr>
      <w:tr w:rsidR="00F63B8B" w:rsidRPr="00CB7EFA" w14:paraId="2662A952" w14:textId="77777777" w:rsidTr="00994EFD">
        <w:trPr>
          <w:trHeight w:val="209"/>
        </w:trPr>
        <w:tc>
          <w:tcPr>
            <w:cnfStyle w:val="001000000000" w:firstRow="0" w:lastRow="0" w:firstColumn="1" w:lastColumn="0" w:oddVBand="0" w:evenVBand="0" w:oddHBand="0" w:evenHBand="0" w:firstRowFirstColumn="0" w:firstRowLastColumn="0" w:lastRowFirstColumn="0" w:lastRowLastColumn="0"/>
            <w:tcW w:w="2232" w:type="dxa"/>
          </w:tcPr>
          <w:p w14:paraId="2D5CD6F5" w14:textId="77777777" w:rsidR="00F63B8B" w:rsidRPr="00CB7EFA" w:rsidRDefault="00F63B8B" w:rsidP="00994EFD">
            <w:pPr>
              <w:pStyle w:val="SDMTableBoxParaNotNumbered"/>
              <w:spacing w:before="40" w:after="40"/>
            </w:pPr>
            <w:r w:rsidRPr="00CB7EFA">
              <w:t>Value(s) applied:</w:t>
            </w:r>
          </w:p>
        </w:tc>
        <w:tc>
          <w:tcPr>
            <w:tcW w:w="6386" w:type="dxa"/>
            <w:gridSpan w:val="4"/>
          </w:tcPr>
          <w:p w14:paraId="5DAF3A76" w14:textId="0FF9F8FD" w:rsidR="00F63B8B" w:rsidRPr="00CB7EFA" w:rsidRDefault="002E7304"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0.06</w:t>
            </w:r>
          </w:p>
        </w:tc>
      </w:tr>
      <w:tr w:rsidR="00F63B8B" w:rsidRPr="00CB7EFA" w14:paraId="58B77C6C"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32066A35" w14:textId="1D6326E7" w:rsidR="00F63B8B" w:rsidRPr="00CB7EFA" w:rsidRDefault="00F63B8B" w:rsidP="00994EFD">
            <w:pPr>
              <w:pStyle w:val="SDMTableBoxParaNotNumbered"/>
              <w:spacing w:before="40" w:after="40"/>
            </w:pPr>
            <w:r w:rsidRPr="00CB7EFA">
              <w:t>Source of data</w:t>
            </w:r>
            <w:r w:rsidR="00675D7A" w:rsidRPr="00675D7A">
              <w:t>:</w:t>
            </w:r>
          </w:p>
        </w:tc>
        <w:tc>
          <w:tcPr>
            <w:tcW w:w="3193" w:type="dxa"/>
            <w:gridSpan w:val="2"/>
            <w:tcBorders>
              <w:right w:val="nil"/>
            </w:tcBorders>
          </w:tcPr>
          <w:p w14:paraId="3B254EAB" w14:textId="77777777" w:rsidR="00F63B8B" w:rsidRPr="00CB7EFA" w:rsidRDefault="00F63B8B"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Measured</w:t>
            </w:r>
          </w:p>
        </w:tc>
        <w:tc>
          <w:tcPr>
            <w:tcW w:w="3193" w:type="dxa"/>
            <w:gridSpan w:val="2"/>
            <w:tcBorders>
              <w:left w:val="nil"/>
            </w:tcBorders>
          </w:tcPr>
          <w:p w14:paraId="2147C0AD" w14:textId="77777777" w:rsidR="00F63B8B" w:rsidRPr="00CB7EFA" w:rsidRDefault="00F63B8B"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Other sources</w:t>
            </w:r>
          </w:p>
        </w:tc>
      </w:tr>
      <w:tr w:rsidR="00F63B8B" w:rsidRPr="00CB7EFA" w14:paraId="72357142"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122D1155" w14:textId="50271958" w:rsidR="00F63B8B" w:rsidRPr="00CB7EFA" w:rsidRDefault="00F63B8B" w:rsidP="00994EFD">
            <w:pPr>
              <w:pStyle w:val="SDMTableBoxParaNotNumbered"/>
              <w:spacing w:before="40" w:after="40"/>
            </w:pPr>
            <w:r w:rsidRPr="00CB7EFA">
              <w:t>Choice of data or measurement methods and procedures</w:t>
            </w:r>
            <w:r w:rsidR="00675D7A" w:rsidRPr="00675D7A">
              <w:t>:</w:t>
            </w:r>
          </w:p>
        </w:tc>
        <w:tc>
          <w:tcPr>
            <w:tcW w:w="6386" w:type="dxa"/>
            <w:gridSpan w:val="4"/>
          </w:tcPr>
          <w:p w14:paraId="65FE920A" w14:textId="7A6DAD1E" w:rsidR="00F63B8B" w:rsidRPr="00CB7EFA" w:rsidRDefault="00FE068D"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t>The values are based on peer-reviewed technical papers and articles on life-cycle analysis of batteries and BESS</w:t>
            </w:r>
          </w:p>
        </w:tc>
      </w:tr>
      <w:tr w:rsidR="00F63B8B" w:rsidRPr="00CB7EFA" w14:paraId="4E891A03"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0746D2D6" w14:textId="10178E7A" w:rsidR="00F63B8B" w:rsidRPr="00CB7EFA" w:rsidRDefault="00F63B8B" w:rsidP="00B7767A">
            <w:pPr>
              <w:pStyle w:val="SDMTableBoxParaNotNumbered"/>
              <w:keepNext/>
              <w:spacing w:before="40" w:after="40"/>
            </w:pPr>
            <w:r w:rsidRPr="00CB7EFA">
              <w:t>Treatment of uncertainty</w:t>
            </w:r>
            <w:r w:rsidR="00675D7A" w:rsidRPr="00675D7A">
              <w:t>:</w:t>
            </w:r>
          </w:p>
        </w:tc>
        <w:tc>
          <w:tcPr>
            <w:tcW w:w="6386" w:type="dxa"/>
            <w:gridSpan w:val="4"/>
          </w:tcPr>
          <w:p w14:paraId="431317E9" w14:textId="245EDA2D" w:rsidR="00F63B8B" w:rsidRPr="00CB7EFA" w:rsidRDefault="00645FB9"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t>NA. This value is deemed to be conservative under different circumstances</w:t>
            </w:r>
          </w:p>
        </w:tc>
      </w:tr>
      <w:tr w:rsidR="00F63B8B" w:rsidRPr="00CB7EFA" w14:paraId="51E4DA38"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CB7D328" w14:textId="3E3C0391" w:rsidR="00F63B8B" w:rsidRPr="00CB7EFA" w:rsidRDefault="00F63B8B" w:rsidP="00994EFD">
            <w:pPr>
              <w:pStyle w:val="SDMTableBoxParaNotNumbered"/>
              <w:spacing w:before="40" w:after="40"/>
            </w:pPr>
            <w:r w:rsidRPr="00CB7EFA">
              <w:t>Additional comments</w:t>
            </w:r>
            <w:r w:rsidR="00675D7A" w:rsidRPr="00675D7A">
              <w:t>:</w:t>
            </w:r>
          </w:p>
        </w:tc>
        <w:tc>
          <w:tcPr>
            <w:tcW w:w="6386" w:type="dxa"/>
            <w:gridSpan w:val="4"/>
          </w:tcPr>
          <w:p w14:paraId="332C9F37" w14:textId="77777777" w:rsidR="00F63B8B" w:rsidRPr="00CB7EFA" w:rsidRDefault="00F63B8B"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w:t>
            </w:r>
          </w:p>
        </w:tc>
      </w:tr>
    </w:tbl>
    <w:p w14:paraId="7FEF115C" w14:textId="4937630F" w:rsidR="002C3056" w:rsidRPr="00CB7EFA" w:rsidRDefault="009875DC" w:rsidP="009875DC">
      <w:pPr>
        <w:pStyle w:val="SDMHead1"/>
      </w:pPr>
      <w:bookmarkStart w:id="353" w:name="_Toc233881741"/>
      <w:bookmarkStart w:id="354" w:name="_Toc233882107"/>
      <w:bookmarkStart w:id="355" w:name="_Toc233884234"/>
      <w:bookmarkStart w:id="356" w:name="_Toc233902843"/>
      <w:bookmarkStart w:id="357" w:name="_Toc233902880"/>
      <w:bookmarkStart w:id="358" w:name="_Toc236391911"/>
      <w:bookmarkStart w:id="359" w:name="_Toc236394053"/>
      <w:r w:rsidRPr="00CB7EFA">
        <w:t xml:space="preserve">Data and </w:t>
      </w:r>
      <w:r w:rsidR="00593E5E">
        <w:t>p</w:t>
      </w:r>
      <w:r w:rsidRPr="00CB7EFA">
        <w:t>arameters monitored</w:t>
      </w:r>
      <w:bookmarkEnd w:id="353"/>
      <w:bookmarkEnd w:id="354"/>
      <w:bookmarkEnd w:id="355"/>
      <w:bookmarkEnd w:id="356"/>
      <w:bookmarkEnd w:id="357"/>
      <w:bookmarkEnd w:id="358"/>
      <w:bookmarkEnd w:id="359"/>
    </w:p>
    <w:p w14:paraId="35CA8867" w14:textId="35DFAC76" w:rsidR="00392ED9" w:rsidRPr="00392ED9" w:rsidRDefault="00392ED9" w:rsidP="00D57E39">
      <w:pPr>
        <w:pStyle w:val="SDMPara"/>
      </w:pPr>
      <w:r w:rsidRPr="636CA247">
        <w:rPr>
          <w:rFonts w:eastAsiaTheme="minorEastAsia"/>
          <w:lang w:eastAsia="zh-CN"/>
        </w:rPr>
        <w:t xml:space="preserve">All </w:t>
      </w:r>
      <w:r w:rsidRPr="00345674">
        <w:rPr>
          <w:rFonts w:eastAsiaTheme="minorEastAsia"/>
          <w:lang w:val="en-US"/>
        </w:rPr>
        <w:t>data</w:t>
      </w:r>
      <w:r w:rsidRPr="636CA247">
        <w:rPr>
          <w:rFonts w:eastAsiaTheme="minorEastAsia"/>
          <w:lang w:eastAsia="zh-CN"/>
        </w:rPr>
        <w:t xml:space="preserve"> collected as part of monitoring should be archived electronically and kept for at least for two years after the end of the last crediting period. One hundred per cent of the data should be monitored, if not </w:t>
      </w:r>
      <w:r w:rsidRPr="636CA247">
        <w:rPr>
          <w:rFonts w:eastAsiaTheme="minorEastAsia"/>
        </w:rPr>
        <w:t>indicated</w:t>
      </w:r>
      <w:r w:rsidRPr="636CA247">
        <w:rPr>
          <w:rFonts w:eastAsiaTheme="minorEastAsia"/>
          <w:lang w:eastAsia="zh-CN"/>
        </w:rPr>
        <w:t xml:space="preserve"> otherwise in the tables below. </w:t>
      </w:r>
      <w:r w:rsidRPr="636CA247">
        <w:rPr>
          <w:rFonts w:eastAsiaTheme="minorEastAsia"/>
        </w:rPr>
        <w:t>All measurements should be conducted with calibrated measurement equipment, according to relevant industry standards.</w:t>
      </w:r>
    </w:p>
    <w:p w14:paraId="4D1CC662" w14:textId="06752A4A" w:rsidR="00392ED9" w:rsidRPr="00B07886" w:rsidRDefault="00B07886" w:rsidP="00D57E39">
      <w:pPr>
        <w:pStyle w:val="SDMPara"/>
      </w:pPr>
      <w:r>
        <w:rPr>
          <w:rFonts w:eastAsiaTheme="minorEastAsia"/>
        </w:rPr>
        <w:t xml:space="preserve">The parameters </w:t>
      </w:r>
      <w:r w:rsidRPr="00E922BF">
        <w:rPr>
          <w:rFonts w:eastAsiaTheme="minorEastAsia"/>
          <w:i/>
          <w:iCs/>
        </w:rPr>
        <w:t>EG</w:t>
      </w:r>
      <w:r w:rsidRPr="00E922BF">
        <w:rPr>
          <w:rFonts w:eastAsiaTheme="minorEastAsia"/>
          <w:i/>
          <w:iCs/>
          <w:vertAlign w:val="subscript"/>
        </w:rPr>
        <w:t>plant,y</w:t>
      </w:r>
      <w:r>
        <w:rPr>
          <w:rFonts w:eastAsiaTheme="minorEastAsia"/>
        </w:rPr>
        <w:t xml:space="preserve"> and </w:t>
      </w:r>
      <w:r w:rsidRPr="00E922BF">
        <w:rPr>
          <w:rFonts w:eastAsiaTheme="minorEastAsia"/>
          <w:i/>
          <w:iCs/>
        </w:rPr>
        <w:t>EG</w:t>
      </w:r>
      <w:r w:rsidRPr="00E922BF">
        <w:rPr>
          <w:rFonts w:eastAsiaTheme="minorEastAsia"/>
          <w:i/>
          <w:iCs/>
          <w:vertAlign w:val="subscript"/>
        </w:rPr>
        <w:t>plant,h</w:t>
      </w:r>
      <w:r>
        <w:rPr>
          <w:rFonts w:eastAsiaTheme="minorEastAsia"/>
        </w:rPr>
        <w:t xml:space="preserve">, required to determine the </w:t>
      </w:r>
      <w:r w:rsidRPr="004F10E8">
        <w:rPr>
          <w:rFonts w:eastAsia="Arial"/>
          <w:lang w:val="en-US"/>
        </w:rPr>
        <w:t>unadjusted baseline emissions from electricity generation in year </w:t>
      </w:r>
      <w:r w:rsidRPr="004F10E8">
        <w:rPr>
          <w:rFonts w:eastAsia="Arial"/>
          <w:i/>
          <w:iCs/>
          <w:lang w:val="en-US"/>
        </w:rPr>
        <w:t>y</w:t>
      </w:r>
      <w:r w:rsidRPr="004F10E8">
        <w:rPr>
          <w:rFonts w:eastAsia="Arial"/>
          <w:lang w:val="en-US"/>
        </w:rPr>
        <w:t xml:space="preserve"> (</w:t>
      </w:r>
      <w:r w:rsidRPr="004F10E8">
        <w:rPr>
          <w:rFonts w:eastAsia="Arial"/>
          <w:i/>
          <w:iCs/>
          <w:lang w:val="en-US"/>
        </w:rPr>
        <w:t>BE</w:t>
      </w:r>
      <w:r w:rsidRPr="004F10E8">
        <w:rPr>
          <w:rFonts w:eastAsia="Arial"/>
          <w:i/>
          <w:iCs/>
          <w:vertAlign w:val="subscript"/>
          <w:lang w:val="en-US"/>
        </w:rPr>
        <w:t>EG,y</w:t>
      </w:r>
      <w:r w:rsidRPr="004F10E8">
        <w:rPr>
          <w:rFonts w:eastAsia="Arial"/>
          <w:lang w:val="en-US"/>
        </w:rPr>
        <w:t>)</w:t>
      </w:r>
      <w:r>
        <w:rPr>
          <w:rFonts w:eastAsia="Arial"/>
          <w:lang w:val="en-US"/>
        </w:rPr>
        <w:t xml:space="preserve">, </w:t>
      </w:r>
      <w:r>
        <w:rPr>
          <w:rFonts w:eastAsiaTheme="minorEastAsia"/>
        </w:rPr>
        <w:t xml:space="preserve">shall be </w:t>
      </w:r>
      <w:r>
        <w:t>monitored as per</w:t>
      </w:r>
      <w:r>
        <w:rPr>
          <w:rFonts w:eastAsiaTheme="minorEastAsia"/>
        </w:rPr>
        <w:t xml:space="preserve"> the monitoring provisions of the parameters </w:t>
      </w:r>
      <w:r w:rsidRPr="002C4E03">
        <w:rPr>
          <w:i/>
          <w:iCs/>
        </w:rPr>
        <w:t>EG</w:t>
      </w:r>
      <w:r w:rsidRPr="002C4E03">
        <w:rPr>
          <w:i/>
          <w:iCs/>
          <w:vertAlign w:val="subscript"/>
        </w:rPr>
        <w:t>s,y</w:t>
      </w:r>
      <w:r>
        <w:t xml:space="preserve"> and </w:t>
      </w:r>
      <w:r w:rsidRPr="002C4E03">
        <w:rPr>
          <w:i/>
          <w:iCs/>
        </w:rPr>
        <w:t>EG</w:t>
      </w:r>
      <w:r w:rsidRPr="002C4E03">
        <w:rPr>
          <w:i/>
          <w:iCs/>
          <w:vertAlign w:val="subscript"/>
        </w:rPr>
        <w:t>s,h</w:t>
      </w:r>
      <w:r>
        <w:rPr>
          <w:rFonts w:eastAsiaTheme="minorEastAsia"/>
        </w:rPr>
        <w:t xml:space="preserve"> from the </w:t>
      </w:r>
      <w:r w:rsidRPr="00312870">
        <w:rPr>
          <w:rFonts w:eastAsiaTheme="minorEastAsia"/>
        </w:rPr>
        <w:t>“Methodological tool: Emissions from electricity generation and consumption” (A6.4-AMT-007).</w:t>
      </w:r>
      <w:r>
        <w:rPr>
          <w:rFonts w:eastAsiaTheme="minorEastAsia"/>
        </w:rPr>
        <w:t xml:space="preserve"> Where a BESS is installed, this shall also include electricity delivered by the BESS to the electricity system.</w:t>
      </w:r>
    </w:p>
    <w:p w14:paraId="4573C25B" w14:textId="635E0E77" w:rsidR="00B07886" w:rsidRPr="0010395A" w:rsidRDefault="0010395A" w:rsidP="00D57E39">
      <w:pPr>
        <w:pStyle w:val="SDMPara"/>
      </w:pPr>
      <w:r>
        <w:rPr>
          <w:rFonts w:eastAsiaTheme="minorEastAsia"/>
        </w:rPr>
        <w:t xml:space="preserve">The </w:t>
      </w:r>
      <w:r w:rsidRPr="00345674">
        <w:rPr>
          <w:rFonts w:eastAsiaTheme="minorEastAsia"/>
          <w:lang w:val="en-US"/>
        </w:rPr>
        <w:t>parameters</w:t>
      </w:r>
      <w:r>
        <w:rPr>
          <w:rFonts w:eastAsiaTheme="minorEastAsia"/>
        </w:rPr>
        <w:t xml:space="preserve"> </w:t>
      </w:r>
      <w:r w:rsidRPr="00E922BF">
        <w:rPr>
          <w:rFonts w:eastAsiaTheme="minorEastAsia"/>
          <w:i/>
          <w:iCs/>
        </w:rPr>
        <w:t>EG</w:t>
      </w:r>
      <w:r>
        <w:rPr>
          <w:rFonts w:eastAsiaTheme="minorEastAsia"/>
          <w:i/>
          <w:iCs/>
          <w:vertAlign w:val="subscript"/>
        </w:rPr>
        <w:t>BESS,delivered</w:t>
      </w:r>
      <w:r w:rsidRPr="00E922BF">
        <w:rPr>
          <w:rFonts w:eastAsiaTheme="minorEastAsia"/>
          <w:i/>
          <w:iCs/>
          <w:vertAlign w:val="subscript"/>
        </w:rPr>
        <w:t>,y</w:t>
      </w:r>
      <w:r>
        <w:rPr>
          <w:rFonts w:eastAsiaTheme="minorEastAsia"/>
        </w:rPr>
        <w:t xml:space="preserve">, required to determine the </w:t>
      </w:r>
      <w:r>
        <w:rPr>
          <w:rFonts w:eastAsia="Arial"/>
          <w:lang w:val="en-US"/>
        </w:rPr>
        <w:t>leakage emissions</w:t>
      </w:r>
      <w:r w:rsidRPr="004F10E8">
        <w:rPr>
          <w:rFonts w:eastAsia="Arial"/>
          <w:lang w:val="en-US"/>
        </w:rPr>
        <w:t xml:space="preserve"> in year </w:t>
      </w:r>
      <w:r w:rsidRPr="004F10E8">
        <w:rPr>
          <w:rFonts w:eastAsia="Arial"/>
          <w:i/>
          <w:iCs/>
          <w:lang w:val="en-US"/>
        </w:rPr>
        <w:t>y</w:t>
      </w:r>
      <w:r w:rsidRPr="004F10E8">
        <w:rPr>
          <w:rFonts w:eastAsia="Arial"/>
          <w:lang w:val="en-US"/>
        </w:rPr>
        <w:t xml:space="preserve"> (</w:t>
      </w:r>
      <w:r>
        <w:rPr>
          <w:rFonts w:eastAsia="Arial"/>
          <w:i/>
          <w:iCs/>
          <w:lang w:val="en-US"/>
        </w:rPr>
        <w:t>LE</w:t>
      </w:r>
      <w:r w:rsidRPr="004F10E8">
        <w:rPr>
          <w:rFonts w:eastAsia="Arial"/>
          <w:i/>
          <w:iCs/>
          <w:vertAlign w:val="subscript"/>
          <w:lang w:val="en-US"/>
        </w:rPr>
        <w:t>y</w:t>
      </w:r>
      <w:r w:rsidRPr="004F10E8">
        <w:rPr>
          <w:rFonts w:eastAsia="Arial"/>
          <w:lang w:val="en-US"/>
        </w:rPr>
        <w:t>)</w:t>
      </w:r>
      <w:r>
        <w:rPr>
          <w:rFonts w:eastAsia="Arial"/>
          <w:lang w:val="en-US"/>
        </w:rPr>
        <w:t xml:space="preserve"> </w:t>
      </w:r>
      <w:r>
        <w:rPr>
          <w:rFonts w:eastAsiaTheme="minorEastAsia"/>
        </w:rPr>
        <w:t xml:space="preserve">shall be </w:t>
      </w:r>
      <w:r>
        <w:t>monitored as per</w:t>
      </w:r>
      <w:r>
        <w:rPr>
          <w:rFonts w:eastAsiaTheme="minorEastAsia"/>
        </w:rPr>
        <w:t xml:space="preserve"> the monitoring provisions of the parameters </w:t>
      </w:r>
      <w:r w:rsidRPr="002C4E03">
        <w:rPr>
          <w:i/>
          <w:iCs/>
        </w:rPr>
        <w:t>EG</w:t>
      </w:r>
      <w:r w:rsidRPr="002C4E03">
        <w:rPr>
          <w:i/>
          <w:iCs/>
          <w:vertAlign w:val="subscript"/>
        </w:rPr>
        <w:t>s,y</w:t>
      </w:r>
      <w:r>
        <w:t xml:space="preserve"> </w:t>
      </w:r>
      <w:r>
        <w:rPr>
          <w:rFonts w:eastAsiaTheme="minorEastAsia"/>
        </w:rPr>
        <w:t xml:space="preserve">from the </w:t>
      </w:r>
      <w:r w:rsidRPr="00312870">
        <w:rPr>
          <w:rFonts w:eastAsiaTheme="minorEastAsia"/>
        </w:rPr>
        <w:t>“Methodological tool: Emissions from electricity generation and consumption” (A6.4-AMT-007).</w:t>
      </w:r>
    </w:p>
    <w:p w14:paraId="5875873F" w14:textId="6790960B" w:rsidR="0010395A" w:rsidRDefault="00DA6F91" w:rsidP="00D57E39">
      <w:pPr>
        <w:pStyle w:val="SDMPara"/>
      </w:pPr>
      <w:r>
        <w:rPr>
          <w:rFonts w:eastAsiaTheme="minorEastAsia"/>
        </w:rPr>
        <w:t xml:space="preserve">The parameters </w:t>
      </w:r>
      <w:r w:rsidRPr="002C4E03">
        <w:rPr>
          <w:i/>
          <w:iCs/>
        </w:rPr>
        <w:t>E</w:t>
      </w:r>
      <w:r>
        <w:rPr>
          <w:i/>
          <w:iCs/>
        </w:rPr>
        <w:t>C</w:t>
      </w:r>
      <w:r w:rsidRPr="002C4E03">
        <w:rPr>
          <w:i/>
          <w:iCs/>
          <w:vertAlign w:val="subscript"/>
        </w:rPr>
        <w:t>s,y</w:t>
      </w:r>
      <w:r>
        <w:t xml:space="preserve"> and </w:t>
      </w:r>
      <w:r w:rsidRPr="002C4E03">
        <w:rPr>
          <w:i/>
          <w:iCs/>
        </w:rPr>
        <w:t>E</w:t>
      </w:r>
      <w:r>
        <w:rPr>
          <w:i/>
          <w:iCs/>
        </w:rPr>
        <w:t>C</w:t>
      </w:r>
      <w:r w:rsidRPr="002C4E03">
        <w:rPr>
          <w:i/>
          <w:iCs/>
          <w:vertAlign w:val="subscript"/>
        </w:rPr>
        <w:t>s,h</w:t>
      </w:r>
      <w:r>
        <w:t xml:space="preserve"> shall be monitored as per the provisions from the </w:t>
      </w:r>
      <w:r w:rsidRPr="00312870">
        <w:rPr>
          <w:rFonts w:eastAsiaTheme="minorEastAsia"/>
        </w:rPr>
        <w:t>“Methodological tool: Emissions from electricity generation and consumption” (A6.4-AMT-007).</w:t>
      </w:r>
    </w:p>
    <w:p w14:paraId="6439438D" w14:textId="51F4A7BE" w:rsidR="00D57E39" w:rsidRPr="00CB7EFA" w:rsidRDefault="00D57E39" w:rsidP="00D57E39">
      <w:pPr>
        <w:pStyle w:val="Caption"/>
      </w:pPr>
      <w:r w:rsidRPr="00CB7EFA">
        <w:t>Data / Parameter table </w:t>
      </w:r>
      <w:fldSimple w:instr=" SEQ Data_/_Parameter_table \* ARABIC ">
        <w:r w:rsidR="00D0578E">
          <w:rPr>
            <w:noProof/>
          </w:rPr>
          <w:t>5</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D57E39" w:rsidRPr="00CB7EFA" w14:paraId="19615980" w14:textId="77777777" w:rsidTr="00873920">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232" w:type="dxa"/>
          </w:tcPr>
          <w:p w14:paraId="759BCE34" w14:textId="77777777" w:rsidR="00D57E39" w:rsidRPr="00CB7EFA" w:rsidRDefault="00D57E39" w:rsidP="00994EFD">
            <w:pPr>
              <w:pStyle w:val="SDMTableBoxParaNotNumbered"/>
              <w:spacing w:before="40" w:after="40"/>
            </w:pPr>
            <w:r w:rsidRPr="00CB7EFA">
              <w:t>Data / Parameter:</w:t>
            </w:r>
          </w:p>
        </w:tc>
        <w:tc>
          <w:tcPr>
            <w:tcW w:w="6386" w:type="dxa"/>
            <w:gridSpan w:val="4"/>
          </w:tcPr>
          <w:p w14:paraId="7542A92F" w14:textId="20B986B4" w:rsidR="00D57E39" w:rsidRPr="001A7D05" w:rsidRDefault="0039641B" w:rsidP="00994EFD">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bCs/>
                        <w:i/>
                      </w:rPr>
                    </m:ctrlPr>
                  </m:sSubPr>
                  <m:e>
                    <m:r>
                      <m:rPr>
                        <m:sty m:val="bi"/>
                      </m:rPr>
                      <w:rPr>
                        <w:rFonts w:ascii="Cambria Math" w:hAnsi="Cambria Math"/>
                      </w:rPr>
                      <m:t>EG</m:t>
                    </m:r>
                  </m:e>
                  <m:sub>
                    <m:r>
                      <m:rPr>
                        <m:sty m:val="bi"/>
                      </m:rPr>
                      <w:rPr>
                        <w:rFonts w:ascii="Cambria Math" w:hAnsi="Cambria Math"/>
                      </w:rPr>
                      <m:t>wake,y</m:t>
                    </m:r>
                  </m:sub>
                </m:sSub>
              </m:oMath>
            </m:oMathPara>
          </w:p>
        </w:tc>
      </w:tr>
      <w:tr w:rsidR="00D57E39" w:rsidRPr="00CB7EFA" w14:paraId="56F8113C"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46B34CDB" w14:textId="77777777" w:rsidR="00D57E39" w:rsidRPr="00CB7EFA" w:rsidRDefault="00D57E39" w:rsidP="00994EFD">
            <w:pPr>
              <w:pStyle w:val="SDMTableBoxParaNotNumbered"/>
              <w:spacing w:before="40" w:after="40"/>
            </w:pPr>
            <w:r w:rsidRPr="00CB7EFA">
              <w:t>Description:</w:t>
            </w:r>
          </w:p>
        </w:tc>
        <w:tc>
          <w:tcPr>
            <w:tcW w:w="6386" w:type="dxa"/>
            <w:gridSpan w:val="4"/>
          </w:tcPr>
          <w:p w14:paraId="679840BA" w14:textId="4A503AD2" w:rsidR="00D57E39" w:rsidRPr="00CB7EFA" w:rsidRDefault="001E63D1"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B42EF6">
              <w:rPr>
                <w:rFonts w:cs="Arial"/>
              </w:rPr>
              <w:t xml:space="preserve">Reduction in electricity generation by other wind power plants due to wake effects in year </w:t>
            </w:r>
            <w:r w:rsidRPr="00B42EF6">
              <w:rPr>
                <w:rFonts w:cs="Arial"/>
                <w:i/>
                <w:iCs/>
              </w:rPr>
              <w:t>y</w:t>
            </w:r>
          </w:p>
        </w:tc>
      </w:tr>
      <w:tr w:rsidR="00D57E39" w:rsidRPr="00CB7EFA" w14:paraId="5A35C321"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05BA19B2" w14:textId="77777777" w:rsidR="00D57E39" w:rsidRPr="00CB7EFA" w:rsidRDefault="00D57E39" w:rsidP="00994EFD">
            <w:pPr>
              <w:pStyle w:val="SDMTableBoxParaNotNumbered"/>
              <w:spacing w:before="40" w:after="40"/>
            </w:pPr>
            <w:r w:rsidRPr="00CB7EFA">
              <w:t>Data unit:</w:t>
            </w:r>
          </w:p>
        </w:tc>
        <w:tc>
          <w:tcPr>
            <w:tcW w:w="6386" w:type="dxa"/>
            <w:gridSpan w:val="4"/>
          </w:tcPr>
          <w:p w14:paraId="4F786E8C" w14:textId="38739C9B" w:rsidR="00D57E39" w:rsidRPr="00CB7EFA" w:rsidRDefault="001E63D1"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MWh</w:t>
            </w:r>
          </w:p>
        </w:tc>
      </w:tr>
      <w:tr w:rsidR="00D57E39" w:rsidRPr="00CB7EFA" w14:paraId="4803649E" w14:textId="77777777" w:rsidTr="008A71E8">
        <w:tc>
          <w:tcPr>
            <w:cnfStyle w:val="001000000000" w:firstRow="0" w:lastRow="0" w:firstColumn="1" w:lastColumn="0" w:oddVBand="0" w:evenVBand="0" w:oddHBand="0" w:evenHBand="0" w:firstRowFirstColumn="0" w:firstRowLastColumn="0" w:lastRowFirstColumn="0" w:lastRowLastColumn="0"/>
            <w:tcW w:w="2232" w:type="dxa"/>
          </w:tcPr>
          <w:p w14:paraId="5B8BB3C2" w14:textId="764569A4" w:rsidR="00D57E39" w:rsidRPr="00CB7EFA" w:rsidRDefault="00D57E39" w:rsidP="00994EFD">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197C1376" w14:textId="2336A3BD" w:rsidR="00D57E39" w:rsidRPr="00CB7EFA" w:rsidRDefault="00D57E39"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t>Equation</w:t>
            </w:r>
            <w:r w:rsidR="00AC3667">
              <w:t>s</w:t>
            </w:r>
            <w:r w:rsidRPr="00CB7EFA">
              <w:t xml:space="preserve"> (</w:t>
            </w:r>
            <w:r w:rsidR="001E63D1">
              <w:t>1</w:t>
            </w:r>
            <w:r w:rsidRPr="00CB7EFA">
              <w:t>)</w:t>
            </w:r>
            <w:r w:rsidR="001E63D1">
              <w:t>, (2)</w:t>
            </w:r>
          </w:p>
        </w:tc>
      </w:tr>
      <w:tr w:rsidR="00D57E39" w:rsidRPr="00CB7EFA" w14:paraId="157A9D6C" w14:textId="77777777" w:rsidTr="008A71E8">
        <w:tc>
          <w:tcPr>
            <w:cnfStyle w:val="001000000000" w:firstRow="0" w:lastRow="0" w:firstColumn="1" w:lastColumn="0" w:oddVBand="0" w:evenVBand="0" w:oddHBand="0" w:evenHBand="0" w:firstRowFirstColumn="0" w:firstRowLastColumn="0" w:lastRowFirstColumn="0" w:lastRowLastColumn="0"/>
            <w:tcW w:w="2232" w:type="dxa"/>
          </w:tcPr>
          <w:p w14:paraId="4537D791" w14:textId="01047881" w:rsidR="00D57E39" w:rsidRPr="00CB7EFA" w:rsidRDefault="00D57E39" w:rsidP="00994EFD">
            <w:pPr>
              <w:pStyle w:val="SDMTableBoxParaNotNumbered"/>
              <w:spacing w:before="40" w:after="40"/>
            </w:pPr>
            <w:r w:rsidRPr="00CB7EFA">
              <w:t>Purpose of data</w:t>
            </w:r>
            <w:r w:rsidR="00675D7A" w:rsidRPr="00675D7A">
              <w:t>:</w:t>
            </w:r>
          </w:p>
        </w:tc>
        <w:tc>
          <w:tcPr>
            <w:tcW w:w="2128" w:type="dxa"/>
            <w:tcBorders>
              <w:right w:val="nil"/>
            </w:tcBorders>
          </w:tcPr>
          <w:p w14:paraId="0A55AB2C" w14:textId="2C7EC427" w:rsidR="00D57E39" w:rsidRPr="00CB7EFA" w:rsidRDefault="00FF557B"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00D57E39" w:rsidRPr="00CB7EFA">
              <w:t xml:space="preserve"> Baseline Scenario</w:t>
            </w:r>
          </w:p>
        </w:tc>
        <w:tc>
          <w:tcPr>
            <w:tcW w:w="2129" w:type="dxa"/>
            <w:gridSpan w:val="2"/>
            <w:tcBorders>
              <w:left w:val="nil"/>
              <w:right w:val="nil"/>
            </w:tcBorders>
          </w:tcPr>
          <w:p w14:paraId="13947421" w14:textId="4A1733B1" w:rsidR="00D57E39" w:rsidRPr="00CB7EFA" w:rsidRDefault="00D57E39"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rsidR="008A71E8">
              <w:t>Activity Scenario</w:t>
            </w:r>
          </w:p>
        </w:tc>
        <w:tc>
          <w:tcPr>
            <w:tcW w:w="2129" w:type="dxa"/>
            <w:tcBorders>
              <w:left w:val="nil"/>
            </w:tcBorders>
          </w:tcPr>
          <w:p w14:paraId="4137D1DB" w14:textId="68998DD0" w:rsidR="00D57E39" w:rsidRPr="00CB7EFA" w:rsidRDefault="00D57E39"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rsidR="008A71E8">
              <w:t>Leakage</w:t>
            </w:r>
          </w:p>
        </w:tc>
      </w:tr>
      <w:tr w:rsidR="009E63DC" w:rsidRPr="00CB7EFA" w14:paraId="49ACE32D" w14:textId="77777777" w:rsidTr="005A794F">
        <w:tc>
          <w:tcPr>
            <w:cnfStyle w:val="001000000000" w:firstRow="0" w:lastRow="0" w:firstColumn="1" w:lastColumn="0" w:oddVBand="0" w:evenVBand="0" w:oddHBand="0" w:evenHBand="0" w:firstRowFirstColumn="0" w:firstRowLastColumn="0" w:lastRowFirstColumn="0" w:lastRowLastColumn="0"/>
            <w:tcW w:w="2232" w:type="dxa"/>
            <w:vAlign w:val="center"/>
          </w:tcPr>
          <w:p w14:paraId="1BF5EA10" w14:textId="2A2218AE" w:rsidR="009E63DC" w:rsidRPr="00CB7EFA" w:rsidRDefault="009E63DC" w:rsidP="00994EFD">
            <w:pPr>
              <w:pStyle w:val="SDMTableBoxParaNotNumbered"/>
              <w:spacing w:before="40" w:after="40"/>
            </w:pPr>
            <w:r w:rsidRPr="00CB7EFA">
              <w:rPr>
                <w:rFonts w:cs="Arial"/>
              </w:rPr>
              <w:lastRenderedPageBreak/>
              <w:t>Measurement methods and procedures</w:t>
            </w:r>
            <w:r w:rsidR="00675D7A" w:rsidRPr="00675D7A">
              <w:rPr>
                <w:rFonts w:cs="Arial"/>
              </w:rPr>
              <w:t>:</w:t>
            </w:r>
          </w:p>
        </w:tc>
        <w:tc>
          <w:tcPr>
            <w:tcW w:w="6386" w:type="dxa"/>
            <w:gridSpan w:val="4"/>
          </w:tcPr>
          <w:p w14:paraId="442139A2" w14:textId="7CBFC0B2" w:rsidR="009E63DC" w:rsidRPr="00CB7EFA" w:rsidRDefault="009E63DC"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t xml:space="preserve">Determined based on a third-party </w:t>
            </w:r>
            <w:r w:rsidRPr="00191475">
              <w:t>assessment by a certified or suitably qualified expert</w:t>
            </w:r>
          </w:p>
        </w:tc>
      </w:tr>
      <w:tr w:rsidR="009E63DC" w:rsidRPr="00CB7EFA" w14:paraId="1F6E6DE9" w14:textId="77777777" w:rsidTr="005A794F">
        <w:tc>
          <w:tcPr>
            <w:cnfStyle w:val="001000000000" w:firstRow="0" w:lastRow="0" w:firstColumn="1" w:lastColumn="0" w:oddVBand="0" w:evenVBand="0" w:oddHBand="0" w:evenHBand="0" w:firstRowFirstColumn="0" w:firstRowLastColumn="0" w:lastRowFirstColumn="0" w:lastRowLastColumn="0"/>
            <w:tcW w:w="2232" w:type="dxa"/>
          </w:tcPr>
          <w:p w14:paraId="01A93544" w14:textId="1777E5F0" w:rsidR="009E63DC" w:rsidRPr="00CB7EFA" w:rsidRDefault="009E63DC" w:rsidP="00994EFD">
            <w:pPr>
              <w:pStyle w:val="SDMTableBoxParaNotNumbered"/>
              <w:spacing w:before="40" w:after="40"/>
              <w:rPr>
                <w:rFonts w:cs="Arial"/>
              </w:rPr>
            </w:pPr>
            <w:r w:rsidRPr="00CB7EFA">
              <w:t>Measurement and updating frequency</w:t>
            </w:r>
            <w:r w:rsidR="00675D7A" w:rsidRPr="00675D7A">
              <w:t>:</w:t>
            </w:r>
          </w:p>
        </w:tc>
        <w:tc>
          <w:tcPr>
            <w:tcW w:w="6386" w:type="dxa"/>
            <w:gridSpan w:val="4"/>
            <w:vAlign w:val="center"/>
          </w:tcPr>
          <w:p w14:paraId="536D33F0" w14:textId="2BDBC32D" w:rsidR="009E63DC" w:rsidRPr="00CB7EFA" w:rsidRDefault="009E63DC"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t xml:space="preserve">The modelling shall be conducted once prior to the first verification and shall be updated when new wind power plants start operations which do not fulfil the conditions specified in paragraph </w:t>
            </w:r>
            <w:r>
              <w:fldChar w:fldCharType="begin"/>
            </w:r>
            <w:r>
              <w:instrText xml:space="preserve"> REF _Ref232439001 \r \h </w:instrText>
            </w:r>
            <w:r w:rsidR="005A794F">
              <w:instrText xml:space="preserve"> \* MERGEFORMAT </w:instrText>
            </w:r>
            <w:r>
              <w:fldChar w:fldCharType="separate"/>
            </w:r>
            <w:r w:rsidR="00D0578E">
              <w:rPr>
                <w:cs/>
              </w:rPr>
              <w:t>‎</w:t>
            </w:r>
            <w:r w:rsidR="00D0578E">
              <w:t>41</w:t>
            </w:r>
            <w:r>
              <w:fldChar w:fldCharType="end"/>
            </w:r>
            <w:r>
              <w:t xml:space="preserve"> of this mechanism methodology (e.g., their distance is lower than the thresholds and they are not registered as an Article 6.4 activity), but not more frequently than annually</w:t>
            </w:r>
          </w:p>
        </w:tc>
      </w:tr>
      <w:tr w:rsidR="009E63DC" w:rsidRPr="00CB7EFA" w14:paraId="25AF9FA0"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35003038" w14:textId="5998D467" w:rsidR="009E63DC" w:rsidRPr="00CB7EFA" w:rsidRDefault="009E63DC" w:rsidP="00994EFD">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6346942E" w14:textId="20CEE291" w:rsidR="009E63DC" w:rsidRPr="00CB7EFA" w:rsidRDefault="009E63DC"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 xml:space="preserve">Third-party </w:t>
            </w:r>
            <w:r w:rsidRPr="00191475">
              <w:t>assessment by a certified or suitably qualified expert</w:t>
            </w:r>
          </w:p>
        </w:tc>
      </w:tr>
      <w:tr w:rsidR="008A71E8" w:rsidRPr="00CB7EFA" w14:paraId="0897525B" w14:textId="77777777" w:rsidTr="00D57E39">
        <w:tc>
          <w:tcPr>
            <w:cnfStyle w:val="001000000000" w:firstRow="0" w:lastRow="0" w:firstColumn="1" w:lastColumn="0" w:oddVBand="0" w:evenVBand="0" w:oddHBand="0" w:evenHBand="0" w:firstRowFirstColumn="0" w:firstRowLastColumn="0" w:lastRowFirstColumn="0" w:lastRowLastColumn="0"/>
            <w:tcW w:w="2232" w:type="dxa"/>
            <w:vMerge w:val="restart"/>
          </w:tcPr>
          <w:p w14:paraId="410F4085" w14:textId="2F28D04E" w:rsidR="008A71E8" w:rsidRPr="00CB7EFA" w:rsidRDefault="008A71E8" w:rsidP="00994EFD">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012B1473" w14:textId="3772FABD" w:rsidR="008A71E8" w:rsidRPr="00CB7EFA" w:rsidRDefault="008A71E8"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6CBC22FE" w14:textId="59D1262E" w:rsidR="008A71E8" w:rsidRPr="00CB7EFA" w:rsidRDefault="009E63DC"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N/A</w:t>
            </w:r>
          </w:p>
        </w:tc>
      </w:tr>
      <w:tr w:rsidR="008A71E8" w:rsidRPr="00CB7EFA" w14:paraId="59DBF916" w14:textId="77777777" w:rsidTr="00D57E39">
        <w:tc>
          <w:tcPr>
            <w:cnfStyle w:val="001000000000" w:firstRow="0" w:lastRow="0" w:firstColumn="1" w:lastColumn="0" w:oddVBand="0" w:evenVBand="0" w:oddHBand="0" w:evenHBand="0" w:firstRowFirstColumn="0" w:firstRowLastColumn="0" w:lastRowFirstColumn="0" w:lastRowLastColumn="0"/>
            <w:tcW w:w="2232" w:type="dxa"/>
            <w:vMerge/>
          </w:tcPr>
          <w:p w14:paraId="028832C1" w14:textId="77777777" w:rsidR="008A71E8" w:rsidRPr="00CB7EFA" w:rsidRDefault="008A71E8" w:rsidP="00994EFD">
            <w:pPr>
              <w:pStyle w:val="SDMTableBoxParaNotNumbered"/>
              <w:spacing w:before="40" w:after="40"/>
              <w:rPr>
                <w:rFonts w:cs="Arial"/>
              </w:rPr>
            </w:pPr>
          </w:p>
        </w:tc>
        <w:tc>
          <w:tcPr>
            <w:tcW w:w="2441" w:type="dxa"/>
            <w:gridSpan w:val="2"/>
          </w:tcPr>
          <w:p w14:paraId="3E0FBF8D" w14:textId="17B11B1E" w:rsidR="008A71E8" w:rsidRPr="00CB7EFA" w:rsidRDefault="008A71E8"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7D3448DB" w14:textId="6EF343FF" w:rsidR="008A71E8" w:rsidRPr="00CB7EFA" w:rsidRDefault="009E63DC"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rPr>
                <w:shd w:val="clear" w:color="auto" w:fill="E6E6E6"/>
              </w:rPr>
              <w:t>N/A</w:t>
            </w:r>
          </w:p>
        </w:tc>
      </w:tr>
      <w:tr w:rsidR="008A71E8" w:rsidRPr="00CB7EFA" w14:paraId="75740A9C" w14:textId="77777777" w:rsidTr="00D57E39">
        <w:tc>
          <w:tcPr>
            <w:cnfStyle w:val="001000000000" w:firstRow="0" w:lastRow="0" w:firstColumn="1" w:lastColumn="0" w:oddVBand="0" w:evenVBand="0" w:oddHBand="0" w:evenHBand="0" w:firstRowFirstColumn="0" w:firstRowLastColumn="0" w:lastRowFirstColumn="0" w:lastRowLastColumn="0"/>
            <w:tcW w:w="2232" w:type="dxa"/>
            <w:vMerge/>
          </w:tcPr>
          <w:p w14:paraId="10E32B41" w14:textId="77777777" w:rsidR="008A71E8" w:rsidRPr="00CB7EFA" w:rsidRDefault="008A71E8" w:rsidP="00994EFD">
            <w:pPr>
              <w:pStyle w:val="SDMTableBoxParaNotNumbered"/>
              <w:spacing w:before="40" w:after="40"/>
              <w:rPr>
                <w:rFonts w:cs="Arial"/>
              </w:rPr>
            </w:pPr>
          </w:p>
        </w:tc>
        <w:tc>
          <w:tcPr>
            <w:tcW w:w="2441" w:type="dxa"/>
            <w:gridSpan w:val="2"/>
          </w:tcPr>
          <w:p w14:paraId="75FF08D1" w14:textId="006A1E13" w:rsidR="008A71E8" w:rsidRPr="00CB7EFA" w:rsidRDefault="008A71E8"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54024092" w14:textId="78C54166" w:rsidR="008A71E8" w:rsidRPr="00CB7EFA" w:rsidRDefault="009E63DC"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rPr>
                <w:shd w:val="clear" w:color="auto" w:fill="E6E6E6"/>
              </w:rPr>
              <w:t>N/A</w:t>
            </w:r>
          </w:p>
        </w:tc>
      </w:tr>
      <w:tr w:rsidR="008A71E8" w:rsidRPr="00CB7EFA" w14:paraId="2DF465F2" w14:textId="77777777" w:rsidTr="00D57E39">
        <w:tc>
          <w:tcPr>
            <w:cnfStyle w:val="001000000000" w:firstRow="0" w:lastRow="0" w:firstColumn="1" w:lastColumn="0" w:oddVBand="0" w:evenVBand="0" w:oddHBand="0" w:evenHBand="0" w:firstRowFirstColumn="0" w:firstRowLastColumn="0" w:lastRowFirstColumn="0" w:lastRowLastColumn="0"/>
            <w:tcW w:w="2232" w:type="dxa"/>
            <w:vMerge/>
          </w:tcPr>
          <w:p w14:paraId="379F4DA3" w14:textId="77777777" w:rsidR="008A71E8" w:rsidRPr="00CB7EFA" w:rsidRDefault="008A71E8" w:rsidP="00994EFD">
            <w:pPr>
              <w:pStyle w:val="SDMTableBoxParaNotNumbered"/>
              <w:spacing w:before="40" w:after="40"/>
              <w:rPr>
                <w:rFonts w:cs="Arial"/>
              </w:rPr>
            </w:pPr>
          </w:p>
        </w:tc>
        <w:tc>
          <w:tcPr>
            <w:tcW w:w="2441" w:type="dxa"/>
            <w:gridSpan w:val="2"/>
          </w:tcPr>
          <w:p w14:paraId="75722A2C" w14:textId="02108005" w:rsidR="008A71E8" w:rsidRPr="00CB7EFA" w:rsidRDefault="008A71E8"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37C8D086" w14:textId="05592F77" w:rsidR="008A71E8" w:rsidRPr="00CB7EFA" w:rsidRDefault="009E63DC"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rPr>
                <w:shd w:val="clear" w:color="auto" w:fill="E6E6E6"/>
              </w:rPr>
              <w:t>N/A</w:t>
            </w:r>
          </w:p>
        </w:tc>
      </w:tr>
      <w:tr w:rsidR="008A71E8" w:rsidRPr="00CB7EFA" w14:paraId="0698C8D1"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34EEFCFD" w14:textId="270C3DA5" w:rsidR="008A71E8" w:rsidRPr="00CB7EFA" w:rsidRDefault="008A71E8" w:rsidP="00994EFD">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4F6C3E24" w14:textId="0388B8C4" w:rsidR="008A71E8" w:rsidRPr="00CB7EFA" w:rsidRDefault="00A75D15"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N/A</w:t>
            </w:r>
          </w:p>
        </w:tc>
      </w:tr>
      <w:tr w:rsidR="008A71E8" w:rsidRPr="00CB7EFA" w14:paraId="4E31F6BC"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2E5CB652" w14:textId="4D013FFB" w:rsidR="008A71E8" w:rsidRPr="00CB7EFA" w:rsidRDefault="008A71E8" w:rsidP="00B7767A">
            <w:pPr>
              <w:pStyle w:val="SDMTableBoxParaNotNumbered"/>
              <w:keepNext/>
              <w:spacing w:before="40" w:after="40"/>
            </w:pPr>
            <w:r w:rsidRPr="00CB7EFA">
              <w:t>Treatment of uncertainty</w:t>
            </w:r>
            <w:r w:rsidR="00675D7A" w:rsidRPr="00675D7A">
              <w:t>:</w:t>
            </w:r>
          </w:p>
        </w:tc>
        <w:tc>
          <w:tcPr>
            <w:tcW w:w="6386" w:type="dxa"/>
            <w:gridSpan w:val="4"/>
          </w:tcPr>
          <w:p w14:paraId="35CB2AB3" w14:textId="1FF939EF" w:rsidR="008A71E8" w:rsidRPr="00CB7EFA" w:rsidRDefault="00520955"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t>The outcome from the model shall be adjusted upwards by 50</w:t>
            </w:r>
            <w:r w:rsidR="00CD788A">
              <w:t xml:space="preserve"> per cent</w:t>
            </w:r>
            <w:r>
              <w:t xml:space="preserve"> to account for uncertainties</w:t>
            </w:r>
          </w:p>
        </w:tc>
      </w:tr>
      <w:tr w:rsidR="008A71E8" w:rsidRPr="00CB7EFA" w14:paraId="27B08724" w14:textId="77777777" w:rsidTr="00785DA5">
        <w:tc>
          <w:tcPr>
            <w:cnfStyle w:val="001000000000" w:firstRow="0" w:lastRow="0" w:firstColumn="1" w:lastColumn="0" w:oddVBand="0" w:evenVBand="0" w:oddHBand="0" w:evenHBand="0" w:firstRowFirstColumn="0" w:firstRowLastColumn="0" w:lastRowFirstColumn="0" w:lastRowLastColumn="0"/>
            <w:tcW w:w="2232" w:type="dxa"/>
          </w:tcPr>
          <w:p w14:paraId="22FBF519" w14:textId="1B662568" w:rsidR="008A71E8" w:rsidRPr="00CB7EFA" w:rsidRDefault="008A71E8" w:rsidP="00994EFD">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36F67342" w14:textId="7B216B3D" w:rsidR="008A71E8" w:rsidRPr="00CB7EFA" w:rsidRDefault="00520955"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w:t>
            </w:r>
          </w:p>
        </w:tc>
      </w:tr>
    </w:tbl>
    <w:p w14:paraId="60AEF85C" w14:textId="7EB3A0FE" w:rsidR="00520955" w:rsidRPr="00CB7EFA" w:rsidRDefault="00520955" w:rsidP="00520955">
      <w:pPr>
        <w:pStyle w:val="Caption"/>
      </w:pPr>
      <w:r w:rsidRPr="00CB7EFA">
        <w:t>Data / Parameter table </w:t>
      </w:r>
      <w:fldSimple w:instr=" SEQ Data_/_Parameter_table \* ARABIC ">
        <w:r w:rsidR="00D0578E">
          <w:rPr>
            <w:noProof/>
          </w:rPr>
          <w:t>6</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520955" w:rsidRPr="00CB7EFA" w14:paraId="4CEEC463" w14:textId="77777777" w:rsidTr="00F430CA">
        <w:trPr>
          <w:cnfStyle w:val="100000000000" w:firstRow="1" w:lastRow="0" w:firstColumn="0" w:lastColumn="0" w:oddVBand="0" w:evenVBand="0" w:oddHBand="0" w:evenHBand="0" w:firstRowFirstColumn="0" w:firstRowLastColumn="0" w:lastRowFirstColumn="0" w:lastRowLastColumn="0"/>
          <w:cantSplit w:val="0"/>
          <w:trHeight w:val="18"/>
        </w:trPr>
        <w:tc>
          <w:tcPr>
            <w:cnfStyle w:val="001000000000" w:firstRow="0" w:lastRow="0" w:firstColumn="1" w:lastColumn="0" w:oddVBand="0" w:evenVBand="0" w:oddHBand="0" w:evenHBand="0" w:firstRowFirstColumn="0" w:firstRowLastColumn="0" w:lastRowFirstColumn="0" w:lastRowLastColumn="0"/>
            <w:tcW w:w="2232" w:type="dxa"/>
          </w:tcPr>
          <w:p w14:paraId="337ADCE8" w14:textId="77777777" w:rsidR="00520955" w:rsidRPr="00CB7EFA" w:rsidRDefault="00520955" w:rsidP="00994EFD">
            <w:pPr>
              <w:pStyle w:val="SDMTableBoxParaNotNumbered"/>
              <w:spacing w:before="40" w:after="40"/>
            </w:pPr>
            <w:r w:rsidRPr="00CB7EFA">
              <w:t>Data / Parameter:</w:t>
            </w:r>
          </w:p>
        </w:tc>
        <w:tc>
          <w:tcPr>
            <w:tcW w:w="6386" w:type="dxa"/>
            <w:gridSpan w:val="4"/>
          </w:tcPr>
          <w:p w14:paraId="0B7970F3" w14:textId="7C66DA8C" w:rsidR="00520955" w:rsidRPr="001A7D05" w:rsidRDefault="0039641B" w:rsidP="00994EFD">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bCs/>
                        <w:i/>
                      </w:rPr>
                    </m:ctrlPr>
                  </m:sSubPr>
                  <m:e>
                    <m:r>
                      <m:rPr>
                        <m:sty m:val="bi"/>
                      </m:rPr>
                      <w:rPr>
                        <w:rFonts w:ascii="Cambria Math" w:hAnsi="Cambria Math"/>
                      </w:rPr>
                      <m:t>FC</m:t>
                    </m:r>
                  </m:e>
                  <m:sub>
                    <m:r>
                      <m:rPr>
                        <m:sty m:val="bi"/>
                      </m:rPr>
                      <w:rPr>
                        <w:rFonts w:ascii="Cambria Math" w:hAnsi="Cambria Math"/>
                      </w:rPr>
                      <m:t>i,y</m:t>
                    </m:r>
                  </m:sub>
                </m:sSub>
              </m:oMath>
            </m:oMathPara>
          </w:p>
        </w:tc>
      </w:tr>
      <w:tr w:rsidR="00520955" w:rsidRPr="00CB7EFA" w14:paraId="6D65DF05" w14:textId="77777777" w:rsidTr="00F430CA">
        <w:trPr>
          <w:cantSplit w:val="0"/>
          <w:trHeight w:val="22"/>
        </w:trPr>
        <w:tc>
          <w:tcPr>
            <w:cnfStyle w:val="001000000000" w:firstRow="0" w:lastRow="0" w:firstColumn="1" w:lastColumn="0" w:oddVBand="0" w:evenVBand="0" w:oddHBand="0" w:evenHBand="0" w:firstRowFirstColumn="0" w:firstRowLastColumn="0" w:lastRowFirstColumn="0" w:lastRowLastColumn="0"/>
            <w:tcW w:w="2232" w:type="dxa"/>
          </w:tcPr>
          <w:p w14:paraId="7EF0E6F3" w14:textId="77777777" w:rsidR="00520955" w:rsidRPr="00CB7EFA" w:rsidRDefault="00520955" w:rsidP="00994EFD">
            <w:pPr>
              <w:pStyle w:val="SDMTableBoxParaNotNumbered"/>
              <w:spacing w:before="40" w:after="40"/>
            </w:pPr>
            <w:r w:rsidRPr="00CB7EFA">
              <w:t>Description:</w:t>
            </w:r>
          </w:p>
        </w:tc>
        <w:tc>
          <w:tcPr>
            <w:tcW w:w="6386" w:type="dxa"/>
            <w:gridSpan w:val="4"/>
          </w:tcPr>
          <w:p w14:paraId="7AD8E213" w14:textId="1FE46037" w:rsidR="00520955" w:rsidRPr="00CB7EFA" w:rsidRDefault="00FF557B"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B42EF6">
              <w:rPr>
                <w:rFonts w:cs="Arial"/>
              </w:rPr>
              <w:t xml:space="preserve">Quantity of fuel type </w:t>
            </w:r>
            <w:r w:rsidRPr="006B4B7F">
              <w:rPr>
                <w:rFonts w:cs="Arial"/>
                <w:i/>
                <w:iCs/>
              </w:rPr>
              <w:t>i</w:t>
            </w:r>
            <w:r w:rsidRPr="00B42EF6">
              <w:rPr>
                <w:rFonts w:cs="Arial"/>
              </w:rPr>
              <w:t xml:space="preserve"> combusted in process </w:t>
            </w:r>
            <w:r w:rsidRPr="006B4B7F">
              <w:rPr>
                <w:rFonts w:cs="Arial"/>
                <w:i/>
                <w:iCs/>
              </w:rPr>
              <w:t>j</w:t>
            </w:r>
            <w:r w:rsidRPr="00B42EF6">
              <w:rPr>
                <w:rFonts w:cs="Arial"/>
              </w:rPr>
              <w:t xml:space="preserve"> during year </w:t>
            </w:r>
            <w:r w:rsidRPr="006B4B7F">
              <w:rPr>
                <w:rFonts w:cs="Arial"/>
                <w:i/>
                <w:iCs/>
              </w:rPr>
              <w:t>y</w:t>
            </w:r>
          </w:p>
        </w:tc>
      </w:tr>
      <w:tr w:rsidR="00520955" w:rsidRPr="00CB7EFA" w14:paraId="3CBE669F"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7829C736" w14:textId="77777777" w:rsidR="00520955" w:rsidRPr="00CB7EFA" w:rsidRDefault="00520955" w:rsidP="00994EFD">
            <w:pPr>
              <w:pStyle w:val="SDMTableBoxParaNotNumbered"/>
              <w:spacing w:before="40" w:after="40"/>
            </w:pPr>
            <w:r w:rsidRPr="00CB7EFA">
              <w:t>Data unit:</w:t>
            </w:r>
          </w:p>
        </w:tc>
        <w:tc>
          <w:tcPr>
            <w:tcW w:w="6386" w:type="dxa"/>
            <w:gridSpan w:val="4"/>
          </w:tcPr>
          <w:p w14:paraId="75CC6151" w14:textId="2BE3A8A3" w:rsidR="00520955" w:rsidRPr="00CB7EFA" w:rsidRDefault="00FF557B"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Mass or volume units</w:t>
            </w:r>
          </w:p>
        </w:tc>
      </w:tr>
      <w:tr w:rsidR="00520955" w:rsidRPr="00CB7EFA" w14:paraId="68356101"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F73C7E3" w14:textId="0A20EA40" w:rsidR="00520955" w:rsidRPr="00CB7EFA" w:rsidRDefault="00520955" w:rsidP="00994EFD">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47C83F68" w14:textId="3E4A441A" w:rsidR="00520955" w:rsidRPr="00CB7EFA" w:rsidRDefault="00520955"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t>Equation (</w:t>
            </w:r>
            <w:r>
              <w:t>1</w:t>
            </w:r>
            <w:r w:rsidR="00FF557B">
              <w:t>0</w:t>
            </w:r>
            <w:r w:rsidRPr="00CB7EFA">
              <w:t>)</w:t>
            </w:r>
          </w:p>
        </w:tc>
      </w:tr>
      <w:tr w:rsidR="00520955" w:rsidRPr="00CB7EFA" w14:paraId="532A643D"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2D7569A" w14:textId="0A7DC77B" w:rsidR="00520955" w:rsidRPr="00CB7EFA" w:rsidRDefault="00520955" w:rsidP="00994EFD">
            <w:pPr>
              <w:pStyle w:val="SDMTableBoxParaNotNumbered"/>
              <w:spacing w:before="40" w:after="40"/>
            </w:pPr>
            <w:r w:rsidRPr="00CB7EFA">
              <w:t>Purpose of data</w:t>
            </w:r>
            <w:r w:rsidR="00675D7A" w:rsidRPr="00675D7A">
              <w:t>:</w:t>
            </w:r>
          </w:p>
        </w:tc>
        <w:tc>
          <w:tcPr>
            <w:tcW w:w="2128" w:type="dxa"/>
            <w:tcBorders>
              <w:right w:val="nil"/>
            </w:tcBorders>
          </w:tcPr>
          <w:p w14:paraId="7A2239B8" w14:textId="77777777" w:rsidR="00520955" w:rsidRPr="00CB7EFA" w:rsidRDefault="00520955"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0E0D37A4" w14:textId="7726DDB2" w:rsidR="00520955" w:rsidRPr="00CB7EFA" w:rsidRDefault="00FF557B"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00520955" w:rsidRPr="00CB7EFA">
              <w:t xml:space="preserve"> </w:t>
            </w:r>
            <w:r w:rsidR="00520955">
              <w:t>Activity Scenario</w:t>
            </w:r>
          </w:p>
        </w:tc>
        <w:tc>
          <w:tcPr>
            <w:tcW w:w="2129" w:type="dxa"/>
            <w:tcBorders>
              <w:left w:val="nil"/>
            </w:tcBorders>
          </w:tcPr>
          <w:p w14:paraId="2C1C425B" w14:textId="77777777" w:rsidR="00520955" w:rsidRPr="00CB7EFA" w:rsidRDefault="00520955"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520955" w:rsidRPr="00CB7EFA" w14:paraId="353D3B9B"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1C54676E" w14:textId="17A58335" w:rsidR="00520955" w:rsidRPr="00CB7EFA" w:rsidRDefault="00520955" w:rsidP="00994EFD">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2DFA0AC8" w14:textId="77777777" w:rsidR="00D57369" w:rsidRPr="009F3111" w:rsidRDefault="00D57369" w:rsidP="007255A3">
            <w:pPr>
              <w:pStyle w:val="SDMTableBoxParaNotNumbered"/>
              <w:numPr>
                <w:ilvl w:val="0"/>
                <w:numId w:val="22"/>
              </w:numPr>
              <w:spacing w:before="40" w:after="40"/>
              <w:jc w:val="both"/>
              <w:cnfStyle w:val="000000000000" w:firstRow="0" w:lastRow="0" w:firstColumn="0" w:lastColumn="0" w:oddVBand="0" w:evenVBand="0" w:oddHBand="0" w:evenHBand="0" w:firstRowFirstColumn="0" w:firstRowLastColumn="0" w:lastRowFirstColumn="0" w:lastRowLastColumn="0"/>
            </w:pPr>
            <w:r w:rsidRPr="00E26242">
              <w:t>Use either mass or volume meters;</w:t>
            </w:r>
          </w:p>
          <w:p w14:paraId="6C7C588B" w14:textId="77777777" w:rsidR="00D57369" w:rsidRPr="009F3111" w:rsidRDefault="00D57369" w:rsidP="007255A3">
            <w:pPr>
              <w:pStyle w:val="SDMTableBoxParaNotNumbered"/>
              <w:numPr>
                <w:ilvl w:val="0"/>
                <w:numId w:val="22"/>
              </w:numPr>
              <w:spacing w:before="40" w:after="40"/>
              <w:jc w:val="both"/>
              <w:cnfStyle w:val="000000000000" w:firstRow="0" w:lastRow="0" w:firstColumn="0" w:lastColumn="0" w:oddVBand="0" w:evenVBand="0" w:oddHBand="0" w:evenHBand="0" w:firstRowFirstColumn="0" w:firstRowLastColumn="0" w:lastRowFirstColumn="0" w:lastRowLastColumn="0"/>
            </w:pPr>
            <w:r w:rsidRPr="00E26242">
              <w:t>In cases where fuel is supplied from small daily tanks, ruler gauges can be used to determine mass or volume of fuel consumed, subject to the following conditions: the ruler gauge shall be part of the daily tank, shall be calibrated at least once a year and, shall have a logbook for recording measurements (on a daily basis or per shift);</w:t>
            </w:r>
          </w:p>
          <w:p w14:paraId="795DCE0B" w14:textId="77777777" w:rsidR="00D57369" w:rsidRDefault="00D57369" w:rsidP="007255A3">
            <w:pPr>
              <w:pStyle w:val="SDMTableBoxParaNotNumbered"/>
              <w:numPr>
                <w:ilvl w:val="0"/>
                <w:numId w:val="22"/>
              </w:numPr>
              <w:spacing w:before="40" w:after="40"/>
              <w:jc w:val="both"/>
              <w:cnfStyle w:val="000000000000" w:firstRow="0" w:lastRow="0" w:firstColumn="0" w:lastColumn="0" w:oddVBand="0" w:evenVBand="0" w:oddHBand="0" w:evenHBand="0" w:firstRowFirstColumn="0" w:firstRowLastColumn="0" w:lastRowFirstColumn="0" w:lastRowLastColumn="0"/>
            </w:pPr>
            <w:r w:rsidRPr="00E26242">
              <w:t>Accessories such as transducers, sonar and piezoelectronic devices may be used if they are properly calibrated with the ruler gauge and maintained appropriately; and</w:t>
            </w:r>
          </w:p>
          <w:p w14:paraId="6D10B6AF" w14:textId="1EB67E73" w:rsidR="00520955" w:rsidRPr="00CB7EFA" w:rsidRDefault="00D57369" w:rsidP="007255A3">
            <w:pPr>
              <w:pStyle w:val="SDMTableBoxParaNotNumbered"/>
              <w:numPr>
                <w:ilvl w:val="0"/>
                <w:numId w:val="22"/>
              </w:numPr>
              <w:spacing w:before="40" w:after="40"/>
              <w:jc w:val="both"/>
              <w:cnfStyle w:val="000000000000" w:firstRow="0" w:lastRow="0" w:firstColumn="0" w:lastColumn="0" w:oddVBand="0" w:evenVBand="0" w:oddHBand="0" w:evenHBand="0" w:firstRowFirstColumn="0" w:firstRowLastColumn="0" w:lastRowFirstColumn="0" w:lastRowLastColumn="0"/>
            </w:pPr>
            <w:r w:rsidRPr="00E26242">
              <w:t>In the case of daily tanks with pre-heaters for heavy oil, calibration shall be conducted under typical operational conditions</w:t>
            </w:r>
          </w:p>
        </w:tc>
      </w:tr>
      <w:tr w:rsidR="00520955" w:rsidRPr="00CB7EFA" w14:paraId="10290824"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9246FAC" w14:textId="19100622" w:rsidR="00520955" w:rsidRPr="00CB7EFA" w:rsidRDefault="00520955" w:rsidP="00994EFD">
            <w:pPr>
              <w:pStyle w:val="SDMTableBoxParaNotNumbered"/>
              <w:spacing w:before="40" w:after="40"/>
              <w:rPr>
                <w:rFonts w:cs="Arial"/>
              </w:rPr>
            </w:pPr>
            <w:r w:rsidRPr="00CB7EFA">
              <w:t>Measurement and updating frequency</w:t>
            </w:r>
            <w:r w:rsidR="00675D7A" w:rsidRPr="00675D7A">
              <w:t>:</w:t>
            </w:r>
          </w:p>
        </w:tc>
        <w:tc>
          <w:tcPr>
            <w:tcW w:w="6386" w:type="dxa"/>
            <w:gridSpan w:val="4"/>
          </w:tcPr>
          <w:p w14:paraId="55DCBC1A" w14:textId="1148289F" w:rsidR="00520955" w:rsidRPr="00CB7EFA" w:rsidRDefault="00B85D11"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Continuously</w:t>
            </w:r>
          </w:p>
        </w:tc>
      </w:tr>
      <w:tr w:rsidR="00520955" w:rsidRPr="00CB7EFA" w14:paraId="66715382"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112A06A0" w14:textId="6E7C4697" w:rsidR="00520955" w:rsidRPr="00CB7EFA" w:rsidRDefault="00520955" w:rsidP="00994EFD">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144CEEC9" w14:textId="3A94D438" w:rsidR="00520955" w:rsidRPr="00CB7EFA" w:rsidRDefault="00B85D11"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Activity participants</w:t>
            </w:r>
          </w:p>
        </w:tc>
      </w:tr>
      <w:tr w:rsidR="007D279F" w:rsidRPr="00CB7EFA" w14:paraId="5CB7429F"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vMerge w:val="restart"/>
          </w:tcPr>
          <w:p w14:paraId="249D8ECD" w14:textId="5977D399" w:rsidR="007D279F" w:rsidRPr="00CB7EFA" w:rsidRDefault="007D279F" w:rsidP="00994EFD">
            <w:pPr>
              <w:pStyle w:val="SDMTableBoxParaNotNumbered"/>
              <w:spacing w:before="40" w:after="40"/>
            </w:pPr>
            <w:r w:rsidRPr="00CB7EFA">
              <w:rPr>
                <w:rFonts w:cs="Arial"/>
              </w:rPr>
              <w:lastRenderedPageBreak/>
              <w:t>Measuring instrument(s)</w:t>
            </w:r>
            <w:r w:rsidR="00675D7A" w:rsidRPr="00675D7A">
              <w:rPr>
                <w:rFonts w:cs="Arial"/>
              </w:rPr>
              <w:t>:</w:t>
            </w:r>
          </w:p>
        </w:tc>
        <w:tc>
          <w:tcPr>
            <w:tcW w:w="2441" w:type="dxa"/>
            <w:gridSpan w:val="2"/>
          </w:tcPr>
          <w:p w14:paraId="4B7C0984" w14:textId="77777777" w:rsidR="007D279F" w:rsidRPr="00CB7EFA" w:rsidRDefault="007D279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7085EBE2" w14:textId="7118A4D0" w:rsidR="007D279F" w:rsidRPr="00CB7EFA" w:rsidRDefault="007D279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2244B8">
              <w:t>Mass or volume meters, ruler gauges (installed in daily tanks), transducers, sonar and piezoelectronic devices</w:t>
            </w:r>
          </w:p>
        </w:tc>
      </w:tr>
      <w:tr w:rsidR="007D279F" w:rsidRPr="00CB7EFA" w14:paraId="0991D8BA"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7D83C1F9" w14:textId="77777777" w:rsidR="007D279F" w:rsidRPr="00CB7EFA" w:rsidRDefault="007D279F" w:rsidP="00994EFD">
            <w:pPr>
              <w:pStyle w:val="SDMTableBoxParaNotNumbered"/>
              <w:spacing w:before="40" w:after="40"/>
              <w:rPr>
                <w:rFonts w:cs="Arial"/>
              </w:rPr>
            </w:pPr>
          </w:p>
        </w:tc>
        <w:tc>
          <w:tcPr>
            <w:tcW w:w="2441" w:type="dxa"/>
            <w:gridSpan w:val="2"/>
          </w:tcPr>
          <w:p w14:paraId="42B56318" w14:textId="77777777" w:rsidR="007D279F" w:rsidRPr="00CB7EFA" w:rsidRDefault="007D279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43A77074" w14:textId="5FBD0E20" w:rsidR="007D279F" w:rsidRPr="00CB7EFA" w:rsidRDefault="007D279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rsidRPr="002244B8">
              <w:t>As per manufacturer specification</w:t>
            </w:r>
          </w:p>
        </w:tc>
      </w:tr>
      <w:tr w:rsidR="007D279F" w:rsidRPr="00CB7EFA" w14:paraId="03CFBDCA"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3B340F18" w14:textId="77777777" w:rsidR="007D279F" w:rsidRPr="00CB7EFA" w:rsidRDefault="007D279F" w:rsidP="00994EFD">
            <w:pPr>
              <w:pStyle w:val="SDMTableBoxParaNotNumbered"/>
              <w:spacing w:before="40" w:after="40"/>
              <w:rPr>
                <w:rFonts w:cs="Arial"/>
              </w:rPr>
            </w:pPr>
          </w:p>
        </w:tc>
        <w:tc>
          <w:tcPr>
            <w:tcW w:w="2441" w:type="dxa"/>
            <w:gridSpan w:val="2"/>
          </w:tcPr>
          <w:p w14:paraId="5733D60C" w14:textId="77777777" w:rsidR="007D279F" w:rsidRPr="00CB7EFA" w:rsidRDefault="007D279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7AA76B63" w14:textId="445D8144" w:rsidR="007D279F" w:rsidRPr="00CB7EFA" w:rsidRDefault="007D279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rsidRPr="002244B8">
              <w:t>Ruler gauges shall be calibrated at least once a year. Transducers, sonar and piezoelectronic devices shall be calibrated with the ruler gauge and maintained appropriately</w:t>
            </w:r>
          </w:p>
        </w:tc>
      </w:tr>
      <w:tr w:rsidR="007D279F" w:rsidRPr="00CB7EFA" w14:paraId="1284E3A5"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53B09592" w14:textId="77777777" w:rsidR="007D279F" w:rsidRPr="00CB7EFA" w:rsidRDefault="007D279F" w:rsidP="00994EFD">
            <w:pPr>
              <w:pStyle w:val="SDMTableBoxParaNotNumbered"/>
              <w:spacing w:before="40" w:after="40"/>
              <w:rPr>
                <w:rFonts w:cs="Arial"/>
              </w:rPr>
            </w:pPr>
          </w:p>
        </w:tc>
        <w:tc>
          <w:tcPr>
            <w:tcW w:w="2441" w:type="dxa"/>
            <w:gridSpan w:val="2"/>
          </w:tcPr>
          <w:p w14:paraId="3866DBCE" w14:textId="77777777" w:rsidR="007D279F" w:rsidRPr="00CB7EFA" w:rsidRDefault="007D279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5D0B388A" w14:textId="54303F52" w:rsidR="007D279F" w:rsidRPr="00CB7EFA" w:rsidRDefault="007D279F" w:rsidP="00994EF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t>N/A</w:t>
            </w:r>
          </w:p>
        </w:tc>
      </w:tr>
      <w:tr w:rsidR="007658B4" w:rsidRPr="00CB7EFA" w14:paraId="69967D66"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F1DFECC" w14:textId="40C8B332" w:rsidR="007658B4" w:rsidRPr="00CB7EFA" w:rsidRDefault="007658B4" w:rsidP="00994EFD">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0CC48106" w14:textId="3ABF4B8C" w:rsidR="007658B4" w:rsidRPr="00CB7EFA" w:rsidRDefault="007658B4"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E72D00">
              <w:t>The recorded data shall be stored monthly in a central database with backup</w:t>
            </w:r>
          </w:p>
        </w:tc>
      </w:tr>
      <w:tr w:rsidR="007658B4" w:rsidRPr="00CB7EFA" w14:paraId="481CFF21"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4D559110" w14:textId="61409F1F" w:rsidR="007658B4" w:rsidRPr="00CB7EFA" w:rsidRDefault="007658B4" w:rsidP="00B7767A">
            <w:pPr>
              <w:pStyle w:val="SDMTableBoxParaNotNumbered"/>
              <w:keepNext/>
              <w:spacing w:before="40" w:after="40"/>
            </w:pPr>
            <w:r w:rsidRPr="00CB7EFA">
              <w:t>Treatment of uncertainty</w:t>
            </w:r>
            <w:r w:rsidR="00675D7A" w:rsidRPr="00675D7A">
              <w:t>:</w:t>
            </w:r>
          </w:p>
        </w:tc>
        <w:tc>
          <w:tcPr>
            <w:tcW w:w="6386" w:type="dxa"/>
            <w:gridSpan w:val="4"/>
          </w:tcPr>
          <w:p w14:paraId="66AAF8F0" w14:textId="4821F23D" w:rsidR="007658B4" w:rsidRPr="00CB7EFA" w:rsidRDefault="007658B4"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rsidRPr="00323C55">
              <w:t>Uncertainties are determined based on the measuring instruments</w:t>
            </w:r>
          </w:p>
        </w:tc>
      </w:tr>
      <w:tr w:rsidR="00520955" w:rsidRPr="00CB7EFA" w14:paraId="0680AC8F" w14:textId="77777777" w:rsidTr="00F430CA">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1B747D11" w14:textId="3156391B" w:rsidR="00520955" w:rsidRPr="00CB7EFA" w:rsidRDefault="00520955" w:rsidP="00994EFD">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01867BE5" w14:textId="77777777" w:rsidR="001328D0" w:rsidRDefault="001328D0" w:rsidP="007255A3">
            <w:pPr>
              <w:pStyle w:val="SDMTableBoxParaNotNumbered"/>
              <w:numPr>
                <w:ilvl w:val="0"/>
                <w:numId w:val="23"/>
              </w:numPr>
              <w:spacing w:before="40" w:after="40"/>
              <w:jc w:val="both"/>
              <w:cnfStyle w:val="000000000000" w:firstRow="0" w:lastRow="0" w:firstColumn="0" w:lastColumn="0" w:oddVBand="0" w:evenVBand="0" w:oddHBand="0" w:evenHBand="0" w:firstRowFirstColumn="0" w:firstRowLastColumn="0" w:lastRowFirstColumn="0" w:lastRowLastColumn="0"/>
            </w:pPr>
            <w:r w:rsidRPr="005972BF">
              <w:t>The consistency of metered fuel consumption quantities shall be cross-checked by an annual energy balance based on purchased quantities and stock changes;</w:t>
            </w:r>
          </w:p>
          <w:p w14:paraId="1F4BC008" w14:textId="77777777" w:rsidR="001328D0" w:rsidRDefault="001328D0" w:rsidP="007255A3">
            <w:pPr>
              <w:pStyle w:val="SDMTableBoxParaNotNumbered"/>
              <w:numPr>
                <w:ilvl w:val="0"/>
                <w:numId w:val="23"/>
              </w:numPr>
              <w:spacing w:before="40" w:after="40"/>
              <w:jc w:val="both"/>
              <w:cnfStyle w:val="000000000000" w:firstRow="0" w:lastRow="0" w:firstColumn="0" w:lastColumn="0" w:oddVBand="0" w:evenVBand="0" w:oddHBand="0" w:evenHBand="0" w:firstRowFirstColumn="0" w:firstRowLastColumn="0" w:lastRowFirstColumn="0" w:lastRowLastColumn="0"/>
            </w:pPr>
            <w:r w:rsidRPr="005972BF">
              <w:t>Where purchased fuel invoices can be attributed specifically to the Article 6.4 activity, the metered fuel consumption quantities shall also be cross-checked against available purchase invoices from financial records; and</w:t>
            </w:r>
          </w:p>
          <w:p w14:paraId="3812C375" w14:textId="77777777" w:rsidR="001328D0" w:rsidRDefault="001328D0" w:rsidP="007255A3">
            <w:pPr>
              <w:pStyle w:val="SDMTableBoxParaNotNumbered"/>
              <w:keepNext/>
              <w:numPr>
                <w:ilvl w:val="0"/>
                <w:numId w:val="23"/>
              </w:numPr>
              <w:spacing w:before="40" w:after="40"/>
              <w:jc w:val="both"/>
              <w:cnfStyle w:val="000000000000" w:firstRow="0" w:lastRow="0" w:firstColumn="0" w:lastColumn="0" w:oddVBand="0" w:evenVBand="0" w:oddHBand="0" w:evenHBand="0" w:firstRowFirstColumn="0" w:firstRowLastColumn="0" w:lastRowFirstColumn="0" w:lastRowLastColumn="0"/>
            </w:pPr>
            <w:r w:rsidRPr="005972BF">
              <w:t>Where data gaps occur due to meter failure or other unforeseen reasons, activity participants may estimate the quantity of fuel using one of the following options, provided that the gap period does not exceed 30 consecutive days within six consecutive months:</w:t>
            </w:r>
          </w:p>
          <w:p w14:paraId="42E12899" w14:textId="77777777" w:rsidR="001328D0" w:rsidRDefault="001328D0" w:rsidP="007255A3">
            <w:pPr>
              <w:pStyle w:val="SDMTableBoxParaNotNumbered"/>
              <w:numPr>
                <w:ilvl w:val="0"/>
                <w:numId w:val="24"/>
              </w:numPr>
              <w:spacing w:before="40" w:after="40"/>
              <w:jc w:val="both"/>
              <w:cnfStyle w:val="000000000000" w:firstRow="0" w:lastRow="0" w:firstColumn="0" w:lastColumn="0" w:oddVBand="0" w:evenVBand="0" w:oddHBand="0" w:evenHBand="0" w:firstRowFirstColumn="0" w:firstRowLastColumn="0" w:lastRowFirstColumn="0" w:lastRowLastColumn="0"/>
            </w:pPr>
            <w:r w:rsidRPr="005972BF">
              <w:t>Purchased fuel or energy invoices/bills, where the purchased fuel can be attributed specifically to the Article 6.4 activity;</w:t>
            </w:r>
          </w:p>
          <w:p w14:paraId="52DF4382" w14:textId="77777777" w:rsidR="001328D0" w:rsidRDefault="001328D0" w:rsidP="007255A3">
            <w:pPr>
              <w:pStyle w:val="SDMTableBoxParaNotNumbered"/>
              <w:numPr>
                <w:ilvl w:val="0"/>
                <w:numId w:val="24"/>
              </w:numPr>
              <w:spacing w:before="40" w:after="40"/>
              <w:jc w:val="both"/>
              <w:cnfStyle w:val="000000000000" w:firstRow="0" w:lastRow="0" w:firstColumn="0" w:lastColumn="0" w:oddVBand="0" w:evenVBand="0" w:oddHBand="0" w:evenHBand="0" w:firstRowFirstColumn="0" w:firstRowLastColumn="0" w:lastRowFirstColumn="0" w:lastRowLastColumn="0"/>
            </w:pPr>
            <w:r w:rsidRPr="005972BF">
              <w:t>Energy produced by the equipment, adjusted for efficiency. Conservative default values of 40 per cent for combustion engines and generators and 80 per cent for thermal heaters shall be used. Energy produced shall be measured directly or calculated based on operating hours; or</w:t>
            </w:r>
          </w:p>
          <w:p w14:paraId="5EEEB41D" w14:textId="5A2DA878" w:rsidR="00520955" w:rsidRPr="00CB7EFA" w:rsidRDefault="001328D0" w:rsidP="007255A3">
            <w:pPr>
              <w:pStyle w:val="SDMTableBoxParaNotNumbered"/>
              <w:numPr>
                <w:ilvl w:val="0"/>
                <w:numId w:val="24"/>
              </w:numPr>
              <w:spacing w:before="40" w:after="40"/>
              <w:jc w:val="both"/>
              <w:cnfStyle w:val="000000000000" w:firstRow="0" w:lastRow="0" w:firstColumn="0" w:lastColumn="0" w:oddVBand="0" w:evenVBand="0" w:oddHBand="0" w:evenHBand="0" w:firstRowFirstColumn="0" w:firstRowLastColumn="0" w:lastRowFirstColumn="0" w:lastRowLastColumn="0"/>
            </w:pPr>
            <w:r w:rsidRPr="005972BF">
              <w:t>The highest value of the parameter for the same calendar period in the previous years</w:t>
            </w:r>
          </w:p>
        </w:tc>
      </w:tr>
    </w:tbl>
    <w:p w14:paraId="22434F86" w14:textId="3692002B" w:rsidR="00873920" w:rsidRPr="00CB7EFA" w:rsidRDefault="00873920" w:rsidP="00873920">
      <w:pPr>
        <w:pStyle w:val="Caption"/>
      </w:pPr>
      <w:r w:rsidRPr="00CB7EFA">
        <w:t>Data / Parameter table </w:t>
      </w:r>
      <w:fldSimple w:instr=" SEQ Data_/_Parameter_table \* ARABIC ">
        <w:r w:rsidR="00D0578E">
          <w:rPr>
            <w:noProof/>
          </w:rPr>
          <w:t>7</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873920" w:rsidRPr="00CB7EFA" w14:paraId="06E8152F" w14:textId="77777777" w:rsidTr="00E91A4D">
        <w:trPr>
          <w:cnfStyle w:val="100000000000" w:firstRow="1" w:lastRow="0" w:firstColumn="0" w:lastColumn="0" w:oddVBand="0" w:evenVBand="0" w:oddHBand="0" w:evenHBand="0" w:firstRowFirstColumn="0" w:firstRowLastColumn="0" w:lastRowFirstColumn="0" w:lastRowLastColumn="0"/>
          <w:cantSplit w:val="0"/>
          <w:trHeight w:val="18"/>
        </w:trPr>
        <w:tc>
          <w:tcPr>
            <w:cnfStyle w:val="001000000000" w:firstRow="0" w:lastRow="0" w:firstColumn="1" w:lastColumn="0" w:oddVBand="0" w:evenVBand="0" w:oddHBand="0" w:evenHBand="0" w:firstRowFirstColumn="0" w:firstRowLastColumn="0" w:lastRowFirstColumn="0" w:lastRowLastColumn="0"/>
            <w:tcW w:w="2232" w:type="dxa"/>
          </w:tcPr>
          <w:p w14:paraId="0B4E8E6A" w14:textId="77777777" w:rsidR="00873920" w:rsidRPr="00CB7EFA" w:rsidRDefault="00873920" w:rsidP="00FE0127">
            <w:pPr>
              <w:pStyle w:val="SDMTableBoxParaNotNumbered"/>
              <w:spacing w:before="40" w:after="40"/>
            </w:pPr>
            <w:r w:rsidRPr="00CB7EFA">
              <w:t>Data / Parameter:</w:t>
            </w:r>
          </w:p>
        </w:tc>
        <w:tc>
          <w:tcPr>
            <w:tcW w:w="6386" w:type="dxa"/>
            <w:gridSpan w:val="4"/>
          </w:tcPr>
          <w:p w14:paraId="5FBA3DF7" w14:textId="3CBE7E7F" w:rsidR="00873920" w:rsidRPr="001A7D05" w:rsidRDefault="0039641B" w:rsidP="00FE0127">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bCs/>
                        <w:i/>
                      </w:rPr>
                    </m:ctrlPr>
                  </m:sSubPr>
                  <m:e>
                    <m:r>
                      <m:rPr>
                        <m:sty m:val="bi"/>
                      </m:rPr>
                      <w:rPr>
                        <w:rFonts w:ascii="Cambria Math" w:hAnsi="Cambria Math"/>
                      </w:rPr>
                      <m:t>NCV</m:t>
                    </m:r>
                  </m:e>
                  <m:sub>
                    <m:r>
                      <m:rPr>
                        <m:sty m:val="bi"/>
                      </m:rPr>
                      <w:rPr>
                        <w:rFonts w:ascii="Cambria Math" w:hAnsi="Cambria Math"/>
                      </w:rPr>
                      <m:t>i,y</m:t>
                    </m:r>
                  </m:sub>
                </m:sSub>
              </m:oMath>
            </m:oMathPara>
          </w:p>
        </w:tc>
      </w:tr>
      <w:tr w:rsidR="007E285E" w:rsidRPr="00CB7EFA" w14:paraId="034E83FF" w14:textId="77777777" w:rsidTr="00E91A4D">
        <w:trPr>
          <w:cantSplit w:val="0"/>
          <w:trHeight w:val="22"/>
        </w:trPr>
        <w:tc>
          <w:tcPr>
            <w:cnfStyle w:val="001000000000" w:firstRow="0" w:lastRow="0" w:firstColumn="1" w:lastColumn="0" w:oddVBand="0" w:evenVBand="0" w:oddHBand="0" w:evenHBand="0" w:firstRowFirstColumn="0" w:firstRowLastColumn="0" w:lastRowFirstColumn="0" w:lastRowLastColumn="0"/>
            <w:tcW w:w="2232" w:type="dxa"/>
          </w:tcPr>
          <w:p w14:paraId="1081677F" w14:textId="77777777" w:rsidR="007E285E" w:rsidRPr="00CB7EFA" w:rsidRDefault="007E285E" w:rsidP="00FE0127">
            <w:pPr>
              <w:pStyle w:val="SDMTableBoxParaNotNumbered"/>
              <w:spacing w:before="40" w:after="40"/>
            </w:pPr>
            <w:r w:rsidRPr="00CB7EFA">
              <w:t>Description:</w:t>
            </w:r>
          </w:p>
        </w:tc>
        <w:tc>
          <w:tcPr>
            <w:tcW w:w="6386" w:type="dxa"/>
            <w:gridSpan w:val="4"/>
          </w:tcPr>
          <w:p w14:paraId="4F6C282F" w14:textId="373D1B39" w:rsidR="007E285E" w:rsidRPr="00CB7EFA" w:rsidRDefault="007E285E" w:rsidP="00FE012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B42EF6">
              <w:rPr>
                <w:rFonts w:cs="Arial"/>
              </w:rPr>
              <w:t>Net calorific value of the fuel type </w:t>
            </w:r>
            <w:r w:rsidRPr="00B42EF6">
              <w:rPr>
                <w:rFonts w:cs="Arial"/>
                <w:i/>
                <w:iCs/>
              </w:rPr>
              <w:t>i</w:t>
            </w:r>
            <w:r w:rsidRPr="00B42EF6">
              <w:rPr>
                <w:rFonts w:cs="Arial"/>
              </w:rPr>
              <w:t xml:space="preserve"> in year </w:t>
            </w:r>
            <w:r w:rsidRPr="00B42EF6">
              <w:rPr>
                <w:rFonts w:cs="Arial"/>
                <w:i/>
                <w:iCs/>
              </w:rPr>
              <w:t>y</w:t>
            </w:r>
          </w:p>
        </w:tc>
      </w:tr>
      <w:tr w:rsidR="007E285E" w:rsidRPr="00CB7EFA" w14:paraId="607AC1A0"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762A76D8" w14:textId="77777777" w:rsidR="007E285E" w:rsidRPr="00CB7EFA" w:rsidRDefault="007E285E" w:rsidP="00FE0127">
            <w:pPr>
              <w:pStyle w:val="SDMTableBoxParaNotNumbered"/>
              <w:spacing w:before="40" w:after="40"/>
            </w:pPr>
            <w:r w:rsidRPr="00CB7EFA">
              <w:t>Data unit:</w:t>
            </w:r>
          </w:p>
        </w:tc>
        <w:tc>
          <w:tcPr>
            <w:tcW w:w="6386" w:type="dxa"/>
            <w:gridSpan w:val="4"/>
          </w:tcPr>
          <w:p w14:paraId="561E38ED" w14:textId="46751C58" w:rsidR="007E285E" w:rsidRPr="00CB7EFA" w:rsidRDefault="007E285E" w:rsidP="00FE012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FB58D7">
              <w:rPr>
                <w:rFonts w:cs="Arial"/>
              </w:rPr>
              <w:t>GJ</w:t>
            </w:r>
            <w:r w:rsidR="00AC3667">
              <w:rPr>
                <w:rFonts w:cs="Arial"/>
              </w:rPr>
              <w:t> </w:t>
            </w:r>
            <w:r w:rsidRPr="00FB58D7">
              <w:rPr>
                <w:rFonts w:cs="Arial"/>
              </w:rPr>
              <w:t>/</w:t>
            </w:r>
            <w:r w:rsidR="00AC3667">
              <w:rPr>
                <w:rFonts w:cs="Arial"/>
              </w:rPr>
              <w:t> </w:t>
            </w:r>
            <w:r w:rsidRPr="00FB58D7">
              <w:rPr>
                <w:rFonts w:cs="Arial"/>
              </w:rPr>
              <w:t>mass or volume unit</w:t>
            </w:r>
          </w:p>
        </w:tc>
      </w:tr>
      <w:tr w:rsidR="00873920" w:rsidRPr="00CB7EFA" w14:paraId="4E0728EB"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062F5AF" w14:textId="40DDE68A" w:rsidR="00873920" w:rsidRPr="00CB7EFA" w:rsidRDefault="00873920" w:rsidP="00FE0127">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4F781D41" w14:textId="731087EF" w:rsidR="00873920" w:rsidRPr="00CB7EFA" w:rsidRDefault="00873920" w:rsidP="00FE012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t>Equation (</w:t>
            </w:r>
            <w:r>
              <w:t>1</w:t>
            </w:r>
            <w:r w:rsidR="0037137A">
              <w:t>3</w:t>
            </w:r>
            <w:r w:rsidRPr="00CB7EFA">
              <w:t>)</w:t>
            </w:r>
          </w:p>
        </w:tc>
      </w:tr>
      <w:tr w:rsidR="00873920" w:rsidRPr="00CB7EFA" w14:paraId="4DC5B8D3"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3B9A534" w14:textId="13FF9CA3" w:rsidR="00873920" w:rsidRPr="00CB7EFA" w:rsidRDefault="00873920" w:rsidP="00FE0127">
            <w:pPr>
              <w:pStyle w:val="SDMTableBoxParaNotNumbered"/>
              <w:spacing w:before="40" w:after="40"/>
            </w:pPr>
            <w:r w:rsidRPr="00CB7EFA">
              <w:t>Purpose of data</w:t>
            </w:r>
            <w:r w:rsidR="00675D7A" w:rsidRPr="00675D7A">
              <w:t>:</w:t>
            </w:r>
          </w:p>
        </w:tc>
        <w:tc>
          <w:tcPr>
            <w:tcW w:w="2128" w:type="dxa"/>
            <w:tcBorders>
              <w:right w:val="nil"/>
            </w:tcBorders>
          </w:tcPr>
          <w:p w14:paraId="0403699A" w14:textId="77777777" w:rsidR="00873920" w:rsidRPr="00CB7EFA" w:rsidRDefault="00873920" w:rsidP="00FE012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11F6E4C8" w14:textId="2913F20C" w:rsidR="00873920" w:rsidRPr="00CB7EFA" w:rsidRDefault="00873920" w:rsidP="00FE012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47B38A19" w14:textId="77777777" w:rsidR="00873920" w:rsidRPr="00CB7EFA" w:rsidRDefault="00873920" w:rsidP="00FE012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873920" w:rsidRPr="00CB7EFA" w14:paraId="225904F8"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35504507" w14:textId="78B7CBDC" w:rsidR="00873920" w:rsidRPr="00CB7EFA" w:rsidRDefault="00873920" w:rsidP="00FE0127">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7CD0D0C6" w14:textId="77777777" w:rsidR="00E04157" w:rsidRPr="000D12E4" w:rsidRDefault="00E04157"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0D12E4">
              <w:rPr>
                <w:u w:val="single"/>
              </w:rPr>
              <w:t>Option</w:t>
            </w:r>
            <w:r>
              <w:rPr>
                <w:u w:val="single"/>
              </w:rPr>
              <w:t> </w:t>
            </w:r>
            <w:r w:rsidRPr="000D12E4">
              <w:rPr>
                <w:u w:val="single"/>
              </w:rPr>
              <w:t>1:</w:t>
            </w:r>
            <w:r w:rsidRPr="000D12E4">
              <w:t xml:space="preserve"> Values provided by the fuel supplier (preferred source). The NCV of the fuel shall be obtained for each fuel delivery, from which weighted average annual values shall be calculated;</w:t>
            </w:r>
          </w:p>
          <w:p w14:paraId="71E63D07" w14:textId="77777777" w:rsidR="00E04157" w:rsidRPr="001F7170" w:rsidRDefault="00E04157"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0D12E4">
              <w:rPr>
                <w:u w:val="single"/>
              </w:rPr>
              <w:lastRenderedPageBreak/>
              <w:t>Option 2:</w:t>
            </w:r>
            <w:r w:rsidRPr="000D12E4">
              <w:t xml:space="preserve"> Measurements by activity participants undertaken in line with national or international fuel standards (if supplier-provided values are not available). The NCV of the fuel shall be obtained for each fuel delivery, from which weighted average annual values shall be calculated;</w:t>
            </w:r>
          </w:p>
          <w:p w14:paraId="28C0348C" w14:textId="77777777" w:rsidR="00E04157" w:rsidRPr="001F7170" w:rsidRDefault="00E04157"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1F7170">
              <w:rPr>
                <w:u w:val="single"/>
              </w:rPr>
              <w:t>Option 3:</w:t>
            </w:r>
            <w:r w:rsidRPr="001F7170">
              <w:t xml:space="preserve"> Regional or national default values (if supplier-provided values are not available and only for liquid fuels). Values shall be reviewed annually;</w:t>
            </w:r>
          </w:p>
          <w:p w14:paraId="1FE8001C" w14:textId="70ACB433" w:rsidR="00873920" w:rsidRPr="00CB7EFA" w:rsidRDefault="00E04157"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1F7170">
              <w:rPr>
                <w:u w:val="single"/>
              </w:rPr>
              <w:t>Option 4:</w:t>
            </w:r>
            <w:r w:rsidRPr="001F7170">
              <w:t xml:space="preserve"> Upper bound of the 95 per cent confidence interval from IPCC default values provided in table 1.2 of </w:t>
            </w:r>
            <w:r w:rsidRPr="00231526">
              <w:t>chapter</w:t>
            </w:r>
            <w:r w:rsidRPr="001F7170">
              <w:t xml:space="preserve"> 1, volume 2 (Energy), of the 2019 Refinement to the 2006 IPCC Guidelines for National Greenhouse Gas Inventories, if supplier-provided values are not available. Values shall be updated based on future revisions of the IPCC Guidelines</w:t>
            </w:r>
          </w:p>
        </w:tc>
      </w:tr>
      <w:tr w:rsidR="00873920" w:rsidRPr="00CB7EFA" w14:paraId="67C05C99"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4C206CEB" w14:textId="2DF6DD89" w:rsidR="00873920" w:rsidRPr="00CB7EFA" w:rsidRDefault="00873920" w:rsidP="00FE0127">
            <w:pPr>
              <w:pStyle w:val="SDMTableBoxParaNotNumbered"/>
              <w:spacing w:before="40" w:after="40"/>
              <w:rPr>
                <w:rFonts w:cs="Arial"/>
              </w:rPr>
            </w:pPr>
            <w:r w:rsidRPr="00CB7EFA">
              <w:lastRenderedPageBreak/>
              <w:t>Measurement and updating frequency</w:t>
            </w:r>
            <w:r w:rsidR="00675D7A" w:rsidRPr="00675D7A">
              <w:t>:</w:t>
            </w:r>
          </w:p>
        </w:tc>
        <w:tc>
          <w:tcPr>
            <w:tcW w:w="6386" w:type="dxa"/>
            <w:gridSpan w:val="4"/>
          </w:tcPr>
          <w:p w14:paraId="3F073272" w14:textId="77777777" w:rsidR="0023699C" w:rsidRPr="00E06FB0" w:rsidRDefault="0023699C"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1:</w:t>
            </w:r>
            <w:r w:rsidRPr="00E06FB0">
              <w:t xml:space="preserve"> At each fuel delivery;</w:t>
            </w:r>
          </w:p>
          <w:p w14:paraId="12270FF7" w14:textId="77777777" w:rsidR="0023699C" w:rsidRPr="00E06FB0" w:rsidRDefault="0023699C"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2:</w:t>
            </w:r>
            <w:r w:rsidRPr="00E06FB0">
              <w:t xml:space="preserve"> At each fuel delivery;</w:t>
            </w:r>
          </w:p>
          <w:p w14:paraId="7F9C3451" w14:textId="77777777" w:rsidR="0023699C" w:rsidRPr="00E06FB0" w:rsidRDefault="0023699C"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3:</w:t>
            </w:r>
            <w:r w:rsidRPr="00E06FB0">
              <w:t xml:space="preserve"> Annually;</w:t>
            </w:r>
          </w:p>
          <w:p w14:paraId="12FF5083" w14:textId="26901378" w:rsidR="00873920" w:rsidRPr="00CB7EFA" w:rsidRDefault="0023699C"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4:</w:t>
            </w:r>
            <w:r w:rsidRPr="00E06FB0">
              <w:t xml:space="preserve"> Updated based on future revisions of the IPCC Guidelines</w:t>
            </w:r>
          </w:p>
        </w:tc>
      </w:tr>
      <w:tr w:rsidR="00873920" w:rsidRPr="00CB7EFA" w14:paraId="50381605"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59AD3D76" w14:textId="0162DE2F" w:rsidR="00873920" w:rsidRPr="00CB7EFA" w:rsidRDefault="00873920" w:rsidP="00FE0127">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661BB693" w14:textId="2E7FC65B" w:rsidR="00873920" w:rsidRPr="00CB7EFA" w:rsidRDefault="008B7811" w:rsidP="00FE012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E72D00">
              <w:t>Activity participants or fuel supplier</w:t>
            </w:r>
          </w:p>
        </w:tc>
      </w:tr>
      <w:tr w:rsidR="00C07651" w:rsidRPr="00CB7EFA" w14:paraId="5B7D627D"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vMerge w:val="restart"/>
          </w:tcPr>
          <w:p w14:paraId="12B197E2" w14:textId="7D397DEA" w:rsidR="00C07651" w:rsidRPr="00CB7EFA" w:rsidRDefault="00C07651" w:rsidP="00C07651">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421C7951" w14:textId="77777777" w:rsidR="00C07651" w:rsidRPr="00CB7EFA" w:rsidRDefault="00C07651" w:rsidP="00C07651">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5966E573" w14:textId="0F692C55" w:rsidR="00C07651" w:rsidRPr="00CB7EFA" w:rsidRDefault="00C07651"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E72D00">
              <w:t>As per the national or international standard if the parameter is measured by activity participants</w:t>
            </w:r>
          </w:p>
        </w:tc>
      </w:tr>
      <w:tr w:rsidR="00C07651" w:rsidRPr="00CB7EFA" w14:paraId="4D805CD4"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74383CF5" w14:textId="77777777" w:rsidR="00C07651" w:rsidRPr="00CB7EFA" w:rsidRDefault="00C07651" w:rsidP="00C07651">
            <w:pPr>
              <w:pStyle w:val="SDMTableBoxParaNotNumbered"/>
              <w:spacing w:before="40" w:after="40"/>
              <w:rPr>
                <w:rFonts w:cs="Arial"/>
              </w:rPr>
            </w:pPr>
          </w:p>
        </w:tc>
        <w:tc>
          <w:tcPr>
            <w:tcW w:w="2441" w:type="dxa"/>
            <w:gridSpan w:val="2"/>
          </w:tcPr>
          <w:p w14:paraId="2C878442" w14:textId="77777777" w:rsidR="00C07651" w:rsidRPr="00CB7EFA" w:rsidRDefault="00C07651" w:rsidP="00C07651">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65E99830" w14:textId="50D66B01" w:rsidR="00C07651" w:rsidRPr="00CB7EFA" w:rsidRDefault="00C07651"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C07651" w:rsidRPr="00CB7EFA" w14:paraId="09BBAD7E"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5076005D" w14:textId="77777777" w:rsidR="00C07651" w:rsidRPr="00CB7EFA" w:rsidRDefault="00C07651" w:rsidP="00C07651">
            <w:pPr>
              <w:pStyle w:val="SDMTableBoxParaNotNumbered"/>
              <w:spacing w:before="40" w:after="40"/>
              <w:rPr>
                <w:rFonts w:cs="Arial"/>
              </w:rPr>
            </w:pPr>
          </w:p>
        </w:tc>
        <w:tc>
          <w:tcPr>
            <w:tcW w:w="2441" w:type="dxa"/>
            <w:gridSpan w:val="2"/>
          </w:tcPr>
          <w:p w14:paraId="59F8D756" w14:textId="77777777" w:rsidR="00C07651" w:rsidRPr="00CB7EFA" w:rsidRDefault="00C07651" w:rsidP="00C07651">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3A69D922" w14:textId="4CD3F30F" w:rsidR="00C07651" w:rsidRPr="00CB7EFA" w:rsidRDefault="00C07651"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C07651" w:rsidRPr="00CB7EFA" w14:paraId="54EBD4F4"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7FFB80D4" w14:textId="77777777" w:rsidR="00C07651" w:rsidRPr="00CB7EFA" w:rsidRDefault="00C07651" w:rsidP="00C07651">
            <w:pPr>
              <w:pStyle w:val="SDMTableBoxParaNotNumbered"/>
              <w:spacing w:before="40" w:after="40"/>
              <w:rPr>
                <w:rFonts w:cs="Arial"/>
              </w:rPr>
            </w:pPr>
          </w:p>
        </w:tc>
        <w:tc>
          <w:tcPr>
            <w:tcW w:w="2441" w:type="dxa"/>
            <w:gridSpan w:val="2"/>
          </w:tcPr>
          <w:p w14:paraId="6E8A3ED9" w14:textId="77777777" w:rsidR="00C07651" w:rsidRPr="00CB7EFA" w:rsidRDefault="00C07651" w:rsidP="00C07651">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4899F228" w14:textId="7A205D4A" w:rsidR="00C07651" w:rsidRPr="00CB7EFA" w:rsidRDefault="00C07651"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873920" w:rsidRPr="00CB7EFA" w14:paraId="08DCF1D2"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7655681C" w14:textId="4B610123" w:rsidR="00873920" w:rsidRPr="00CB7EFA" w:rsidRDefault="00873920" w:rsidP="00FE0127">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4587E159" w14:textId="77777777" w:rsidR="00873920" w:rsidRPr="00CB7EFA" w:rsidRDefault="00873920"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E72D00">
              <w:t>The recorded data shall be stored monthly in a central database with backup</w:t>
            </w:r>
          </w:p>
        </w:tc>
      </w:tr>
      <w:tr w:rsidR="00873920" w:rsidRPr="00CB7EFA" w14:paraId="7387AA07"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1F35BAA4" w14:textId="78AD2064" w:rsidR="00873920" w:rsidRPr="00CB7EFA" w:rsidRDefault="00873920" w:rsidP="00B7767A">
            <w:pPr>
              <w:pStyle w:val="SDMTableBoxParaNotNumbered"/>
              <w:keepNext/>
              <w:spacing w:before="40" w:after="40"/>
            </w:pPr>
            <w:r w:rsidRPr="00CB7EFA">
              <w:t>Treatment of uncertainty</w:t>
            </w:r>
            <w:r w:rsidR="00675D7A" w:rsidRPr="00675D7A">
              <w:t>:</w:t>
            </w:r>
          </w:p>
        </w:tc>
        <w:tc>
          <w:tcPr>
            <w:tcW w:w="6386" w:type="dxa"/>
            <w:gridSpan w:val="4"/>
          </w:tcPr>
          <w:p w14:paraId="6B45E5A4" w14:textId="7FCA3166" w:rsidR="00873920" w:rsidRPr="00CB7EFA" w:rsidRDefault="009E126B"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rsidRPr="00E72D00">
              <w:t>Verify whether the values under options 1, 2 and 3 fall within the uncertainty range of the IPCC default values as provided in table 1.2, volume 2 of the 2019 Refinement to the 2006 IPCC Guidelines for National Greenhouse Gas Inventories. If the values fall below this range, additional information shall be obtained from the testing laboratory to justify the outcome, or additional measurements shall be conducted. Laboratories in options 1, 2 and 3 – shall have ISO/IEC 17025 accreditation or demonstrate compliance with similar quality standards</w:t>
            </w:r>
          </w:p>
        </w:tc>
      </w:tr>
      <w:tr w:rsidR="00873920" w:rsidRPr="00CB7EFA" w14:paraId="60F23A95"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3692CCA6" w14:textId="50B7AD65" w:rsidR="00873920" w:rsidRPr="00CB7EFA" w:rsidRDefault="00873920" w:rsidP="00FE0127">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25C7115F" w14:textId="168B48B0" w:rsidR="00873920" w:rsidRPr="00CB7EFA" w:rsidRDefault="009E126B" w:rsidP="009E126B">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w:t>
            </w:r>
          </w:p>
        </w:tc>
      </w:tr>
    </w:tbl>
    <w:p w14:paraId="41265527" w14:textId="52EEE27D" w:rsidR="009E126B" w:rsidRPr="00CB7EFA" w:rsidRDefault="009E126B" w:rsidP="009E126B">
      <w:pPr>
        <w:pStyle w:val="Caption"/>
      </w:pPr>
      <w:r w:rsidRPr="00CB7EFA">
        <w:lastRenderedPageBreak/>
        <w:t>Data / Parameter table </w:t>
      </w:r>
      <w:fldSimple w:instr=" SEQ Data_/_Parameter_table \* ARABIC ">
        <w:r w:rsidR="00D0578E">
          <w:rPr>
            <w:noProof/>
          </w:rPr>
          <w:t>8</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9E126B" w:rsidRPr="00CB7EFA" w14:paraId="4480E461" w14:textId="77777777" w:rsidTr="00731FDB">
        <w:trPr>
          <w:cnfStyle w:val="100000000000" w:firstRow="1" w:lastRow="0" w:firstColumn="0" w:lastColumn="0" w:oddVBand="0" w:evenVBand="0" w:oddHBand="0" w:evenHBand="0" w:firstRowFirstColumn="0" w:firstRowLastColumn="0" w:lastRowFirstColumn="0" w:lastRowLastColumn="0"/>
          <w:cantSplit w:val="0"/>
          <w:trHeight w:val="18"/>
        </w:trPr>
        <w:tc>
          <w:tcPr>
            <w:cnfStyle w:val="001000000000" w:firstRow="0" w:lastRow="0" w:firstColumn="1" w:lastColumn="0" w:oddVBand="0" w:evenVBand="0" w:oddHBand="0" w:evenHBand="0" w:firstRowFirstColumn="0" w:firstRowLastColumn="0" w:lastRowFirstColumn="0" w:lastRowLastColumn="0"/>
            <w:tcW w:w="2232" w:type="dxa"/>
          </w:tcPr>
          <w:p w14:paraId="769D9687" w14:textId="77777777" w:rsidR="009E126B" w:rsidRPr="00CB7EFA" w:rsidRDefault="009E126B" w:rsidP="00690A70">
            <w:pPr>
              <w:pStyle w:val="SDMTableBoxParaNotNumbered"/>
              <w:spacing w:before="40" w:after="40"/>
            </w:pPr>
            <w:r w:rsidRPr="00CB7EFA">
              <w:t>Data / Parameter:</w:t>
            </w:r>
          </w:p>
        </w:tc>
        <w:tc>
          <w:tcPr>
            <w:tcW w:w="6386" w:type="dxa"/>
            <w:gridSpan w:val="4"/>
          </w:tcPr>
          <w:p w14:paraId="16A49F53" w14:textId="06940BBA" w:rsidR="009E126B" w:rsidRPr="001A7D05" w:rsidRDefault="0039641B" w:rsidP="00690A70">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i/>
                      </w:rPr>
                    </m:ctrlPr>
                  </m:sSubPr>
                  <m:e>
                    <m:r>
                      <m:rPr>
                        <m:sty m:val="bi"/>
                      </m:rPr>
                      <w:rPr>
                        <w:rFonts w:ascii="Cambria Math" w:hAnsi="Cambria Math"/>
                      </w:rPr>
                      <m:t>ρ</m:t>
                    </m:r>
                  </m:e>
                  <m:sub>
                    <m:r>
                      <m:rPr>
                        <m:sty m:val="bi"/>
                      </m:rPr>
                      <w:rPr>
                        <w:rFonts w:ascii="Cambria Math" w:hAnsi="Cambria Math"/>
                      </w:rPr>
                      <m:t>i,y</m:t>
                    </m:r>
                  </m:sub>
                </m:sSub>
              </m:oMath>
            </m:oMathPara>
          </w:p>
        </w:tc>
      </w:tr>
      <w:tr w:rsidR="00162AE2" w:rsidRPr="00CB7EFA" w14:paraId="20A11EAA" w14:textId="77777777" w:rsidTr="00731FDB">
        <w:trPr>
          <w:cantSplit w:val="0"/>
          <w:trHeight w:val="22"/>
        </w:trPr>
        <w:tc>
          <w:tcPr>
            <w:cnfStyle w:val="001000000000" w:firstRow="0" w:lastRow="0" w:firstColumn="1" w:lastColumn="0" w:oddVBand="0" w:evenVBand="0" w:oddHBand="0" w:evenHBand="0" w:firstRowFirstColumn="0" w:firstRowLastColumn="0" w:lastRowFirstColumn="0" w:lastRowLastColumn="0"/>
            <w:tcW w:w="2232" w:type="dxa"/>
          </w:tcPr>
          <w:p w14:paraId="1FC6440B" w14:textId="77777777" w:rsidR="00162AE2" w:rsidRPr="00CB7EFA" w:rsidRDefault="00162AE2" w:rsidP="00162AE2">
            <w:pPr>
              <w:pStyle w:val="SDMTableBoxParaNotNumbered"/>
              <w:spacing w:before="40" w:after="40"/>
            </w:pPr>
            <w:r w:rsidRPr="00CB7EFA">
              <w:t>Description:</w:t>
            </w:r>
          </w:p>
        </w:tc>
        <w:tc>
          <w:tcPr>
            <w:tcW w:w="6386" w:type="dxa"/>
            <w:gridSpan w:val="4"/>
          </w:tcPr>
          <w:p w14:paraId="142D1591" w14:textId="191F42B5" w:rsidR="00162AE2" w:rsidRPr="00CB7EFA" w:rsidRDefault="00162AE2" w:rsidP="00162AE2">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B42EF6">
              <w:rPr>
                <w:rFonts w:cs="Arial"/>
              </w:rPr>
              <w:t xml:space="preserve">Density of the fuel type </w:t>
            </w:r>
            <w:r w:rsidRPr="00B42EF6">
              <w:rPr>
                <w:rFonts w:cs="Arial"/>
                <w:i/>
                <w:iCs/>
              </w:rPr>
              <w:t>i</w:t>
            </w:r>
            <w:r w:rsidRPr="00B42EF6">
              <w:rPr>
                <w:rFonts w:cs="Arial"/>
              </w:rPr>
              <w:t xml:space="preserve"> in year </w:t>
            </w:r>
            <w:r w:rsidRPr="00B42EF6">
              <w:rPr>
                <w:rFonts w:cs="Arial"/>
                <w:i/>
                <w:iCs/>
              </w:rPr>
              <w:t>y</w:t>
            </w:r>
          </w:p>
        </w:tc>
      </w:tr>
      <w:tr w:rsidR="00162AE2" w:rsidRPr="00CB7EFA" w14:paraId="4902D956"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0222211" w14:textId="77777777" w:rsidR="00162AE2" w:rsidRPr="00CB7EFA" w:rsidRDefault="00162AE2" w:rsidP="00162AE2">
            <w:pPr>
              <w:pStyle w:val="SDMTableBoxParaNotNumbered"/>
              <w:spacing w:before="40" w:after="40"/>
            </w:pPr>
            <w:r w:rsidRPr="00CB7EFA">
              <w:t>Data unit:</w:t>
            </w:r>
          </w:p>
        </w:tc>
        <w:tc>
          <w:tcPr>
            <w:tcW w:w="6386" w:type="dxa"/>
            <w:gridSpan w:val="4"/>
          </w:tcPr>
          <w:p w14:paraId="1881DCDD" w14:textId="43FC5B69" w:rsidR="00162AE2" w:rsidRPr="00CB7EFA" w:rsidRDefault="00162AE2" w:rsidP="00162AE2">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FF3240">
              <w:rPr>
                <w:rFonts w:cs="Arial"/>
              </w:rPr>
              <w:t>Mass unit</w:t>
            </w:r>
            <w:r w:rsidR="00AC3667">
              <w:rPr>
                <w:rFonts w:cs="Arial"/>
              </w:rPr>
              <w:t> </w:t>
            </w:r>
            <w:r w:rsidRPr="00FF3240">
              <w:rPr>
                <w:rFonts w:cs="Arial"/>
              </w:rPr>
              <w:t>/</w:t>
            </w:r>
            <w:r w:rsidR="00AC3667">
              <w:rPr>
                <w:rFonts w:cs="Arial"/>
              </w:rPr>
              <w:t> </w:t>
            </w:r>
            <w:r w:rsidRPr="00FF3240">
              <w:rPr>
                <w:rFonts w:cs="Arial"/>
              </w:rPr>
              <w:t>volume unit of the fuel</w:t>
            </w:r>
          </w:p>
        </w:tc>
      </w:tr>
      <w:tr w:rsidR="009E126B" w:rsidRPr="00CB7EFA" w14:paraId="30E79307"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D5883EC" w14:textId="667110B2" w:rsidR="009E126B" w:rsidRPr="00CB7EFA" w:rsidRDefault="009E126B" w:rsidP="00690A70">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17C9B9BF" w14:textId="7F130EAF"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t>Equation (</w:t>
            </w:r>
            <w:r>
              <w:t>1</w:t>
            </w:r>
            <w:r w:rsidR="0037137A">
              <w:t>2</w:t>
            </w:r>
            <w:r w:rsidRPr="00CB7EFA">
              <w:t>)</w:t>
            </w:r>
          </w:p>
        </w:tc>
      </w:tr>
      <w:tr w:rsidR="009E126B" w:rsidRPr="00CB7EFA" w14:paraId="4435F9A9"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3F0047B0" w14:textId="3D006BFF" w:rsidR="009E126B" w:rsidRPr="00CB7EFA" w:rsidRDefault="009E126B" w:rsidP="00690A70">
            <w:pPr>
              <w:pStyle w:val="SDMTableBoxParaNotNumbered"/>
              <w:spacing w:before="40" w:after="40"/>
            </w:pPr>
            <w:r w:rsidRPr="00CB7EFA">
              <w:t>Purpose of data</w:t>
            </w:r>
            <w:r w:rsidR="00675D7A" w:rsidRPr="00675D7A">
              <w:t>:</w:t>
            </w:r>
          </w:p>
        </w:tc>
        <w:tc>
          <w:tcPr>
            <w:tcW w:w="2128" w:type="dxa"/>
            <w:tcBorders>
              <w:right w:val="nil"/>
            </w:tcBorders>
          </w:tcPr>
          <w:p w14:paraId="08CB041B" w14:textId="77777777"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6F693920" w14:textId="21A065C2"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32C17F1B" w14:textId="77777777"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9E126B" w:rsidRPr="00CB7EFA" w14:paraId="5A28A190"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5B7B3D7" w14:textId="793CD484" w:rsidR="009E126B" w:rsidRPr="00CB7EFA" w:rsidRDefault="009E126B" w:rsidP="00690A70">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537B2B14" w14:textId="77777777" w:rsidR="009E126B" w:rsidRPr="000D12E4" w:rsidRDefault="009E126B"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0D12E4">
              <w:rPr>
                <w:u w:val="single"/>
              </w:rPr>
              <w:t>Option</w:t>
            </w:r>
            <w:r>
              <w:rPr>
                <w:u w:val="single"/>
              </w:rPr>
              <w:t> </w:t>
            </w:r>
            <w:r w:rsidRPr="000D12E4">
              <w:rPr>
                <w:u w:val="single"/>
              </w:rPr>
              <w:t>1:</w:t>
            </w:r>
            <w:r w:rsidRPr="000D12E4">
              <w:t xml:space="preserve"> Values provided by the fuel supplier (preferred source). The NCV of the fuel shall be obtained for each fuel delivery, from which weighted average annual values shall be calculated;</w:t>
            </w:r>
          </w:p>
          <w:p w14:paraId="37306E4A" w14:textId="77777777" w:rsidR="009E126B" w:rsidRPr="001F7170" w:rsidRDefault="009E126B"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0D12E4">
              <w:rPr>
                <w:u w:val="single"/>
              </w:rPr>
              <w:t>Option 2:</w:t>
            </w:r>
            <w:r w:rsidRPr="000D12E4">
              <w:t xml:space="preserve"> Measurements by activity participants undertaken in line with national or international fuel standards (if supplier-provided values are not available). The NCV of the fuel shall be obtained for each fuel delivery, from which weighted average annual values shall be calculated;</w:t>
            </w:r>
          </w:p>
          <w:p w14:paraId="5803E66C" w14:textId="77777777" w:rsidR="009E126B" w:rsidRPr="001F7170" w:rsidRDefault="009E126B"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1F7170">
              <w:rPr>
                <w:u w:val="single"/>
              </w:rPr>
              <w:t>Option 3:</w:t>
            </w:r>
            <w:r w:rsidRPr="001F7170">
              <w:t xml:space="preserve"> Regional or national default values (if supplier-provided values are not available and only for liquid fuels). Values shall be reviewed annually;</w:t>
            </w:r>
          </w:p>
          <w:p w14:paraId="28AB9966" w14:textId="77777777" w:rsidR="009E126B" w:rsidRPr="00CB7EFA" w:rsidRDefault="009E126B"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1F7170">
              <w:rPr>
                <w:u w:val="single"/>
              </w:rPr>
              <w:t>Option 4:</w:t>
            </w:r>
            <w:r w:rsidRPr="001F7170">
              <w:t xml:space="preserve"> Upper bound of the 95 per cent confidence interval from IPCC default values provided in table 1.2 of </w:t>
            </w:r>
            <w:r w:rsidRPr="00231526">
              <w:t>chapter</w:t>
            </w:r>
            <w:r w:rsidRPr="001F7170">
              <w:t xml:space="preserve"> 1, volume 2 (Energy), of the 2019 Refinement to the 2006 IPCC Guidelines for National Greenhouse Gas Inventories, if supplier-provided values are not available. Values shall be updated based on future revisions of the IPCC Guidelines</w:t>
            </w:r>
          </w:p>
        </w:tc>
      </w:tr>
      <w:tr w:rsidR="009E126B" w:rsidRPr="00CB7EFA" w14:paraId="2B95335D"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3CB0467" w14:textId="4BFF5C3A" w:rsidR="009E126B" w:rsidRPr="00CB7EFA" w:rsidRDefault="009E126B" w:rsidP="00690A70">
            <w:pPr>
              <w:pStyle w:val="SDMTableBoxParaNotNumbered"/>
              <w:spacing w:before="40" w:after="40"/>
              <w:rPr>
                <w:rFonts w:cs="Arial"/>
              </w:rPr>
            </w:pPr>
            <w:r w:rsidRPr="00CB7EFA">
              <w:t>Measurement and updating frequency</w:t>
            </w:r>
            <w:r w:rsidR="00675D7A" w:rsidRPr="00675D7A">
              <w:t>:</w:t>
            </w:r>
          </w:p>
        </w:tc>
        <w:tc>
          <w:tcPr>
            <w:tcW w:w="6386" w:type="dxa"/>
            <w:gridSpan w:val="4"/>
          </w:tcPr>
          <w:p w14:paraId="7E74BD41" w14:textId="77777777" w:rsidR="009E126B" w:rsidRPr="00E06FB0" w:rsidRDefault="009E126B"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1:</w:t>
            </w:r>
            <w:r w:rsidRPr="00E06FB0">
              <w:t xml:space="preserve"> At each fuel delivery;</w:t>
            </w:r>
          </w:p>
          <w:p w14:paraId="5F8D5EA6" w14:textId="77777777" w:rsidR="009E126B" w:rsidRPr="00E06FB0" w:rsidRDefault="009E126B"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2:</w:t>
            </w:r>
            <w:r w:rsidRPr="00E06FB0">
              <w:t xml:space="preserve"> At each fuel delivery;</w:t>
            </w:r>
          </w:p>
          <w:p w14:paraId="4D74DFD8" w14:textId="77777777" w:rsidR="009E126B" w:rsidRPr="00E06FB0" w:rsidRDefault="009E126B"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3:</w:t>
            </w:r>
            <w:r w:rsidRPr="00E06FB0">
              <w:t xml:space="preserve"> Annually;</w:t>
            </w:r>
          </w:p>
          <w:p w14:paraId="17BC3DA2" w14:textId="77777777" w:rsidR="009E126B" w:rsidRPr="00CB7EFA" w:rsidRDefault="009E126B"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4:</w:t>
            </w:r>
            <w:r w:rsidRPr="00E06FB0">
              <w:t xml:space="preserve"> Updated based on future revisions of the IPCC Guidelines</w:t>
            </w:r>
          </w:p>
        </w:tc>
      </w:tr>
      <w:tr w:rsidR="009E126B" w:rsidRPr="00CB7EFA" w14:paraId="03B797A3"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15E04384" w14:textId="28118366" w:rsidR="009E126B" w:rsidRPr="00CB7EFA" w:rsidRDefault="009E126B" w:rsidP="00690A70">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578AD26E" w14:textId="77777777"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E72D00">
              <w:t>Activity participants or fuel supplier</w:t>
            </w:r>
          </w:p>
        </w:tc>
      </w:tr>
      <w:tr w:rsidR="009E126B" w:rsidRPr="00CB7EFA" w14:paraId="502D8CD7"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val="restart"/>
          </w:tcPr>
          <w:p w14:paraId="3540FB3E" w14:textId="43AD5759" w:rsidR="009E126B" w:rsidRPr="00CB7EFA" w:rsidRDefault="009E126B" w:rsidP="00690A70">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18F347C0" w14:textId="77777777"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48145C81" w14:textId="77777777" w:rsidR="009E126B" w:rsidRPr="00CB7EFA" w:rsidRDefault="009E126B"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E72D00">
              <w:t>As per the national or international standard if the parameter is measured by activity participants</w:t>
            </w:r>
          </w:p>
        </w:tc>
      </w:tr>
      <w:tr w:rsidR="009E126B" w:rsidRPr="00CB7EFA" w14:paraId="35126463"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7E80F4FC" w14:textId="77777777" w:rsidR="009E126B" w:rsidRPr="00CB7EFA" w:rsidRDefault="009E126B" w:rsidP="00690A70">
            <w:pPr>
              <w:pStyle w:val="SDMTableBoxParaNotNumbered"/>
              <w:spacing w:before="40" w:after="40"/>
              <w:rPr>
                <w:rFonts w:cs="Arial"/>
              </w:rPr>
            </w:pPr>
          </w:p>
        </w:tc>
        <w:tc>
          <w:tcPr>
            <w:tcW w:w="2441" w:type="dxa"/>
            <w:gridSpan w:val="2"/>
          </w:tcPr>
          <w:p w14:paraId="3443626E" w14:textId="77777777"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1823EB9B" w14:textId="77777777" w:rsidR="009E126B" w:rsidRPr="00CB7EFA" w:rsidRDefault="009E126B"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9E126B" w:rsidRPr="00CB7EFA" w14:paraId="4EB2DF1A"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1DA203F5" w14:textId="77777777" w:rsidR="009E126B" w:rsidRPr="00CB7EFA" w:rsidRDefault="009E126B" w:rsidP="00690A70">
            <w:pPr>
              <w:pStyle w:val="SDMTableBoxParaNotNumbered"/>
              <w:spacing w:before="40" w:after="40"/>
              <w:rPr>
                <w:rFonts w:cs="Arial"/>
              </w:rPr>
            </w:pPr>
          </w:p>
        </w:tc>
        <w:tc>
          <w:tcPr>
            <w:tcW w:w="2441" w:type="dxa"/>
            <w:gridSpan w:val="2"/>
          </w:tcPr>
          <w:p w14:paraId="6B7E873F" w14:textId="77777777"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70177365" w14:textId="77777777" w:rsidR="009E126B" w:rsidRPr="00CB7EFA" w:rsidRDefault="009E126B"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9E126B" w:rsidRPr="00CB7EFA" w14:paraId="4C7390B9"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3F25DA90" w14:textId="77777777" w:rsidR="009E126B" w:rsidRPr="00CB7EFA" w:rsidRDefault="009E126B" w:rsidP="00690A70">
            <w:pPr>
              <w:pStyle w:val="SDMTableBoxParaNotNumbered"/>
              <w:spacing w:before="40" w:after="40"/>
              <w:rPr>
                <w:rFonts w:cs="Arial"/>
              </w:rPr>
            </w:pPr>
          </w:p>
        </w:tc>
        <w:tc>
          <w:tcPr>
            <w:tcW w:w="2441" w:type="dxa"/>
            <w:gridSpan w:val="2"/>
          </w:tcPr>
          <w:p w14:paraId="2A3E924B" w14:textId="77777777"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3D7F01C4" w14:textId="77777777" w:rsidR="009E126B" w:rsidRPr="00CB7EFA" w:rsidRDefault="009E126B"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9E126B" w:rsidRPr="00CB7EFA" w14:paraId="668E836B"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883DEDB" w14:textId="10917130" w:rsidR="009E126B" w:rsidRPr="00CB7EFA" w:rsidRDefault="009E126B" w:rsidP="00690A70">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46091C46" w14:textId="77777777" w:rsidR="009E126B" w:rsidRPr="00CB7EFA" w:rsidRDefault="009E126B"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E72D00">
              <w:t>The recorded data shall be stored monthly in a central database with backup</w:t>
            </w:r>
          </w:p>
        </w:tc>
      </w:tr>
      <w:tr w:rsidR="009E126B" w:rsidRPr="00CB7EFA" w14:paraId="21FB545B"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4547F7C" w14:textId="1ED02FBE" w:rsidR="009E126B" w:rsidRPr="00CB7EFA" w:rsidRDefault="009E126B" w:rsidP="00B7767A">
            <w:pPr>
              <w:pStyle w:val="SDMTableBoxParaNotNumbered"/>
              <w:keepNext/>
              <w:spacing w:before="40" w:after="40"/>
            </w:pPr>
            <w:r w:rsidRPr="00CB7EFA">
              <w:lastRenderedPageBreak/>
              <w:t>Treatment of uncertainty</w:t>
            </w:r>
            <w:r w:rsidR="00675D7A" w:rsidRPr="00675D7A">
              <w:t>:</w:t>
            </w:r>
          </w:p>
        </w:tc>
        <w:tc>
          <w:tcPr>
            <w:tcW w:w="6386" w:type="dxa"/>
            <w:gridSpan w:val="4"/>
          </w:tcPr>
          <w:p w14:paraId="38AB62D5" w14:textId="77777777" w:rsidR="009E126B" w:rsidRPr="00CB7EFA" w:rsidRDefault="009E126B"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rsidRPr="00E72D00">
              <w:t>Verify whether the values under options 1, 2 and 3 fall within the uncertainty range of the IPCC default values as provided in table 1.2, volume 2 of the 2019 Refinement to the 2006 IPCC Guidelines for National Greenhouse Gas Inventories. If the values fall below this range, additional information shall be obtained from the testing laboratory to justify the outcome, or additional measurements shall be conducted. Laboratories in options 1, 2 and 3 – shall have ISO/IEC 17025 accreditation or demonstrate compliance with similar quality standards</w:t>
            </w:r>
          </w:p>
        </w:tc>
      </w:tr>
      <w:tr w:rsidR="009E126B" w:rsidRPr="00CB7EFA" w14:paraId="1F686A4C"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41DFEBC5" w14:textId="57CDC542" w:rsidR="009E126B" w:rsidRPr="00CB7EFA" w:rsidRDefault="009E126B" w:rsidP="00690A70">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4664ADB2" w14:textId="77777777" w:rsidR="009E126B" w:rsidRPr="00CB7EFA" w:rsidRDefault="009E126B"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w:t>
            </w:r>
          </w:p>
        </w:tc>
      </w:tr>
    </w:tbl>
    <w:p w14:paraId="584BCF63" w14:textId="52075A23" w:rsidR="0037137A" w:rsidRPr="00CB7EFA" w:rsidRDefault="0037137A" w:rsidP="0037137A">
      <w:pPr>
        <w:pStyle w:val="Caption"/>
      </w:pPr>
      <w:r w:rsidRPr="00CB7EFA">
        <w:t>Data / Parameter table </w:t>
      </w:r>
      <w:fldSimple w:instr=" SEQ Data_/_Parameter_table \* ARABIC ">
        <w:r w:rsidR="00D0578E">
          <w:rPr>
            <w:noProof/>
          </w:rPr>
          <w:t>9</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37137A" w:rsidRPr="00CB7EFA" w14:paraId="00E60241" w14:textId="77777777" w:rsidTr="00731FDB">
        <w:trPr>
          <w:cnfStyle w:val="100000000000" w:firstRow="1" w:lastRow="0" w:firstColumn="0" w:lastColumn="0" w:oddVBand="0" w:evenVBand="0" w:oddHBand="0" w:evenHBand="0" w:firstRowFirstColumn="0" w:firstRowLastColumn="0" w:lastRowFirstColumn="0" w:lastRowLastColumn="0"/>
          <w:cantSplit w:val="0"/>
          <w:trHeight w:val="18"/>
        </w:trPr>
        <w:tc>
          <w:tcPr>
            <w:cnfStyle w:val="001000000000" w:firstRow="0" w:lastRow="0" w:firstColumn="1" w:lastColumn="0" w:oddVBand="0" w:evenVBand="0" w:oddHBand="0" w:evenHBand="0" w:firstRowFirstColumn="0" w:firstRowLastColumn="0" w:lastRowFirstColumn="0" w:lastRowLastColumn="0"/>
            <w:tcW w:w="2232" w:type="dxa"/>
          </w:tcPr>
          <w:p w14:paraId="6F5FFA67" w14:textId="77777777" w:rsidR="0037137A" w:rsidRPr="00CB7EFA" w:rsidRDefault="0037137A" w:rsidP="00731FDB">
            <w:pPr>
              <w:pStyle w:val="SDMTableBoxParaNotNumbered"/>
              <w:spacing w:before="40" w:after="40"/>
            </w:pPr>
            <w:r w:rsidRPr="00CB7EFA">
              <w:t>Data / Parameter:</w:t>
            </w:r>
          </w:p>
        </w:tc>
        <w:tc>
          <w:tcPr>
            <w:tcW w:w="6386" w:type="dxa"/>
            <w:gridSpan w:val="4"/>
          </w:tcPr>
          <w:p w14:paraId="501641C5" w14:textId="02CBD287" w:rsidR="0037137A" w:rsidRPr="001A7D05" w:rsidRDefault="0039641B" w:rsidP="00731FDB">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i/>
                      </w:rPr>
                    </m:ctrlPr>
                  </m:sSubPr>
                  <m:e>
                    <m:r>
                      <m:rPr>
                        <m:sty m:val="bi"/>
                      </m:rPr>
                      <w:rPr>
                        <w:rFonts w:ascii="Cambria Math" w:hAnsi="Cambria Math"/>
                      </w:rPr>
                      <m:t>EF</m:t>
                    </m:r>
                  </m:e>
                  <m:sub>
                    <m:r>
                      <m:rPr>
                        <m:sty m:val="bi"/>
                      </m:rPr>
                      <w:rPr>
                        <w:rFonts w:ascii="Cambria Math" w:hAnsi="Cambria Math"/>
                      </w:rPr>
                      <m:t>CO</m:t>
                    </m:r>
                    <m:r>
                      <m:rPr>
                        <m:sty m:val="bi"/>
                      </m:rPr>
                      <w:rPr>
                        <w:rFonts w:ascii="Cambria Math" w:hAnsi="Cambria Math"/>
                      </w:rPr>
                      <m:t>2,i,y</m:t>
                    </m:r>
                  </m:sub>
                </m:sSub>
              </m:oMath>
            </m:oMathPara>
          </w:p>
        </w:tc>
      </w:tr>
      <w:tr w:rsidR="00FA63C3" w:rsidRPr="00CB7EFA" w14:paraId="72D4E4F2" w14:textId="77777777" w:rsidTr="00731FDB">
        <w:trPr>
          <w:cantSplit w:val="0"/>
          <w:trHeight w:val="22"/>
        </w:trPr>
        <w:tc>
          <w:tcPr>
            <w:cnfStyle w:val="001000000000" w:firstRow="0" w:lastRow="0" w:firstColumn="1" w:lastColumn="0" w:oddVBand="0" w:evenVBand="0" w:oddHBand="0" w:evenHBand="0" w:firstRowFirstColumn="0" w:firstRowLastColumn="0" w:lastRowFirstColumn="0" w:lastRowLastColumn="0"/>
            <w:tcW w:w="2232" w:type="dxa"/>
          </w:tcPr>
          <w:p w14:paraId="12F1295E" w14:textId="77777777" w:rsidR="00FA63C3" w:rsidRPr="00CB7EFA" w:rsidRDefault="00FA63C3" w:rsidP="00CF10CA">
            <w:pPr>
              <w:pStyle w:val="SDMTableBoxParaNotNumbered"/>
              <w:spacing w:before="40" w:after="40"/>
            </w:pPr>
            <w:r w:rsidRPr="00CB7EFA">
              <w:t>Description:</w:t>
            </w:r>
          </w:p>
        </w:tc>
        <w:tc>
          <w:tcPr>
            <w:tcW w:w="6386" w:type="dxa"/>
            <w:gridSpan w:val="4"/>
          </w:tcPr>
          <w:p w14:paraId="48CCC601" w14:textId="224299E1" w:rsidR="00FA63C3" w:rsidRPr="00CB7EFA" w:rsidRDefault="00FA63C3" w:rsidP="00CF10CA">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B42EF6">
              <w:t>CO</w:t>
            </w:r>
            <w:r w:rsidRPr="00B42EF6">
              <w:rPr>
                <w:vertAlign w:val="subscript"/>
              </w:rPr>
              <w:t>2</w:t>
            </w:r>
            <w:r w:rsidRPr="00B42EF6">
              <w:t xml:space="preserve"> emission factor of fuel type </w:t>
            </w:r>
            <w:r w:rsidRPr="00B42EF6">
              <w:rPr>
                <w:i/>
                <w:iCs/>
              </w:rPr>
              <w:t>i</w:t>
            </w:r>
            <w:r w:rsidRPr="00B42EF6">
              <w:t xml:space="preserve"> in year </w:t>
            </w:r>
            <w:r w:rsidRPr="00B42EF6">
              <w:rPr>
                <w:i/>
                <w:iCs/>
              </w:rPr>
              <w:t>y</w:t>
            </w:r>
          </w:p>
        </w:tc>
      </w:tr>
      <w:tr w:rsidR="00FA63C3" w:rsidRPr="00CB7EFA" w14:paraId="24D69CB5"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C60127F" w14:textId="77777777" w:rsidR="00FA63C3" w:rsidRPr="00CB7EFA" w:rsidRDefault="00FA63C3" w:rsidP="00CF10CA">
            <w:pPr>
              <w:pStyle w:val="SDMTableBoxParaNotNumbered"/>
              <w:spacing w:before="40" w:after="40"/>
            </w:pPr>
            <w:r w:rsidRPr="00CB7EFA">
              <w:t>Data unit:</w:t>
            </w:r>
          </w:p>
        </w:tc>
        <w:tc>
          <w:tcPr>
            <w:tcW w:w="6386" w:type="dxa"/>
            <w:gridSpan w:val="4"/>
          </w:tcPr>
          <w:p w14:paraId="3CB27245" w14:textId="193D05E8" w:rsidR="00FA63C3" w:rsidRPr="00CB7EFA" w:rsidRDefault="00FA63C3" w:rsidP="00CF10CA">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t</w:t>
            </w:r>
            <w:r w:rsidR="000A26C6">
              <w:t> </w:t>
            </w:r>
            <w:r>
              <w:t>CO</w:t>
            </w:r>
            <w:r w:rsidRPr="5ED1399A">
              <w:rPr>
                <w:vertAlign w:val="subscript"/>
              </w:rPr>
              <w:t>2</w:t>
            </w:r>
            <w:r w:rsidR="00AC3667">
              <w:t> </w:t>
            </w:r>
            <w:r w:rsidR="001F3CDD">
              <w:t>/</w:t>
            </w:r>
            <w:r w:rsidR="00AC3667">
              <w:t> </w:t>
            </w:r>
            <w:r>
              <w:t>GJ</w:t>
            </w:r>
          </w:p>
        </w:tc>
      </w:tr>
      <w:tr w:rsidR="0037137A" w:rsidRPr="00CB7EFA" w14:paraId="13C30700"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584684D9" w14:textId="11C72527" w:rsidR="0037137A" w:rsidRPr="00CB7EFA" w:rsidRDefault="0037137A" w:rsidP="00CF10CA">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24636268" w14:textId="49BFF246" w:rsidR="0037137A" w:rsidRPr="00CB7EFA" w:rsidRDefault="0037137A" w:rsidP="00CF10CA">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t>Equation (</w:t>
            </w:r>
            <w:r>
              <w:t>1</w:t>
            </w:r>
            <w:r w:rsidR="00297ED0">
              <w:t>3</w:t>
            </w:r>
            <w:r w:rsidRPr="00CB7EFA">
              <w:t>)</w:t>
            </w:r>
          </w:p>
        </w:tc>
      </w:tr>
      <w:tr w:rsidR="0037137A" w:rsidRPr="00CB7EFA" w14:paraId="67137B7A"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3BF04EF6" w14:textId="48DEFC0C" w:rsidR="0037137A" w:rsidRPr="00CB7EFA" w:rsidRDefault="0037137A" w:rsidP="00CF10CA">
            <w:pPr>
              <w:pStyle w:val="SDMTableBoxParaNotNumbered"/>
              <w:spacing w:before="40" w:after="40"/>
            </w:pPr>
            <w:r w:rsidRPr="00CB7EFA">
              <w:t>Purpose of data</w:t>
            </w:r>
            <w:r w:rsidR="00675D7A" w:rsidRPr="00675D7A">
              <w:t>:</w:t>
            </w:r>
          </w:p>
        </w:tc>
        <w:tc>
          <w:tcPr>
            <w:tcW w:w="2128" w:type="dxa"/>
            <w:tcBorders>
              <w:right w:val="nil"/>
            </w:tcBorders>
          </w:tcPr>
          <w:p w14:paraId="0D12038B" w14:textId="77777777" w:rsidR="0037137A" w:rsidRPr="00CB7EFA" w:rsidRDefault="0037137A" w:rsidP="00CF10CA">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071EAC9D" w14:textId="216C7EBF" w:rsidR="0037137A" w:rsidRPr="00CB7EFA" w:rsidRDefault="0037137A" w:rsidP="00CF10CA">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3ED0B098" w14:textId="77777777" w:rsidR="0037137A" w:rsidRPr="00CB7EFA" w:rsidRDefault="0037137A" w:rsidP="00CF10CA">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37137A" w:rsidRPr="00CB7EFA" w14:paraId="7F57866D"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7174E35D" w14:textId="346EDCFB" w:rsidR="0037137A" w:rsidRPr="00CB7EFA" w:rsidRDefault="0037137A" w:rsidP="00CF10CA">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1DA4F6DB" w14:textId="77777777" w:rsidR="00A573D6" w:rsidRPr="000D12E4" w:rsidRDefault="00A573D6"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0D12E4">
              <w:rPr>
                <w:u w:val="single"/>
              </w:rPr>
              <w:t>Option 1:</w:t>
            </w:r>
            <w:r w:rsidRPr="000D12E4">
              <w:t xml:space="preserve"> Values provided by the fuel supplier (preferred source)</w:t>
            </w:r>
            <w:r>
              <w:t>, in line with national or international standards</w:t>
            </w:r>
            <w:r w:rsidRPr="000D12E4">
              <w:t xml:space="preserve">. The </w:t>
            </w:r>
            <w:r w:rsidRPr="001E398F">
              <w:rPr>
                <w:i/>
                <w:iCs/>
              </w:rPr>
              <w:t>EF</w:t>
            </w:r>
            <w:r w:rsidRPr="001E398F">
              <w:rPr>
                <w:i/>
                <w:iCs/>
                <w:vertAlign w:val="subscript"/>
              </w:rPr>
              <w:t>CO2e,</w:t>
            </w:r>
            <w:r>
              <w:rPr>
                <w:i/>
                <w:iCs/>
                <w:vertAlign w:val="subscript"/>
              </w:rPr>
              <w:t>i</w:t>
            </w:r>
            <w:r w:rsidRPr="001E398F">
              <w:rPr>
                <w:i/>
                <w:iCs/>
                <w:vertAlign w:val="subscript"/>
              </w:rPr>
              <w:t>,y</w:t>
            </w:r>
            <w:r w:rsidRPr="000D12E4">
              <w:t xml:space="preserve"> of the fuel shall be obtained for each fuel delivery, from which weighted average annual values shall be calculated;</w:t>
            </w:r>
          </w:p>
          <w:p w14:paraId="5C9EE475" w14:textId="77777777" w:rsidR="00A573D6" w:rsidRPr="001F7170" w:rsidRDefault="00A573D6"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0D12E4">
              <w:rPr>
                <w:u w:val="single"/>
              </w:rPr>
              <w:t>Option 2:</w:t>
            </w:r>
            <w:r w:rsidRPr="000D12E4">
              <w:t xml:space="preserve"> Measurements by activity participants undertaken in line with national or international fuel standards (if supplier-provided values are not available). The </w:t>
            </w:r>
            <w:r w:rsidRPr="001E398F">
              <w:rPr>
                <w:i/>
                <w:iCs/>
              </w:rPr>
              <w:t>EF</w:t>
            </w:r>
            <w:r w:rsidRPr="001E398F">
              <w:rPr>
                <w:i/>
                <w:iCs/>
                <w:vertAlign w:val="subscript"/>
              </w:rPr>
              <w:t>CO2e,</w:t>
            </w:r>
            <w:r>
              <w:rPr>
                <w:i/>
                <w:iCs/>
                <w:vertAlign w:val="subscript"/>
              </w:rPr>
              <w:t>i</w:t>
            </w:r>
            <w:r w:rsidRPr="001E398F">
              <w:rPr>
                <w:i/>
                <w:iCs/>
                <w:vertAlign w:val="subscript"/>
              </w:rPr>
              <w:t>,y</w:t>
            </w:r>
            <w:r w:rsidRPr="000D12E4">
              <w:t xml:space="preserve"> of the fuel shall be obtained for each fuel delivery, from which weighted average annual values shall be calculated;</w:t>
            </w:r>
          </w:p>
          <w:p w14:paraId="56AF3F7C" w14:textId="77777777" w:rsidR="00A573D6" w:rsidRPr="001F7170" w:rsidRDefault="00A573D6"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1F7170">
              <w:rPr>
                <w:u w:val="single"/>
              </w:rPr>
              <w:t>Option 3:</w:t>
            </w:r>
            <w:r w:rsidRPr="001F7170">
              <w:t xml:space="preserve"> Regional or national default values (if supplier-provided values are not available and only for liquid fuels). Values shall be reviewed annually;</w:t>
            </w:r>
          </w:p>
          <w:p w14:paraId="0B6D68BB" w14:textId="1C234FDE" w:rsidR="0037137A" w:rsidRPr="00CB7EFA" w:rsidRDefault="00A573D6"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1F7170">
              <w:rPr>
                <w:u w:val="single"/>
              </w:rPr>
              <w:t>Option 4:</w:t>
            </w:r>
            <w:r w:rsidRPr="001F7170">
              <w:t xml:space="preserve"> Upper bound of the 95 per cent confidence interval from IPCC default values provided in table 1.2 of chapter 1, volume 2 (Energy), of the 2019 Refinement to the 2006 IPCC Guidelines for National Greenhouse Gas Inventories, if supplier-provided values are not available. Values shall be updated based on future revisions of the IPCC Guidelines</w:t>
            </w:r>
          </w:p>
        </w:tc>
      </w:tr>
      <w:tr w:rsidR="0037137A" w:rsidRPr="00CB7EFA" w14:paraId="59201D37"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5BCD0226" w14:textId="66C2B56A" w:rsidR="0037137A" w:rsidRPr="00CB7EFA" w:rsidRDefault="0037137A" w:rsidP="00CF10CA">
            <w:pPr>
              <w:pStyle w:val="SDMTableBoxParaNotNumbered"/>
              <w:spacing w:before="40" w:after="40"/>
              <w:rPr>
                <w:rFonts w:cs="Arial"/>
              </w:rPr>
            </w:pPr>
            <w:r w:rsidRPr="00CB7EFA">
              <w:t>Measurement and updating frequency</w:t>
            </w:r>
            <w:r w:rsidR="00675D7A" w:rsidRPr="00675D7A">
              <w:t>:</w:t>
            </w:r>
          </w:p>
        </w:tc>
        <w:tc>
          <w:tcPr>
            <w:tcW w:w="6386" w:type="dxa"/>
            <w:gridSpan w:val="4"/>
          </w:tcPr>
          <w:p w14:paraId="62D86410" w14:textId="77777777" w:rsidR="0037137A" w:rsidRPr="00E06FB0" w:rsidRDefault="0037137A"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1:</w:t>
            </w:r>
            <w:r w:rsidRPr="00E06FB0">
              <w:t xml:space="preserve"> At each fuel delivery;</w:t>
            </w:r>
          </w:p>
          <w:p w14:paraId="2283A81C" w14:textId="77777777" w:rsidR="0037137A" w:rsidRPr="00E06FB0" w:rsidRDefault="0037137A"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2:</w:t>
            </w:r>
            <w:r w:rsidRPr="00E06FB0">
              <w:t xml:space="preserve"> At each fuel delivery;</w:t>
            </w:r>
          </w:p>
          <w:p w14:paraId="2FD4FC09" w14:textId="77777777" w:rsidR="0037137A" w:rsidRPr="00E06FB0" w:rsidRDefault="0037137A"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3:</w:t>
            </w:r>
            <w:r w:rsidRPr="00E06FB0">
              <w:t xml:space="preserve"> Annually;</w:t>
            </w:r>
          </w:p>
          <w:p w14:paraId="18D5B226" w14:textId="77777777" w:rsidR="0037137A" w:rsidRPr="00CB7EFA" w:rsidRDefault="0037137A" w:rsidP="007255A3">
            <w:pPr>
              <w:pStyle w:val="SDMTableBoxParaNotNumbered"/>
              <w:numPr>
                <w:ilvl w:val="0"/>
                <w:numId w:val="25"/>
              </w:numPr>
              <w:spacing w:before="60" w:after="60"/>
              <w:cnfStyle w:val="000000000000" w:firstRow="0" w:lastRow="0" w:firstColumn="0" w:lastColumn="0" w:oddVBand="0" w:evenVBand="0" w:oddHBand="0" w:evenHBand="0" w:firstRowFirstColumn="0" w:firstRowLastColumn="0" w:lastRowFirstColumn="0" w:lastRowLastColumn="0"/>
            </w:pPr>
            <w:r w:rsidRPr="00E06FB0">
              <w:rPr>
                <w:u w:val="single"/>
              </w:rPr>
              <w:t>Option 4:</w:t>
            </w:r>
            <w:r w:rsidRPr="00E06FB0">
              <w:t xml:space="preserve"> Updated based on future revisions of the IPCC Guidelines</w:t>
            </w:r>
          </w:p>
        </w:tc>
      </w:tr>
      <w:tr w:rsidR="0037137A" w:rsidRPr="00CB7EFA" w14:paraId="7D880DB8"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400DB6C6" w14:textId="3CA6A94D" w:rsidR="0037137A" w:rsidRPr="00CB7EFA" w:rsidRDefault="0037137A" w:rsidP="00CF10CA">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6929A411" w14:textId="77777777" w:rsidR="0037137A" w:rsidRPr="00CB7EFA" w:rsidRDefault="0037137A" w:rsidP="00CF10CA">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E72D00">
              <w:t>Activity participants or fuel supplier</w:t>
            </w:r>
          </w:p>
        </w:tc>
      </w:tr>
      <w:tr w:rsidR="0037137A" w:rsidRPr="00CB7EFA" w14:paraId="31F2B3E7"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val="restart"/>
          </w:tcPr>
          <w:p w14:paraId="67833B1C" w14:textId="679BF1CC" w:rsidR="0037137A" w:rsidRPr="00CB7EFA" w:rsidRDefault="0037137A" w:rsidP="00CF10CA">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307F9756" w14:textId="77777777" w:rsidR="0037137A" w:rsidRPr="00CB7EFA" w:rsidRDefault="0037137A" w:rsidP="00CF10CA">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29DD82E1" w14:textId="77777777" w:rsidR="0037137A" w:rsidRPr="00CB7EFA" w:rsidRDefault="0037137A" w:rsidP="00CF10CA">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E72D00">
              <w:t>As per the national or international standard if the parameter is measured by activity participants</w:t>
            </w:r>
          </w:p>
        </w:tc>
      </w:tr>
      <w:tr w:rsidR="0037137A" w:rsidRPr="00CB7EFA" w14:paraId="056B35ED"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46EC674E" w14:textId="77777777" w:rsidR="0037137A" w:rsidRPr="00CB7EFA" w:rsidRDefault="0037137A" w:rsidP="00731FDB">
            <w:pPr>
              <w:pStyle w:val="SDMTableBoxParaNotNumbered"/>
              <w:keepLines/>
              <w:spacing w:before="40" w:after="40"/>
              <w:rPr>
                <w:rFonts w:cs="Arial"/>
              </w:rPr>
            </w:pPr>
          </w:p>
        </w:tc>
        <w:tc>
          <w:tcPr>
            <w:tcW w:w="2441" w:type="dxa"/>
            <w:gridSpan w:val="2"/>
          </w:tcPr>
          <w:p w14:paraId="7643F2A0" w14:textId="77777777" w:rsidR="0037137A" w:rsidRPr="00CB7EFA" w:rsidRDefault="0037137A" w:rsidP="00731FDB">
            <w:pPr>
              <w:pStyle w:val="SDMTableBoxParaNotNumbered"/>
              <w:keepLines/>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27BFD56B" w14:textId="77777777" w:rsidR="0037137A" w:rsidRPr="00CB7EFA" w:rsidRDefault="0037137A" w:rsidP="00731FDB">
            <w:pPr>
              <w:pStyle w:val="SDMTableBoxParaNotNumbered"/>
              <w:keepLines/>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37137A" w:rsidRPr="00CB7EFA" w14:paraId="534CE442"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7D008695" w14:textId="77777777" w:rsidR="0037137A" w:rsidRPr="00CB7EFA" w:rsidRDefault="0037137A" w:rsidP="00731FDB">
            <w:pPr>
              <w:pStyle w:val="SDMTableBoxParaNotNumbered"/>
              <w:keepLines/>
              <w:spacing w:before="40" w:after="40"/>
              <w:rPr>
                <w:rFonts w:cs="Arial"/>
              </w:rPr>
            </w:pPr>
          </w:p>
        </w:tc>
        <w:tc>
          <w:tcPr>
            <w:tcW w:w="2441" w:type="dxa"/>
            <w:gridSpan w:val="2"/>
          </w:tcPr>
          <w:p w14:paraId="1837F8E5" w14:textId="77777777" w:rsidR="0037137A" w:rsidRPr="00CB7EFA" w:rsidRDefault="0037137A" w:rsidP="00731FDB">
            <w:pPr>
              <w:pStyle w:val="SDMTableBoxParaNotNumbered"/>
              <w:keepLines/>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365418EC" w14:textId="77777777" w:rsidR="0037137A" w:rsidRPr="00CB7EFA" w:rsidRDefault="0037137A" w:rsidP="00731FDB">
            <w:pPr>
              <w:pStyle w:val="SDMTableBoxParaNotNumbered"/>
              <w:keepLines/>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37137A" w:rsidRPr="00CB7EFA" w14:paraId="318901FE"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47DD9F9A" w14:textId="77777777" w:rsidR="0037137A" w:rsidRPr="00CB7EFA" w:rsidRDefault="0037137A" w:rsidP="00731FDB">
            <w:pPr>
              <w:pStyle w:val="SDMTableBoxParaNotNumbered"/>
              <w:keepLines/>
              <w:spacing w:before="40" w:after="40"/>
              <w:rPr>
                <w:rFonts w:cs="Arial"/>
              </w:rPr>
            </w:pPr>
          </w:p>
        </w:tc>
        <w:tc>
          <w:tcPr>
            <w:tcW w:w="2441" w:type="dxa"/>
            <w:gridSpan w:val="2"/>
          </w:tcPr>
          <w:p w14:paraId="1C40B8CE" w14:textId="77777777" w:rsidR="0037137A" w:rsidRPr="00CB7EFA" w:rsidRDefault="0037137A" w:rsidP="00731FDB">
            <w:pPr>
              <w:pStyle w:val="SDMTableBoxParaNotNumbered"/>
              <w:keepLines/>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79FE72DA" w14:textId="77777777" w:rsidR="0037137A" w:rsidRPr="00CB7EFA" w:rsidRDefault="0037137A" w:rsidP="00731FDB">
            <w:pPr>
              <w:pStyle w:val="SDMTableBoxParaNotNumbered"/>
              <w:keepLines/>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37137A" w:rsidRPr="00CB7EFA" w14:paraId="7B6F3239"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701E3D38" w14:textId="62A9212D" w:rsidR="0037137A" w:rsidRPr="00CB7EFA" w:rsidRDefault="0037137A" w:rsidP="00CF10CA">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747B2F9C" w14:textId="77777777" w:rsidR="000C2AEC" w:rsidRDefault="000C2AEC" w:rsidP="007255A3">
            <w:pPr>
              <w:pStyle w:val="SDMTableBoxParaNotNumbered"/>
              <w:numPr>
                <w:ilvl w:val="0"/>
                <w:numId w:val="26"/>
              </w:numPr>
              <w:spacing w:before="40" w:after="40"/>
              <w:jc w:val="both"/>
              <w:cnfStyle w:val="000000000000" w:firstRow="0" w:lastRow="0" w:firstColumn="0" w:lastColumn="0" w:oddVBand="0" w:evenVBand="0" w:oddHBand="0" w:evenHBand="0" w:firstRowFirstColumn="0" w:firstRowLastColumn="0" w:lastRowFirstColumn="0" w:lastRowLastColumn="0"/>
            </w:pPr>
            <w:r w:rsidRPr="00E72D00">
              <w:t>The recorded data shall be stored monthly in a central database with backup</w:t>
            </w:r>
            <w:r>
              <w:t>;</w:t>
            </w:r>
          </w:p>
          <w:p w14:paraId="531F8647" w14:textId="34DE633E" w:rsidR="0037137A" w:rsidRPr="00CB7EFA" w:rsidRDefault="000C2AEC" w:rsidP="007255A3">
            <w:pPr>
              <w:pStyle w:val="SDMTableBoxParaNotNumbered"/>
              <w:numPr>
                <w:ilvl w:val="0"/>
                <w:numId w:val="26"/>
              </w:numPr>
              <w:spacing w:before="40" w:after="40"/>
              <w:jc w:val="both"/>
              <w:cnfStyle w:val="000000000000" w:firstRow="0" w:lastRow="0" w:firstColumn="0" w:lastColumn="0" w:oddVBand="0" w:evenVBand="0" w:oddHBand="0" w:evenHBand="0" w:firstRowFirstColumn="0" w:firstRowLastColumn="0" w:lastRowFirstColumn="0" w:lastRowLastColumn="0"/>
            </w:pPr>
            <w:r w:rsidRPr="00F424A5">
              <w:t>Laboratories in options 1 and 2 shall have ISO/IEC 17025 accreditation or justify compliance with equivalent quality standards</w:t>
            </w:r>
          </w:p>
        </w:tc>
      </w:tr>
      <w:tr w:rsidR="0037137A" w:rsidRPr="00CB7EFA" w14:paraId="4A36F76C"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73E6AC24" w14:textId="530D4505" w:rsidR="0037137A" w:rsidRPr="00CB7EFA" w:rsidRDefault="0037137A" w:rsidP="00CF10CA">
            <w:pPr>
              <w:pStyle w:val="SDMTableBoxParaNotNumbered"/>
              <w:keepNext/>
              <w:spacing w:before="40" w:after="40"/>
            </w:pPr>
            <w:r w:rsidRPr="00CB7EFA">
              <w:t>Treatment of uncertainty</w:t>
            </w:r>
            <w:r w:rsidR="00675D7A" w:rsidRPr="00675D7A">
              <w:t>:</w:t>
            </w:r>
          </w:p>
        </w:tc>
        <w:tc>
          <w:tcPr>
            <w:tcW w:w="6386" w:type="dxa"/>
            <w:gridSpan w:val="4"/>
          </w:tcPr>
          <w:p w14:paraId="7366CF98" w14:textId="0380003A" w:rsidR="0037137A" w:rsidRPr="00CB7EFA" w:rsidRDefault="00F00D81" w:rsidP="00CF10C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rsidRPr="00E72D00">
              <w:t>Verify whether the values under options 1, 2 and 3 fall within the uncertainty range of the IPCC default values as provided in table 1.</w:t>
            </w:r>
            <w:r>
              <w:t>4</w:t>
            </w:r>
            <w:r w:rsidRPr="00E72D00">
              <w:t>, volume 2 of the 2019 Refinement to the 2006 IPCC Guidelines for National Greenhouse Gas Inventories. If the values fall below this range, additional information shall be obtained from the testing laboratory to justify the outcome, or additional measurements shall be conducted</w:t>
            </w:r>
          </w:p>
        </w:tc>
      </w:tr>
      <w:tr w:rsidR="0037137A" w:rsidRPr="00CB7EFA" w14:paraId="1E42617E"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39BED828" w14:textId="4C86E592" w:rsidR="0037137A" w:rsidRPr="00CB7EFA" w:rsidRDefault="0037137A" w:rsidP="00731FDB">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69773BEA" w14:textId="116D341D" w:rsidR="0037137A" w:rsidRPr="00CB7EFA" w:rsidRDefault="00F5732D" w:rsidP="00731FDB">
            <w:pPr>
              <w:pStyle w:val="SDMTableBoxParaNotNumbered"/>
              <w:keepLines/>
              <w:spacing w:before="40" w:after="40"/>
              <w:jc w:val="both"/>
              <w:cnfStyle w:val="000000000000" w:firstRow="0" w:lastRow="0" w:firstColumn="0" w:lastColumn="0" w:oddVBand="0" w:evenVBand="0" w:oddHBand="0" w:evenHBand="0" w:firstRowFirstColumn="0" w:firstRowLastColumn="0" w:lastRowFirstColumn="0" w:lastRowLastColumn="0"/>
            </w:pPr>
            <w:r w:rsidRPr="008516B9">
              <w:rPr>
                <w:rFonts w:cs="Arial"/>
              </w:rPr>
              <w:t>For option 1, if the fuel supplier provides both the net calorific value (NCV) and CO</w:t>
            </w:r>
            <w:r w:rsidRPr="00A74249">
              <w:rPr>
                <w:rFonts w:cs="Arial"/>
                <w:vertAlign w:val="subscript"/>
              </w:rPr>
              <w:t>2</w:t>
            </w:r>
            <w:r w:rsidRPr="008516B9">
              <w:rPr>
                <w:rFonts w:cs="Arial"/>
              </w:rPr>
              <w:t xml:space="preserve"> emission factor on the invoice and these values are based on measurements for the specific fuel delivered, the provided CO</w:t>
            </w:r>
            <w:r w:rsidRPr="00A74249">
              <w:rPr>
                <w:rFonts w:cs="Arial"/>
                <w:vertAlign w:val="subscript"/>
              </w:rPr>
              <w:t>2</w:t>
            </w:r>
            <w:r w:rsidRPr="008516B9">
              <w:rPr>
                <w:rFonts w:cs="Arial"/>
              </w:rPr>
              <w:t xml:space="preserve"> emission factor shall be used. If another source is used for the CO</w:t>
            </w:r>
            <w:r w:rsidRPr="00A74249">
              <w:rPr>
                <w:rFonts w:cs="Arial"/>
                <w:vertAlign w:val="subscript"/>
              </w:rPr>
              <w:t>2</w:t>
            </w:r>
            <w:r w:rsidRPr="008516B9">
              <w:rPr>
                <w:rFonts w:cs="Arial"/>
              </w:rPr>
              <w:t xml:space="preserve"> emission factor, or no CO</w:t>
            </w:r>
            <w:r w:rsidRPr="00A74249">
              <w:rPr>
                <w:rFonts w:cs="Arial"/>
                <w:vertAlign w:val="subscript"/>
              </w:rPr>
              <w:t>2</w:t>
            </w:r>
            <w:r w:rsidRPr="008516B9">
              <w:rPr>
                <w:rFonts w:cs="Arial"/>
              </w:rPr>
              <w:t xml:space="preserve"> emission factor is provided, </w:t>
            </w:r>
            <w:r>
              <w:rPr>
                <w:rFonts w:cs="Arial"/>
              </w:rPr>
              <w:t>o</w:t>
            </w:r>
            <w:r w:rsidRPr="008516B9">
              <w:rPr>
                <w:rFonts w:cs="Arial"/>
              </w:rPr>
              <w:t>ptions 2, 3, or 4 shall be used</w:t>
            </w:r>
          </w:p>
        </w:tc>
      </w:tr>
    </w:tbl>
    <w:p w14:paraId="735D195C" w14:textId="32B79254" w:rsidR="00F5732D" w:rsidRPr="00CB7EFA" w:rsidRDefault="00F5732D" w:rsidP="00F5732D">
      <w:pPr>
        <w:pStyle w:val="Caption"/>
      </w:pPr>
      <w:r w:rsidRPr="00CB7EFA">
        <w:t>Data / Parameter table </w:t>
      </w:r>
      <w:fldSimple w:instr=" SEQ Data_/_Parameter_table \* ARABIC ">
        <w:r w:rsidR="00D0578E">
          <w:rPr>
            <w:noProof/>
          </w:rPr>
          <w:t>10</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F5732D" w:rsidRPr="00CB7EFA" w14:paraId="31D189F4" w14:textId="77777777" w:rsidTr="00731FDB">
        <w:trPr>
          <w:cnfStyle w:val="100000000000" w:firstRow="1" w:lastRow="0" w:firstColumn="0" w:lastColumn="0" w:oddVBand="0" w:evenVBand="0" w:oddHBand="0" w:evenHBand="0" w:firstRowFirstColumn="0" w:firstRowLastColumn="0" w:lastRowFirstColumn="0" w:lastRowLastColumn="0"/>
          <w:cantSplit w:val="0"/>
          <w:trHeight w:val="18"/>
        </w:trPr>
        <w:tc>
          <w:tcPr>
            <w:cnfStyle w:val="001000000000" w:firstRow="0" w:lastRow="0" w:firstColumn="1" w:lastColumn="0" w:oddVBand="0" w:evenVBand="0" w:oddHBand="0" w:evenHBand="0" w:firstRowFirstColumn="0" w:firstRowLastColumn="0" w:lastRowFirstColumn="0" w:lastRowLastColumn="0"/>
            <w:tcW w:w="2232" w:type="dxa"/>
          </w:tcPr>
          <w:p w14:paraId="55A2DEFF" w14:textId="77777777" w:rsidR="00F5732D" w:rsidRPr="00CB7EFA" w:rsidRDefault="00F5732D" w:rsidP="00690A70">
            <w:pPr>
              <w:pStyle w:val="SDMTableBoxParaNotNumbered"/>
              <w:spacing w:before="40" w:after="40"/>
            </w:pPr>
            <w:r w:rsidRPr="00CB7EFA">
              <w:t>Data / Parameter:</w:t>
            </w:r>
          </w:p>
        </w:tc>
        <w:tc>
          <w:tcPr>
            <w:tcW w:w="6386" w:type="dxa"/>
            <w:gridSpan w:val="4"/>
          </w:tcPr>
          <w:p w14:paraId="6451D126" w14:textId="1D341F89" w:rsidR="00F5732D" w:rsidRPr="001A7D05" w:rsidRDefault="0039641B" w:rsidP="00690A70">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bCs/>
                        <w:i/>
                      </w:rPr>
                    </m:ctrlPr>
                  </m:sSubPr>
                  <m:e>
                    <m:r>
                      <m:rPr>
                        <m:sty m:val="bi"/>
                      </m:rPr>
                      <w:rPr>
                        <w:rFonts w:ascii="Cambria Math" w:hAnsi="Cambria Math"/>
                      </w:rPr>
                      <m:t>w</m:t>
                    </m:r>
                  </m:e>
                  <m:sub>
                    <m:r>
                      <m:rPr>
                        <m:sty m:val="bi"/>
                      </m:rPr>
                      <w:rPr>
                        <w:rFonts w:ascii="Cambria Math" w:hAnsi="Cambria Math"/>
                      </w:rPr>
                      <m:t>c,i,y</m:t>
                    </m:r>
                  </m:sub>
                </m:sSub>
              </m:oMath>
            </m:oMathPara>
          </w:p>
        </w:tc>
      </w:tr>
      <w:tr w:rsidR="00EE7947" w:rsidRPr="00CB7EFA" w14:paraId="1B60DDAA" w14:textId="77777777" w:rsidTr="00731FDB">
        <w:trPr>
          <w:cantSplit w:val="0"/>
          <w:trHeight w:val="22"/>
        </w:trPr>
        <w:tc>
          <w:tcPr>
            <w:cnfStyle w:val="001000000000" w:firstRow="0" w:lastRow="0" w:firstColumn="1" w:lastColumn="0" w:oddVBand="0" w:evenVBand="0" w:oddHBand="0" w:evenHBand="0" w:firstRowFirstColumn="0" w:firstRowLastColumn="0" w:lastRowFirstColumn="0" w:lastRowLastColumn="0"/>
            <w:tcW w:w="2232" w:type="dxa"/>
          </w:tcPr>
          <w:p w14:paraId="4EA625BD" w14:textId="77777777" w:rsidR="00EE7947" w:rsidRPr="00CB7EFA" w:rsidRDefault="00EE7947" w:rsidP="00EE7947">
            <w:pPr>
              <w:pStyle w:val="SDMTableBoxParaNotNumbered"/>
              <w:spacing w:before="40" w:after="40"/>
            </w:pPr>
            <w:r w:rsidRPr="00CB7EFA">
              <w:t>Description:</w:t>
            </w:r>
          </w:p>
        </w:tc>
        <w:tc>
          <w:tcPr>
            <w:tcW w:w="6386" w:type="dxa"/>
            <w:gridSpan w:val="4"/>
          </w:tcPr>
          <w:p w14:paraId="5702A42B" w14:textId="16809C93" w:rsidR="00EE7947" w:rsidRPr="00CB7EFA" w:rsidRDefault="00EE7947" w:rsidP="00EE7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922E91">
              <w:t>Mass fraction of carbon in fuel type</w:t>
            </w:r>
            <w:r>
              <w:t> </w:t>
            </w:r>
            <w:r w:rsidRPr="00922E91">
              <w:rPr>
                <w:i/>
                <w:iCs/>
              </w:rPr>
              <w:t>i</w:t>
            </w:r>
            <w:r w:rsidRPr="00922E91">
              <w:t xml:space="preserve"> in year</w:t>
            </w:r>
            <w:r>
              <w:t> </w:t>
            </w:r>
            <w:r w:rsidRPr="00922E91">
              <w:rPr>
                <w:i/>
                <w:iCs/>
              </w:rPr>
              <w:t>y</w:t>
            </w:r>
          </w:p>
        </w:tc>
      </w:tr>
      <w:tr w:rsidR="00EE7947" w:rsidRPr="00CB7EFA" w14:paraId="74C0441C"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E2486A4" w14:textId="77777777" w:rsidR="00EE7947" w:rsidRPr="00CB7EFA" w:rsidRDefault="00EE7947" w:rsidP="00EE7947">
            <w:pPr>
              <w:pStyle w:val="SDMTableBoxParaNotNumbered"/>
              <w:spacing w:before="40" w:after="40"/>
            </w:pPr>
            <w:r w:rsidRPr="00CB7EFA">
              <w:t>Data unit:</w:t>
            </w:r>
          </w:p>
        </w:tc>
        <w:tc>
          <w:tcPr>
            <w:tcW w:w="6386" w:type="dxa"/>
            <w:gridSpan w:val="4"/>
          </w:tcPr>
          <w:p w14:paraId="0A4E3126" w14:textId="4E1BCAE4" w:rsidR="00EE7947" w:rsidRPr="00CB7EFA" w:rsidRDefault="00EE7947" w:rsidP="00EE7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t</w:t>
            </w:r>
            <w:r w:rsidR="00C52E10">
              <w:t> </w:t>
            </w:r>
            <w:r>
              <w:t>C</w:t>
            </w:r>
            <w:r w:rsidR="00AC3667">
              <w:t> </w:t>
            </w:r>
            <w:r>
              <w:t>/</w:t>
            </w:r>
            <w:r w:rsidR="00AC3667">
              <w:t> </w:t>
            </w:r>
            <w:r>
              <w:t>mass unit of the fuel</w:t>
            </w:r>
          </w:p>
        </w:tc>
      </w:tr>
      <w:tr w:rsidR="00F5732D" w:rsidRPr="00CB7EFA" w14:paraId="27810744"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F01E70D" w14:textId="78043FFF" w:rsidR="00F5732D" w:rsidRPr="00CB7EFA" w:rsidRDefault="00F5732D" w:rsidP="00690A70">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5709A162" w14:textId="05982AD9" w:rsidR="00F5732D" w:rsidRPr="00CB7EFA" w:rsidRDefault="00F5732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t>Equation</w:t>
            </w:r>
            <w:r w:rsidR="00AC3667">
              <w:t>s</w:t>
            </w:r>
            <w:r w:rsidRPr="00CB7EFA">
              <w:t xml:space="preserve"> (</w:t>
            </w:r>
            <w:r w:rsidR="00EE7947">
              <w:t>11</w:t>
            </w:r>
            <w:r w:rsidRPr="00CB7EFA">
              <w:t>)</w:t>
            </w:r>
            <w:r w:rsidR="00EE7947">
              <w:t>, (12)</w:t>
            </w:r>
          </w:p>
        </w:tc>
      </w:tr>
      <w:tr w:rsidR="00F5732D" w:rsidRPr="00CB7EFA" w14:paraId="5EBCC796"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1C008D4D" w14:textId="7923717B" w:rsidR="00F5732D" w:rsidRPr="00CB7EFA" w:rsidRDefault="00F5732D" w:rsidP="00690A70">
            <w:pPr>
              <w:pStyle w:val="SDMTableBoxParaNotNumbered"/>
              <w:spacing w:before="40" w:after="40"/>
            </w:pPr>
            <w:r w:rsidRPr="00CB7EFA">
              <w:t>Purpose of data</w:t>
            </w:r>
            <w:r w:rsidR="00675D7A" w:rsidRPr="00675D7A">
              <w:t>:</w:t>
            </w:r>
          </w:p>
        </w:tc>
        <w:tc>
          <w:tcPr>
            <w:tcW w:w="2128" w:type="dxa"/>
            <w:tcBorders>
              <w:right w:val="nil"/>
            </w:tcBorders>
          </w:tcPr>
          <w:p w14:paraId="5C399564" w14:textId="77777777" w:rsidR="00F5732D" w:rsidRPr="00CB7EFA" w:rsidRDefault="00F5732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2825160A" w14:textId="19152F1F" w:rsidR="00F5732D" w:rsidRPr="00CB7EFA" w:rsidRDefault="00F5732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31CB4903" w14:textId="77777777" w:rsidR="00F5732D" w:rsidRPr="00CB7EFA" w:rsidRDefault="00F5732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F5732D" w:rsidRPr="00CB7EFA" w14:paraId="12D826F5"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B41BAFC" w14:textId="32479CA2" w:rsidR="00F5732D" w:rsidRPr="00CB7EFA" w:rsidRDefault="00F5732D" w:rsidP="00690A70">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21685979" w14:textId="77777777" w:rsidR="00251DBA" w:rsidRDefault="00251DBA" w:rsidP="007255A3">
            <w:pPr>
              <w:pStyle w:val="ParaTickBox"/>
              <w:numPr>
                <w:ilvl w:val="0"/>
                <w:numId w:val="22"/>
              </w:numPr>
              <w:tabs>
                <w:tab w:val="clear" w:pos="510"/>
              </w:tabs>
              <w:spacing w:before="40" w:after="40"/>
              <w:ind w:left="357" w:right="57" w:hanging="357"/>
              <w:jc w:val="both"/>
              <w:cnfStyle w:val="000000000000" w:firstRow="0" w:lastRow="0" w:firstColumn="0" w:lastColumn="0" w:oddVBand="0" w:evenVBand="0" w:oddHBand="0" w:evenHBand="0" w:firstRowFirstColumn="0" w:firstRowLastColumn="0" w:lastRowFirstColumn="0" w:lastRowLastColumn="0"/>
              <w:rPr>
                <w:szCs w:val="20"/>
              </w:rPr>
            </w:pPr>
            <w:r w:rsidRPr="008E0B86">
              <w:rPr>
                <w:szCs w:val="20"/>
                <w:u w:val="single"/>
              </w:rPr>
              <w:t>Option 1:</w:t>
            </w:r>
            <w:r>
              <w:rPr>
                <w:szCs w:val="20"/>
              </w:rPr>
              <w:t xml:space="preserve"> Values provided by the supplier of the fuel (preferred source);</w:t>
            </w:r>
          </w:p>
          <w:p w14:paraId="3B3D2C88" w14:textId="77777777" w:rsidR="00251DBA" w:rsidRDefault="00251DBA" w:rsidP="007255A3">
            <w:pPr>
              <w:pStyle w:val="ParaTickBox"/>
              <w:numPr>
                <w:ilvl w:val="0"/>
                <w:numId w:val="22"/>
              </w:numPr>
              <w:tabs>
                <w:tab w:val="clear" w:pos="510"/>
              </w:tabs>
              <w:spacing w:before="40" w:after="40"/>
              <w:ind w:left="357" w:right="57" w:hanging="357"/>
              <w:jc w:val="both"/>
              <w:cnfStyle w:val="000000000000" w:firstRow="0" w:lastRow="0" w:firstColumn="0" w:lastColumn="0" w:oddVBand="0" w:evenVBand="0" w:oddHBand="0" w:evenHBand="0" w:firstRowFirstColumn="0" w:firstRowLastColumn="0" w:lastRowFirstColumn="0" w:lastRowLastColumn="0"/>
            </w:pPr>
            <w:r w:rsidRPr="008E0B86">
              <w:rPr>
                <w:szCs w:val="20"/>
                <w:u w:val="single"/>
              </w:rPr>
              <w:t>Option 2:</w:t>
            </w:r>
            <w:r>
              <w:rPr>
                <w:szCs w:val="20"/>
              </w:rPr>
              <w:t xml:space="preserve"> Measurements by activity participants </w:t>
            </w:r>
            <w:r>
              <w:t>undertaken in line with national or international fuel standards;</w:t>
            </w:r>
          </w:p>
          <w:p w14:paraId="52FEC4FE" w14:textId="34E23260" w:rsidR="00F5732D" w:rsidRPr="00CB7EFA" w:rsidRDefault="00251DBA"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F41EEC">
              <w:rPr>
                <w:u w:val="single"/>
              </w:rPr>
              <w:t>Option 3:</w:t>
            </w:r>
            <w:r>
              <w:t xml:space="preserve"> </w:t>
            </w:r>
            <w:r w:rsidRPr="001970E7">
              <w:t>Regional or national default values (if supplier-provided values are not available and only for liquid fuels</w:t>
            </w:r>
            <w:r w:rsidRPr="1602CEC3">
              <w:t>)</w:t>
            </w:r>
          </w:p>
        </w:tc>
      </w:tr>
      <w:tr w:rsidR="00F5732D" w:rsidRPr="00CB7EFA" w14:paraId="18071B4E"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95B40F3" w14:textId="15044B58" w:rsidR="00F5732D" w:rsidRPr="00CB7EFA" w:rsidRDefault="00F5732D" w:rsidP="00690A70">
            <w:pPr>
              <w:pStyle w:val="SDMTableBoxParaNotNumbered"/>
              <w:spacing w:before="40" w:after="40"/>
              <w:rPr>
                <w:rFonts w:cs="Arial"/>
              </w:rPr>
            </w:pPr>
            <w:r w:rsidRPr="00CB7EFA">
              <w:t>Measurement and updating frequency</w:t>
            </w:r>
            <w:r w:rsidR="00675D7A" w:rsidRPr="00675D7A">
              <w:t>:</w:t>
            </w:r>
          </w:p>
        </w:tc>
        <w:tc>
          <w:tcPr>
            <w:tcW w:w="6386" w:type="dxa"/>
            <w:gridSpan w:val="4"/>
          </w:tcPr>
          <w:p w14:paraId="3965F8D0" w14:textId="6451258E" w:rsidR="00F5732D" w:rsidRPr="00CB7EFA" w:rsidRDefault="00F41EEC" w:rsidP="00F41EEC">
            <w:pPr>
              <w:pStyle w:val="SDMTableBoxParaNotNumbered"/>
              <w:spacing w:before="60" w:after="60"/>
              <w:cnfStyle w:val="000000000000" w:firstRow="0" w:lastRow="0" w:firstColumn="0" w:lastColumn="0" w:oddVBand="0" w:evenVBand="0" w:oddHBand="0" w:evenHBand="0" w:firstRowFirstColumn="0" w:firstRowLastColumn="0" w:lastRowFirstColumn="0" w:lastRowLastColumn="0"/>
            </w:pPr>
            <w:r>
              <w:t>Continuous of for each fuel batch</w:t>
            </w:r>
          </w:p>
        </w:tc>
      </w:tr>
      <w:tr w:rsidR="00F5732D" w:rsidRPr="00CB7EFA" w14:paraId="10D580F0"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3AF4DB6" w14:textId="48487FAA" w:rsidR="00F5732D" w:rsidRPr="00CB7EFA" w:rsidRDefault="00F5732D" w:rsidP="00690A70">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574518CE" w14:textId="77777777" w:rsidR="00F5732D" w:rsidRPr="00CB7EFA" w:rsidRDefault="00F5732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E72D00">
              <w:t>Activity participants or fuel supplier</w:t>
            </w:r>
          </w:p>
        </w:tc>
      </w:tr>
      <w:tr w:rsidR="00F5732D" w:rsidRPr="00CB7EFA" w14:paraId="01617603"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val="restart"/>
          </w:tcPr>
          <w:p w14:paraId="69C03274" w14:textId="2401C49D" w:rsidR="00F5732D" w:rsidRPr="00CB7EFA" w:rsidRDefault="00F5732D" w:rsidP="00690A70">
            <w:pPr>
              <w:pStyle w:val="SDMTableBoxParaNotNumbered"/>
              <w:spacing w:before="40" w:after="40"/>
            </w:pPr>
            <w:r w:rsidRPr="00CB7EFA">
              <w:rPr>
                <w:rFonts w:cs="Arial"/>
              </w:rPr>
              <w:lastRenderedPageBreak/>
              <w:t>Measuring instrument(s)</w:t>
            </w:r>
            <w:r w:rsidR="00675D7A" w:rsidRPr="00675D7A">
              <w:rPr>
                <w:rFonts w:cs="Arial"/>
              </w:rPr>
              <w:t>:</w:t>
            </w:r>
          </w:p>
        </w:tc>
        <w:tc>
          <w:tcPr>
            <w:tcW w:w="2441" w:type="dxa"/>
            <w:gridSpan w:val="2"/>
          </w:tcPr>
          <w:p w14:paraId="0D5C7FFC" w14:textId="77777777" w:rsidR="00F5732D" w:rsidRPr="00CB7EFA" w:rsidRDefault="00F5732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30A692FB" w14:textId="77777777" w:rsidR="00F5732D" w:rsidRPr="00CB7EFA" w:rsidRDefault="00F5732D"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E72D00">
              <w:t>As per the national or international standard if the parameter is measured by activity participants</w:t>
            </w:r>
          </w:p>
        </w:tc>
      </w:tr>
      <w:tr w:rsidR="00F5732D" w:rsidRPr="00CB7EFA" w14:paraId="62F59F9D"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12F907DE" w14:textId="77777777" w:rsidR="00F5732D" w:rsidRPr="00CB7EFA" w:rsidRDefault="00F5732D" w:rsidP="00690A70">
            <w:pPr>
              <w:pStyle w:val="SDMTableBoxParaNotNumbered"/>
              <w:spacing w:before="40" w:after="40"/>
              <w:rPr>
                <w:rFonts w:cs="Arial"/>
              </w:rPr>
            </w:pPr>
          </w:p>
        </w:tc>
        <w:tc>
          <w:tcPr>
            <w:tcW w:w="2441" w:type="dxa"/>
            <w:gridSpan w:val="2"/>
          </w:tcPr>
          <w:p w14:paraId="76AF7AA8" w14:textId="77777777" w:rsidR="00F5732D" w:rsidRPr="00CB7EFA" w:rsidRDefault="00F5732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45016E6A" w14:textId="77777777" w:rsidR="00F5732D" w:rsidRPr="00CB7EFA" w:rsidRDefault="00F5732D"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F5732D" w:rsidRPr="00CB7EFA" w14:paraId="1C3A661D"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03F93257" w14:textId="77777777" w:rsidR="00F5732D" w:rsidRPr="00CB7EFA" w:rsidRDefault="00F5732D" w:rsidP="00690A70">
            <w:pPr>
              <w:pStyle w:val="SDMTableBoxParaNotNumbered"/>
              <w:spacing w:before="40" w:after="40"/>
              <w:rPr>
                <w:rFonts w:cs="Arial"/>
              </w:rPr>
            </w:pPr>
          </w:p>
        </w:tc>
        <w:tc>
          <w:tcPr>
            <w:tcW w:w="2441" w:type="dxa"/>
            <w:gridSpan w:val="2"/>
          </w:tcPr>
          <w:p w14:paraId="0A0CE117" w14:textId="77777777" w:rsidR="00F5732D" w:rsidRPr="00CB7EFA" w:rsidRDefault="00F5732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2B23ECA6" w14:textId="77777777" w:rsidR="00F5732D" w:rsidRPr="00CB7EFA" w:rsidRDefault="00F5732D"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F5732D" w:rsidRPr="00CB7EFA" w14:paraId="76439CF0"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076C16CB" w14:textId="77777777" w:rsidR="00F5732D" w:rsidRPr="00CB7EFA" w:rsidRDefault="00F5732D" w:rsidP="00690A70">
            <w:pPr>
              <w:pStyle w:val="SDMTableBoxParaNotNumbered"/>
              <w:spacing w:before="40" w:after="40"/>
              <w:rPr>
                <w:rFonts w:cs="Arial"/>
              </w:rPr>
            </w:pPr>
          </w:p>
        </w:tc>
        <w:tc>
          <w:tcPr>
            <w:tcW w:w="2441" w:type="dxa"/>
            <w:gridSpan w:val="2"/>
          </w:tcPr>
          <w:p w14:paraId="58B31C52" w14:textId="77777777" w:rsidR="00F5732D" w:rsidRPr="00CB7EFA" w:rsidRDefault="00F5732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6A5266EE" w14:textId="77777777" w:rsidR="00F5732D" w:rsidRPr="00CB7EFA" w:rsidRDefault="00F5732D"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72D00">
              <w:t>As per the national or international standard if the parameter is measured by activity participants</w:t>
            </w:r>
          </w:p>
        </w:tc>
      </w:tr>
      <w:tr w:rsidR="00C531E8" w:rsidRPr="00CB7EFA" w14:paraId="32B330F6"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1AE89348" w14:textId="7515857F" w:rsidR="00C531E8" w:rsidRPr="00CB7EFA" w:rsidRDefault="00C531E8" w:rsidP="00C531E8">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7596BBE5" w14:textId="6A21FFA8" w:rsidR="00C531E8" w:rsidRPr="00CB7EFA" w:rsidRDefault="00C531E8"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240FAD">
              <w:t>The recorded data must be stored monthly in a central database with backup</w:t>
            </w:r>
          </w:p>
        </w:tc>
      </w:tr>
      <w:tr w:rsidR="00C531E8" w:rsidRPr="00CB7EFA" w14:paraId="741945B1"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1F6A0F15" w14:textId="28EE3009" w:rsidR="00C531E8" w:rsidRPr="00CB7EFA" w:rsidRDefault="00C531E8" w:rsidP="00B7767A">
            <w:pPr>
              <w:pStyle w:val="SDMTableBoxParaNotNumbered"/>
              <w:keepNext/>
              <w:spacing w:before="40" w:after="40"/>
            </w:pPr>
            <w:r w:rsidRPr="00CB7EFA">
              <w:t>Treatment of uncertainty</w:t>
            </w:r>
            <w:r w:rsidR="00675D7A" w:rsidRPr="00675D7A">
              <w:t>:</w:t>
            </w:r>
          </w:p>
        </w:tc>
        <w:tc>
          <w:tcPr>
            <w:tcW w:w="6386" w:type="dxa"/>
            <w:gridSpan w:val="4"/>
          </w:tcPr>
          <w:p w14:paraId="42D15792" w14:textId="3559CA64" w:rsidR="00C531E8" w:rsidRPr="00CB7EFA" w:rsidRDefault="00C531E8"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rsidRPr="00E24B77">
              <w:rPr>
                <w:rFonts w:cs="Arial"/>
              </w:rPr>
              <w:t>Uncertainties are determined based on the measuring instruments</w:t>
            </w:r>
          </w:p>
        </w:tc>
      </w:tr>
      <w:tr w:rsidR="00F5732D" w:rsidRPr="00CB7EFA" w14:paraId="71D8C4F0" w14:textId="77777777" w:rsidTr="00731FDB">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8938659" w14:textId="33A970E7" w:rsidR="00F5732D" w:rsidRPr="00CB7EFA" w:rsidRDefault="00F5732D" w:rsidP="00690A70">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1E95BF4E" w14:textId="7669D179" w:rsidR="00F5732D" w:rsidRPr="00CB7EFA" w:rsidRDefault="005D28A6"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t xml:space="preserve">Verify if the values measured or obtained from the fuel supplier fall within the uncertainty range derived from the product of the IPCC default values as provided in Table 1.2 and Table 1.3, Vol. 2 of the 2006 IPCC Guidelines </w:t>
            </w:r>
            <w:r w:rsidRPr="008C432B">
              <w:t>for National Greenhouse Gas Inventorie</w:t>
            </w:r>
            <w:r>
              <w:t>s. If the values fall below this range collect additional information shall be obtained from the testing laboratory to justify the outcome, or additional measurements shall be conducted. Laboratories performing measurements in Option 2 should have ISO17025 accreditation or demonstrate compliance with equivalent quality standards</w:t>
            </w:r>
          </w:p>
        </w:tc>
      </w:tr>
    </w:tbl>
    <w:p w14:paraId="106162AC" w14:textId="6232342B" w:rsidR="005D28A6" w:rsidRPr="00CB7EFA" w:rsidRDefault="005D28A6" w:rsidP="005D28A6">
      <w:pPr>
        <w:pStyle w:val="Caption"/>
      </w:pPr>
      <w:r w:rsidRPr="00CB7EFA">
        <w:t>Data / Parameter table </w:t>
      </w:r>
      <w:fldSimple w:instr=" SEQ Data_/_Parameter_table \* ARABIC ">
        <w:r w:rsidR="00D0578E">
          <w:rPr>
            <w:noProof/>
          </w:rPr>
          <w:t>11</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5D28A6" w:rsidRPr="00CB7EFA" w14:paraId="30FF7539" w14:textId="77777777" w:rsidTr="00E91A4D">
        <w:trPr>
          <w:cnfStyle w:val="100000000000" w:firstRow="1" w:lastRow="0" w:firstColumn="0" w:lastColumn="0" w:oddVBand="0" w:evenVBand="0" w:oddHBand="0" w:evenHBand="0" w:firstRowFirstColumn="0" w:firstRowLastColumn="0" w:lastRowFirstColumn="0" w:lastRowLastColumn="0"/>
          <w:cantSplit w:val="0"/>
          <w:trHeight w:val="18"/>
        </w:trPr>
        <w:tc>
          <w:tcPr>
            <w:cnfStyle w:val="001000000000" w:firstRow="0" w:lastRow="0" w:firstColumn="1" w:lastColumn="0" w:oddVBand="0" w:evenVBand="0" w:oddHBand="0" w:evenHBand="0" w:firstRowFirstColumn="0" w:firstRowLastColumn="0" w:lastRowFirstColumn="0" w:lastRowLastColumn="0"/>
            <w:tcW w:w="2232" w:type="dxa"/>
          </w:tcPr>
          <w:p w14:paraId="031325A6" w14:textId="77777777" w:rsidR="005D28A6" w:rsidRPr="00CB7EFA" w:rsidRDefault="005D28A6" w:rsidP="00690A70">
            <w:pPr>
              <w:pStyle w:val="SDMTableBoxParaNotNumbered"/>
              <w:spacing w:before="40" w:after="40"/>
            </w:pPr>
            <w:r w:rsidRPr="00CB7EFA">
              <w:t>Data / Parameter:</w:t>
            </w:r>
          </w:p>
        </w:tc>
        <w:tc>
          <w:tcPr>
            <w:tcW w:w="6386" w:type="dxa"/>
            <w:gridSpan w:val="4"/>
          </w:tcPr>
          <w:p w14:paraId="1097F785" w14:textId="7309CCF9" w:rsidR="005D28A6" w:rsidRPr="001A7D05" w:rsidRDefault="0039641B" w:rsidP="00690A70">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steam, CO</m:t>
                    </m:r>
                    <m:r>
                      <m:rPr>
                        <m:sty m:val="bi"/>
                      </m:rPr>
                      <w:rPr>
                        <w:rFonts w:ascii="Cambria Math" w:hAnsi="Cambria Math"/>
                      </w:rPr>
                      <m:t>2,y</m:t>
                    </m:r>
                  </m:sub>
                </m:sSub>
              </m:oMath>
            </m:oMathPara>
          </w:p>
        </w:tc>
      </w:tr>
      <w:tr w:rsidR="00BF1FEB" w:rsidRPr="00CB7EFA" w14:paraId="3C98C21A" w14:textId="77777777" w:rsidTr="00E91A4D">
        <w:trPr>
          <w:cantSplit w:val="0"/>
          <w:trHeight w:val="22"/>
        </w:trPr>
        <w:tc>
          <w:tcPr>
            <w:cnfStyle w:val="001000000000" w:firstRow="0" w:lastRow="0" w:firstColumn="1" w:lastColumn="0" w:oddVBand="0" w:evenVBand="0" w:oddHBand="0" w:evenHBand="0" w:firstRowFirstColumn="0" w:firstRowLastColumn="0" w:lastRowFirstColumn="0" w:lastRowLastColumn="0"/>
            <w:tcW w:w="2232" w:type="dxa"/>
          </w:tcPr>
          <w:p w14:paraId="5340D643" w14:textId="77777777" w:rsidR="00BF1FEB" w:rsidRPr="00CB7EFA" w:rsidRDefault="00BF1FEB" w:rsidP="00BF1FEB">
            <w:pPr>
              <w:pStyle w:val="SDMTableBoxParaNotNumbered"/>
              <w:spacing w:before="40" w:after="40"/>
            </w:pPr>
            <w:r w:rsidRPr="00CB7EFA">
              <w:t>Description:</w:t>
            </w:r>
          </w:p>
        </w:tc>
        <w:tc>
          <w:tcPr>
            <w:tcW w:w="6386" w:type="dxa"/>
            <w:gridSpan w:val="4"/>
          </w:tcPr>
          <w:p w14:paraId="796897E9" w14:textId="5E726564" w:rsidR="00BF1FEB" w:rsidRPr="00CB7EFA" w:rsidRDefault="00BF1FEB" w:rsidP="00BF1FEB">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D6773F">
              <w:rPr>
                <w:rFonts w:cs="Arial"/>
              </w:rPr>
              <w:t xml:space="preserve">Average mass fraction of </w:t>
            </w:r>
            <w:r w:rsidRPr="00D6773F">
              <w:t xml:space="preserve">carbon dioxide </w:t>
            </w:r>
            <w:r w:rsidRPr="00D6773F">
              <w:rPr>
                <w:rFonts w:cs="Arial"/>
              </w:rPr>
              <w:t>in the produced steam in year </w:t>
            </w:r>
            <w:r w:rsidRPr="00D6773F">
              <w:rPr>
                <w:rFonts w:cs="Arial"/>
                <w:i/>
              </w:rPr>
              <w:t>y</w:t>
            </w:r>
          </w:p>
        </w:tc>
      </w:tr>
      <w:tr w:rsidR="00BF1FEB" w:rsidRPr="00CB7EFA" w14:paraId="66F46097"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4B5B2E0B" w14:textId="77777777" w:rsidR="00BF1FEB" w:rsidRPr="00CB7EFA" w:rsidRDefault="00BF1FEB" w:rsidP="00BF1FEB">
            <w:pPr>
              <w:pStyle w:val="SDMTableBoxParaNotNumbered"/>
              <w:spacing w:before="40" w:after="40"/>
            </w:pPr>
            <w:r w:rsidRPr="00CB7EFA">
              <w:t>Data unit:</w:t>
            </w:r>
          </w:p>
        </w:tc>
        <w:tc>
          <w:tcPr>
            <w:tcW w:w="6386" w:type="dxa"/>
            <w:gridSpan w:val="4"/>
          </w:tcPr>
          <w:p w14:paraId="04024A98" w14:textId="232AB556" w:rsidR="00BF1FEB" w:rsidRPr="00CB7EFA" w:rsidRDefault="00BF1FEB" w:rsidP="00BF1FEB">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t</w:t>
            </w:r>
            <w:r w:rsidR="00C52E10">
              <w:t> </w:t>
            </w:r>
            <w:r>
              <w:t>CO</w:t>
            </w:r>
            <w:r w:rsidRPr="00C6150B">
              <w:rPr>
                <w:vertAlign w:val="subscript"/>
              </w:rPr>
              <w:t>2</w:t>
            </w:r>
            <w:r w:rsidR="00B73406">
              <w:t> </w:t>
            </w:r>
            <w:r w:rsidR="001F3CDD">
              <w:t>/</w:t>
            </w:r>
            <w:r w:rsidR="00B73406">
              <w:t> </w:t>
            </w:r>
            <w:r>
              <w:t>t</w:t>
            </w:r>
            <w:r w:rsidR="00B73406">
              <w:t> </w:t>
            </w:r>
            <w:r w:rsidRPr="00B73406">
              <w:t>steam</w:t>
            </w:r>
          </w:p>
        </w:tc>
      </w:tr>
      <w:tr w:rsidR="005D28A6" w:rsidRPr="00CB7EFA" w14:paraId="2B94659F"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482A639C" w14:textId="07F81C16" w:rsidR="005D28A6" w:rsidRPr="00CB7EFA" w:rsidRDefault="005D28A6" w:rsidP="00690A70">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1D3C40F3" w14:textId="6F9057A0" w:rsidR="005D28A6" w:rsidRPr="00CB7EFA" w:rsidRDefault="005D28A6"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t>Equation</w:t>
            </w:r>
            <w:r w:rsidR="00B73406">
              <w:t>s</w:t>
            </w:r>
            <w:r w:rsidRPr="00CB7EFA">
              <w:t xml:space="preserve"> (</w:t>
            </w:r>
            <w:r>
              <w:t>1</w:t>
            </w:r>
            <w:r w:rsidR="00BB6969">
              <w:t>6</w:t>
            </w:r>
            <w:r w:rsidRPr="00CB7EFA">
              <w:t>)</w:t>
            </w:r>
            <w:r>
              <w:t>, (1</w:t>
            </w:r>
            <w:r w:rsidR="00BB6969">
              <w:t>7</w:t>
            </w:r>
            <w:r>
              <w:t>)</w:t>
            </w:r>
          </w:p>
        </w:tc>
      </w:tr>
      <w:tr w:rsidR="005D28A6" w:rsidRPr="00CB7EFA" w14:paraId="733CC1A3"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770B5934" w14:textId="41C429B3" w:rsidR="005D28A6" w:rsidRPr="00CB7EFA" w:rsidRDefault="005D28A6" w:rsidP="00690A70">
            <w:pPr>
              <w:pStyle w:val="SDMTableBoxParaNotNumbered"/>
              <w:spacing w:before="40" w:after="40"/>
            </w:pPr>
            <w:r w:rsidRPr="00CB7EFA">
              <w:t>Purpose of data</w:t>
            </w:r>
            <w:r w:rsidR="00675D7A" w:rsidRPr="00675D7A">
              <w:t>:</w:t>
            </w:r>
          </w:p>
        </w:tc>
        <w:tc>
          <w:tcPr>
            <w:tcW w:w="2128" w:type="dxa"/>
            <w:tcBorders>
              <w:right w:val="nil"/>
            </w:tcBorders>
          </w:tcPr>
          <w:p w14:paraId="096A14EF" w14:textId="77777777" w:rsidR="005D28A6" w:rsidRPr="00CB7EFA" w:rsidRDefault="005D28A6"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45B1BDCF" w14:textId="5CBD89C8" w:rsidR="005D28A6" w:rsidRPr="00CB7EFA" w:rsidRDefault="005D28A6"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4ECB95C0" w14:textId="77777777" w:rsidR="005D28A6" w:rsidRPr="00CB7EFA" w:rsidRDefault="005D28A6"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5D28A6" w:rsidRPr="00CB7EFA" w14:paraId="4B893761"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7CDD70B7" w14:textId="7F8206CE" w:rsidR="005D28A6" w:rsidRPr="00CB7EFA" w:rsidRDefault="005D28A6" w:rsidP="00690A70">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39CAFA2E" w14:textId="77777777" w:rsidR="00B81D87" w:rsidRDefault="00B81D87"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t>Non-condensable gases sampling shall be carried out in production wells or at the steam field-power plant interface either using “ASTM Standard Practice E1675 for Sampling 2-Phase Geothermal Fluid for Purposes of Chemical Analysis” (as applicable to sampling single phase steam only) or an equivalent standard.</w:t>
            </w:r>
          </w:p>
          <w:p w14:paraId="3AEC938C" w14:textId="77777777" w:rsidR="00B81D87" w:rsidRDefault="00B81D87"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t>The CO</w:t>
            </w:r>
            <w:r w:rsidRPr="636CA247">
              <w:rPr>
                <w:vertAlign w:val="subscript"/>
              </w:rPr>
              <w:t>2</w:t>
            </w:r>
            <w:r>
              <w:t xml:space="preserve"> and CH</w:t>
            </w:r>
            <w:r w:rsidRPr="636CA247">
              <w:rPr>
                <w:vertAlign w:val="subscript"/>
              </w:rPr>
              <w:t>4</w:t>
            </w:r>
            <w:r>
              <w:t xml:space="preserve"> sampling and analysis procedure consists of collecting non-condensable gas samples from the main steam line with glass flasks, filled with sodium hydroxide solution and additional chemicals to prevent oxidation. H</w:t>
            </w:r>
            <w:r w:rsidRPr="636CA247">
              <w:rPr>
                <w:vertAlign w:val="subscript"/>
              </w:rPr>
              <w:t>2</w:t>
            </w:r>
            <w:r>
              <w:t>S and CO</w:t>
            </w:r>
            <w:r w:rsidRPr="636CA247">
              <w:rPr>
                <w:vertAlign w:val="subscript"/>
              </w:rPr>
              <w:t>2</w:t>
            </w:r>
            <w:r>
              <w:t xml:space="preserve"> dissolve in the solvent while the residual compounds remain in their gaseous phase. The gas portion is then analyzed using gas </w:t>
            </w:r>
            <w:r>
              <w:lastRenderedPageBreak/>
              <w:t>chromatography to determine the content of the residuals including CH</w:t>
            </w:r>
            <w:r w:rsidRPr="636CA247">
              <w:rPr>
                <w:vertAlign w:val="subscript"/>
              </w:rPr>
              <w:t>4</w:t>
            </w:r>
            <w:r>
              <w:t>.</w:t>
            </w:r>
          </w:p>
          <w:p w14:paraId="0998F204" w14:textId="20E53DB9" w:rsidR="005D28A6" w:rsidRPr="00CB7EFA" w:rsidRDefault="00B81D87" w:rsidP="007255A3">
            <w:pPr>
              <w:pStyle w:val="SDMTableBoxParaNotNumbered"/>
              <w:numPr>
                <w:ilvl w:val="0"/>
                <w:numId w:val="22"/>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rsidRPr="00C6150B">
              <w:t xml:space="preserve">All alkanes concentrations </w:t>
            </w:r>
            <w:r>
              <w:t>may be</w:t>
            </w:r>
            <w:r w:rsidRPr="00C6150B">
              <w:t xml:space="preserve"> reported in terms of methane</w:t>
            </w:r>
          </w:p>
        </w:tc>
      </w:tr>
      <w:tr w:rsidR="005D28A6" w:rsidRPr="00CB7EFA" w14:paraId="04B91F78"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A1E595B" w14:textId="55FBB86C" w:rsidR="005D28A6" w:rsidRPr="00CB7EFA" w:rsidRDefault="005D28A6" w:rsidP="00690A70">
            <w:pPr>
              <w:pStyle w:val="SDMTableBoxParaNotNumbered"/>
              <w:spacing w:before="40" w:after="40"/>
              <w:rPr>
                <w:rFonts w:cs="Arial"/>
              </w:rPr>
            </w:pPr>
            <w:r w:rsidRPr="00CB7EFA">
              <w:lastRenderedPageBreak/>
              <w:t>Measurement and updating frequency</w:t>
            </w:r>
            <w:r w:rsidR="00675D7A" w:rsidRPr="00675D7A">
              <w:t>:</w:t>
            </w:r>
          </w:p>
        </w:tc>
        <w:tc>
          <w:tcPr>
            <w:tcW w:w="6386" w:type="dxa"/>
            <w:gridSpan w:val="4"/>
          </w:tcPr>
          <w:p w14:paraId="2956DF16" w14:textId="4D4C1FFA" w:rsidR="005D28A6" w:rsidRPr="00CB7EFA" w:rsidRDefault="008B3395" w:rsidP="00690A70">
            <w:pPr>
              <w:pStyle w:val="SDMTableBoxParaNotNumbered"/>
              <w:spacing w:before="60" w:after="60"/>
              <w:cnfStyle w:val="000000000000" w:firstRow="0" w:lastRow="0" w:firstColumn="0" w:lastColumn="0" w:oddVBand="0" w:evenVBand="0" w:oddHBand="0" w:evenHBand="0" w:firstRowFirstColumn="0" w:firstRowLastColumn="0" w:lastRowFirstColumn="0" w:lastRowLastColumn="0"/>
            </w:pPr>
            <w:r w:rsidRPr="0031635F">
              <w:t>At least every three months and more frequently, if necessary</w:t>
            </w:r>
          </w:p>
        </w:tc>
      </w:tr>
      <w:tr w:rsidR="005D28A6" w:rsidRPr="00CB7EFA" w14:paraId="1CFD466B"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4CF8F537" w14:textId="4FABE238" w:rsidR="005D28A6" w:rsidRPr="00CB7EFA" w:rsidRDefault="005D28A6" w:rsidP="00690A70">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05E428C8" w14:textId="32B7FB5F" w:rsidR="005D28A6" w:rsidRPr="00CB7EFA" w:rsidRDefault="00DA5EA1"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Activity participants or third-party laboratory</w:t>
            </w:r>
          </w:p>
        </w:tc>
      </w:tr>
      <w:tr w:rsidR="00D22561" w:rsidRPr="00CB7EFA" w14:paraId="4192D27E"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vMerge w:val="restart"/>
          </w:tcPr>
          <w:p w14:paraId="3B832E78" w14:textId="2FD3A2F6" w:rsidR="00D22561" w:rsidRPr="00CB7EFA" w:rsidRDefault="00D22561" w:rsidP="00D22561">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329A82E4" w14:textId="77777777" w:rsidR="00D22561" w:rsidRPr="00CB7EFA" w:rsidRDefault="00D22561" w:rsidP="00D22561">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6C9C41BD" w14:textId="057CA5FE" w:rsidR="00D22561" w:rsidRPr="00CB7EFA" w:rsidRDefault="00D22561"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t>As per the “ASTM Standard Practice E1675 for Sampling 2-Phase Geothermal Fluid for Purposes of Chemical Analysis” or equivalent</w:t>
            </w:r>
          </w:p>
        </w:tc>
      </w:tr>
      <w:tr w:rsidR="00D22561" w:rsidRPr="00CB7EFA" w14:paraId="46EE94AE"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38A1F5BA" w14:textId="77777777" w:rsidR="00D22561" w:rsidRPr="00CB7EFA" w:rsidRDefault="00D22561" w:rsidP="00D22561">
            <w:pPr>
              <w:pStyle w:val="SDMTableBoxParaNotNumbered"/>
              <w:spacing w:before="40" w:after="40"/>
              <w:rPr>
                <w:rFonts w:cs="Arial"/>
              </w:rPr>
            </w:pPr>
          </w:p>
        </w:tc>
        <w:tc>
          <w:tcPr>
            <w:tcW w:w="2441" w:type="dxa"/>
            <w:gridSpan w:val="2"/>
          </w:tcPr>
          <w:p w14:paraId="385CC520" w14:textId="77777777" w:rsidR="00D22561" w:rsidRPr="00CB7EFA" w:rsidRDefault="00D22561" w:rsidP="00D22561">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5A032D52" w14:textId="734F7189" w:rsidR="00D22561" w:rsidRPr="00CB7EFA" w:rsidRDefault="00D22561"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t>As per the “ASTM Standard Practice E1675 for Sampling 2-Phase Geothermal Fluid for Purposes of Chemical Analysis” or equivalent</w:t>
            </w:r>
          </w:p>
        </w:tc>
      </w:tr>
      <w:tr w:rsidR="00D22561" w:rsidRPr="00CB7EFA" w14:paraId="497AE296"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49CAB4A5" w14:textId="77777777" w:rsidR="00D22561" w:rsidRPr="00CB7EFA" w:rsidRDefault="00D22561" w:rsidP="00D22561">
            <w:pPr>
              <w:pStyle w:val="SDMTableBoxParaNotNumbered"/>
              <w:spacing w:before="40" w:after="40"/>
              <w:rPr>
                <w:rFonts w:cs="Arial"/>
              </w:rPr>
            </w:pPr>
          </w:p>
        </w:tc>
        <w:tc>
          <w:tcPr>
            <w:tcW w:w="2441" w:type="dxa"/>
            <w:gridSpan w:val="2"/>
          </w:tcPr>
          <w:p w14:paraId="00810B31" w14:textId="77777777" w:rsidR="00D22561" w:rsidRPr="00CB7EFA" w:rsidRDefault="00D22561" w:rsidP="00D22561">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719703D4" w14:textId="6B8530D3" w:rsidR="00D22561" w:rsidRPr="00CB7EFA" w:rsidRDefault="00D22561"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t>As per the “ASTM Standard Practice E1675 for Sampling 2-Phase Geothermal Fluid for Purposes of Chemical Analysis” or equivalent</w:t>
            </w:r>
          </w:p>
        </w:tc>
      </w:tr>
      <w:tr w:rsidR="00D22561" w:rsidRPr="00CB7EFA" w14:paraId="1E8C6202"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vMerge/>
          </w:tcPr>
          <w:p w14:paraId="0A538291" w14:textId="77777777" w:rsidR="00D22561" w:rsidRPr="00CB7EFA" w:rsidRDefault="00D22561" w:rsidP="00D22561">
            <w:pPr>
              <w:pStyle w:val="SDMTableBoxParaNotNumbered"/>
              <w:spacing w:before="40" w:after="40"/>
              <w:rPr>
                <w:rFonts w:cs="Arial"/>
              </w:rPr>
            </w:pPr>
          </w:p>
        </w:tc>
        <w:tc>
          <w:tcPr>
            <w:tcW w:w="2441" w:type="dxa"/>
            <w:gridSpan w:val="2"/>
          </w:tcPr>
          <w:p w14:paraId="40C4A1A2" w14:textId="77777777" w:rsidR="00D22561" w:rsidRPr="00CB7EFA" w:rsidRDefault="00D22561" w:rsidP="00D22561">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52799D17" w14:textId="28166DB0" w:rsidR="00D22561" w:rsidRPr="00CB7EFA" w:rsidRDefault="00D22561" w:rsidP="00D22561">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t>N/A</w:t>
            </w:r>
          </w:p>
        </w:tc>
      </w:tr>
      <w:tr w:rsidR="005D28A6" w:rsidRPr="00CB7EFA" w14:paraId="55A98840"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0A98BABA" w14:textId="492F20B4" w:rsidR="005D28A6" w:rsidRPr="00CB7EFA" w:rsidRDefault="005D28A6" w:rsidP="00690A70">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20401670" w14:textId="5C275354" w:rsidR="005D28A6" w:rsidRPr="00CB7EFA" w:rsidRDefault="00D22561"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w:t>
            </w:r>
          </w:p>
        </w:tc>
      </w:tr>
      <w:tr w:rsidR="005D28A6" w:rsidRPr="00CB7EFA" w14:paraId="7E965489"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3DCD69D" w14:textId="330F6ECC" w:rsidR="005D28A6" w:rsidRPr="00CB7EFA" w:rsidRDefault="005D28A6" w:rsidP="00B7767A">
            <w:pPr>
              <w:pStyle w:val="SDMTableBoxParaNotNumbered"/>
              <w:keepNext/>
              <w:spacing w:before="40" w:after="40"/>
            </w:pPr>
            <w:r w:rsidRPr="00CB7EFA">
              <w:t>Treatment of uncertainty</w:t>
            </w:r>
            <w:r w:rsidR="00675D7A" w:rsidRPr="00675D7A">
              <w:t>:</w:t>
            </w:r>
          </w:p>
        </w:tc>
        <w:tc>
          <w:tcPr>
            <w:tcW w:w="6386" w:type="dxa"/>
            <w:gridSpan w:val="4"/>
          </w:tcPr>
          <w:p w14:paraId="2A223D4C" w14:textId="77777777" w:rsidR="005D28A6" w:rsidRPr="00CB7EFA" w:rsidRDefault="005D28A6"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rsidRPr="00E24B77">
              <w:rPr>
                <w:rFonts w:cs="Arial"/>
              </w:rPr>
              <w:t>Uncertainties are determined based on the measuring instruments</w:t>
            </w:r>
          </w:p>
        </w:tc>
      </w:tr>
      <w:tr w:rsidR="005D28A6" w:rsidRPr="00CB7EFA" w14:paraId="0FB41342" w14:textId="77777777" w:rsidTr="00E91A4D">
        <w:trPr>
          <w:cantSplit w:val="0"/>
        </w:trPr>
        <w:tc>
          <w:tcPr>
            <w:cnfStyle w:val="001000000000" w:firstRow="0" w:lastRow="0" w:firstColumn="1" w:lastColumn="0" w:oddVBand="0" w:evenVBand="0" w:oddHBand="0" w:evenHBand="0" w:firstRowFirstColumn="0" w:firstRowLastColumn="0" w:lastRowFirstColumn="0" w:lastRowLastColumn="0"/>
            <w:tcW w:w="2232" w:type="dxa"/>
          </w:tcPr>
          <w:p w14:paraId="68361A5B" w14:textId="1D5FDDA2" w:rsidR="005D28A6" w:rsidRPr="00CB7EFA" w:rsidRDefault="005D28A6" w:rsidP="00690A70">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7E9E085F" w14:textId="3CD86F33" w:rsidR="005D28A6" w:rsidRPr="00CB7EFA" w:rsidRDefault="00632FFD"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636CA247">
              <w:rPr>
                <w:rFonts w:cs="Arial"/>
              </w:rPr>
              <w:t>This parameter shall be monitored only for dry, flash steam and binary geothermal power projects</w:t>
            </w:r>
          </w:p>
        </w:tc>
      </w:tr>
    </w:tbl>
    <w:p w14:paraId="35128F2E" w14:textId="39CE9A9F" w:rsidR="00632FFD" w:rsidRPr="00CB7EFA" w:rsidRDefault="00632FFD" w:rsidP="00632FFD">
      <w:pPr>
        <w:pStyle w:val="Caption"/>
      </w:pPr>
      <w:r w:rsidRPr="00CB7EFA">
        <w:t>Data / Parameter table </w:t>
      </w:r>
      <w:fldSimple w:instr=" SEQ Data_/_Parameter_table \* ARABIC ">
        <w:r w:rsidR="00D0578E">
          <w:rPr>
            <w:noProof/>
          </w:rPr>
          <w:t>12</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632FFD" w:rsidRPr="00CB7EFA" w14:paraId="3DD40FFA" w14:textId="77777777" w:rsidTr="00690A70">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232" w:type="dxa"/>
          </w:tcPr>
          <w:p w14:paraId="240B9CB9" w14:textId="77777777" w:rsidR="00632FFD" w:rsidRPr="00CB7EFA" w:rsidRDefault="00632FFD" w:rsidP="00690A70">
            <w:pPr>
              <w:pStyle w:val="SDMTableBoxParaNotNumbered"/>
              <w:spacing w:before="40" w:after="40"/>
            </w:pPr>
            <w:r w:rsidRPr="00CB7EFA">
              <w:t>Data / Parameter:</w:t>
            </w:r>
          </w:p>
        </w:tc>
        <w:tc>
          <w:tcPr>
            <w:tcW w:w="6386" w:type="dxa"/>
            <w:gridSpan w:val="4"/>
          </w:tcPr>
          <w:p w14:paraId="6C8823D8" w14:textId="7930AD66" w:rsidR="00632FFD" w:rsidRPr="001A7D05" w:rsidRDefault="0039641B" w:rsidP="00690A70">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steam, CH</m:t>
                    </m:r>
                    <m:r>
                      <m:rPr>
                        <m:sty m:val="bi"/>
                      </m:rPr>
                      <w:rPr>
                        <w:rFonts w:ascii="Cambria Math" w:hAnsi="Cambria Math"/>
                      </w:rPr>
                      <m:t>4,y</m:t>
                    </m:r>
                  </m:sub>
                </m:sSub>
              </m:oMath>
            </m:oMathPara>
          </w:p>
        </w:tc>
      </w:tr>
      <w:tr w:rsidR="001F3CDD" w:rsidRPr="00CB7EFA" w14:paraId="1CA2A271" w14:textId="77777777" w:rsidTr="00690A70">
        <w:trPr>
          <w:trHeight w:val="22"/>
        </w:trPr>
        <w:tc>
          <w:tcPr>
            <w:cnfStyle w:val="001000000000" w:firstRow="0" w:lastRow="0" w:firstColumn="1" w:lastColumn="0" w:oddVBand="0" w:evenVBand="0" w:oddHBand="0" w:evenHBand="0" w:firstRowFirstColumn="0" w:firstRowLastColumn="0" w:lastRowFirstColumn="0" w:lastRowLastColumn="0"/>
            <w:tcW w:w="2232" w:type="dxa"/>
          </w:tcPr>
          <w:p w14:paraId="0B75C310" w14:textId="77777777" w:rsidR="001F3CDD" w:rsidRPr="00CB7EFA" w:rsidRDefault="001F3CDD" w:rsidP="001F3CDD">
            <w:pPr>
              <w:pStyle w:val="SDMTableBoxParaNotNumbered"/>
              <w:spacing w:before="40" w:after="40"/>
            </w:pPr>
            <w:r w:rsidRPr="00CB7EFA">
              <w:t>Description:</w:t>
            </w:r>
          </w:p>
        </w:tc>
        <w:tc>
          <w:tcPr>
            <w:tcW w:w="6386" w:type="dxa"/>
            <w:gridSpan w:val="4"/>
          </w:tcPr>
          <w:p w14:paraId="3FC8FD1A" w14:textId="654102CA" w:rsidR="001F3CDD" w:rsidRPr="00CB7EFA" w:rsidRDefault="001F3CDD" w:rsidP="001F3CD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B42EF6">
              <w:rPr>
                <w:rFonts w:cs="Arial"/>
              </w:rPr>
              <w:t xml:space="preserve">Average mass fraction of </w:t>
            </w:r>
            <w:r w:rsidRPr="00B42EF6">
              <w:t xml:space="preserve">methane </w:t>
            </w:r>
            <w:r w:rsidRPr="00B42EF6">
              <w:rPr>
                <w:rFonts w:cs="Arial"/>
              </w:rPr>
              <w:t>in the produced steam in year </w:t>
            </w:r>
            <w:r w:rsidRPr="00B42EF6">
              <w:rPr>
                <w:rFonts w:cs="Arial"/>
                <w:i/>
              </w:rPr>
              <w:t>y</w:t>
            </w:r>
          </w:p>
        </w:tc>
      </w:tr>
      <w:tr w:rsidR="001F3CDD" w:rsidRPr="00CB7EFA" w14:paraId="17BE1D37"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263E9448" w14:textId="77777777" w:rsidR="001F3CDD" w:rsidRPr="00CB7EFA" w:rsidRDefault="001F3CDD" w:rsidP="001F3CDD">
            <w:pPr>
              <w:pStyle w:val="SDMTableBoxParaNotNumbered"/>
              <w:spacing w:before="40" w:after="40"/>
            </w:pPr>
            <w:r w:rsidRPr="00CB7EFA">
              <w:t>Data unit:</w:t>
            </w:r>
          </w:p>
        </w:tc>
        <w:tc>
          <w:tcPr>
            <w:tcW w:w="6386" w:type="dxa"/>
            <w:gridSpan w:val="4"/>
          </w:tcPr>
          <w:p w14:paraId="49CB4FB8" w14:textId="74469A08" w:rsidR="001F3CDD" w:rsidRPr="00CB7EFA" w:rsidRDefault="001F3CDD" w:rsidP="001F3CD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t</w:t>
            </w:r>
            <w:r w:rsidR="006D01B0">
              <w:t> </w:t>
            </w:r>
            <w:r>
              <w:t>CH</w:t>
            </w:r>
            <w:r>
              <w:rPr>
                <w:vertAlign w:val="subscript"/>
              </w:rPr>
              <w:t>4</w:t>
            </w:r>
            <w:r w:rsidR="00B73406">
              <w:t> </w:t>
            </w:r>
            <w:r>
              <w:t>/</w:t>
            </w:r>
            <w:r w:rsidR="00B73406">
              <w:t xml:space="preserve"> </w:t>
            </w:r>
            <w:r>
              <w:t>t</w:t>
            </w:r>
            <w:r w:rsidR="00B73406">
              <w:t> </w:t>
            </w:r>
            <w:r w:rsidRPr="00B73406">
              <w:t>steam</w:t>
            </w:r>
          </w:p>
        </w:tc>
      </w:tr>
      <w:tr w:rsidR="00632FFD" w:rsidRPr="00CB7EFA" w14:paraId="3A0B3B54"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3737283" w14:textId="321E9A4F" w:rsidR="00632FFD" w:rsidRPr="00CB7EFA" w:rsidRDefault="00632FFD" w:rsidP="00690A70">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2EFCF9E3" w14:textId="5C3001EA" w:rsidR="00632FFD" w:rsidRPr="00CB7EFA" w:rsidRDefault="00632FF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t>Equation</w:t>
            </w:r>
            <w:r w:rsidR="00B73406">
              <w:t>s</w:t>
            </w:r>
            <w:r w:rsidRPr="00CB7EFA">
              <w:t xml:space="preserve"> (</w:t>
            </w:r>
            <w:r>
              <w:t>16</w:t>
            </w:r>
            <w:r w:rsidRPr="00CB7EFA">
              <w:t>)</w:t>
            </w:r>
            <w:r>
              <w:t>, (17)</w:t>
            </w:r>
          </w:p>
        </w:tc>
      </w:tr>
      <w:tr w:rsidR="00632FFD" w:rsidRPr="00CB7EFA" w14:paraId="5835BA27"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BEFD264" w14:textId="026DBD4E" w:rsidR="00632FFD" w:rsidRPr="00CB7EFA" w:rsidRDefault="00632FFD" w:rsidP="00690A70">
            <w:pPr>
              <w:pStyle w:val="SDMTableBoxParaNotNumbered"/>
              <w:spacing w:before="40" w:after="40"/>
            </w:pPr>
            <w:r w:rsidRPr="00CB7EFA">
              <w:t>Purpose of data</w:t>
            </w:r>
            <w:r w:rsidR="00675D7A" w:rsidRPr="00675D7A">
              <w:t>:</w:t>
            </w:r>
          </w:p>
        </w:tc>
        <w:tc>
          <w:tcPr>
            <w:tcW w:w="2128" w:type="dxa"/>
            <w:tcBorders>
              <w:right w:val="nil"/>
            </w:tcBorders>
          </w:tcPr>
          <w:p w14:paraId="1A672E1B" w14:textId="77777777" w:rsidR="00632FFD" w:rsidRPr="00CB7EFA" w:rsidRDefault="00632FF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03608B3E" w14:textId="6E5BAF78" w:rsidR="00632FFD" w:rsidRPr="00CB7EFA" w:rsidRDefault="00632FF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29CA7D4D" w14:textId="77777777" w:rsidR="00632FFD" w:rsidRPr="00CB7EFA" w:rsidRDefault="00632FF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0A6947" w:rsidRPr="00CB7EFA" w14:paraId="237F1DD0"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20335970" w14:textId="35349F59" w:rsidR="000A6947" w:rsidRPr="00CB7EFA" w:rsidRDefault="000A6947" w:rsidP="000A6947">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5936B9B4" w14:textId="5DB2147E" w:rsidR="000A6947" w:rsidRPr="00CB7EFA" w:rsidRDefault="000A6947" w:rsidP="000A6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863D93">
              <w:rPr>
                <w:rFonts w:cs="Arial"/>
              </w:rPr>
              <w:t xml:space="preserve">As per the procedures outlined for </w:t>
            </w:r>
            <w:r w:rsidRPr="00863D93">
              <w:rPr>
                <w:rFonts w:cs="Arial"/>
                <w:i/>
              </w:rPr>
              <w:t>w</w:t>
            </w:r>
            <w:r w:rsidRPr="00863D93">
              <w:rPr>
                <w:rFonts w:cs="Arial"/>
                <w:i/>
                <w:vertAlign w:val="subscript"/>
              </w:rPr>
              <w:t>steam,</w:t>
            </w:r>
            <w:r>
              <w:rPr>
                <w:rFonts w:cs="Arial"/>
                <w:i/>
                <w:vertAlign w:val="subscript"/>
              </w:rPr>
              <w:t>CO2</w:t>
            </w:r>
            <w:r w:rsidRPr="00863D93">
              <w:rPr>
                <w:rFonts w:cs="Arial"/>
                <w:i/>
                <w:vertAlign w:val="subscript"/>
              </w:rPr>
              <w:t>,y</w:t>
            </w:r>
          </w:p>
        </w:tc>
      </w:tr>
      <w:tr w:rsidR="000A6947" w:rsidRPr="00CB7EFA" w14:paraId="0891B727"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EA76BDC" w14:textId="3746C4C5" w:rsidR="000A6947" w:rsidRPr="00CB7EFA" w:rsidRDefault="000A6947" w:rsidP="000A6947">
            <w:pPr>
              <w:pStyle w:val="SDMTableBoxParaNotNumbered"/>
              <w:spacing w:before="40" w:after="40"/>
              <w:rPr>
                <w:rFonts w:cs="Arial"/>
              </w:rPr>
            </w:pPr>
            <w:r w:rsidRPr="00CB7EFA">
              <w:t>Measurement and updating frequency</w:t>
            </w:r>
            <w:r w:rsidR="00675D7A" w:rsidRPr="00675D7A">
              <w:t>:</w:t>
            </w:r>
          </w:p>
        </w:tc>
        <w:tc>
          <w:tcPr>
            <w:tcW w:w="6386" w:type="dxa"/>
            <w:gridSpan w:val="4"/>
          </w:tcPr>
          <w:p w14:paraId="57E1B2B5" w14:textId="13C90D41" w:rsidR="000A6947" w:rsidRPr="00CB7EFA" w:rsidRDefault="000A6947" w:rsidP="000A6947">
            <w:pPr>
              <w:pStyle w:val="SDMTableBoxParaNotNumbered"/>
              <w:spacing w:before="60" w:after="60"/>
              <w:cnfStyle w:val="000000000000" w:firstRow="0" w:lastRow="0" w:firstColumn="0" w:lastColumn="0" w:oddVBand="0" w:evenVBand="0" w:oddHBand="0" w:evenHBand="0" w:firstRowFirstColumn="0" w:firstRowLastColumn="0" w:lastRowFirstColumn="0" w:lastRowLastColumn="0"/>
            </w:pPr>
            <w:r w:rsidRPr="00863D93">
              <w:rPr>
                <w:rFonts w:cs="Arial"/>
              </w:rPr>
              <w:t xml:space="preserve">As per the procedures outlined for </w:t>
            </w:r>
            <w:r w:rsidRPr="00863D93">
              <w:rPr>
                <w:rFonts w:cs="Arial"/>
                <w:i/>
              </w:rPr>
              <w:t>w</w:t>
            </w:r>
            <w:r w:rsidRPr="00863D93">
              <w:rPr>
                <w:rFonts w:cs="Arial"/>
                <w:i/>
                <w:vertAlign w:val="subscript"/>
              </w:rPr>
              <w:t>steam,</w:t>
            </w:r>
            <w:r>
              <w:rPr>
                <w:rFonts w:cs="Arial"/>
                <w:i/>
                <w:vertAlign w:val="subscript"/>
              </w:rPr>
              <w:t>CO2</w:t>
            </w:r>
            <w:r w:rsidRPr="00863D93">
              <w:rPr>
                <w:rFonts w:cs="Arial"/>
                <w:i/>
                <w:vertAlign w:val="subscript"/>
              </w:rPr>
              <w:t>,y</w:t>
            </w:r>
          </w:p>
        </w:tc>
      </w:tr>
      <w:tr w:rsidR="000A6947" w:rsidRPr="00CB7EFA" w14:paraId="1BE9F27E"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92C0E23" w14:textId="4371EADA" w:rsidR="000A6947" w:rsidRPr="00CB7EFA" w:rsidRDefault="000A6947" w:rsidP="000A6947">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0A272CAF" w14:textId="230E242C" w:rsidR="000A6947" w:rsidRPr="00CB7EFA" w:rsidRDefault="000A6947" w:rsidP="000A6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863D93">
              <w:rPr>
                <w:rFonts w:cs="Arial"/>
              </w:rPr>
              <w:t xml:space="preserve">As per the procedures outlined for </w:t>
            </w:r>
            <w:r w:rsidRPr="00863D93">
              <w:rPr>
                <w:rFonts w:cs="Arial"/>
                <w:i/>
              </w:rPr>
              <w:t>w</w:t>
            </w:r>
            <w:r w:rsidRPr="00863D93">
              <w:rPr>
                <w:rFonts w:cs="Arial"/>
                <w:i/>
                <w:vertAlign w:val="subscript"/>
              </w:rPr>
              <w:t>steam,</w:t>
            </w:r>
            <w:r>
              <w:rPr>
                <w:rFonts w:cs="Arial"/>
                <w:i/>
                <w:vertAlign w:val="subscript"/>
              </w:rPr>
              <w:t>CO2</w:t>
            </w:r>
            <w:r w:rsidRPr="00863D93">
              <w:rPr>
                <w:rFonts w:cs="Arial"/>
                <w:i/>
                <w:vertAlign w:val="subscript"/>
              </w:rPr>
              <w:t>,y</w:t>
            </w:r>
          </w:p>
        </w:tc>
      </w:tr>
      <w:tr w:rsidR="000A6947" w:rsidRPr="00CB7EFA" w14:paraId="2A5CADAD"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val="restart"/>
          </w:tcPr>
          <w:p w14:paraId="79089919" w14:textId="20F96F45" w:rsidR="000A6947" w:rsidRPr="00CB7EFA" w:rsidRDefault="000A6947" w:rsidP="000A6947">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59E63F4E" w14:textId="77777777" w:rsidR="000A6947" w:rsidRPr="00CB7EFA" w:rsidRDefault="000A6947" w:rsidP="000A6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71176A7A" w14:textId="7FE99E39" w:rsidR="000A6947" w:rsidRPr="00CB7EFA" w:rsidRDefault="000A6947" w:rsidP="000A6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863D93">
              <w:rPr>
                <w:rFonts w:cs="Arial"/>
              </w:rPr>
              <w:t xml:space="preserve">As per the procedures outlined for </w:t>
            </w:r>
            <w:r w:rsidRPr="00863D93">
              <w:rPr>
                <w:rFonts w:cs="Arial"/>
                <w:i/>
              </w:rPr>
              <w:t>w</w:t>
            </w:r>
            <w:r w:rsidRPr="00863D93">
              <w:rPr>
                <w:rFonts w:cs="Arial"/>
                <w:i/>
                <w:vertAlign w:val="subscript"/>
              </w:rPr>
              <w:t>steam,</w:t>
            </w:r>
            <w:r>
              <w:rPr>
                <w:rFonts w:cs="Arial"/>
                <w:i/>
                <w:vertAlign w:val="subscript"/>
              </w:rPr>
              <w:t>CO2</w:t>
            </w:r>
            <w:r w:rsidRPr="00863D93">
              <w:rPr>
                <w:rFonts w:cs="Arial"/>
                <w:i/>
                <w:vertAlign w:val="subscript"/>
              </w:rPr>
              <w:t>,y</w:t>
            </w:r>
          </w:p>
        </w:tc>
      </w:tr>
      <w:tr w:rsidR="000A6947" w:rsidRPr="00CB7EFA" w14:paraId="3E064B84"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407F9A4B" w14:textId="77777777" w:rsidR="000A6947" w:rsidRPr="00CB7EFA" w:rsidRDefault="000A6947" w:rsidP="000A6947">
            <w:pPr>
              <w:pStyle w:val="SDMTableBoxParaNotNumbered"/>
              <w:spacing w:before="40" w:after="40"/>
              <w:rPr>
                <w:rFonts w:cs="Arial"/>
              </w:rPr>
            </w:pPr>
          </w:p>
        </w:tc>
        <w:tc>
          <w:tcPr>
            <w:tcW w:w="2441" w:type="dxa"/>
            <w:gridSpan w:val="2"/>
          </w:tcPr>
          <w:p w14:paraId="7A4EFDEB" w14:textId="77777777" w:rsidR="000A6947" w:rsidRPr="00CB7EFA" w:rsidRDefault="000A6947" w:rsidP="000A6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437015EF" w14:textId="6D3EBBA6" w:rsidR="000A6947" w:rsidRPr="00CB7EFA" w:rsidRDefault="000A6947" w:rsidP="000A6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rsidRPr="00863D93">
              <w:rPr>
                <w:rFonts w:cs="Arial"/>
              </w:rPr>
              <w:t xml:space="preserve">As per the procedures outlined for </w:t>
            </w:r>
            <w:r w:rsidRPr="00863D93">
              <w:rPr>
                <w:rFonts w:cs="Arial"/>
                <w:i/>
              </w:rPr>
              <w:t>w</w:t>
            </w:r>
            <w:r w:rsidRPr="00863D93">
              <w:rPr>
                <w:rFonts w:cs="Arial"/>
                <w:i/>
                <w:vertAlign w:val="subscript"/>
              </w:rPr>
              <w:t>steam,</w:t>
            </w:r>
            <w:r>
              <w:rPr>
                <w:rFonts w:cs="Arial"/>
                <w:i/>
                <w:vertAlign w:val="subscript"/>
              </w:rPr>
              <w:t>CO2</w:t>
            </w:r>
            <w:r w:rsidRPr="00863D93">
              <w:rPr>
                <w:rFonts w:cs="Arial"/>
                <w:i/>
                <w:vertAlign w:val="subscript"/>
              </w:rPr>
              <w:t>,y</w:t>
            </w:r>
          </w:p>
        </w:tc>
      </w:tr>
      <w:tr w:rsidR="000A6947" w:rsidRPr="00CB7EFA" w14:paraId="78E7CBBF"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128BCAB1" w14:textId="77777777" w:rsidR="000A6947" w:rsidRPr="00CB7EFA" w:rsidRDefault="000A6947" w:rsidP="000A6947">
            <w:pPr>
              <w:pStyle w:val="SDMTableBoxParaNotNumbered"/>
              <w:spacing w:before="40" w:after="40"/>
              <w:rPr>
                <w:rFonts w:cs="Arial"/>
              </w:rPr>
            </w:pPr>
          </w:p>
        </w:tc>
        <w:tc>
          <w:tcPr>
            <w:tcW w:w="2441" w:type="dxa"/>
            <w:gridSpan w:val="2"/>
          </w:tcPr>
          <w:p w14:paraId="17EBA392" w14:textId="77777777" w:rsidR="000A6947" w:rsidRPr="00CB7EFA" w:rsidRDefault="000A6947" w:rsidP="000A6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45EEE584" w14:textId="318F6A1E" w:rsidR="000A6947" w:rsidRPr="00CB7EFA" w:rsidRDefault="000A6947" w:rsidP="000A6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rsidRPr="00863D93">
              <w:rPr>
                <w:rFonts w:cs="Arial"/>
              </w:rPr>
              <w:t xml:space="preserve">As per the procedures outlined for </w:t>
            </w:r>
            <w:r w:rsidRPr="00863D93">
              <w:rPr>
                <w:rFonts w:cs="Arial"/>
                <w:i/>
              </w:rPr>
              <w:t>w</w:t>
            </w:r>
            <w:r w:rsidRPr="00863D93">
              <w:rPr>
                <w:rFonts w:cs="Arial"/>
                <w:i/>
                <w:vertAlign w:val="subscript"/>
              </w:rPr>
              <w:t>steam,</w:t>
            </w:r>
            <w:r>
              <w:rPr>
                <w:rFonts w:cs="Arial"/>
                <w:i/>
                <w:vertAlign w:val="subscript"/>
              </w:rPr>
              <w:t>CO2</w:t>
            </w:r>
            <w:r w:rsidRPr="00863D93">
              <w:rPr>
                <w:rFonts w:cs="Arial"/>
                <w:i/>
                <w:vertAlign w:val="subscript"/>
              </w:rPr>
              <w:t>,y</w:t>
            </w:r>
          </w:p>
        </w:tc>
      </w:tr>
      <w:tr w:rsidR="00632FFD" w:rsidRPr="00CB7EFA" w14:paraId="733ADE9C"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6F805392" w14:textId="77777777" w:rsidR="00632FFD" w:rsidRPr="00CB7EFA" w:rsidRDefault="00632FFD" w:rsidP="00690A70">
            <w:pPr>
              <w:pStyle w:val="SDMTableBoxParaNotNumbered"/>
              <w:spacing w:before="40" w:after="40"/>
              <w:rPr>
                <w:rFonts w:cs="Arial"/>
              </w:rPr>
            </w:pPr>
          </w:p>
        </w:tc>
        <w:tc>
          <w:tcPr>
            <w:tcW w:w="2441" w:type="dxa"/>
            <w:gridSpan w:val="2"/>
          </w:tcPr>
          <w:p w14:paraId="29130B8A" w14:textId="77777777" w:rsidR="00632FFD" w:rsidRPr="00CB7EFA" w:rsidRDefault="00632FF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5AAE7E94" w14:textId="77777777" w:rsidR="00632FFD" w:rsidRPr="00CB7EFA" w:rsidRDefault="00632FF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shd w:val="clear" w:color="auto" w:fill="E6E6E6"/>
              </w:rPr>
            </w:pPr>
            <w:r>
              <w:t>N/A</w:t>
            </w:r>
          </w:p>
        </w:tc>
      </w:tr>
      <w:tr w:rsidR="00632FFD" w:rsidRPr="00CB7EFA" w14:paraId="2E635587"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347B07A0" w14:textId="40CD50BD" w:rsidR="00632FFD" w:rsidRPr="00CB7EFA" w:rsidRDefault="00632FFD" w:rsidP="00690A70">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6EE04FD3" w14:textId="77777777" w:rsidR="00632FFD" w:rsidRPr="00CB7EFA" w:rsidRDefault="00632FFD"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w:t>
            </w:r>
          </w:p>
        </w:tc>
      </w:tr>
      <w:tr w:rsidR="000A6947" w:rsidRPr="00CB7EFA" w14:paraId="332D46D0"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33D4E9E5" w14:textId="2B686D31" w:rsidR="000A6947" w:rsidRPr="00CB7EFA" w:rsidRDefault="000A6947" w:rsidP="00B7767A">
            <w:pPr>
              <w:pStyle w:val="SDMTableBoxParaNotNumbered"/>
              <w:keepNext/>
              <w:spacing w:before="40" w:after="40"/>
            </w:pPr>
            <w:r w:rsidRPr="00CB7EFA">
              <w:t>Treatment of uncertainty</w:t>
            </w:r>
            <w:r w:rsidR="00675D7A" w:rsidRPr="00675D7A">
              <w:t>:</w:t>
            </w:r>
          </w:p>
        </w:tc>
        <w:tc>
          <w:tcPr>
            <w:tcW w:w="6386" w:type="dxa"/>
            <w:gridSpan w:val="4"/>
          </w:tcPr>
          <w:p w14:paraId="0A1DC578" w14:textId="611A1C3B" w:rsidR="000A6947" w:rsidRPr="00CB7EFA" w:rsidRDefault="000A6947" w:rsidP="00B7767A">
            <w:pPr>
              <w:pStyle w:val="SDMTableBoxParaNotNumbered"/>
              <w:keepNext/>
              <w:spacing w:before="40" w:after="40"/>
              <w:cnfStyle w:val="000000000000" w:firstRow="0" w:lastRow="0" w:firstColumn="0" w:lastColumn="0" w:oddVBand="0" w:evenVBand="0" w:oddHBand="0" w:evenHBand="0" w:firstRowFirstColumn="0" w:firstRowLastColumn="0" w:lastRowFirstColumn="0" w:lastRowLastColumn="0"/>
            </w:pPr>
            <w:r w:rsidRPr="00863D93">
              <w:rPr>
                <w:rFonts w:cs="Arial"/>
              </w:rPr>
              <w:t xml:space="preserve">As per the procedures outlined for </w:t>
            </w:r>
            <w:r w:rsidRPr="00863D93">
              <w:rPr>
                <w:rFonts w:cs="Arial"/>
                <w:i/>
              </w:rPr>
              <w:t>w</w:t>
            </w:r>
            <w:r w:rsidRPr="00863D93">
              <w:rPr>
                <w:rFonts w:cs="Arial"/>
                <w:i/>
                <w:vertAlign w:val="subscript"/>
              </w:rPr>
              <w:t>steam,</w:t>
            </w:r>
            <w:r>
              <w:rPr>
                <w:rFonts w:cs="Arial"/>
                <w:i/>
                <w:vertAlign w:val="subscript"/>
              </w:rPr>
              <w:t>CO2</w:t>
            </w:r>
            <w:r w:rsidRPr="00863D93">
              <w:rPr>
                <w:rFonts w:cs="Arial"/>
                <w:i/>
                <w:vertAlign w:val="subscript"/>
              </w:rPr>
              <w:t>,y</w:t>
            </w:r>
          </w:p>
        </w:tc>
      </w:tr>
      <w:tr w:rsidR="000A6947" w:rsidRPr="00CB7EFA" w14:paraId="7FC7BE46"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6B027892" w14:textId="3A04209F" w:rsidR="000A6947" w:rsidRPr="00CB7EFA" w:rsidRDefault="000A6947" w:rsidP="000A6947">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58D85F2A" w14:textId="166CC9EF" w:rsidR="000A6947" w:rsidRPr="00CB7EFA" w:rsidRDefault="000A6947" w:rsidP="000A6947">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863D93">
              <w:rPr>
                <w:rFonts w:cs="Arial"/>
              </w:rPr>
              <w:t xml:space="preserve">As per the procedures outlined for </w:t>
            </w:r>
            <w:r w:rsidRPr="00863D93">
              <w:rPr>
                <w:rFonts w:cs="Arial"/>
                <w:i/>
              </w:rPr>
              <w:t>w</w:t>
            </w:r>
            <w:r w:rsidRPr="00863D93">
              <w:rPr>
                <w:rFonts w:cs="Arial"/>
                <w:i/>
                <w:vertAlign w:val="subscript"/>
              </w:rPr>
              <w:t>steam,</w:t>
            </w:r>
            <w:r>
              <w:rPr>
                <w:rFonts w:cs="Arial"/>
                <w:i/>
                <w:vertAlign w:val="subscript"/>
              </w:rPr>
              <w:t>CO2</w:t>
            </w:r>
            <w:r w:rsidRPr="00863D93">
              <w:rPr>
                <w:rFonts w:cs="Arial"/>
                <w:i/>
                <w:vertAlign w:val="subscript"/>
              </w:rPr>
              <w:t>,y</w:t>
            </w:r>
          </w:p>
        </w:tc>
      </w:tr>
    </w:tbl>
    <w:p w14:paraId="1400A018" w14:textId="02EEB41A" w:rsidR="000A6947" w:rsidRPr="00CB7EFA" w:rsidRDefault="000A6947" w:rsidP="000A6947">
      <w:pPr>
        <w:pStyle w:val="Caption"/>
      </w:pPr>
      <w:r w:rsidRPr="00CB7EFA">
        <w:t>Data / Parameter table </w:t>
      </w:r>
      <w:fldSimple w:instr=" SEQ Data_/_Parameter_table \* ARABIC ">
        <w:r w:rsidR="00D0578E">
          <w:rPr>
            <w:noProof/>
          </w:rPr>
          <w:t>13</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0A6947" w:rsidRPr="00CB7EFA" w14:paraId="7AFFA6C8" w14:textId="77777777" w:rsidTr="00690A70">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232" w:type="dxa"/>
          </w:tcPr>
          <w:p w14:paraId="770A6E97" w14:textId="77777777" w:rsidR="000A6947" w:rsidRPr="00CB7EFA" w:rsidRDefault="000A6947" w:rsidP="00690A70">
            <w:pPr>
              <w:pStyle w:val="SDMTableBoxParaNotNumbered"/>
              <w:spacing w:before="40" w:after="40"/>
            </w:pPr>
            <w:r w:rsidRPr="00CB7EFA">
              <w:t>Data / Parameter:</w:t>
            </w:r>
          </w:p>
        </w:tc>
        <w:tc>
          <w:tcPr>
            <w:tcW w:w="6386" w:type="dxa"/>
            <w:gridSpan w:val="4"/>
          </w:tcPr>
          <w:p w14:paraId="664187B2" w14:textId="1A6A01AE" w:rsidR="000A6947" w:rsidRPr="001A7D05" w:rsidRDefault="0039641B" w:rsidP="00690A70">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i/>
                      </w:rPr>
                    </m:ctrlPr>
                  </m:sSubPr>
                  <m:e>
                    <m:r>
                      <m:rPr>
                        <m:sty m:val="bi"/>
                      </m:rPr>
                      <w:rPr>
                        <w:rFonts w:ascii="Cambria Math" w:hAnsi="Cambria Math"/>
                      </w:rPr>
                      <m:t>M</m:t>
                    </m:r>
                  </m:e>
                  <m:sub>
                    <m:r>
                      <m:rPr>
                        <m:sty m:val="bi"/>
                      </m:rPr>
                      <w:rPr>
                        <w:rFonts w:ascii="Cambria Math" w:hAnsi="Cambria Math"/>
                      </w:rPr>
                      <m:t>steam,y</m:t>
                    </m:r>
                  </m:sub>
                </m:sSub>
              </m:oMath>
            </m:oMathPara>
          </w:p>
        </w:tc>
      </w:tr>
      <w:tr w:rsidR="00FD125C" w:rsidRPr="00CB7EFA" w14:paraId="08D99473" w14:textId="77777777" w:rsidTr="00690A70">
        <w:trPr>
          <w:trHeight w:val="22"/>
        </w:trPr>
        <w:tc>
          <w:tcPr>
            <w:cnfStyle w:val="001000000000" w:firstRow="0" w:lastRow="0" w:firstColumn="1" w:lastColumn="0" w:oddVBand="0" w:evenVBand="0" w:oddHBand="0" w:evenHBand="0" w:firstRowFirstColumn="0" w:firstRowLastColumn="0" w:lastRowFirstColumn="0" w:lastRowLastColumn="0"/>
            <w:tcW w:w="2232" w:type="dxa"/>
          </w:tcPr>
          <w:p w14:paraId="3CAE2ECF" w14:textId="77777777" w:rsidR="00FD125C" w:rsidRPr="00CB7EFA" w:rsidRDefault="00FD125C" w:rsidP="00FD125C">
            <w:pPr>
              <w:pStyle w:val="SDMTableBoxParaNotNumbered"/>
              <w:spacing w:before="40" w:after="40"/>
            </w:pPr>
            <w:r w:rsidRPr="00CB7EFA">
              <w:t>Description:</w:t>
            </w:r>
          </w:p>
        </w:tc>
        <w:tc>
          <w:tcPr>
            <w:tcW w:w="6386" w:type="dxa"/>
            <w:gridSpan w:val="4"/>
          </w:tcPr>
          <w:p w14:paraId="01468143" w14:textId="11BE9C91" w:rsidR="00FD125C" w:rsidRPr="00CB7EFA" w:rsidRDefault="00FD125C" w:rsidP="00FD125C">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B42EF6">
              <w:rPr>
                <w:rFonts w:cs="Arial"/>
              </w:rPr>
              <w:t>Quantity of steam produced in year </w:t>
            </w:r>
            <w:r w:rsidRPr="00B42EF6">
              <w:rPr>
                <w:rFonts w:cs="Arial"/>
                <w:i/>
                <w:iCs/>
              </w:rPr>
              <w:t>y</w:t>
            </w:r>
          </w:p>
        </w:tc>
      </w:tr>
      <w:tr w:rsidR="00FD125C" w:rsidRPr="00CB7EFA" w14:paraId="53062498"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1E20C098" w14:textId="77777777" w:rsidR="00FD125C" w:rsidRPr="00CB7EFA" w:rsidRDefault="00FD125C" w:rsidP="00FD125C">
            <w:pPr>
              <w:pStyle w:val="SDMTableBoxParaNotNumbered"/>
              <w:spacing w:before="40" w:after="40"/>
            </w:pPr>
            <w:r w:rsidRPr="00CB7EFA">
              <w:t>Data unit:</w:t>
            </w:r>
          </w:p>
        </w:tc>
        <w:tc>
          <w:tcPr>
            <w:tcW w:w="6386" w:type="dxa"/>
            <w:gridSpan w:val="4"/>
          </w:tcPr>
          <w:p w14:paraId="69894AC4" w14:textId="38C66418" w:rsidR="00FD125C" w:rsidRPr="00CB7EFA" w:rsidRDefault="00FD125C" w:rsidP="00FD125C">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t</w:t>
            </w:r>
            <w:r w:rsidR="00B73406">
              <w:t> </w:t>
            </w:r>
            <w:r w:rsidRPr="00B73406">
              <w:t>steam</w:t>
            </w:r>
          </w:p>
        </w:tc>
      </w:tr>
      <w:tr w:rsidR="000A6947" w:rsidRPr="00CB7EFA" w14:paraId="2422819D"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2DB6C638" w14:textId="6CD34717" w:rsidR="000A6947" w:rsidRPr="00CB7EFA" w:rsidRDefault="000A6947" w:rsidP="00690A70">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57DF1481" w14:textId="7420A0D1" w:rsidR="000A6947" w:rsidRPr="00CB7EFA" w:rsidRDefault="000A6947"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t>Equation (</w:t>
            </w:r>
            <w:r>
              <w:t>16</w:t>
            </w:r>
            <w:r w:rsidRPr="00CB7EFA">
              <w:t>)</w:t>
            </w:r>
          </w:p>
        </w:tc>
      </w:tr>
      <w:tr w:rsidR="000A6947" w:rsidRPr="00CB7EFA" w14:paraId="0F5537FA"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AD33B53" w14:textId="5D7083A7" w:rsidR="000A6947" w:rsidRPr="00CB7EFA" w:rsidRDefault="000A6947" w:rsidP="00690A70">
            <w:pPr>
              <w:pStyle w:val="SDMTableBoxParaNotNumbered"/>
              <w:spacing w:before="40" w:after="40"/>
            </w:pPr>
            <w:r w:rsidRPr="00CB7EFA">
              <w:t>Purpose of data</w:t>
            </w:r>
            <w:r w:rsidR="00675D7A" w:rsidRPr="00675D7A">
              <w:t>:</w:t>
            </w:r>
          </w:p>
        </w:tc>
        <w:tc>
          <w:tcPr>
            <w:tcW w:w="2128" w:type="dxa"/>
            <w:tcBorders>
              <w:right w:val="nil"/>
            </w:tcBorders>
          </w:tcPr>
          <w:p w14:paraId="7497D071" w14:textId="77777777" w:rsidR="000A6947" w:rsidRPr="00CB7EFA" w:rsidRDefault="000A6947"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7F247176" w14:textId="4E678B6C" w:rsidR="000A6947" w:rsidRPr="00CB7EFA" w:rsidRDefault="000A6947"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3421CA28" w14:textId="77777777" w:rsidR="000A6947" w:rsidRPr="00CB7EFA" w:rsidRDefault="000A6947"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0A6947" w:rsidRPr="00CB7EFA" w14:paraId="5F3490F7"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3512452" w14:textId="465E14BF" w:rsidR="000A6947" w:rsidRPr="00CB7EFA" w:rsidRDefault="000A6947" w:rsidP="00690A70">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0588FB9F" w14:textId="77777777" w:rsidR="000A317F" w:rsidRPr="00347663" w:rsidRDefault="000A317F" w:rsidP="00114F85">
            <w:pPr>
              <w:pStyle w:val="SDMTableBoxParaNotNumbered"/>
              <w:spacing w:before="60" w:after="60"/>
              <w:jc w:val="both"/>
              <w:cnfStyle w:val="000000000000" w:firstRow="0" w:lastRow="0" w:firstColumn="0" w:lastColumn="0" w:oddVBand="0" w:evenVBand="0" w:oddHBand="0" w:evenHBand="0" w:firstRowFirstColumn="0" w:firstRowLastColumn="0" w:lastRowFirstColumn="0" w:lastRowLastColumn="0"/>
            </w:pPr>
            <w:r>
              <w:t>The steam quantity discharged from geothermal wells shall be measured with a Venturi flow meter (or other equipment with at least the same accuracy);</w:t>
            </w:r>
          </w:p>
          <w:p w14:paraId="6AEB47F6" w14:textId="7329C153" w:rsidR="000A6947" w:rsidRPr="00CB7EFA" w:rsidRDefault="000A317F"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t>Measurement of temperature and pressure upstream of the Venturi meter shall be conducted to define the steam properties, and the calculation of steam quantities shall be conducted on a continuous basis and shall be based on national or international standards</w:t>
            </w:r>
          </w:p>
        </w:tc>
      </w:tr>
      <w:tr w:rsidR="0054281C" w:rsidRPr="00CB7EFA" w14:paraId="0F55E6BC"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EAA4372" w14:textId="0ED1C50A" w:rsidR="0054281C" w:rsidRPr="00CB7EFA" w:rsidRDefault="0054281C" w:rsidP="0054281C">
            <w:pPr>
              <w:pStyle w:val="SDMTableBoxParaNotNumbered"/>
              <w:spacing w:before="40" w:after="40"/>
              <w:rPr>
                <w:rFonts w:cs="Arial"/>
              </w:rPr>
            </w:pPr>
            <w:r w:rsidRPr="00CB7EFA">
              <w:t>Measurement and updating frequency</w:t>
            </w:r>
            <w:r w:rsidR="00675D7A" w:rsidRPr="00675D7A">
              <w:t>:</w:t>
            </w:r>
          </w:p>
        </w:tc>
        <w:tc>
          <w:tcPr>
            <w:tcW w:w="6386" w:type="dxa"/>
            <w:gridSpan w:val="4"/>
          </w:tcPr>
          <w:p w14:paraId="64EA65F2" w14:textId="4AF991F5" w:rsidR="0054281C" w:rsidRPr="00CB7EFA" w:rsidRDefault="0054281C" w:rsidP="0054281C">
            <w:pPr>
              <w:pStyle w:val="SDMTableBoxParaNotNumbered"/>
              <w:spacing w:before="60" w:after="60"/>
              <w:cnfStyle w:val="000000000000" w:firstRow="0" w:lastRow="0" w:firstColumn="0" w:lastColumn="0" w:oddVBand="0" w:evenVBand="0" w:oddHBand="0" w:evenHBand="0" w:firstRowFirstColumn="0" w:firstRowLastColumn="0" w:lastRowFirstColumn="0" w:lastRowLastColumn="0"/>
            </w:pPr>
            <w:r>
              <w:rPr>
                <w:rFonts w:cs="Arial"/>
              </w:rPr>
              <w:t>Continuously measured</w:t>
            </w:r>
          </w:p>
        </w:tc>
      </w:tr>
      <w:tr w:rsidR="0054281C" w:rsidRPr="00CB7EFA" w14:paraId="40D84E55"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6D816A66" w14:textId="16C972E5" w:rsidR="0054281C" w:rsidRPr="00CB7EFA" w:rsidRDefault="0054281C" w:rsidP="0054281C">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18DBBC6D" w14:textId="27DB731F" w:rsidR="0054281C" w:rsidRPr="00CB7EFA" w:rsidRDefault="0054281C" w:rsidP="0054281C">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rFonts w:cs="Arial"/>
              </w:rPr>
              <w:t>Activity participants</w:t>
            </w:r>
          </w:p>
        </w:tc>
      </w:tr>
      <w:tr w:rsidR="004212B6" w:rsidRPr="00CB7EFA" w14:paraId="3A80B100"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val="restart"/>
          </w:tcPr>
          <w:p w14:paraId="4541D737" w14:textId="49BF544A" w:rsidR="004212B6" w:rsidRPr="00CB7EFA" w:rsidRDefault="004212B6" w:rsidP="004212B6">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09EA25A3" w14:textId="77777777" w:rsidR="004212B6" w:rsidRPr="00CB7EFA" w:rsidRDefault="004212B6" w:rsidP="004212B6">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76B28AB8" w14:textId="28039370" w:rsidR="004212B6" w:rsidRPr="00CB7EFA" w:rsidRDefault="004212B6"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296BA8">
              <w:rPr>
                <w:rFonts w:cs="Arial"/>
              </w:rPr>
              <w:t>Venturi flow meter or other equipment with at least the same accuracy</w:t>
            </w:r>
          </w:p>
        </w:tc>
      </w:tr>
      <w:tr w:rsidR="004212B6" w:rsidRPr="00CB7EFA" w14:paraId="111ED3C6"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76132616" w14:textId="77777777" w:rsidR="004212B6" w:rsidRPr="00CB7EFA" w:rsidRDefault="004212B6" w:rsidP="004212B6">
            <w:pPr>
              <w:pStyle w:val="SDMTableBoxParaNotNumbered"/>
              <w:spacing w:before="40" w:after="40"/>
              <w:rPr>
                <w:rFonts w:cs="Arial"/>
              </w:rPr>
            </w:pPr>
          </w:p>
        </w:tc>
        <w:tc>
          <w:tcPr>
            <w:tcW w:w="2441" w:type="dxa"/>
            <w:gridSpan w:val="2"/>
          </w:tcPr>
          <w:p w14:paraId="57A91912" w14:textId="77777777" w:rsidR="004212B6" w:rsidRPr="00CB7EFA" w:rsidRDefault="004212B6" w:rsidP="004212B6">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0D33A3C7" w14:textId="143B2941" w:rsidR="004212B6" w:rsidRPr="00CB7EFA" w:rsidRDefault="004212B6"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t>According to the national, international, or meter supplier’s instructions</w:t>
            </w:r>
          </w:p>
        </w:tc>
      </w:tr>
      <w:tr w:rsidR="004212B6" w:rsidRPr="00CB7EFA" w14:paraId="5E61F4CF"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66AF1B88" w14:textId="77777777" w:rsidR="004212B6" w:rsidRPr="00CB7EFA" w:rsidRDefault="004212B6" w:rsidP="004212B6">
            <w:pPr>
              <w:pStyle w:val="SDMTableBoxParaNotNumbered"/>
              <w:spacing w:before="40" w:after="40"/>
              <w:rPr>
                <w:rFonts w:cs="Arial"/>
              </w:rPr>
            </w:pPr>
          </w:p>
        </w:tc>
        <w:tc>
          <w:tcPr>
            <w:tcW w:w="2441" w:type="dxa"/>
            <w:gridSpan w:val="2"/>
          </w:tcPr>
          <w:p w14:paraId="66C030FB" w14:textId="77777777" w:rsidR="004212B6" w:rsidRPr="00CB7EFA" w:rsidRDefault="004212B6" w:rsidP="004212B6">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762401B2" w14:textId="70CEDE55" w:rsidR="004212B6" w:rsidRPr="00CB7EFA" w:rsidRDefault="004212B6"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957259">
              <w:rPr>
                <w:rFonts w:cs="Arial"/>
              </w:rPr>
              <w:t>Calibration shall be conducted according to the national, international, or manufacturer’s instructions</w:t>
            </w:r>
          </w:p>
        </w:tc>
      </w:tr>
      <w:tr w:rsidR="004212B6" w:rsidRPr="00CB7EFA" w14:paraId="5B28A879"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6EF99FCF" w14:textId="77777777" w:rsidR="004212B6" w:rsidRPr="00CB7EFA" w:rsidRDefault="004212B6" w:rsidP="004212B6">
            <w:pPr>
              <w:pStyle w:val="SDMTableBoxParaNotNumbered"/>
              <w:spacing w:before="40" w:after="40"/>
              <w:rPr>
                <w:rFonts w:cs="Arial"/>
              </w:rPr>
            </w:pPr>
          </w:p>
        </w:tc>
        <w:tc>
          <w:tcPr>
            <w:tcW w:w="2441" w:type="dxa"/>
            <w:gridSpan w:val="2"/>
          </w:tcPr>
          <w:p w14:paraId="7974B6A4" w14:textId="77777777" w:rsidR="004212B6" w:rsidRPr="00CB7EFA" w:rsidRDefault="004212B6" w:rsidP="004212B6">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0D8FA7E5" w14:textId="2FFE5A17" w:rsidR="004212B6" w:rsidRPr="00CB7EFA" w:rsidRDefault="004212B6"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t>Main steam line</w:t>
            </w:r>
          </w:p>
        </w:tc>
      </w:tr>
      <w:tr w:rsidR="00792224" w:rsidRPr="00CB7EFA" w14:paraId="78892E79"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41D41135" w14:textId="18F0C109" w:rsidR="00792224" w:rsidRPr="00CB7EFA" w:rsidRDefault="00792224" w:rsidP="00792224">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7FA503A1" w14:textId="302715B0" w:rsidR="00792224" w:rsidRPr="00CB7EFA" w:rsidRDefault="00792224"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106CC2">
              <w:rPr>
                <w:rFonts w:cs="Arial"/>
              </w:rPr>
              <w:t>The recorded data must be stored daily in a central database with backup</w:t>
            </w:r>
          </w:p>
        </w:tc>
      </w:tr>
      <w:tr w:rsidR="00792224" w:rsidRPr="00CB7EFA" w14:paraId="0198F0FE"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41C8C2E1" w14:textId="69ADFA5C" w:rsidR="00792224" w:rsidRPr="00CB7EFA" w:rsidRDefault="00792224" w:rsidP="00B7767A">
            <w:pPr>
              <w:pStyle w:val="SDMTableBoxParaNotNumbered"/>
              <w:keepNext/>
              <w:spacing w:before="40" w:after="40"/>
            </w:pPr>
            <w:r w:rsidRPr="00CB7EFA">
              <w:lastRenderedPageBreak/>
              <w:t>Treatment of uncertainty</w:t>
            </w:r>
            <w:r w:rsidR="00675D7A" w:rsidRPr="00675D7A">
              <w:t>:</w:t>
            </w:r>
          </w:p>
        </w:tc>
        <w:tc>
          <w:tcPr>
            <w:tcW w:w="6386" w:type="dxa"/>
            <w:gridSpan w:val="4"/>
          </w:tcPr>
          <w:p w14:paraId="4DE9135F" w14:textId="1F643237" w:rsidR="00792224" w:rsidRPr="00CB7EFA" w:rsidRDefault="00792224"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t>Uncertainties are determined based on the measuring instruments</w:t>
            </w:r>
          </w:p>
        </w:tc>
      </w:tr>
      <w:tr w:rsidR="00792224" w:rsidRPr="00CB7EFA" w14:paraId="4D16D85D"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6361ECB4" w14:textId="14703427" w:rsidR="00792224" w:rsidRPr="00CB7EFA" w:rsidRDefault="00792224" w:rsidP="00792224">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7F1A0F5D" w14:textId="77777777" w:rsidR="00792224" w:rsidRDefault="00792224" w:rsidP="007255A3">
            <w:pPr>
              <w:pStyle w:val="SDMTableBoxParaNotNumbered"/>
              <w:numPr>
                <w:ilvl w:val="0"/>
                <w:numId w:val="27"/>
              </w:numPr>
              <w:spacing w:before="60" w:after="60"/>
              <w:jc w:val="both"/>
              <w:cnfStyle w:val="000000000000" w:firstRow="0" w:lastRow="0" w:firstColumn="0" w:lastColumn="0" w:oddVBand="0" w:evenVBand="0" w:oddHBand="0" w:evenHBand="0" w:firstRowFirstColumn="0" w:firstRowLastColumn="0" w:lastRowFirstColumn="0" w:lastRowLastColumn="0"/>
            </w:pPr>
            <w:r>
              <w:t>The measurement results shall be summarized transparently in regular production reports;</w:t>
            </w:r>
          </w:p>
          <w:p w14:paraId="3EC2AA94" w14:textId="25CC61DE" w:rsidR="00792224" w:rsidRPr="00CB7EFA" w:rsidRDefault="00792224" w:rsidP="007255A3">
            <w:pPr>
              <w:pStyle w:val="SDMTableBoxParaNotNumbered"/>
              <w:numPr>
                <w:ilvl w:val="0"/>
                <w:numId w:val="27"/>
              </w:numPr>
              <w:spacing w:before="60" w:after="60"/>
              <w:jc w:val="both"/>
              <w:cnfStyle w:val="000000000000" w:firstRow="0" w:lastRow="0" w:firstColumn="0" w:lastColumn="0" w:oddVBand="0" w:evenVBand="0" w:oddHBand="0" w:evenHBand="0" w:firstRowFirstColumn="0" w:firstRowLastColumn="0" w:lastRowFirstColumn="0" w:lastRowLastColumn="0"/>
            </w:pPr>
            <w:r>
              <w:t>Applicable to dry or flash steam geothermal power projects</w:t>
            </w:r>
          </w:p>
        </w:tc>
      </w:tr>
    </w:tbl>
    <w:p w14:paraId="64811550" w14:textId="58824C8F" w:rsidR="00792224" w:rsidRPr="00CB7EFA" w:rsidRDefault="00792224" w:rsidP="00792224">
      <w:pPr>
        <w:pStyle w:val="Caption"/>
      </w:pPr>
      <w:r w:rsidRPr="00CB7EFA">
        <w:t>Data / Parameter table </w:t>
      </w:r>
      <w:fldSimple w:instr=" SEQ Data_/_Parameter_table \* ARABIC ">
        <w:r w:rsidR="00D0578E">
          <w:rPr>
            <w:noProof/>
          </w:rPr>
          <w:t>14</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792224" w:rsidRPr="00CB7EFA" w14:paraId="71635812" w14:textId="77777777" w:rsidTr="00690A70">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232" w:type="dxa"/>
          </w:tcPr>
          <w:p w14:paraId="471B962C" w14:textId="77777777" w:rsidR="00792224" w:rsidRPr="00CB7EFA" w:rsidRDefault="00792224" w:rsidP="00690A70">
            <w:pPr>
              <w:pStyle w:val="SDMTableBoxParaNotNumbered"/>
              <w:spacing w:before="40" w:after="40"/>
            </w:pPr>
            <w:r w:rsidRPr="00CB7EFA">
              <w:t>Data / Parameter:</w:t>
            </w:r>
          </w:p>
        </w:tc>
        <w:tc>
          <w:tcPr>
            <w:tcW w:w="6386" w:type="dxa"/>
            <w:gridSpan w:val="4"/>
          </w:tcPr>
          <w:p w14:paraId="085CF659" w14:textId="3F15A08C" w:rsidR="00792224" w:rsidRPr="001A7D05" w:rsidRDefault="0039641B" w:rsidP="00690A70">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i/>
                      </w:rPr>
                    </m:ctrlPr>
                  </m:sSubPr>
                  <m:e>
                    <m:r>
                      <m:rPr>
                        <m:sty m:val="bi"/>
                      </m:rPr>
                      <w:rPr>
                        <w:rFonts w:ascii="Cambria Math" w:hAnsi="Cambria Math"/>
                      </w:rPr>
                      <m:t>M</m:t>
                    </m:r>
                  </m:e>
                  <m:sub>
                    <m:r>
                      <m:rPr>
                        <m:sty m:val="bi"/>
                      </m:rPr>
                      <w:rPr>
                        <w:rFonts w:ascii="Cambria Math" w:hAnsi="Cambria Math"/>
                      </w:rPr>
                      <m:t>inflow,y</m:t>
                    </m:r>
                  </m:sub>
                </m:sSub>
              </m:oMath>
            </m:oMathPara>
          </w:p>
        </w:tc>
      </w:tr>
      <w:tr w:rsidR="00892B32" w:rsidRPr="00CB7EFA" w14:paraId="453B3010" w14:textId="77777777" w:rsidTr="00690A70">
        <w:trPr>
          <w:trHeight w:val="22"/>
        </w:trPr>
        <w:tc>
          <w:tcPr>
            <w:cnfStyle w:val="001000000000" w:firstRow="0" w:lastRow="0" w:firstColumn="1" w:lastColumn="0" w:oddVBand="0" w:evenVBand="0" w:oddHBand="0" w:evenHBand="0" w:firstRowFirstColumn="0" w:firstRowLastColumn="0" w:lastRowFirstColumn="0" w:lastRowLastColumn="0"/>
            <w:tcW w:w="2232" w:type="dxa"/>
          </w:tcPr>
          <w:p w14:paraId="0B369D08" w14:textId="77777777" w:rsidR="00892B32" w:rsidRPr="00CB7EFA" w:rsidRDefault="00892B32" w:rsidP="00892B32">
            <w:pPr>
              <w:pStyle w:val="SDMTableBoxParaNotNumbered"/>
              <w:spacing w:before="40" w:after="40"/>
            </w:pPr>
            <w:r w:rsidRPr="00CB7EFA">
              <w:t>Description:</w:t>
            </w:r>
          </w:p>
        </w:tc>
        <w:tc>
          <w:tcPr>
            <w:tcW w:w="6386" w:type="dxa"/>
            <w:gridSpan w:val="4"/>
          </w:tcPr>
          <w:p w14:paraId="4933045D" w14:textId="1BBE34C9" w:rsidR="00892B32" w:rsidRPr="00CB7EFA" w:rsidRDefault="00892B32" w:rsidP="00892B32">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957259">
              <w:rPr>
                <w:rFonts w:eastAsiaTheme="minorEastAsia" w:cs="Arial"/>
              </w:rPr>
              <w:t xml:space="preserve">Quantity of steam </w:t>
            </w:r>
            <w:r w:rsidRPr="00957259">
              <w:rPr>
                <w:rFonts w:eastAsiaTheme="minorEastAsia"/>
              </w:rPr>
              <w:t>entering the geothermal plant</w:t>
            </w:r>
            <w:r w:rsidRPr="00957259">
              <w:rPr>
                <w:rFonts w:cs="Arial"/>
              </w:rPr>
              <w:t xml:space="preserve"> in year </w:t>
            </w:r>
            <w:r w:rsidRPr="00957259">
              <w:rPr>
                <w:rFonts w:cs="Arial"/>
                <w:i/>
                <w:iCs/>
              </w:rPr>
              <w:t>y</w:t>
            </w:r>
          </w:p>
        </w:tc>
      </w:tr>
      <w:tr w:rsidR="00892B32" w:rsidRPr="00CB7EFA" w14:paraId="6E65BB06"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0AAFAC35" w14:textId="77777777" w:rsidR="00892B32" w:rsidRPr="00CB7EFA" w:rsidRDefault="00892B32" w:rsidP="00892B32">
            <w:pPr>
              <w:pStyle w:val="SDMTableBoxParaNotNumbered"/>
              <w:spacing w:before="40" w:after="40"/>
            </w:pPr>
            <w:r w:rsidRPr="00CB7EFA">
              <w:t>Data unit:</w:t>
            </w:r>
          </w:p>
        </w:tc>
        <w:tc>
          <w:tcPr>
            <w:tcW w:w="6386" w:type="dxa"/>
            <w:gridSpan w:val="4"/>
          </w:tcPr>
          <w:p w14:paraId="106E314B" w14:textId="1C04298E" w:rsidR="00892B32" w:rsidRPr="00CB7EFA" w:rsidRDefault="00892B32" w:rsidP="00892B32">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t</w:t>
            </w:r>
            <w:r w:rsidR="00B73406">
              <w:t> </w:t>
            </w:r>
            <w:r w:rsidRPr="00B73406">
              <w:t>steam</w:t>
            </w:r>
          </w:p>
        </w:tc>
      </w:tr>
      <w:tr w:rsidR="00892B32" w:rsidRPr="00CB7EFA" w14:paraId="0F27F0A9"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4FC4B889" w14:textId="4E149421" w:rsidR="00892B32" w:rsidRPr="00CB7EFA" w:rsidRDefault="00892B32" w:rsidP="00892B32">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48E83437" w14:textId="38CCE211" w:rsidR="00892B32" w:rsidRPr="00CB7EFA" w:rsidRDefault="00892B32" w:rsidP="00892B32">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Equation (17)</w:t>
            </w:r>
          </w:p>
        </w:tc>
      </w:tr>
      <w:tr w:rsidR="00792224" w:rsidRPr="00CB7EFA" w14:paraId="19855D5D"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0A482C3C" w14:textId="66397791" w:rsidR="00792224" w:rsidRPr="00CB7EFA" w:rsidRDefault="00792224" w:rsidP="00690A70">
            <w:pPr>
              <w:pStyle w:val="SDMTableBoxParaNotNumbered"/>
              <w:spacing w:before="40" w:after="40"/>
            </w:pPr>
            <w:r w:rsidRPr="00CB7EFA">
              <w:t>Purpose of data</w:t>
            </w:r>
            <w:r w:rsidR="00675D7A" w:rsidRPr="00675D7A">
              <w:t>:</w:t>
            </w:r>
          </w:p>
        </w:tc>
        <w:tc>
          <w:tcPr>
            <w:tcW w:w="2128" w:type="dxa"/>
            <w:tcBorders>
              <w:right w:val="nil"/>
            </w:tcBorders>
          </w:tcPr>
          <w:p w14:paraId="0DD5AD0D" w14:textId="77777777" w:rsidR="00792224" w:rsidRPr="00CB7EFA" w:rsidRDefault="00792224"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595C887D" w14:textId="755C9FBF" w:rsidR="00792224" w:rsidRPr="00CB7EFA" w:rsidRDefault="00792224"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4DED092A" w14:textId="77777777" w:rsidR="00792224" w:rsidRPr="00CB7EFA" w:rsidRDefault="00792224"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792224" w:rsidRPr="00CB7EFA" w14:paraId="64C0F760"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2C5B68BE" w14:textId="46E137BA" w:rsidR="00792224" w:rsidRPr="00CB7EFA" w:rsidRDefault="00792224" w:rsidP="00690A70">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7E5B7DA0" w14:textId="77777777" w:rsidR="006F3E33" w:rsidRPr="00347663" w:rsidRDefault="006F3E33" w:rsidP="007255A3">
            <w:pPr>
              <w:pStyle w:val="SDMTableBoxParaNotNumbered"/>
              <w:numPr>
                <w:ilvl w:val="0"/>
                <w:numId w:val="28"/>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t>The steam quantity entering the power plant shall be measured with a Venturi flow meter (or other equipment with at least the same accuracy);</w:t>
            </w:r>
          </w:p>
          <w:p w14:paraId="7E99939D" w14:textId="16EF6C8C" w:rsidR="00792224" w:rsidRPr="00CB7EFA" w:rsidRDefault="006F3E33" w:rsidP="007255A3">
            <w:pPr>
              <w:pStyle w:val="SDMTableBoxParaNotNumbered"/>
              <w:numPr>
                <w:ilvl w:val="0"/>
                <w:numId w:val="28"/>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t>Measurement of temperature and pressure upstream of the Venturi meter shall be conducted to define the steam properties, and the calculation of steam quantities shall be conducted on a continuous basis and should be based on national or international standards</w:t>
            </w:r>
          </w:p>
        </w:tc>
      </w:tr>
      <w:tr w:rsidR="00792224" w:rsidRPr="00CB7EFA" w14:paraId="40FD2D6C"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9DF1C21" w14:textId="67AB5019" w:rsidR="00792224" w:rsidRPr="00CB7EFA" w:rsidRDefault="00792224" w:rsidP="00690A70">
            <w:pPr>
              <w:pStyle w:val="SDMTableBoxParaNotNumbered"/>
              <w:spacing w:before="40" w:after="40"/>
              <w:rPr>
                <w:rFonts w:cs="Arial"/>
              </w:rPr>
            </w:pPr>
            <w:r w:rsidRPr="00CB7EFA">
              <w:t>Measurement and updating frequency</w:t>
            </w:r>
            <w:r w:rsidR="00675D7A" w:rsidRPr="00675D7A">
              <w:t>:</w:t>
            </w:r>
          </w:p>
        </w:tc>
        <w:tc>
          <w:tcPr>
            <w:tcW w:w="6386" w:type="dxa"/>
            <w:gridSpan w:val="4"/>
          </w:tcPr>
          <w:p w14:paraId="5F46FA4C" w14:textId="77777777" w:rsidR="00792224" w:rsidRPr="00CB7EFA" w:rsidRDefault="00792224" w:rsidP="00690A70">
            <w:pPr>
              <w:pStyle w:val="SDMTableBoxParaNotNumbered"/>
              <w:spacing w:before="60" w:after="60"/>
              <w:cnfStyle w:val="000000000000" w:firstRow="0" w:lastRow="0" w:firstColumn="0" w:lastColumn="0" w:oddVBand="0" w:evenVBand="0" w:oddHBand="0" w:evenHBand="0" w:firstRowFirstColumn="0" w:firstRowLastColumn="0" w:lastRowFirstColumn="0" w:lastRowLastColumn="0"/>
            </w:pPr>
            <w:r>
              <w:rPr>
                <w:rFonts w:cs="Arial"/>
              </w:rPr>
              <w:t>Continuously measured</w:t>
            </w:r>
          </w:p>
        </w:tc>
      </w:tr>
      <w:tr w:rsidR="00792224" w:rsidRPr="00CB7EFA" w14:paraId="1636B1F5"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4BC44CB8" w14:textId="53C2C54D" w:rsidR="00792224" w:rsidRPr="00CB7EFA" w:rsidRDefault="00792224" w:rsidP="00690A70">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44C0096F" w14:textId="77777777" w:rsidR="00792224" w:rsidRPr="00CB7EFA" w:rsidRDefault="00792224"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rFonts w:cs="Arial"/>
              </w:rPr>
              <w:t>Activity participants</w:t>
            </w:r>
          </w:p>
        </w:tc>
      </w:tr>
      <w:tr w:rsidR="00F60D98" w:rsidRPr="00CB7EFA" w14:paraId="33752015"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val="restart"/>
          </w:tcPr>
          <w:p w14:paraId="4B55B42F" w14:textId="16EDC957" w:rsidR="00F60D98" w:rsidRPr="00CB7EFA" w:rsidRDefault="00F60D98" w:rsidP="00F60D98">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31EE410C" w14:textId="77777777" w:rsidR="00F60D98" w:rsidRPr="00CB7EFA" w:rsidRDefault="00F60D98" w:rsidP="00F60D98">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1C423843" w14:textId="580CBFDC" w:rsidR="00F60D98" w:rsidRPr="00CB7EFA" w:rsidRDefault="00F60D98"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296BA8">
              <w:rPr>
                <w:rFonts w:cs="Arial"/>
              </w:rPr>
              <w:t>Venturi flow meter or other equipment with at least the same accuracy</w:t>
            </w:r>
          </w:p>
        </w:tc>
      </w:tr>
      <w:tr w:rsidR="00F60D98" w:rsidRPr="00CB7EFA" w14:paraId="056576E2"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2F5C92E2" w14:textId="77777777" w:rsidR="00F60D98" w:rsidRPr="00CB7EFA" w:rsidRDefault="00F60D98" w:rsidP="00F60D98">
            <w:pPr>
              <w:pStyle w:val="SDMTableBoxParaNotNumbered"/>
              <w:spacing w:before="40" w:after="40"/>
              <w:rPr>
                <w:rFonts w:cs="Arial"/>
              </w:rPr>
            </w:pPr>
          </w:p>
        </w:tc>
        <w:tc>
          <w:tcPr>
            <w:tcW w:w="2441" w:type="dxa"/>
            <w:gridSpan w:val="2"/>
          </w:tcPr>
          <w:p w14:paraId="0D7BA5FF" w14:textId="77777777" w:rsidR="00F60D98" w:rsidRPr="00CB7EFA" w:rsidRDefault="00F60D98" w:rsidP="00F60D98">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5B9BDC76" w14:textId="5394F19D" w:rsidR="00F60D98" w:rsidRPr="00CB7EFA" w:rsidRDefault="00F60D98"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t>According to the national, international, or meter supplier’s instructions</w:t>
            </w:r>
          </w:p>
        </w:tc>
      </w:tr>
      <w:tr w:rsidR="00F60D98" w:rsidRPr="00CB7EFA" w14:paraId="0375CF2C"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208E71AD" w14:textId="77777777" w:rsidR="00F60D98" w:rsidRPr="00CB7EFA" w:rsidRDefault="00F60D98" w:rsidP="00F60D98">
            <w:pPr>
              <w:pStyle w:val="SDMTableBoxParaNotNumbered"/>
              <w:spacing w:before="40" w:after="40"/>
              <w:rPr>
                <w:rFonts w:cs="Arial"/>
              </w:rPr>
            </w:pPr>
          </w:p>
        </w:tc>
        <w:tc>
          <w:tcPr>
            <w:tcW w:w="2441" w:type="dxa"/>
            <w:gridSpan w:val="2"/>
          </w:tcPr>
          <w:p w14:paraId="13ABCED2" w14:textId="77777777" w:rsidR="00F60D98" w:rsidRPr="00CB7EFA" w:rsidRDefault="00F60D98" w:rsidP="00F60D98">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412A0104" w14:textId="45CAD649" w:rsidR="00F60D98" w:rsidRPr="00CB7EFA" w:rsidRDefault="00F60D98"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Pr>
                <w:rFonts w:cs="Arial"/>
              </w:rPr>
              <w:t xml:space="preserve">Calibration shall be conducted </w:t>
            </w:r>
            <w:r w:rsidRPr="00106CC2">
              <w:rPr>
                <w:rFonts w:cs="Arial"/>
              </w:rPr>
              <w:t>according to the national, international, or manufacturer’s instructions</w:t>
            </w:r>
          </w:p>
        </w:tc>
      </w:tr>
      <w:tr w:rsidR="00F60D98" w:rsidRPr="00CB7EFA" w14:paraId="2DC4EA78"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599980DB" w14:textId="77777777" w:rsidR="00F60D98" w:rsidRPr="00CB7EFA" w:rsidRDefault="00F60D98" w:rsidP="00F60D98">
            <w:pPr>
              <w:pStyle w:val="SDMTableBoxParaNotNumbered"/>
              <w:spacing w:before="40" w:after="40"/>
              <w:rPr>
                <w:rFonts w:cs="Arial"/>
              </w:rPr>
            </w:pPr>
          </w:p>
        </w:tc>
        <w:tc>
          <w:tcPr>
            <w:tcW w:w="2441" w:type="dxa"/>
            <w:gridSpan w:val="2"/>
          </w:tcPr>
          <w:p w14:paraId="70F14266" w14:textId="77777777" w:rsidR="00F60D98" w:rsidRPr="00CB7EFA" w:rsidRDefault="00F60D98" w:rsidP="00F60D98">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728D3205" w14:textId="2ECD5C2F" w:rsidR="00F60D98" w:rsidRPr="00CB7EFA" w:rsidRDefault="00F60D98"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46A383F8">
              <w:t>At the steam supply line to the geothermal power plant</w:t>
            </w:r>
          </w:p>
        </w:tc>
      </w:tr>
      <w:tr w:rsidR="00AC2BFE" w:rsidRPr="00CB7EFA" w14:paraId="320900CE"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663D2C9" w14:textId="6E827CB4" w:rsidR="00AC2BFE" w:rsidRPr="00CB7EFA" w:rsidRDefault="00AC2BFE" w:rsidP="00AC2BFE">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6E9A5703" w14:textId="6341FE2E" w:rsidR="00AC2BFE" w:rsidRPr="00CB7EFA" w:rsidRDefault="00AC2BFE"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636CA247">
              <w:rPr>
                <w:rFonts w:cs="Arial"/>
              </w:rPr>
              <w:t>The recorded data shall be stored daily in a central database with backup</w:t>
            </w:r>
          </w:p>
        </w:tc>
      </w:tr>
      <w:tr w:rsidR="00AC2BFE" w:rsidRPr="00CB7EFA" w14:paraId="4BF42075"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1E70BC46" w14:textId="1B3C8989" w:rsidR="00AC2BFE" w:rsidRPr="00CB7EFA" w:rsidRDefault="00AC2BFE" w:rsidP="00B7767A">
            <w:pPr>
              <w:pStyle w:val="SDMTableBoxParaNotNumbered"/>
              <w:keepNext/>
              <w:spacing w:before="40" w:after="40"/>
            </w:pPr>
            <w:r w:rsidRPr="00CB7EFA">
              <w:t>Treatment of uncertainty</w:t>
            </w:r>
            <w:r w:rsidR="00675D7A" w:rsidRPr="00675D7A">
              <w:t>:</w:t>
            </w:r>
          </w:p>
        </w:tc>
        <w:tc>
          <w:tcPr>
            <w:tcW w:w="6386" w:type="dxa"/>
            <w:gridSpan w:val="4"/>
          </w:tcPr>
          <w:p w14:paraId="65F3904F" w14:textId="0D649285" w:rsidR="00AC2BFE" w:rsidRPr="00CB7EFA" w:rsidRDefault="00AC2BFE"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t>Uncertainties are determined based on the measuring instruments</w:t>
            </w:r>
          </w:p>
        </w:tc>
      </w:tr>
      <w:tr w:rsidR="00792224" w:rsidRPr="00CB7EFA" w14:paraId="1CA9886D"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6F8E08B6" w14:textId="4F55F4BA" w:rsidR="00792224" w:rsidRPr="00CB7EFA" w:rsidRDefault="00792224" w:rsidP="00690A70">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36F110A6" w14:textId="77777777" w:rsidR="00792224" w:rsidRDefault="00792224" w:rsidP="007255A3">
            <w:pPr>
              <w:pStyle w:val="SDMTableBoxParaNotNumbered"/>
              <w:numPr>
                <w:ilvl w:val="0"/>
                <w:numId w:val="27"/>
              </w:numPr>
              <w:spacing w:before="60" w:after="60"/>
              <w:jc w:val="both"/>
              <w:cnfStyle w:val="000000000000" w:firstRow="0" w:lastRow="0" w:firstColumn="0" w:lastColumn="0" w:oddVBand="0" w:evenVBand="0" w:oddHBand="0" w:evenHBand="0" w:firstRowFirstColumn="0" w:firstRowLastColumn="0" w:lastRowFirstColumn="0" w:lastRowLastColumn="0"/>
            </w:pPr>
            <w:r>
              <w:t>The measurement results shall be summarized transparently in regular production reports;</w:t>
            </w:r>
          </w:p>
          <w:p w14:paraId="591884BF" w14:textId="77777777" w:rsidR="00792224" w:rsidRPr="00CB7EFA" w:rsidRDefault="00792224" w:rsidP="007255A3">
            <w:pPr>
              <w:pStyle w:val="SDMTableBoxParaNotNumbered"/>
              <w:numPr>
                <w:ilvl w:val="0"/>
                <w:numId w:val="27"/>
              </w:numPr>
              <w:spacing w:before="60" w:after="60"/>
              <w:jc w:val="both"/>
              <w:cnfStyle w:val="000000000000" w:firstRow="0" w:lastRow="0" w:firstColumn="0" w:lastColumn="0" w:oddVBand="0" w:evenVBand="0" w:oddHBand="0" w:evenHBand="0" w:firstRowFirstColumn="0" w:firstRowLastColumn="0" w:lastRowFirstColumn="0" w:lastRowLastColumn="0"/>
            </w:pPr>
            <w:r>
              <w:t>Applicable to dry or flash steam geothermal power projects</w:t>
            </w:r>
          </w:p>
        </w:tc>
      </w:tr>
    </w:tbl>
    <w:p w14:paraId="4478D6CC" w14:textId="570EEB44" w:rsidR="00AC2BFE" w:rsidRPr="00CB7EFA" w:rsidRDefault="00AC2BFE" w:rsidP="00AC2BFE">
      <w:pPr>
        <w:pStyle w:val="Caption"/>
      </w:pPr>
      <w:r w:rsidRPr="00CB7EFA">
        <w:lastRenderedPageBreak/>
        <w:t>Data / Parameter table </w:t>
      </w:r>
      <w:fldSimple w:instr=" SEQ Data_/_Parameter_table \* ARABIC ">
        <w:r w:rsidR="00D0578E">
          <w:rPr>
            <w:noProof/>
          </w:rPr>
          <w:t>15</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AC2BFE" w:rsidRPr="00CB7EFA" w14:paraId="2C76CC91" w14:textId="77777777" w:rsidTr="00690A70">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232" w:type="dxa"/>
          </w:tcPr>
          <w:p w14:paraId="6AD523F4" w14:textId="77777777" w:rsidR="00AC2BFE" w:rsidRPr="00CB7EFA" w:rsidRDefault="00AC2BFE" w:rsidP="00690A70">
            <w:pPr>
              <w:pStyle w:val="SDMTableBoxParaNotNumbered"/>
              <w:spacing w:before="40" w:after="40"/>
            </w:pPr>
            <w:r w:rsidRPr="00CB7EFA">
              <w:t>Data / Parameter:</w:t>
            </w:r>
          </w:p>
        </w:tc>
        <w:tc>
          <w:tcPr>
            <w:tcW w:w="6386" w:type="dxa"/>
            <w:gridSpan w:val="4"/>
          </w:tcPr>
          <w:p w14:paraId="0DD12B4C" w14:textId="011630BA" w:rsidR="00AC2BFE" w:rsidRPr="001A7D05" w:rsidRDefault="0039641B" w:rsidP="00690A70">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i/>
                      </w:rPr>
                    </m:ctrlPr>
                  </m:sSubPr>
                  <m:e>
                    <m:r>
                      <m:rPr>
                        <m:sty m:val="bi"/>
                      </m:rPr>
                      <w:rPr>
                        <w:rFonts w:ascii="Cambria Math" w:hAnsi="Cambria Math"/>
                      </w:rPr>
                      <m:t>M</m:t>
                    </m:r>
                  </m:e>
                  <m:sub>
                    <m:r>
                      <m:rPr>
                        <m:sty m:val="bi"/>
                      </m:rPr>
                      <w:rPr>
                        <w:rFonts w:ascii="Cambria Math" w:hAnsi="Cambria Math"/>
                      </w:rPr>
                      <m:t>outflow,y</m:t>
                    </m:r>
                  </m:sub>
                </m:sSub>
              </m:oMath>
            </m:oMathPara>
          </w:p>
        </w:tc>
      </w:tr>
      <w:tr w:rsidR="00AC2BFE" w:rsidRPr="00CB7EFA" w14:paraId="6C4FF6DB" w14:textId="77777777" w:rsidTr="00690A70">
        <w:trPr>
          <w:trHeight w:val="22"/>
        </w:trPr>
        <w:tc>
          <w:tcPr>
            <w:cnfStyle w:val="001000000000" w:firstRow="0" w:lastRow="0" w:firstColumn="1" w:lastColumn="0" w:oddVBand="0" w:evenVBand="0" w:oddHBand="0" w:evenHBand="0" w:firstRowFirstColumn="0" w:firstRowLastColumn="0" w:lastRowFirstColumn="0" w:lastRowLastColumn="0"/>
            <w:tcW w:w="2232" w:type="dxa"/>
          </w:tcPr>
          <w:p w14:paraId="649294DD" w14:textId="77777777" w:rsidR="00AC2BFE" w:rsidRPr="00CB7EFA" w:rsidRDefault="00AC2BFE" w:rsidP="00690A70">
            <w:pPr>
              <w:pStyle w:val="SDMTableBoxParaNotNumbered"/>
              <w:spacing w:before="40" w:after="40"/>
            </w:pPr>
            <w:r w:rsidRPr="00CB7EFA">
              <w:t>Description:</w:t>
            </w:r>
          </w:p>
        </w:tc>
        <w:tc>
          <w:tcPr>
            <w:tcW w:w="6386" w:type="dxa"/>
            <w:gridSpan w:val="4"/>
          </w:tcPr>
          <w:p w14:paraId="6665D958" w14:textId="77B4115B" w:rsidR="00AC2BFE" w:rsidRPr="00CB7EFA" w:rsidRDefault="00337E73"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957259">
              <w:rPr>
                <w:rFonts w:eastAsiaTheme="minorEastAsia" w:cs="Arial"/>
              </w:rPr>
              <w:t xml:space="preserve">Quantity of steam </w:t>
            </w:r>
            <w:r w:rsidRPr="00957259">
              <w:rPr>
                <w:rFonts w:eastAsiaTheme="minorEastAsia"/>
              </w:rPr>
              <w:t>leaving the geothermal plant</w:t>
            </w:r>
            <w:r w:rsidRPr="00957259">
              <w:rPr>
                <w:rFonts w:cs="Arial"/>
              </w:rPr>
              <w:t xml:space="preserve"> in year </w:t>
            </w:r>
            <w:r w:rsidRPr="00957259">
              <w:rPr>
                <w:rFonts w:cs="Arial"/>
                <w:i/>
                <w:iCs/>
              </w:rPr>
              <w:t>y</w:t>
            </w:r>
          </w:p>
        </w:tc>
      </w:tr>
      <w:tr w:rsidR="00AC2BFE" w:rsidRPr="00CB7EFA" w14:paraId="551EBE9A"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2BE335B" w14:textId="77777777" w:rsidR="00AC2BFE" w:rsidRPr="00CB7EFA" w:rsidRDefault="00AC2BFE" w:rsidP="00690A70">
            <w:pPr>
              <w:pStyle w:val="SDMTableBoxParaNotNumbered"/>
              <w:spacing w:before="40" w:after="40"/>
            </w:pPr>
            <w:r w:rsidRPr="00CB7EFA">
              <w:t>Data unit:</w:t>
            </w:r>
          </w:p>
        </w:tc>
        <w:tc>
          <w:tcPr>
            <w:tcW w:w="6386" w:type="dxa"/>
            <w:gridSpan w:val="4"/>
          </w:tcPr>
          <w:p w14:paraId="65C51761" w14:textId="4698995E" w:rsidR="00AC2BFE" w:rsidRPr="00CB7EFA" w:rsidRDefault="00AC2BFE"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t</w:t>
            </w:r>
            <w:r w:rsidR="00B73406">
              <w:t> </w:t>
            </w:r>
            <w:r w:rsidRPr="00B73406">
              <w:t>steam</w:t>
            </w:r>
          </w:p>
        </w:tc>
      </w:tr>
      <w:tr w:rsidR="00AC2BFE" w:rsidRPr="00CB7EFA" w14:paraId="35D8C369"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1782F609" w14:textId="37E605F8" w:rsidR="00AC2BFE" w:rsidRPr="00CB7EFA" w:rsidRDefault="00AC2BFE" w:rsidP="00690A70">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162573D1" w14:textId="77777777" w:rsidR="00AC2BFE" w:rsidRPr="00CB7EFA" w:rsidRDefault="00AC2BFE"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Equation (17)</w:t>
            </w:r>
          </w:p>
        </w:tc>
      </w:tr>
      <w:tr w:rsidR="00AC2BFE" w:rsidRPr="00CB7EFA" w14:paraId="123F7797"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7CD6C9C" w14:textId="3A0FEE91" w:rsidR="00AC2BFE" w:rsidRPr="00CB7EFA" w:rsidRDefault="00AC2BFE" w:rsidP="00690A70">
            <w:pPr>
              <w:pStyle w:val="SDMTableBoxParaNotNumbered"/>
              <w:spacing w:before="40" w:after="40"/>
            </w:pPr>
            <w:r w:rsidRPr="00CB7EFA">
              <w:t>Purpose of data</w:t>
            </w:r>
            <w:r w:rsidR="00675D7A" w:rsidRPr="00675D7A">
              <w:t>:</w:t>
            </w:r>
          </w:p>
        </w:tc>
        <w:tc>
          <w:tcPr>
            <w:tcW w:w="2128" w:type="dxa"/>
            <w:tcBorders>
              <w:right w:val="nil"/>
            </w:tcBorders>
          </w:tcPr>
          <w:p w14:paraId="7ECC71DD" w14:textId="77777777" w:rsidR="00AC2BFE" w:rsidRPr="00CB7EFA" w:rsidRDefault="00AC2BFE"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04391949" w14:textId="7D6969B4" w:rsidR="00AC2BFE" w:rsidRPr="00CB7EFA" w:rsidRDefault="00AC2BFE"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1D8BAB83" w14:textId="77777777" w:rsidR="00AC2BFE" w:rsidRPr="00CB7EFA" w:rsidRDefault="00AC2BFE"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AC2BFE" w:rsidRPr="00CB7EFA" w14:paraId="67FC71EB"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27DB9BC5" w14:textId="0D4EC52D" w:rsidR="00AC2BFE" w:rsidRPr="00CB7EFA" w:rsidRDefault="00AC2BFE" w:rsidP="00690A70">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2EF3AC16" w14:textId="77777777" w:rsidR="00AC2BFE" w:rsidRPr="00347663" w:rsidRDefault="00AC2BFE" w:rsidP="007255A3">
            <w:pPr>
              <w:pStyle w:val="SDMTableBoxParaNotNumbered"/>
              <w:numPr>
                <w:ilvl w:val="0"/>
                <w:numId w:val="28"/>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t>The steam quantity entering the power plant shall be measured with a Venturi flow meter (or other equipment with at least the same accuracy);</w:t>
            </w:r>
          </w:p>
          <w:p w14:paraId="551D8176" w14:textId="77777777" w:rsidR="00AC2BFE" w:rsidRPr="00CB7EFA" w:rsidRDefault="00AC2BFE" w:rsidP="007255A3">
            <w:pPr>
              <w:pStyle w:val="SDMTableBoxParaNotNumbered"/>
              <w:numPr>
                <w:ilvl w:val="0"/>
                <w:numId w:val="28"/>
              </w:numPr>
              <w:spacing w:before="40" w:after="40"/>
              <w:ind w:left="357" w:hanging="357"/>
              <w:jc w:val="both"/>
              <w:cnfStyle w:val="000000000000" w:firstRow="0" w:lastRow="0" w:firstColumn="0" w:lastColumn="0" w:oddVBand="0" w:evenVBand="0" w:oddHBand="0" w:evenHBand="0" w:firstRowFirstColumn="0" w:firstRowLastColumn="0" w:lastRowFirstColumn="0" w:lastRowLastColumn="0"/>
            </w:pPr>
            <w:r>
              <w:t>Measurement of temperature and pressure upstream of the Venturi meter shall be conducted to define the steam properties, and the calculation of steam quantities shall be conducted on a continuous basis and should be based on national or international standards</w:t>
            </w:r>
          </w:p>
        </w:tc>
      </w:tr>
      <w:tr w:rsidR="00AC2BFE" w:rsidRPr="00CB7EFA" w14:paraId="7756B12F"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AAB2D58" w14:textId="70D033B4" w:rsidR="00AC2BFE" w:rsidRPr="00CB7EFA" w:rsidRDefault="00AC2BFE" w:rsidP="00690A70">
            <w:pPr>
              <w:pStyle w:val="SDMTableBoxParaNotNumbered"/>
              <w:spacing w:before="40" w:after="40"/>
              <w:rPr>
                <w:rFonts w:cs="Arial"/>
              </w:rPr>
            </w:pPr>
            <w:r w:rsidRPr="00CB7EFA">
              <w:t>Measurement and updating frequency</w:t>
            </w:r>
            <w:r w:rsidR="00675D7A" w:rsidRPr="00675D7A">
              <w:t>:</w:t>
            </w:r>
          </w:p>
        </w:tc>
        <w:tc>
          <w:tcPr>
            <w:tcW w:w="6386" w:type="dxa"/>
            <w:gridSpan w:val="4"/>
          </w:tcPr>
          <w:p w14:paraId="73F7752A" w14:textId="77777777" w:rsidR="00AC2BFE" w:rsidRPr="00CB7EFA" w:rsidRDefault="00AC2BFE" w:rsidP="00690A70">
            <w:pPr>
              <w:pStyle w:val="SDMTableBoxParaNotNumbered"/>
              <w:spacing w:before="60" w:after="60"/>
              <w:cnfStyle w:val="000000000000" w:firstRow="0" w:lastRow="0" w:firstColumn="0" w:lastColumn="0" w:oddVBand="0" w:evenVBand="0" w:oddHBand="0" w:evenHBand="0" w:firstRowFirstColumn="0" w:firstRowLastColumn="0" w:lastRowFirstColumn="0" w:lastRowLastColumn="0"/>
            </w:pPr>
            <w:r>
              <w:rPr>
                <w:rFonts w:cs="Arial"/>
              </w:rPr>
              <w:t>Continuously measured</w:t>
            </w:r>
          </w:p>
        </w:tc>
      </w:tr>
      <w:tr w:rsidR="00AC2BFE" w:rsidRPr="00CB7EFA" w14:paraId="45A4A9DC"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53D84BB0" w14:textId="1D40453D" w:rsidR="00AC2BFE" w:rsidRPr="00CB7EFA" w:rsidRDefault="00AC2BFE" w:rsidP="00690A70">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2BDC8345" w14:textId="77777777" w:rsidR="00AC2BFE" w:rsidRPr="00CB7EFA" w:rsidRDefault="00AC2BFE"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rFonts w:cs="Arial"/>
              </w:rPr>
              <w:t>Activity participants</w:t>
            </w:r>
          </w:p>
        </w:tc>
      </w:tr>
      <w:tr w:rsidR="0092170C" w:rsidRPr="00CB7EFA" w14:paraId="17588024"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val="restart"/>
          </w:tcPr>
          <w:p w14:paraId="591534D0" w14:textId="0F790946" w:rsidR="0092170C" w:rsidRPr="00CB7EFA" w:rsidRDefault="0092170C" w:rsidP="0092170C">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1D97EBE0" w14:textId="77777777" w:rsidR="0092170C" w:rsidRPr="00CB7EFA" w:rsidRDefault="0092170C" w:rsidP="0092170C">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6840C1D2" w14:textId="0CB4112E" w:rsidR="0092170C" w:rsidRPr="00CB7EFA" w:rsidRDefault="0092170C"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296BA8">
              <w:rPr>
                <w:rFonts w:cs="Arial"/>
              </w:rPr>
              <w:t>Venturi flow meter or other equipment with at least the same accuracy</w:t>
            </w:r>
          </w:p>
        </w:tc>
      </w:tr>
      <w:tr w:rsidR="0092170C" w:rsidRPr="00CB7EFA" w14:paraId="317C4867"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3938994E" w14:textId="77777777" w:rsidR="0092170C" w:rsidRPr="00CB7EFA" w:rsidRDefault="0092170C" w:rsidP="0092170C">
            <w:pPr>
              <w:pStyle w:val="SDMTableBoxParaNotNumbered"/>
              <w:spacing w:before="40" w:after="40"/>
              <w:rPr>
                <w:rFonts w:cs="Arial"/>
              </w:rPr>
            </w:pPr>
          </w:p>
        </w:tc>
        <w:tc>
          <w:tcPr>
            <w:tcW w:w="2441" w:type="dxa"/>
            <w:gridSpan w:val="2"/>
          </w:tcPr>
          <w:p w14:paraId="4B5E0FF7" w14:textId="77777777" w:rsidR="0092170C" w:rsidRPr="00CB7EFA" w:rsidRDefault="0092170C" w:rsidP="0092170C">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72974D45" w14:textId="74686052" w:rsidR="0092170C" w:rsidRPr="00CB7EFA" w:rsidRDefault="0092170C"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t>According to the national, international, or meter supplier’s instructions</w:t>
            </w:r>
          </w:p>
        </w:tc>
      </w:tr>
      <w:tr w:rsidR="0092170C" w:rsidRPr="00CB7EFA" w14:paraId="7CDDE4C3"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07F26679" w14:textId="77777777" w:rsidR="0092170C" w:rsidRPr="00CB7EFA" w:rsidRDefault="0092170C" w:rsidP="0092170C">
            <w:pPr>
              <w:pStyle w:val="SDMTableBoxParaNotNumbered"/>
              <w:spacing w:before="40" w:after="40"/>
              <w:rPr>
                <w:rFonts w:cs="Arial"/>
              </w:rPr>
            </w:pPr>
          </w:p>
        </w:tc>
        <w:tc>
          <w:tcPr>
            <w:tcW w:w="2441" w:type="dxa"/>
            <w:gridSpan w:val="2"/>
          </w:tcPr>
          <w:p w14:paraId="7951D545" w14:textId="77777777" w:rsidR="0092170C" w:rsidRPr="00CB7EFA" w:rsidRDefault="0092170C" w:rsidP="0092170C">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536FA370" w14:textId="467C6482" w:rsidR="0092170C" w:rsidRPr="00CB7EFA" w:rsidRDefault="0092170C"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Pr>
                <w:rFonts w:cs="Arial"/>
              </w:rPr>
              <w:t xml:space="preserve">Calibration shall be conducted </w:t>
            </w:r>
            <w:r w:rsidRPr="00106CC2">
              <w:rPr>
                <w:rFonts w:cs="Arial"/>
              </w:rPr>
              <w:t>according to the national, international, or manufacturer’s instructions</w:t>
            </w:r>
          </w:p>
        </w:tc>
      </w:tr>
      <w:tr w:rsidR="0092170C" w:rsidRPr="00CB7EFA" w14:paraId="52966843"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679E0E50" w14:textId="77777777" w:rsidR="0092170C" w:rsidRPr="00CB7EFA" w:rsidRDefault="0092170C" w:rsidP="0092170C">
            <w:pPr>
              <w:pStyle w:val="SDMTableBoxParaNotNumbered"/>
              <w:spacing w:before="40" w:after="40"/>
              <w:rPr>
                <w:rFonts w:cs="Arial"/>
              </w:rPr>
            </w:pPr>
          </w:p>
        </w:tc>
        <w:tc>
          <w:tcPr>
            <w:tcW w:w="2441" w:type="dxa"/>
            <w:gridSpan w:val="2"/>
          </w:tcPr>
          <w:p w14:paraId="35980E78" w14:textId="77777777" w:rsidR="0092170C" w:rsidRPr="00CB7EFA" w:rsidRDefault="0092170C" w:rsidP="0092170C">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256FF1A7" w14:textId="09F9793A" w:rsidR="0092170C" w:rsidRPr="00CB7EFA" w:rsidRDefault="0092170C"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t>At the steam line exiting the geothermal power plant</w:t>
            </w:r>
          </w:p>
        </w:tc>
      </w:tr>
      <w:tr w:rsidR="00AC2BFE" w:rsidRPr="00CB7EFA" w14:paraId="6BF30105"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6F2AAEF3" w14:textId="2B6C3BFF" w:rsidR="00AC2BFE" w:rsidRPr="00CB7EFA" w:rsidRDefault="00AC2BFE" w:rsidP="00690A70">
            <w:pPr>
              <w:pStyle w:val="SDMTableBoxParaNotNumbered"/>
              <w:spacing w:before="40" w:after="40"/>
            </w:pPr>
            <w:r w:rsidRPr="00CB7EFA">
              <w:rPr>
                <w:rFonts w:cs="Arial"/>
              </w:rPr>
              <w:t>QA/QC procedures</w:t>
            </w:r>
            <w:r w:rsidR="00675D7A" w:rsidRPr="00675D7A">
              <w:rPr>
                <w:rFonts w:cs="Arial"/>
              </w:rPr>
              <w:t>:</w:t>
            </w:r>
          </w:p>
        </w:tc>
        <w:tc>
          <w:tcPr>
            <w:tcW w:w="6386" w:type="dxa"/>
            <w:gridSpan w:val="4"/>
          </w:tcPr>
          <w:p w14:paraId="53868D99" w14:textId="77777777" w:rsidR="00AC2BFE" w:rsidRPr="00CB7EFA" w:rsidRDefault="00AC2BFE"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636CA247">
              <w:rPr>
                <w:rFonts w:cs="Arial"/>
              </w:rPr>
              <w:t>The recorded data shall be stored daily in a central database with backup</w:t>
            </w:r>
          </w:p>
        </w:tc>
      </w:tr>
      <w:tr w:rsidR="00AC2BFE" w:rsidRPr="00CB7EFA" w14:paraId="4DACDF13"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647AFFDF" w14:textId="3C53A7C5" w:rsidR="00AC2BFE" w:rsidRPr="00CB7EFA" w:rsidRDefault="00AC2BFE" w:rsidP="00B7767A">
            <w:pPr>
              <w:pStyle w:val="SDMTableBoxParaNotNumbered"/>
              <w:keepNext/>
              <w:spacing w:before="40" w:after="40"/>
            </w:pPr>
            <w:r w:rsidRPr="00CB7EFA">
              <w:t>Treatment of uncertainty</w:t>
            </w:r>
            <w:r w:rsidR="00675D7A" w:rsidRPr="00675D7A">
              <w:t>:</w:t>
            </w:r>
          </w:p>
        </w:tc>
        <w:tc>
          <w:tcPr>
            <w:tcW w:w="6386" w:type="dxa"/>
            <w:gridSpan w:val="4"/>
          </w:tcPr>
          <w:p w14:paraId="5DB6ECF2" w14:textId="77777777" w:rsidR="00AC2BFE" w:rsidRPr="00CB7EFA" w:rsidRDefault="00AC2BFE"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t>Uncertainties are determined based on the measuring instruments</w:t>
            </w:r>
          </w:p>
        </w:tc>
      </w:tr>
      <w:tr w:rsidR="00AC2BFE" w:rsidRPr="00CB7EFA" w14:paraId="1D4A7777"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BF6A99A" w14:textId="0A33AA07" w:rsidR="00AC2BFE" w:rsidRPr="00CB7EFA" w:rsidRDefault="00AC2BFE" w:rsidP="00690A70">
            <w:pPr>
              <w:pStyle w:val="SDMTableBoxParaNotNumbered"/>
              <w:spacing w:before="40" w:after="40"/>
            </w:pPr>
            <w:r w:rsidRPr="00CB7EFA">
              <w:rPr>
                <w:rFonts w:cs="Arial"/>
              </w:rPr>
              <w:t>Additional comment</w:t>
            </w:r>
            <w:r w:rsidR="00675D7A" w:rsidRPr="00675D7A">
              <w:rPr>
                <w:rFonts w:cs="Arial"/>
              </w:rPr>
              <w:t>:</w:t>
            </w:r>
          </w:p>
        </w:tc>
        <w:tc>
          <w:tcPr>
            <w:tcW w:w="6386" w:type="dxa"/>
            <w:gridSpan w:val="4"/>
          </w:tcPr>
          <w:p w14:paraId="40D560A5" w14:textId="77777777" w:rsidR="00AC2BFE" w:rsidRDefault="00AC2BFE" w:rsidP="007255A3">
            <w:pPr>
              <w:pStyle w:val="SDMTableBoxParaNotNumbered"/>
              <w:numPr>
                <w:ilvl w:val="0"/>
                <w:numId w:val="27"/>
              </w:numPr>
              <w:spacing w:before="60" w:after="60"/>
              <w:jc w:val="both"/>
              <w:cnfStyle w:val="000000000000" w:firstRow="0" w:lastRow="0" w:firstColumn="0" w:lastColumn="0" w:oddVBand="0" w:evenVBand="0" w:oddHBand="0" w:evenHBand="0" w:firstRowFirstColumn="0" w:firstRowLastColumn="0" w:lastRowFirstColumn="0" w:lastRowLastColumn="0"/>
            </w:pPr>
            <w:r>
              <w:t>The measurement results shall be summarized transparently in regular production reports;</w:t>
            </w:r>
          </w:p>
          <w:p w14:paraId="54E982C4" w14:textId="77777777" w:rsidR="00AC2BFE" w:rsidRPr="00CB7EFA" w:rsidRDefault="00AC2BFE" w:rsidP="007255A3">
            <w:pPr>
              <w:pStyle w:val="SDMTableBoxParaNotNumbered"/>
              <w:numPr>
                <w:ilvl w:val="0"/>
                <w:numId w:val="27"/>
              </w:numPr>
              <w:spacing w:before="60" w:after="60"/>
              <w:jc w:val="both"/>
              <w:cnfStyle w:val="000000000000" w:firstRow="0" w:lastRow="0" w:firstColumn="0" w:lastColumn="0" w:oddVBand="0" w:evenVBand="0" w:oddHBand="0" w:evenHBand="0" w:firstRowFirstColumn="0" w:firstRowLastColumn="0" w:lastRowFirstColumn="0" w:lastRowLastColumn="0"/>
            </w:pPr>
            <w:r>
              <w:t>Applicable to dry or flash steam geothermal power projects</w:t>
            </w:r>
          </w:p>
        </w:tc>
      </w:tr>
    </w:tbl>
    <w:p w14:paraId="54CB07D5" w14:textId="4C116F39" w:rsidR="0092170C" w:rsidRPr="00CB7EFA" w:rsidRDefault="0092170C" w:rsidP="0092170C">
      <w:pPr>
        <w:pStyle w:val="Caption"/>
      </w:pPr>
      <w:r w:rsidRPr="00CB7EFA">
        <w:t>Data / Parameter table </w:t>
      </w:r>
      <w:fldSimple w:instr=" SEQ Data_/_Parameter_table \* ARABIC ">
        <w:r w:rsidR="00D0578E">
          <w:rPr>
            <w:noProof/>
          </w:rPr>
          <w:t>16</w:t>
        </w:r>
      </w:fldSimple>
      <w:r w:rsidRPr="00CB7EFA">
        <w:t>.</w:t>
      </w:r>
    </w:p>
    <w:tbl>
      <w:tblPr>
        <w:tblStyle w:val="SDMMethTableDataParameter"/>
        <w:tblW w:w="8618" w:type="dxa"/>
        <w:tblLayout w:type="fixed"/>
        <w:tblLook w:val="01E0" w:firstRow="1" w:lastRow="1" w:firstColumn="1" w:lastColumn="1" w:noHBand="0" w:noVBand="0"/>
      </w:tblPr>
      <w:tblGrid>
        <w:gridCol w:w="2232"/>
        <w:gridCol w:w="2128"/>
        <w:gridCol w:w="313"/>
        <w:gridCol w:w="1816"/>
        <w:gridCol w:w="2129"/>
      </w:tblGrid>
      <w:tr w:rsidR="0092170C" w:rsidRPr="00CB7EFA" w14:paraId="7E698859" w14:textId="77777777" w:rsidTr="00690A70">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232" w:type="dxa"/>
          </w:tcPr>
          <w:p w14:paraId="0BF86101" w14:textId="77777777" w:rsidR="0092170C" w:rsidRPr="00CB7EFA" w:rsidRDefault="0092170C" w:rsidP="00690A70">
            <w:pPr>
              <w:pStyle w:val="SDMTableBoxParaNotNumbered"/>
              <w:spacing w:before="40" w:after="40"/>
            </w:pPr>
            <w:r w:rsidRPr="00CB7EFA">
              <w:t>Data / Parameter:</w:t>
            </w:r>
          </w:p>
        </w:tc>
        <w:tc>
          <w:tcPr>
            <w:tcW w:w="6386" w:type="dxa"/>
            <w:gridSpan w:val="4"/>
          </w:tcPr>
          <w:p w14:paraId="52AE290C" w14:textId="78F07314" w:rsidR="0092170C" w:rsidRPr="001A7D05" w:rsidRDefault="0039641B" w:rsidP="00690A70">
            <w:pPr>
              <w:pStyle w:val="SDMTableBoxParaNotNumbered"/>
              <w:spacing w:before="40" w:after="40"/>
              <w:cnfStyle w:val="100000000000" w:firstRow="1" w:lastRow="0" w:firstColumn="0" w:lastColumn="0" w:oddVBand="0" w:evenVBand="0" w:oddHBand="0" w:evenHBand="0" w:firstRowFirstColumn="0" w:firstRowLastColumn="0" w:lastRowFirstColumn="0" w:lastRowLastColumn="0"/>
            </w:pPr>
            <m:oMathPara>
              <m:oMathParaPr>
                <m:jc m:val="left"/>
              </m:oMathParaPr>
              <m:oMath>
                <m:sSub>
                  <m:sSubPr>
                    <m:ctrlPr>
                      <w:rPr>
                        <w:rFonts w:ascii="Cambria Math" w:hAnsi="Cambria Math"/>
                        <w:i/>
                      </w:rPr>
                    </m:ctrlPr>
                  </m:sSubPr>
                  <m:e>
                    <m:r>
                      <m:rPr>
                        <m:sty m:val="bi"/>
                      </m:rPr>
                      <w:rPr>
                        <w:rFonts w:ascii="Cambria Math" w:hAnsi="Cambria Math"/>
                      </w:rPr>
                      <m:t>M</m:t>
                    </m:r>
                  </m:e>
                  <m:sub>
                    <m:r>
                      <m:rPr>
                        <m:sty m:val="bi"/>
                      </m:rPr>
                      <w:rPr>
                        <w:rFonts w:ascii="Cambria Math" w:hAnsi="Cambria Math"/>
                      </w:rPr>
                      <m:t>working fluid,y</m:t>
                    </m:r>
                  </m:sub>
                </m:sSub>
              </m:oMath>
            </m:oMathPara>
          </w:p>
        </w:tc>
      </w:tr>
      <w:tr w:rsidR="00BA291D" w:rsidRPr="00CB7EFA" w14:paraId="64B1E3E4" w14:textId="77777777" w:rsidTr="00690A70">
        <w:trPr>
          <w:trHeight w:val="22"/>
        </w:trPr>
        <w:tc>
          <w:tcPr>
            <w:cnfStyle w:val="001000000000" w:firstRow="0" w:lastRow="0" w:firstColumn="1" w:lastColumn="0" w:oddVBand="0" w:evenVBand="0" w:oddHBand="0" w:evenHBand="0" w:firstRowFirstColumn="0" w:firstRowLastColumn="0" w:lastRowFirstColumn="0" w:lastRowLastColumn="0"/>
            <w:tcW w:w="2232" w:type="dxa"/>
          </w:tcPr>
          <w:p w14:paraId="31A0BA1D" w14:textId="77777777" w:rsidR="00BA291D" w:rsidRPr="00CB7EFA" w:rsidRDefault="00BA291D" w:rsidP="00BA291D">
            <w:pPr>
              <w:pStyle w:val="SDMTableBoxParaNotNumbered"/>
              <w:spacing w:before="40" w:after="40"/>
            </w:pPr>
            <w:r w:rsidRPr="00CB7EFA">
              <w:t>Description:</w:t>
            </w:r>
          </w:p>
        </w:tc>
        <w:tc>
          <w:tcPr>
            <w:tcW w:w="6386" w:type="dxa"/>
            <w:gridSpan w:val="4"/>
          </w:tcPr>
          <w:p w14:paraId="7E10C711" w14:textId="6242E0CC" w:rsidR="00BA291D" w:rsidRPr="00CB7EFA" w:rsidRDefault="00BA291D" w:rsidP="00BA291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7949F1">
              <w:rPr>
                <w:rFonts w:eastAsiaTheme="minorEastAsia" w:cs="Arial"/>
              </w:rPr>
              <w:t xml:space="preserve">Quantity of working fluid leaked/reinjected </w:t>
            </w:r>
            <w:r w:rsidRPr="007949F1">
              <w:rPr>
                <w:rFonts w:cs="Arial"/>
              </w:rPr>
              <w:t>in year </w:t>
            </w:r>
            <w:r w:rsidRPr="007949F1">
              <w:rPr>
                <w:rFonts w:cs="Arial"/>
                <w:i/>
                <w:iCs/>
              </w:rPr>
              <w:t>y</w:t>
            </w:r>
          </w:p>
        </w:tc>
      </w:tr>
      <w:tr w:rsidR="00BA291D" w:rsidRPr="00CB7EFA" w14:paraId="52325E23"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17808077" w14:textId="77777777" w:rsidR="00BA291D" w:rsidRPr="00CB7EFA" w:rsidRDefault="00BA291D" w:rsidP="00BA291D">
            <w:pPr>
              <w:pStyle w:val="SDMTableBoxParaNotNumbered"/>
              <w:spacing w:before="40" w:after="40"/>
            </w:pPr>
            <w:r w:rsidRPr="00CB7EFA">
              <w:t>Data unit:</w:t>
            </w:r>
          </w:p>
        </w:tc>
        <w:tc>
          <w:tcPr>
            <w:tcW w:w="6386" w:type="dxa"/>
            <w:gridSpan w:val="4"/>
          </w:tcPr>
          <w:p w14:paraId="37CD1884" w14:textId="3549E3E0" w:rsidR="00BA291D" w:rsidRPr="00CB7EFA" w:rsidRDefault="00BA291D" w:rsidP="00BA291D">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E5597D">
              <w:t>t</w:t>
            </w:r>
            <w:r w:rsidR="00B73406">
              <w:t> </w:t>
            </w:r>
            <w:r w:rsidRPr="00B73406">
              <w:t>working fluid</w:t>
            </w:r>
          </w:p>
        </w:tc>
      </w:tr>
      <w:tr w:rsidR="0092170C" w:rsidRPr="00CB7EFA" w14:paraId="0CEAC067"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71524AEA" w14:textId="1DD75DBD" w:rsidR="0092170C" w:rsidRPr="00CB7EFA" w:rsidRDefault="0092170C" w:rsidP="00690A70">
            <w:pPr>
              <w:pStyle w:val="SDMTableBoxParaNotNumbered"/>
              <w:spacing w:before="40" w:after="40"/>
            </w:pPr>
            <w:r w:rsidRPr="00CB7EFA">
              <w:t>Equation referred</w:t>
            </w:r>
            <w:r w:rsidR="00675D7A" w:rsidRPr="00675D7A">
              <w:t>:</w:t>
            </w:r>
          </w:p>
        </w:tc>
        <w:tc>
          <w:tcPr>
            <w:tcW w:w="6386" w:type="dxa"/>
            <w:gridSpan w:val="4"/>
            <w:tcBorders>
              <w:bottom w:val="single" w:sz="4" w:space="0" w:color="auto"/>
            </w:tcBorders>
          </w:tcPr>
          <w:p w14:paraId="7D10E9EA" w14:textId="47FC9E6A" w:rsidR="0092170C" w:rsidRPr="00CB7EFA" w:rsidRDefault="0092170C"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t>Equation (1</w:t>
            </w:r>
            <w:r w:rsidR="00BA291D">
              <w:t>8</w:t>
            </w:r>
            <w:r>
              <w:t>)</w:t>
            </w:r>
          </w:p>
        </w:tc>
      </w:tr>
      <w:tr w:rsidR="0092170C" w:rsidRPr="00CB7EFA" w14:paraId="3C1EAFA4"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24E3F5C7" w14:textId="3FAA8801" w:rsidR="0092170C" w:rsidRPr="00CB7EFA" w:rsidRDefault="0092170C" w:rsidP="00690A70">
            <w:pPr>
              <w:pStyle w:val="SDMTableBoxParaNotNumbered"/>
              <w:spacing w:before="40" w:after="40"/>
            </w:pPr>
            <w:r w:rsidRPr="00CB7EFA">
              <w:lastRenderedPageBreak/>
              <w:t>Purpose of data</w:t>
            </w:r>
            <w:r w:rsidR="00675D7A" w:rsidRPr="00675D7A">
              <w:t>:</w:t>
            </w:r>
          </w:p>
        </w:tc>
        <w:tc>
          <w:tcPr>
            <w:tcW w:w="2128" w:type="dxa"/>
            <w:tcBorders>
              <w:right w:val="nil"/>
            </w:tcBorders>
          </w:tcPr>
          <w:p w14:paraId="58589C46" w14:textId="77777777" w:rsidR="0092170C" w:rsidRPr="00CB7EFA" w:rsidRDefault="0092170C"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Baseline Scenario</w:t>
            </w:r>
          </w:p>
        </w:tc>
        <w:tc>
          <w:tcPr>
            <w:tcW w:w="2129" w:type="dxa"/>
            <w:gridSpan w:val="2"/>
            <w:tcBorders>
              <w:left w:val="nil"/>
              <w:right w:val="nil"/>
            </w:tcBorders>
          </w:tcPr>
          <w:p w14:paraId="5A70001F" w14:textId="50092064" w:rsidR="0092170C" w:rsidRPr="00CB7EFA" w:rsidRDefault="0092170C"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Pr>
                <w:shd w:val="clear" w:color="auto" w:fill="E6E6E6"/>
              </w:rPr>
              <w:fldChar w:fldCharType="begin">
                <w:ffData>
                  <w:name w:val=""/>
                  <w:enabled/>
                  <w:calcOnExit w:val="0"/>
                  <w:checkBox>
                    <w:size w:val="20"/>
                    <w:default w:val="1"/>
                  </w:checkBox>
                </w:ffData>
              </w:fldChar>
            </w:r>
            <w:r>
              <w:rPr>
                <w:shd w:val="clear" w:color="auto" w:fill="E6E6E6"/>
              </w:rPr>
              <w:instrText xml:space="preserve"> FORMCHECKBOX </w:instrText>
            </w:r>
            <w:r>
              <w:rPr>
                <w:shd w:val="clear" w:color="auto" w:fill="E6E6E6"/>
              </w:rPr>
            </w:r>
            <w:r>
              <w:rPr>
                <w:shd w:val="clear" w:color="auto" w:fill="E6E6E6"/>
              </w:rPr>
              <w:fldChar w:fldCharType="separate"/>
            </w:r>
            <w:r>
              <w:rPr>
                <w:shd w:val="clear" w:color="auto" w:fill="E6E6E6"/>
              </w:rPr>
              <w:fldChar w:fldCharType="end"/>
            </w:r>
            <w:r w:rsidRPr="00CB7EFA">
              <w:t xml:space="preserve"> </w:t>
            </w:r>
            <w:r>
              <w:t>Activity Scenario</w:t>
            </w:r>
          </w:p>
        </w:tc>
        <w:tc>
          <w:tcPr>
            <w:tcW w:w="2129" w:type="dxa"/>
            <w:tcBorders>
              <w:left w:val="nil"/>
            </w:tcBorders>
          </w:tcPr>
          <w:p w14:paraId="15C1852C" w14:textId="77777777" w:rsidR="0092170C" w:rsidRPr="00CB7EFA" w:rsidRDefault="0092170C" w:rsidP="00690A70">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CB7EFA">
              <w:rPr>
                <w:shd w:val="clear" w:color="auto" w:fill="E6E6E6"/>
              </w:rPr>
              <w:fldChar w:fldCharType="begin">
                <w:ffData>
                  <w:name w:val="Check2"/>
                  <w:enabled/>
                  <w:calcOnExit w:val="0"/>
                  <w:checkBox>
                    <w:size w:val="20"/>
                    <w:default w:val="0"/>
                  </w:checkBox>
                </w:ffData>
              </w:fldChar>
            </w:r>
            <w:r w:rsidRPr="00CB7EFA">
              <w:rPr>
                <w:shd w:val="clear" w:color="auto" w:fill="E6E6E6"/>
              </w:rPr>
              <w:instrText xml:space="preserve"> FORMCHECKBOX </w:instrText>
            </w:r>
            <w:r w:rsidRPr="00CB7EFA">
              <w:rPr>
                <w:shd w:val="clear" w:color="auto" w:fill="E6E6E6"/>
              </w:rPr>
            </w:r>
            <w:r w:rsidRPr="00CB7EFA">
              <w:rPr>
                <w:shd w:val="clear" w:color="auto" w:fill="E6E6E6"/>
              </w:rPr>
              <w:fldChar w:fldCharType="separate"/>
            </w:r>
            <w:r w:rsidRPr="00CB7EFA">
              <w:rPr>
                <w:shd w:val="clear" w:color="auto" w:fill="E6E6E6"/>
              </w:rPr>
              <w:fldChar w:fldCharType="end"/>
            </w:r>
            <w:r w:rsidRPr="00CB7EFA">
              <w:t xml:space="preserve"> </w:t>
            </w:r>
            <w:r>
              <w:t>Leakage</w:t>
            </w:r>
          </w:p>
        </w:tc>
      </w:tr>
      <w:tr w:rsidR="005D5165" w:rsidRPr="00CB7EFA" w14:paraId="00DCF1E3"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00450B70" w14:textId="4984BAC7" w:rsidR="005D5165" w:rsidRPr="00CB7EFA" w:rsidRDefault="005D5165" w:rsidP="005D5165">
            <w:pPr>
              <w:pStyle w:val="SDMTableBoxParaNotNumbered"/>
              <w:spacing w:before="40" w:after="40"/>
            </w:pPr>
            <w:r w:rsidRPr="00CB7EFA">
              <w:rPr>
                <w:rFonts w:cs="Arial"/>
              </w:rPr>
              <w:t>Measurement methods and procedures</w:t>
            </w:r>
            <w:r w:rsidR="00675D7A" w:rsidRPr="00675D7A">
              <w:rPr>
                <w:rFonts w:cs="Arial"/>
              </w:rPr>
              <w:t>:</w:t>
            </w:r>
          </w:p>
        </w:tc>
        <w:tc>
          <w:tcPr>
            <w:tcW w:w="6386" w:type="dxa"/>
            <w:gridSpan w:val="4"/>
          </w:tcPr>
          <w:p w14:paraId="3694ADD1" w14:textId="53265EFB" w:rsidR="005D5165" w:rsidRPr="00CB7EFA" w:rsidRDefault="005D5165" w:rsidP="005D5165">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E5597D">
              <w:t>Measured via log books and maintenance reports of the plant</w:t>
            </w:r>
          </w:p>
        </w:tc>
      </w:tr>
      <w:tr w:rsidR="005D5165" w:rsidRPr="00CB7EFA" w14:paraId="64A48BCB"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37384577" w14:textId="04FB7947" w:rsidR="005D5165" w:rsidRPr="00CB7EFA" w:rsidRDefault="005D5165" w:rsidP="005D5165">
            <w:pPr>
              <w:pStyle w:val="SDMTableBoxParaNotNumbered"/>
              <w:spacing w:before="40" w:after="40"/>
              <w:rPr>
                <w:rFonts w:cs="Arial"/>
              </w:rPr>
            </w:pPr>
            <w:r w:rsidRPr="00CB7EFA">
              <w:t>Measurement and updating frequency</w:t>
            </w:r>
            <w:r w:rsidR="00675D7A" w:rsidRPr="00675D7A">
              <w:t>:</w:t>
            </w:r>
          </w:p>
        </w:tc>
        <w:tc>
          <w:tcPr>
            <w:tcW w:w="6386" w:type="dxa"/>
            <w:gridSpan w:val="4"/>
          </w:tcPr>
          <w:p w14:paraId="04CDC253" w14:textId="0216AABD" w:rsidR="005D5165" w:rsidRPr="00CB7EFA" w:rsidRDefault="005D5165" w:rsidP="005D5165">
            <w:pPr>
              <w:pStyle w:val="SDMTableBoxParaNotNumbered"/>
              <w:spacing w:before="60" w:after="60"/>
              <w:cnfStyle w:val="000000000000" w:firstRow="0" w:lastRow="0" w:firstColumn="0" w:lastColumn="0" w:oddVBand="0" w:evenVBand="0" w:oddHBand="0" w:evenHBand="0" w:firstRowFirstColumn="0" w:firstRowLastColumn="0" w:lastRowFirstColumn="0" w:lastRowLastColumn="0"/>
            </w:pPr>
            <w:r w:rsidRPr="00E5597D">
              <w:rPr>
                <w:rFonts w:cs="Arial"/>
              </w:rPr>
              <w:t>Annually measured</w:t>
            </w:r>
          </w:p>
        </w:tc>
      </w:tr>
      <w:tr w:rsidR="005D5165" w:rsidRPr="00CB7EFA" w14:paraId="4F4A877C"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1793D9F1" w14:textId="1221C771" w:rsidR="005D5165" w:rsidRPr="00CB7EFA" w:rsidRDefault="005D5165" w:rsidP="005D5165">
            <w:pPr>
              <w:pStyle w:val="SDMTableBoxParaNotNumbered"/>
              <w:spacing w:before="40" w:after="40"/>
              <w:rPr>
                <w:rFonts w:cs="Arial"/>
              </w:rPr>
            </w:pPr>
            <w:r w:rsidRPr="00A264BF">
              <w:t>Entity responsible for measurement</w:t>
            </w:r>
            <w:r w:rsidR="00675D7A" w:rsidRPr="00675D7A">
              <w:t>:</w:t>
            </w:r>
          </w:p>
        </w:tc>
        <w:tc>
          <w:tcPr>
            <w:tcW w:w="6386" w:type="dxa"/>
            <w:gridSpan w:val="4"/>
          </w:tcPr>
          <w:p w14:paraId="1E1CBB4F" w14:textId="3AA0C930" w:rsidR="005D5165" w:rsidRPr="00CB7EFA" w:rsidRDefault="005D5165" w:rsidP="005D5165">
            <w:pPr>
              <w:pStyle w:val="SDMTableBoxParaNotNumbered"/>
              <w:spacing w:before="40" w:after="40"/>
              <w:cnfStyle w:val="000000000000" w:firstRow="0" w:lastRow="0" w:firstColumn="0" w:lastColumn="0" w:oddVBand="0" w:evenVBand="0" w:oddHBand="0" w:evenHBand="0" w:firstRowFirstColumn="0" w:firstRowLastColumn="0" w:lastRowFirstColumn="0" w:lastRowLastColumn="0"/>
            </w:pPr>
            <w:r w:rsidRPr="00E5597D">
              <w:rPr>
                <w:rFonts w:cs="Arial"/>
              </w:rPr>
              <w:t>Activity participants</w:t>
            </w:r>
          </w:p>
        </w:tc>
      </w:tr>
      <w:tr w:rsidR="0088497E" w:rsidRPr="00CB7EFA" w14:paraId="390306EA"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val="restart"/>
          </w:tcPr>
          <w:p w14:paraId="793C8C51" w14:textId="43A9909B" w:rsidR="0088497E" w:rsidRPr="00CB7EFA" w:rsidRDefault="0088497E" w:rsidP="0088497E">
            <w:pPr>
              <w:pStyle w:val="SDMTableBoxParaNotNumbered"/>
              <w:spacing w:before="40" w:after="40"/>
            </w:pPr>
            <w:r w:rsidRPr="00CB7EFA">
              <w:rPr>
                <w:rFonts w:cs="Arial"/>
              </w:rPr>
              <w:t>Measuring instrument(s)</w:t>
            </w:r>
            <w:r w:rsidR="00675D7A" w:rsidRPr="00675D7A">
              <w:rPr>
                <w:rFonts w:cs="Arial"/>
              </w:rPr>
              <w:t>:</w:t>
            </w:r>
          </w:p>
        </w:tc>
        <w:tc>
          <w:tcPr>
            <w:tcW w:w="2441" w:type="dxa"/>
            <w:gridSpan w:val="2"/>
          </w:tcPr>
          <w:p w14:paraId="22DFEB53" w14:textId="77777777" w:rsidR="0088497E" w:rsidRPr="00CB7EFA" w:rsidRDefault="0088497E" w:rsidP="0088497E">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rPr>
            </w:pPr>
            <w:r w:rsidRPr="00CB7EFA">
              <w:rPr>
                <w:i/>
                <w:iCs/>
              </w:rPr>
              <w:t>Type of instrument</w:t>
            </w:r>
          </w:p>
        </w:tc>
        <w:tc>
          <w:tcPr>
            <w:tcW w:w="3945" w:type="dxa"/>
            <w:gridSpan w:val="2"/>
          </w:tcPr>
          <w:p w14:paraId="03539836" w14:textId="3DAA634B" w:rsidR="0088497E" w:rsidRPr="00CB7EFA" w:rsidRDefault="0088497E"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00E5597D">
              <w:t>Mass flow meter or other equipment with at least the same accuracy</w:t>
            </w:r>
          </w:p>
        </w:tc>
      </w:tr>
      <w:tr w:rsidR="0088497E" w:rsidRPr="00CB7EFA" w14:paraId="2184618C"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442D1ACC" w14:textId="77777777" w:rsidR="0088497E" w:rsidRPr="00CB7EFA" w:rsidRDefault="0088497E" w:rsidP="0088497E">
            <w:pPr>
              <w:pStyle w:val="SDMTableBoxParaNotNumbered"/>
              <w:spacing w:before="40" w:after="40"/>
              <w:rPr>
                <w:rFonts w:cs="Arial"/>
              </w:rPr>
            </w:pPr>
          </w:p>
        </w:tc>
        <w:tc>
          <w:tcPr>
            <w:tcW w:w="2441" w:type="dxa"/>
            <w:gridSpan w:val="2"/>
          </w:tcPr>
          <w:p w14:paraId="1169E226" w14:textId="77777777" w:rsidR="0088497E" w:rsidRPr="00CB7EFA" w:rsidRDefault="0088497E" w:rsidP="0088497E">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Accuracy class</w:t>
            </w:r>
          </w:p>
        </w:tc>
        <w:tc>
          <w:tcPr>
            <w:tcW w:w="3945" w:type="dxa"/>
            <w:gridSpan w:val="2"/>
          </w:tcPr>
          <w:p w14:paraId="26157DB5" w14:textId="1A1EC7E6" w:rsidR="0088497E" w:rsidRPr="00CB7EFA" w:rsidRDefault="0088497E"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5597D">
              <w:t>According to the national, international, or meter supplier’s instructions</w:t>
            </w:r>
          </w:p>
        </w:tc>
      </w:tr>
      <w:tr w:rsidR="0088497E" w:rsidRPr="00CB7EFA" w14:paraId="434B0D7F"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6E9EF4B3" w14:textId="77777777" w:rsidR="0088497E" w:rsidRPr="00CB7EFA" w:rsidRDefault="0088497E" w:rsidP="0088497E">
            <w:pPr>
              <w:pStyle w:val="SDMTableBoxParaNotNumbered"/>
              <w:spacing w:before="40" w:after="40"/>
              <w:rPr>
                <w:rFonts w:cs="Arial"/>
              </w:rPr>
            </w:pPr>
          </w:p>
        </w:tc>
        <w:tc>
          <w:tcPr>
            <w:tcW w:w="2441" w:type="dxa"/>
            <w:gridSpan w:val="2"/>
          </w:tcPr>
          <w:p w14:paraId="631E63BF" w14:textId="77777777" w:rsidR="0088497E" w:rsidRPr="00CB7EFA" w:rsidRDefault="0088497E" w:rsidP="0088497E">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Calibration requirements</w:t>
            </w:r>
          </w:p>
        </w:tc>
        <w:tc>
          <w:tcPr>
            <w:tcW w:w="3945" w:type="dxa"/>
            <w:gridSpan w:val="2"/>
          </w:tcPr>
          <w:p w14:paraId="1FE585CF" w14:textId="30E1347C" w:rsidR="0088497E" w:rsidRPr="00CB7EFA" w:rsidRDefault="0088497E"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5597D">
              <w:t>Calibration shall be conducted according to the national, international, or manufacturer’s instructions</w:t>
            </w:r>
          </w:p>
        </w:tc>
      </w:tr>
      <w:tr w:rsidR="0088497E" w:rsidRPr="00CB7EFA" w14:paraId="57A6B7C1" w14:textId="77777777" w:rsidTr="00690A70">
        <w:tc>
          <w:tcPr>
            <w:cnfStyle w:val="001000000000" w:firstRow="0" w:lastRow="0" w:firstColumn="1" w:lastColumn="0" w:oddVBand="0" w:evenVBand="0" w:oddHBand="0" w:evenHBand="0" w:firstRowFirstColumn="0" w:firstRowLastColumn="0" w:lastRowFirstColumn="0" w:lastRowLastColumn="0"/>
            <w:tcW w:w="2232" w:type="dxa"/>
            <w:vMerge/>
          </w:tcPr>
          <w:p w14:paraId="31519CED" w14:textId="77777777" w:rsidR="0088497E" w:rsidRPr="00CB7EFA" w:rsidRDefault="0088497E" w:rsidP="0088497E">
            <w:pPr>
              <w:pStyle w:val="SDMTableBoxParaNotNumbered"/>
              <w:spacing w:before="40" w:after="40"/>
              <w:rPr>
                <w:rFonts w:cs="Arial"/>
              </w:rPr>
            </w:pPr>
          </w:p>
        </w:tc>
        <w:tc>
          <w:tcPr>
            <w:tcW w:w="2441" w:type="dxa"/>
            <w:gridSpan w:val="2"/>
          </w:tcPr>
          <w:p w14:paraId="22FDF722" w14:textId="77777777" w:rsidR="0088497E" w:rsidRPr="00CB7EFA" w:rsidRDefault="0088497E" w:rsidP="0088497E">
            <w:pPr>
              <w:pStyle w:val="SDMTableBoxParaNotNumbered"/>
              <w:spacing w:before="40" w:after="40"/>
              <w:cnfStyle w:val="000000000000" w:firstRow="0" w:lastRow="0" w:firstColumn="0" w:lastColumn="0" w:oddVBand="0" w:evenVBand="0" w:oddHBand="0" w:evenHBand="0" w:firstRowFirstColumn="0" w:firstRowLastColumn="0" w:lastRowFirstColumn="0" w:lastRowLastColumn="0"/>
              <w:rPr>
                <w:i/>
                <w:iCs/>
                <w:shd w:val="clear" w:color="auto" w:fill="E6E6E6"/>
              </w:rPr>
            </w:pPr>
            <w:r w:rsidRPr="00CB7EFA">
              <w:rPr>
                <w:rFonts w:cs="Arial"/>
                <w:i/>
                <w:iCs/>
              </w:rPr>
              <w:t>Location</w:t>
            </w:r>
          </w:p>
        </w:tc>
        <w:tc>
          <w:tcPr>
            <w:tcW w:w="3945" w:type="dxa"/>
            <w:gridSpan w:val="2"/>
          </w:tcPr>
          <w:p w14:paraId="03FE8E53" w14:textId="0BFEEFDD" w:rsidR="0088497E" w:rsidRPr="00CB7EFA" w:rsidRDefault="0088497E"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rPr>
                <w:shd w:val="clear" w:color="auto" w:fill="E6E6E6"/>
              </w:rPr>
            </w:pPr>
            <w:r w:rsidRPr="00E5597D">
              <w:t>Heat exchanger or working fluid storage equipment</w:t>
            </w:r>
          </w:p>
        </w:tc>
      </w:tr>
      <w:tr w:rsidR="00B379F8" w:rsidRPr="00CB7EFA" w14:paraId="06B3CEAE"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31E44A65" w14:textId="5D2752A5" w:rsidR="00B379F8" w:rsidRPr="00CB7EFA" w:rsidRDefault="00B379F8" w:rsidP="00114F85">
            <w:pPr>
              <w:pStyle w:val="SDMTableBoxParaNotNumbered"/>
              <w:spacing w:before="40" w:after="40"/>
              <w:jc w:val="both"/>
            </w:pPr>
            <w:r w:rsidRPr="00CB7EFA">
              <w:rPr>
                <w:rFonts w:cs="Arial"/>
              </w:rPr>
              <w:t>QA/QC procedures</w:t>
            </w:r>
            <w:r w:rsidR="00675D7A" w:rsidRPr="00675D7A">
              <w:rPr>
                <w:rFonts w:cs="Arial"/>
              </w:rPr>
              <w:t>:</w:t>
            </w:r>
          </w:p>
        </w:tc>
        <w:tc>
          <w:tcPr>
            <w:tcW w:w="6386" w:type="dxa"/>
            <w:gridSpan w:val="4"/>
          </w:tcPr>
          <w:p w14:paraId="1E06D205" w14:textId="38DCB0A4" w:rsidR="00B379F8" w:rsidRPr="00CB7EFA" w:rsidRDefault="00B379F8" w:rsidP="00114F85">
            <w:pPr>
              <w:pStyle w:val="SDMTableBoxParaNotNumbered"/>
              <w:spacing w:before="40" w:after="40"/>
              <w:jc w:val="both"/>
              <w:cnfStyle w:val="000000000000" w:firstRow="0" w:lastRow="0" w:firstColumn="0" w:lastColumn="0" w:oddVBand="0" w:evenVBand="0" w:oddHBand="0" w:evenHBand="0" w:firstRowFirstColumn="0" w:firstRowLastColumn="0" w:lastRowFirstColumn="0" w:lastRowLastColumn="0"/>
            </w:pPr>
            <w:r w:rsidRPr="636CA247">
              <w:rPr>
                <w:rFonts w:cs="Arial"/>
              </w:rPr>
              <w:t>Measured based on the quantity of working fluid reinjected into the binary system of the geothermal plant. Cross check with the purchase invoices</w:t>
            </w:r>
          </w:p>
        </w:tc>
      </w:tr>
      <w:tr w:rsidR="00B379F8" w:rsidRPr="00CB7EFA" w14:paraId="698C351B"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3B0C99EA" w14:textId="21A64DB1" w:rsidR="00B379F8" w:rsidRPr="00CB7EFA" w:rsidRDefault="00B379F8" w:rsidP="00B7767A">
            <w:pPr>
              <w:pStyle w:val="SDMTableBoxParaNotNumbered"/>
              <w:keepNext/>
              <w:spacing w:before="40" w:after="40"/>
            </w:pPr>
            <w:r w:rsidRPr="00CB7EFA">
              <w:t>Treatment of uncertainty</w:t>
            </w:r>
            <w:r w:rsidR="00675D7A" w:rsidRPr="00675D7A">
              <w:t>:</w:t>
            </w:r>
          </w:p>
        </w:tc>
        <w:tc>
          <w:tcPr>
            <w:tcW w:w="6386" w:type="dxa"/>
            <w:gridSpan w:val="4"/>
          </w:tcPr>
          <w:p w14:paraId="6D798264" w14:textId="6A169829" w:rsidR="00B379F8" w:rsidRPr="00CB7EFA" w:rsidRDefault="00B379F8" w:rsidP="00B7767A">
            <w:pPr>
              <w:pStyle w:val="SDMTableBoxParaNotNumbered"/>
              <w:keepNext/>
              <w:spacing w:before="40" w:after="40"/>
              <w:jc w:val="both"/>
              <w:cnfStyle w:val="000000000000" w:firstRow="0" w:lastRow="0" w:firstColumn="0" w:lastColumn="0" w:oddVBand="0" w:evenVBand="0" w:oddHBand="0" w:evenHBand="0" w:firstRowFirstColumn="0" w:firstRowLastColumn="0" w:lastRowFirstColumn="0" w:lastRowLastColumn="0"/>
            </w:pPr>
            <w:r w:rsidRPr="00E5597D">
              <w:t>Uncertainties are determined based on the measuring instruments</w:t>
            </w:r>
          </w:p>
        </w:tc>
      </w:tr>
      <w:tr w:rsidR="00B379F8" w:rsidRPr="00CB7EFA" w14:paraId="0CCD8FB9" w14:textId="77777777" w:rsidTr="00690A70">
        <w:tc>
          <w:tcPr>
            <w:cnfStyle w:val="001000000000" w:firstRow="0" w:lastRow="0" w:firstColumn="1" w:lastColumn="0" w:oddVBand="0" w:evenVBand="0" w:oddHBand="0" w:evenHBand="0" w:firstRowFirstColumn="0" w:firstRowLastColumn="0" w:lastRowFirstColumn="0" w:lastRowLastColumn="0"/>
            <w:tcW w:w="2232" w:type="dxa"/>
          </w:tcPr>
          <w:p w14:paraId="42DE3389" w14:textId="669DFE2B" w:rsidR="00B379F8" w:rsidRPr="00CB7EFA" w:rsidRDefault="00B379F8" w:rsidP="00114F85">
            <w:pPr>
              <w:pStyle w:val="SDMTableBoxParaNotNumbered"/>
              <w:spacing w:before="40" w:after="40"/>
              <w:jc w:val="both"/>
            </w:pPr>
            <w:r w:rsidRPr="00CB7EFA">
              <w:rPr>
                <w:rFonts w:cs="Arial"/>
              </w:rPr>
              <w:t>Additional comment</w:t>
            </w:r>
            <w:r w:rsidR="00675D7A" w:rsidRPr="00675D7A">
              <w:rPr>
                <w:rFonts w:cs="Arial"/>
              </w:rPr>
              <w:t>:</w:t>
            </w:r>
          </w:p>
        </w:tc>
        <w:tc>
          <w:tcPr>
            <w:tcW w:w="6386" w:type="dxa"/>
            <w:gridSpan w:val="4"/>
          </w:tcPr>
          <w:p w14:paraId="03F29868" w14:textId="7FD84B43" w:rsidR="00B379F8" w:rsidRPr="00CB7EFA" w:rsidRDefault="00B379F8" w:rsidP="00114F85">
            <w:pPr>
              <w:pStyle w:val="SDMTableBoxParaNotNumbered"/>
              <w:spacing w:before="60" w:after="60"/>
              <w:jc w:val="both"/>
              <w:cnfStyle w:val="000000000000" w:firstRow="0" w:lastRow="0" w:firstColumn="0" w:lastColumn="0" w:oddVBand="0" w:evenVBand="0" w:oddHBand="0" w:evenHBand="0" w:firstRowFirstColumn="0" w:firstRowLastColumn="0" w:lastRowFirstColumn="0" w:lastRowLastColumn="0"/>
            </w:pPr>
            <w:r w:rsidRPr="00E5597D">
              <w:t>Applicable to binary geothermal power projects</w:t>
            </w:r>
          </w:p>
        </w:tc>
      </w:tr>
    </w:tbl>
    <w:p w14:paraId="5FA44DCE" w14:textId="77777777" w:rsidR="00D12313" w:rsidRPr="00CB7EFA" w:rsidRDefault="00D12313" w:rsidP="00114F85"/>
    <w:p w14:paraId="154E7BDB" w14:textId="535B1FF3" w:rsidR="00D12313" w:rsidRPr="00CB7EFA" w:rsidRDefault="00D12313" w:rsidP="00726089">
      <w:pPr>
        <w:sectPr w:rsidR="00D12313" w:rsidRPr="00CB7EFA" w:rsidSect="00B960DB">
          <w:headerReference w:type="even" r:id="rId17"/>
          <w:headerReference w:type="default" r:id="rId18"/>
          <w:footerReference w:type="default" r:id="rId19"/>
          <w:headerReference w:type="first" r:id="rId20"/>
          <w:footnotePr>
            <w:numRestart w:val="eachSect"/>
          </w:footnotePr>
          <w:pgSz w:w="11907" w:h="16840" w:code="9"/>
          <w:pgMar w:top="2552" w:right="1134" w:bottom="1418" w:left="1418" w:header="851" w:footer="567" w:gutter="0"/>
          <w:cols w:space="720"/>
          <w:formProt w:val="0"/>
          <w:docGrid w:linePitch="299"/>
        </w:sectPr>
      </w:pPr>
    </w:p>
    <w:p w14:paraId="7EF2474A" w14:textId="0D45815D" w:rsidR="002454C9" w:rsidRPr="00CB7EFA" w:rsidRDefault="003D5E58" w:rsidP="00FB5765">
      <w:pPr>
        <w:pStyle w:val="SDMAppTitle"/>
      </w:pPr>
      <w:r w:rsidRPr="003D5E58">
        <w:lastRenderedPageBreak/>
        <w:tab/>
      </w:r>
      <w:bookmarkStart w:id="360" w:name="_Toc233881742"/>
      <w:bookmarkStart w:id="361" w:name="_Toc233882108"/>
      <w:bookmarkStart w:id="362" w:name="_Toc233884235"/>
      <w:bookmarkStart w:id="363" w:name="_Toc233902844"/>
      <w:bookmarkStart w:id="364" w:name="_Toc233902881"/>
      <w:bookmarkStart w:id="365" w:name="_Toc236391912"/>
      <w:bookmarkStart w:id="366" w:name="_Toc236394054"/>
      <w:r w:rsidRPr="003D5E58">
        <w:t>Background</w:t>
      </w:r>
      <w:r w:rsidR="008C3C4B">
        <w:t xml:space="preserve"> </w:t>
      </w:r>
      <w:r w:rsidRPr="003D5E58">
        <w:t>information on the inclusion and exclusion of emission sources</w:t>
      </w:r>
      <w:bookmarkEnd w:id="360"/>
      <w:bookmarkEnd w:id="361"/>
      <w:bookmarkEnd w:id="362"/>
      <w:bookmarkEnd w:id="363"/>
      <w:bookmarkEnd w:id="364"/>
      <w:bookmarkEnd w:id="365"/>
      <w:bookmarkEnd w:id="366"/>
    </w:p>
    <w:p w14:paraId="3B675AA0" w14:textId="486CE93B" w:rsidR="003D5E58" w:rsidRPr="003A66E1" w:rsidRDefault="008C3C4B" w:rsidP="007255A3">
      <w:pPr>
        <w:pStyle w:val="SDMPara"/>
        <w:numPr>
          <w:ilvl w:val="0"/>
          <w:numId w:val="30"/>
        </w:numPr>
      </w:pPr>
      <w:r w:rsidRPr="003A66E1">
        <w:t>This appendix provides additional background information and justification for why certain baseline, project and leakage emission sources are not quantified in this mechanism methodology. For this purpose, this appendix first identifies in section 1 all relevant emissions sources, consistent with the appendix 1 of the “Standard: Setting the baseline in mechanism methodologies”(A6.4-STAN-METH-004) and with the “Standard: Addressing leakage in mechanism methodologies” (A6.4-STAN-METH-005); then, it assesses in section 2 the relevance of the identified emission sources and explains how they have been addressed, and then draws an overall conclusions on why the proposed selection of emission sources ensures conservativeness.</w:t>
      </w:r>
    </w:p>
    <w:p w14:paraId="1069B117" w14:textId="1454EDB6" w:rsidR="008C3C4B" w:rsidRPr="003A66E1" w:rsidRDefault="00922448" w:rsidP="003A66E1">
      <w:pPr>
        <w:pStyle w:val="SDMApp1"/>
      </w:pPr>
      <w:r w:rsidRPr="003A66E1">
        <w:t>Identification of relevant emission sources</w:t>
      </w:r>
    </w:p>
    <w:p w14:paraId="4D60D3C7" w14:textId="3CFDF1C7" w:rsidR="002F5757" w:rsidRPr="002F5757" w:rsidRDefault="002F5757" w:rsidP="003A66E1">
      <w:pPr>
        <w:pStyle w:val="SDMPara"/>
      </w:pPr>
      <w:r w:rsidRPr="0072390A">
        <w:t xml:space="preserve">The physical boundary of Article 6.4 activities applying this </w:t>
      </w:r>
      <w:r>
        <w:t xml:space="preserve">mechanism </w:t>
      </w:r>
      <w:r w:rsidRPr="0072390A">
        <w:t>methodology is specified in section</w:t>
      </w:r>
      <w:r>
        <w:t> </w:t>
      </w:r>
      <w:r w:rsidRPr="0072390A">
        <w:t xml:space="preserve">5 of the mechanism methodology as the </w:t>
      </w:r>
      <w:r w:rsidRPr="001A3F1A">
        <w:rPr>
          <w:rFonts w:eastAsiaTheme="minorEastAsia"/>
        </w:rPr>
        <w:t>site of the project power plant and all power units physically connected to the electricity system.</w:t>
      </w:r>
    </w:p>
    <w:p w14:paraId="1F596BE3" w14:textId="75413EEC" w:rsidR="002F5757" w:rsidRDefault="00D66990" w:rsidP="00EC00DE">
      <w:pPr>
        <w:pStyle w:val="SDMPara"/>
        <w:keepNext/>
      </w:pPr>
      <w:r>
        <w:t>The mechanism methodology accounts for the following emission sources:</w:t>
      </w:r>
    </w:p>
    <w:p w14:paraId="5C06DAD3" w14:textId="62E96B05" w:rsidR="00D66990" w:rsidRDefault="00CB695A" w:rsidP="003A66E1">
      <w:pPr>
        <w:pStyle w:val="SDMSubPara1"/>
      </w:pPr>
      <w:r w:rsidRPr="001A3F1A">
        <w:rPr>
          <w:lang w:val="en-US"/>
        </w:rPr>
        <w:t>Baseline emissions: CO</w:t>
      </w:r>
      <w:r w:rsidRPr="001A3F1A">
        <w:rPr>
          <w:vertAlign w:val="subscript"/>
          <w:lang w:val="en-US"/>
        </w:rPr>
        <w:t>2</w:t>
      </w:r>
      <w:r>
        <w:t xml:space="preserve"> emissions from the combustion of fossil fuel in fossil fuel fired power plants connected to the electricity system. This source is related to the Article 6.4 activity, as it is determined based on the emissions from the combustion of fossil fuels in power plants connected to the electricity system;</w:t>
      </w:r>
    </w:p>
    <w:p w14:paraId="1CB9BDB6" w14:textId="0558EF0A" w:rsidR="00CB695A" w:rsidRDefault="000E1A2E" w:rsidP="00EC00DE">
      <w:pPr>
        <w:pStyle w:val="SDMSubPara1"/>
        <w:keepNext/>
      </w:pPr>
      <w:r>
        <w:t>Activity emissions:</w:t>
      </w:r>
    </w:p>
    <w:p w14:paraId="19A268E7" w14:textId="77777777" w:rsidR="00594AB5" w:rsidRDefault="00594AB5" w:rsidP="007275C4">
      <w:pPr>
        <w:pStyle w:val="SDMSubPara2"/>
      </w:pPr>
      <w:r>
        <w:t>Emissions due to the combustion of fossil fuels in a backup generator. This source is controlled by the Article 6.4 activity, as the quantity of fuel consumed is under the direct control of the activity participants;</w:t>
      </w:r>
    </w:p>
    <w:p w14:paraId="069F1760" w14:textId="77777777" w:rsidR="00594AB5" w:rsidRDefault="00594AB5" w:rsidP="007275C4">
      <w:pPr>
        <w:pStyle w:val="SDMSubPara2"/>
      </w:pPr>
      <w:r>
        <w:t>Emissions from non-condensable gases contained in geothermal steam of dry or flash steam geothermal power plants. This source is controlled by the Article 6.4 activity, as the quantity of steam collected, is under the direct control of the activity participants;</w:t>
      </w:r>
    </w:p>
    <w:p w14:paraId="20506CDB" w14:textId="77777777" w:rsidR="00594AB5" w:rsidRDefault="00594AB5" w:rsidP="007275C4">
      <w:pPr>
        <w:pStyle w:val="SDMSubPara2"/>
      </w:pPr>
      <w:r>
        <w:t>Fugitive emissions from non-condensable gases contained in geothermal steam of binary geothermal power plants. This source is controlled by the Article 6.4 activity, as the quantity of steam entering and leaving the power plant is under the direct control of the activity participants; and</w:t>
      </w:r>
    </w:p>
    <w:p w14:paraId="076CDDBC" w14:textId="486CE320" w:rsidR="000E1A2E" w:rsidRDefault="00594AB5" w:rsidP="007275C4">
      <w:pPr>
        <w:pStyle w:val="SDMSubPara2"/>
      </w:pPr>
      <w:r>
        <w:t>Fugitive emissions of working fluid contained in the heat exchangers of binary geothermal power plants. This source is controlled by the Article 6.4 activity, as the quantity of working fluid used to operate the heat exchanger is under the direct control of the activity participants; and</w:t>
      </w:r>
    </w:p>
    <w:p w14:paraId="7BCCAFA7" w14:textId="0DDDD722" w:rsidR="002F5757" w:rsidRDefault="006A7119" w:rsidP="00EC00DE">
      <w:pPr>
        <w:pStyle w:val="SDMSubPara1"/>
        <w:keepNext/>
      </w:pPr>
      <w:r>
        <w:lastRenderedPageBreak/>
        <w:t>Leakage emissions:</w:t>
      </w:r>
    </w:p>
    <w:p w14:paraId="6F581F90" w14:textId="77777777" w:rsidR="008A36A8" w:rsidRDefault="008A36A8" w:rsidP="007275C4">
      <w:pPr>
        <w:pStyle w:val="SDMSubPara2"/>
      </w:pPr>
      <w:r>
        <w:t>Wake effects of wind power plants. This source of emission is affected by the Article 6.4 activity, as the construction of a wind power plant may result in wake effects on other wind power plants and reduce their electricity generation; and</w:t>
      </w:r>
    </w:p>
    <w:p w14:paraId="663CB11C" w14:textId="22BFD21F" w:rsidR="008A36A8" w:rsidRDefault="008A36A8" w:rsidP="007275C4">
      <w:pPr>
        <w:pStyle w:val="SDMSubPara2"/>
      </w:pPr>
      <w:r>
        <w:t>Upstream emissions from the production, transport and installation of a BESS. This source is affected by the Article 6.4 activity.</w:t>
      </w:r>
    </w:p>
    <w:p w14:paraId="005D3FA8" w14:textId="54C33C4E" w:rsidR="002F5757" w:rsidRDefault="00DF4AF8" w:rsidP="00EC00DE">
      <w:pPr>
        <w:pStyle w:val="SDMPara"/>
        <w:keepNext/>
      </w:pPr>
      <w:r>
        <w:t>Several additional emission sources were identified but are not accounted for in this version of the mechanism methodology:</w:t>
      </w:r>
    </w:p>
    <w:p w14:paraId="65808491" w14:textId="293738AB" w:rsidR="00FE785D" w:rsidRDefault="00FE785D" w:rsidP="00EC00DE">
      <w:pPr>
        <w:pStyle w:val="SDMSubPara1"/>
        <w:keepNext/>
      </w:pPr>
      <w:r>
        <w:t>Baseline emissions:</w:t>
      </w:r>
    </w:p>
    <w:p w14:paraId="162543EE" w14:textId="26996489" w:rsidR="00FE785D" w:rsidRDefault="0076104E" w:rsidP="007275C4">
      <w:pPr>
        <w:pStyle w:val="SDMSubPara2"/>
      </w:pPr>
      <w:r>
        <w:t>Non-</w:t>
      </w:r>
      <w:r w:rsidRPr="00CF6049">
        <w:rPr>
          <w:lang w:val="en-US"/>
        </w:rPr>
        <w:t>CO</w:t>
      </w:r>
      <w:r w:rsidRPr="00CF6049">
        <w:rPr>
          <w:vertAlign w:val="subscript"/>
          <w:lang w:val="en-US"/>
        </w:rPr>
        <w:t>2</w:t>
      </w:r>
      <w:r>
        <w:t xml:space="preserve"> emissions from fossil fuel combustion of power plants in the electricity system;</w:t>
      </w:r>
    </w:p>
    <w:p w14:paraId="31007CEC" w14:textId="7C2D0207" w:rsidR="0076104E" w:rsidRDefault="00357C15" w:rsidP="007275C4">
      <w:pPr>
        <w:pStyle w:val="SDMSubPara2"/>
      </w:pPr>
      <w:r>
        <w:t>Emissions from the operation of renewable power plants in the electricity system (e.g., biomass or geothermal power generation);</w:t>
      </w:r>
    </w:p>
    <w:p w14:paraId="2FE2ED00" w14:textId="4804885F" w:rsidR="00357C15" w:rsidRDefault="005E03CF" w:rsidP="007275C4">
      <w:pPr>
        <w:pStyle w:val="SDMSubPara2"/>
      </w:pPr>
      <w:r>
        <w:t>Upstream emissions from the construction of power plants in the electricity system. This source is affected by the Article 6.4 activity;</w:t>
      </w:r>
    </w:p>
    <w:p w14:paraId="66203E73" w14:textId="6DC2AC43" w:rsidR="005E03CF" w:rsidRDefault="009624A0" w:rsidP="007275C4">
      <w:pPr>
        <w:pStyle w:val="SDMSubPara2"/>
      </w:pPr>
      <w:r>
        <w:t>Upstream emissions from the production, processing and transportation of fossil fuels used in power plants in the electricity system. This source is affected by the Article 6.4 activity</w:t>
      </w:r>
      <w:r w:rsidR="007275C4">
        <w:t>.</w:t>
      </w:r>
    </w:p>
    <w:p w14:paraId="399F9B1B" w14:textId="6E8DB474" w:rsidR="002F5757" w:rsidRDefault="003020C2" w:rsidP="007275C4">
      <w:pPr>
        <w:pStyle w:val="SDMSubPara1"/>
      </w:pPr>
      <w:r>
        <w:t>Activity emissions: all emissions sources are accounted for;</w:t>
      </w:r>
    </w:p>
    <w:p w14:paraId="21A9053E" w14:textId="4F9D483E" w:rsidR="003020C2" w:rsidRDefault="003020C2" w:rsidP="00EC00DE">
      <w:pPr>
        <w:pStyle w:val="SDMSubPara1"/>
        <w:keepNext/>
      </w:pPr>
      <w:r>
        <w:t>Leakage:</w:t>
      </w:r>
    </w:p>
    <w:p w14:paraId="1537510B" w14:textId="78A08D8A" w:rsidR="003020C2" w:rsidRDefault="002041C2" w:rsidP="007275C4">
      <w:pPr>
        <w:pStyle w:val="SDMSubPara2"/>
      </w:pPr>
      <w:r>
        <w:t>Upstream emissions from the construction of the renewable power plant, including emissions associated with the manufacturing of equipment and the construction of the power plant. This source is affected by the Article 6.4 activity;</w:t>
      </w:r>
    </w:p>
    <w:p w14:paraId="65356282" w14:textId="77777777" w:rsidR="00CB7158" w:rsidRDefault="00CB7158" w:rsidP="007275C4">
      <w:pPr>
        <w:pStyle w:val="SDMSubPara2"/>
      </w:pPr>
      <w:r>
        <w:t>Baseline equipment transfer. This source of emission is affected by the Article 6.4 activity, as emissions would occur due to the use of the equipment at a site outside the project boundary and not under the control of the activity participants;</w:t>
      </w:r>
    </w:p>
    <w:p w14:paraId="4C10F4C2" w14:textId="77777777" w:rsidR="00CB7158" w:rsidRDefault="00CB7158" w:rsidP="007275C4">
      <w:pPr>
        <w:pStyle w:val="SDMSubPara2"/>
      </w:pPr>
      <w:r>
        <w:t>Competition for resource use consumed by the project power plant, including wind and water. This source of emission is affected by the Article 6.4 activity, as the construction of the project power plant may impact downstream and upstream water use from a river and may affect the quality of wind (i.e., the speed and turbulence of the air) used by downstream wind energy generators;</w:t>
      </w:r>
    </w:p>
    <w:p w14:paraId="418AA705" w14:textId="77777777" w:rsidR="00CB7158" w:rsidRDefault="00CB7158" w:rsidP="007275C4">
      <w:pPr>
        <w:pStyle w:val="SDMSubPara2"/>
      </w:pPr>
      <w:r>
        <w:t>Diversion of existing production processes or outputs. This emission source is affected by the Article 6.4 activity, as the construction of the project power plant may displace the existing production activity to another location;</w:t>
      </w:r>
    </w:p>
    <w:p w14:paraId="7F363DE9" w14:textId="77777777" w:rsidR="00CB7158" w:rsidRDefault="00CB7158" w:rsidP="007275C4">
      <w:pPr>
        <w:pStyle w:val="SDMSubPara2"/>
      </w:pPr>
      <w:r>
        <w:lastRenderedPageBreak/>
        <w:t>Increases in release of GHGs from the environment as a result of the Article 6.4 activity. This emission source is affected by the Article 6.4 activity if construction of the project power plant results in deforestation; and</w:t>
      </w:r>
    </w:p>
    <w:p w14:paraId="240957BB" w14:textId="5EF1FE57" w:rsidR="002041C2" w:rsidRDefault="00CB7158" w:rsidP="007275C4">
      <w:pPr>
        <w:pStyle w:val="SDMSubPara2"/>
      </w:pPr>
      <w:r>
        <w:t>Increase in the level of service compared to the baseline scenario as a result of the implementation of the Article 6.4 activity (rebound effect). This emission source is affected by the Article 6.4 activity if the electricity generated by the project power plant lowers electricity prices, leading to an increased electricity consumption.</w:t>
      </w:r>
    </w:p>
    <w:p w14:paraId="2B5C1A26" w14:textId="7B3900BB" w:rsidR="002F5757" w:rsidRDefault="0068200B" w:rsidP="0068200B">
      <w:pPr>
        <w:pStyle w:val="SDMApp1"/>
      </w:pPr>
      <w:r>
        <w:t>Relevance of unaccounted emission sources</w:t>
      </w:r>
    </w:p>
    <w:p w14:paraId="2117DF59" w14:textId="60229682" w:rsidR="002F5757" w:rsidRDefault="00952C0A" w:rsidP="003A66E1">
      <w:pPr>
        <w:pStyle w:val="SDMPara"/>
      </w:pPr>
      <w:r>
        <w:t>This section analyses the relevance of the unaccounted emission sources identified.</w:t>
      </w:r>
    </w:p>
    <w:p w14:paraId="4745592B" w14:textId="25793823" w:rsidR="00952C0A" w:rsidRDefault="00BD0933" w:rsidP="00BD0933">
      <w:pPr>
        <w:pStyle w:val="SDMApp2"/>
      </w:pPr>
      <w:r>
        <w:t>Upstream emissions from the construction and operation of power plant</w:t>
      </w:r>
    </w:p>
    <w:p w14:paraId="528B16FE" w14:textId="38D19F48" w:rsidR="002F5757" w:rsidRDefault="007A7A6B" w:rsidP="003A66E1">
      <w:pPr>
        <w:pStyle w:val="SDMPara"/>
      </w:pPr>
      <w:r w:rsidRPr="00B03F12">
        <w:t xml:space="preserve">The table below provides an overview of upstream emissions from power plants. It shows that upstream emissions </w:t>
      </w:r>
      <w:r>
        <w:t>from</w:t>
      </w:r>
      <w:r w:rsidRPr="00B03F12">
        <w:t xml:space="preserve"> fossil fuel power plants are generally higher than emissions </w:t>
      </w:r>
      <w:r>
        <w:t xml:space="preserve">from </w:t>
      </w:r>
      <w:r w:rsidRPr="00B03F12">
        <w:t xml:space="preserve">renewable power plants. </w:t>
      </w:r>
      <w:r>
        <w:t xml:space="preserve">Other literature sources and databases were also evaluated and confirmed that the values in the table are within plausible ranges found in the literature. </w:t>
      </w:r>
      <w:r w:rsidRPr="00B03F12">
        <w:t>Exclusion of this emission source is therefore deemed to be conservative.</w:t>
      </w:r>
    </w:p>
    <w:p w14:paraId="4B410227" w14:textId="557E4FF7" w:rsidR="00D07E08" w:rsidRPr="00A21DDD" w:rsidRDefault="00D07E08" w:rsidP="00D07E08">
      <w:pPr>
        <w:pStyle w:val="Caption"/>
      </w:pPr>
      <w:r>
        <w:t>Table</w:t>
      </w:r>
      <w:r>
        <w:rPr>
          <w:lang w:val="en-US"/>
        </w:rPr>
        <w:t>.</w:t>
      </w:r>
      <w:r>
        <w:rPr>
          <w:lang w:val="en-US"/>
        </w:rPr>
        <w:tab/>
      </w:r>
      <w:r w:rsidRPr="0048248B">
        <w:rPr>
          <w:lang w:val="en-US"/>
        </w:rPr>
        <w:t>Comparison between the upstream emissions from the types of Article 6.4 activities eligible under this mechanism methodology and the upstream emissions from fossil fuel fired power plants</w:t>
      </w:r>
      <w:r w:rsidR="00A21DDD">
        <w:rPr>
          <w:rStyle w:val="FootnoteReference"/>
        </w:rPr>
        <w:footnoteReference w:id="38"/>
      </w:r>
    </w:p>
    <w:tbl>
      <w:tblPr>
        <w:tblStyle w:val="SDMTable"/>
        <w:tblW w:w="8618" w:type="dxa"/>
        <w:tblLayout w:type="fixed"/>
        <w:tblLook w:val="04A0" w:firstRow="1" w:lastRow="0" w:firstColumn="1" w:lastColumn="0" w:noHBand="0" w:noVBand="1"/>
      </w:tblPr>
      <w:tblGrid>
        <w:gridCol w:w="2963"/>
        <w:gridCol w:w="1838"/>
        <w:gridCol w:w="1979"/>
        <w:gridCol w:w="1838"/>
      </w:tblGrid>
      <w:tr w:rsidR="00F8398D" w:rsidRPr="00CB7EFA" w14:paraId="799B93E0" w14:textId="77777777" w:rsidTr="00E96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6E5B4512" w14:textId="092764DC" w:rsidR="00F8398D" w:rsidRPr="00CB7EFA" w:rsidRDefault="00F8398D" w:rsidP="00E9603A">
            <w:pPr>
              <w:pStyle w:val="SDMTableBoxParaNumbered"/>
            </w:pPr>
            <w:r w:rsidRPr="00250EFE">
              <w:t>Type of Article 6.4 project</w:t>
            </w:r>
          </w:p>
        </w:tc>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3E75AA6B" w14:textId="6C9E5ACE" w:rsidR="003E1A77" w:rsidRPr="00CB7EFA" w:rsidRDefault="00F8398D" w:rsidP="00E9603A">
            <w:pPr>
              <w:pStyle w:val="SDMTableBoxParaNotNumbered"/>
              <w:cnfStyle w:val="100000000000" w:firstRow="1" w:lastRow="0" w:firstColumn="0" w:lastColumn="0" w:oddVBand="0" w:evenVBand="0" w:oddHBand="0" w:evenHBand="0" w:firstRowFirstColumn="0" w:firstRowLastColumn="0" w:lastRowFirstColumn="0" w:lastRowLastColumn="0"/>
            </w:pPr>
            <w:r w:rsidRPr="00250EFE">
              <w:t>Upstream emissions for the Article 6.4 project</w:t>
            </w:r>
            <w:r w:rsidR="00341706">
              <w:br/>
            </w:r>
            <w:r w:rsidR="003E1A77">
              <w:t>(g</w:t>
            </w:r>
            <w:r w:rsidR="00B73406">
              <w:t> </w:t>
            </w:r>
            <w:r w:rsidR="003E1A77">
              <w:t>CO</w:t>
            </w:r>
            <w:r w:rsidR="003E1A77" w:rsidRPr="00A449E6">
              <w:rPr>
                <w:vertAlign w:val="subscript"/>
              </w:rPr>
              <w:t>2</w:t>
            </w:r>
            <w:r w:rsidR="003E1A77">
              <w:t>eq</w:t>
            </w:r>
            <w:r w:rsidR="00B73406">
              <w:t> </w:t>
            </w:r>
            <w:r w:rsidR="003E1A77">
              <w:t>/</w:t>
            </w:r>
            <w:r w:rsidR="00B73406">
              <w:t> </w:t>
            </w:r>
            <w:r w:rsidR="003E1A77">
              <w:t>kWh)</w:t>
            </w:r>
          </w:p>
        </w:tc>
        <w:tc>
          <w:tcPr>
            <w:tcW w:w="1984"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99EA735" w14:textId="1BC43F0E" w:rsidR="00F8398D" w:rsidRPr="00CB7EFA" w:rsidRDefault="00A32F54" w:rsidP="00E9603A">
            <w:pPr>
              <w:pStyle w:val="SDMTableBoxParaNotNumbered"/>
              <w:cnfStyle w:val="100000000000" w:firstRow="1" w:lastRow="0" w:firstColumn="0" w:lastColumn="0" w:oddVBand="0" w:evenVBand="0" w:oddHBand="0" w:evenHBand="0" w:firstRowFirstColumn="0" w:firstRowLastColumn="0" w:lastRowFirstColumn="0" w:lastRowLastColumn="0"/>
            </w:pPr>
            <w:r>
              <w:t>Upstream emissions for coal power plant</w:t>
            </w:r>
            <w:r w:rsidR="00341706">
              <w:br/>
            </w:r>
            <w:r w:rsidR="00B73406">
              <w:t>(g CO</w:t>
            </w:r>
            <w:r w:rsidR="00B73406" w:rsidRPr="00A449E6">
              <w:rPr>
                <w:vertAlign w:val="subscript"/>
              </w:rPr>
              <w:t>2</w:t>
            </w:r>
            <w:r w:rsidR="00B73406">
              <w:t>eq / kWh)</w:t>
            </w:r>
          </w:p>
        </w:tc>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3178D7C" w14:textId="38545EFB" w:rsidR="00F8398D" w:rsidRPr="00CB7EFA" w:rsidRDefault="001F5D81" w:rsidP="00E9603A">
            <w:pPr>
              <w:pStyle w:val="SDMTableBoxParaNotNumbered"/>
              <w:keepNext w:val="0"/>
              <w:cnfStyle w:val="100000000000" w:firstRow="1" w:lastRow="0" w:firstColumn="0" w:lastColumn="0" w:oddVBand="0" w:evenVBand="0" w:oddHBand="0" w:evenHBand="0" w:firstRowFirstColumn="0" w:firstRowLastColumn="0" w:lastRowFirstColumn="0" w:lastRowLastColumn="0"/>
            </w:pPr>
            <w:r>
              <w:t>Upstream emissions for natural gas power plant</w:t>
            </w:r>
            <w:r w:rsidR="00341706">
              <w:br/>
            </w:r>
            <w:r w:rsidR="00B73406">
              <w:t>(g CO</w:t>
            </w:r>
            <w:r w:rsidR="00B73406" w:rsidRPr="00A449E6">
              <w:rPr>
                <w:vertAlign w:val="subscript"/>
              </w:rPr>
              <w:t>2</w:t>
            </w:r>
            <w:r w:rsidR="00B73406">
              <w:t>eq / kWh)</w:t>
            </w:r>
          </w:p>
        </w:tc>
      </w:tr>
      <w:tr w:rsidR="002C1B7E" w:rsidRPr="00CB7EFA" w14:paraId="435A7E64"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608503AA" w14:textId="1DA7F1B4" w:rsidR="002C1B7E" w:rsidRPr="00E9603A" w:rsidRDefault="002C1B7E" w:rsidP="00E9603A">
            <w:pPr>
              <w:pStyle w:val="SDMTableBoxParaNotNumbered"/>
              <w:rPr>
                <w:b w:val="0"/>
                <w:bCs/>
              </w:rPr>
            </w:pPr>
            <w:r w:rsidRPr="00E9603A">
              <w:rPr>
                <w:b w:val="0"/>
                <w:bCs/>
              </w:rPr>
              <w:t>Wind onshore</w:t>
            </w:r>
          </w:p>
        </w:tc>
        <w:tc>
          <w:tcPr>
            <w:tcW w:w="1843" w:type="dxa"/>
          </w:tcPr>
          <w:p w14:paraId="69EA845F" w14:textId="48BEB4FE" w:rsidR="002C1B7E" w:rsidRPr="00CB7EFA" w:rsidRDefault="002C1B7E" w:rsidP="00E9603A">
            <w:pPr>
              <w:pStyle w:val="SDMTableBoxParaNotNumbered"/>
              <w:cnfStyle w:val="000000000000" w:firstRow="0" w:lastRow="0" w:firstColumn="0" w:lastColumn="0" w:oddVBand="0" w:evenVBand="0" w:oddHBand="0" w:evenHBand="0" w:firstRowFirstColumn="0" w:firstRowLastColumn="0" w:lastRowFirstColumn="0" w:lastRowLastColumn="0"/>
            </w:pPr>
            <w:r>
              <w:t>12.15</w:t>
            </w:r>
          </w:p>
        </w:tc>
        <w:tc>
          <w:tcPr>
            <w:tcW w:w="1984" w:type="dxa"/>
            <w:vMerge w:val="restart"/>
          </w:tcPr>
          <w:p w14:paraId="11302245" w14:textId="33E2532C" w:rsidR="002C1B7E" w:rsidRPr="00CB7EFA" w:rsidRDefault="002C1B7E" w:rsidP="00E9603A">
            <w:pPr>
              <w:pStyle w:val="SDMTableBoxParaNotNumbered"/>
              <w:cnfStyle w:val="000000000000" w:firstRow="0" w:lastRow="0" w:firstColumn="0" w:lastColumn="0" w:oddVBand="0" w:evenVBand="0" w:oddHBand="0" w:evenHBand="0" w:firstRowFirstColumn="0" w:firstRowLastColumn="0" w:lastRowFirstColumn="0" w:lastRowLastColumn="0"/>
            </w:pPr>
            <w:r>
              <w:t>163.68</w:t>
            </w:r>
          </w:p>
        </w:tc>
        <w:tc>
          <w:tcPr>
            <w:tcW w:w="1843" w:type="dxa"/>
            <w:vMerge w:val="restart"/>
          </w:tcPr>
          <w:p w14:paraId="64E514C4" w14:textId="0C9D8E56" w:rsidR="002C1B7E" w:rsidRPr="00CB7EFA" w:rsidRDefault="002C1B7E" w:rsidP="00E9603A">
            <w:pPr>
              <w:pStyle w:val="SDMTableBoxParaNotNumbered"/>
              <w:cnfStyle w:val="000000000000" w:firstRow="0" w:lastRow="0" w:firstColumn="0" w:lastColumn="0" w:oddVBand="0" w:evenVBand="0" w:oddHBand="0" w:evenHBand="0" w:firstRowFirstColumn="0" w:firstRowLastColumn="0" w:lastRowFirstColumn="0" w:lastRowLastColumn="0"/>
            </w:pPr>
            <w:r>
              <w:t>78.12</w:t>
            </w:r>
          </w:p>
        </w:tc>
      </w:tr>
      <w:tr w:rsidR="005F7B91" w:rsidRPr="00CB7EFA" w14:paraId="2BB30D53"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01AF9E58" w14:textId="4EF0572A" w:rsidR="005F7B91" w:rsidRPr="00E9603A" w:rsidRDefault="005F7B91" w:rsidP="00E9603A">
            <w:pPr>
              <w:pStyle w:val="SDMTableBoxParaNotNumbered"/>
              <w:rPr>
                <w:b w:val="0"/>
                <w:bCs/>
              </w:rPr>
            </w:pPr>
            <w:r w:rsidRPr="00E9603A">
              <w:rPr>
                <w:b w:val="0"/>
                <w:bCs/>
              </w:rPr>
              <w:t>Wind offshore</w:t>
            </w:r>
          </w:p>
        </w:tc>
        <w:tc>
          <w:tcPr>
            <w:tcW w:w="1843" w:type="dxa"/>
          </w:tcPr>
          <w:p w14:paraId="495A4B8B" w14:textId="57324352"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t>13.92</w:t>
            </w:r>
          </w:p>
        </w:tc>
        <w:tc>
          <w:tcPr>
            <w:tcW w:w="1984" w:type="dxa"/>
            <w:vMerge/>
          </w:tcPr>
          <w:p w14:paraId="46675B91"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2810E878" w14:textId="1D61A799"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F7B91" w:rsidRPr="00CB7EFA" w14:paraId="1AB21EFD"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0F12F8CE" w14:textId="754CB8C0" w:rsidR="005F7B91" w:rsidRPr="00E9603A" w:rsidRDefault="005F7B91" w:rsidP="00E9603A">
            <w:pPr>
              <w:pStyle w:val="SDMTableBoxParaNotNumbered"/>
              <w:rPr>
                <w:b w:val="0"/>
                <w:bCs/>
              </w:rPr>
            </w:pPr>
            <w:r w:rsidRPr="00E9603A">
              <w:rPr>
                <w:b w:val="0"/>
                <w:bCs/>
              </w:rPr>
              <w:lastRenderedPageBreak/>
              <w:t>Solar PV (poly-Si) ground mounted</w:t>
            </w:r>
          </w:p>
        </w:tc>
        <w:tc>
          <w:tcPr>
            <w:tcW w:w="1843" w:type="dxa"/>
          </w:tcPr>
          <w:p w14:paraId="65DFAD88" w14:textId="3E4D92D5"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t>36.08</w:t>
            </w:r>
          </w:p>
        </w:tc>
        <w:tc>
          <w:tcPr>
            <w:tcW w:w="1984" w:type="dxa"/>
            <w:vMerge/>
          </w:tcPr>
          <w:p w14:paraId="77B19553"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51112B2C" w14:textId="78AF49DD"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F7B91" w:rsidRPr="00CB7EFA" w14:paraId="4117F0B3"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3E5B87E2" w14:textId="1B589D6E" w:rsidR="005F7B91" w:rsidRPr="00E9603A" w:rsidRDefault="005F7B91" w:rsidP="00E9603A">
            <w:pPr>
              <w:pStyle w:val="SDMTableBoxParaNotNumbered"/>
              <w:rPr>
                <w:b w:val="0"/>
                <w:bCs/>
              </w:rPr>
            </w:pPr>
            <w:r w:rsidRPr="00E9603A">
              <w:rPr>
                <w:b w:val="0"/>
                <w:bCs/>
              </w:rPr>
              <w:t>Solar PV (poly-Si) roof mounted</w:t>
            </w:r>
          </w:p>
        </w:tc>
        <w:tc>
          <w:tcPr>
            <w:tcW w:w="1843" w:type="dxa"/>
          </w:tcPr>
          <w:p w14:paraId="5878B6E0" w14:textId="4106BA63"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t>36.70</w:t>
            </w:r>
          </w:p>
        </w:tc>
        <w:tc>
          <w:tcPr>
            <w:tcW w:w="1984" w:type="dxa"/>
            <w:vMerge/>
          </w:tcPr>
          <w:p w14:paraId="4764FC40"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2A0C9E0C" w14:textId="7D9E9271"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F7B91" w:rsidRPr="00CB7EFA" w14:paraId="592A08E9"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4E79E1A9" w14:textId="319C4C38" w:rsidR="005F7B91" w:rsidRPr="00CB7EFA" w:rsidRDefault="005F7B91" w:rsidP="00E9603A">
            <w:pPr>
              <w:pStyle w:val="SDMTableBoxParaNotNumbered"/>
            </w:pPr>
            <w:r>
              <w:t>Solar PV (CIGS) – ground mounted</w:t>
            </w:r>
          </w:p>
        </w:tc>
        <w:tc>
          <w:tcPr>
            <w:tcW w:w="1843" w:type="dxa"/>
          </w:tcPr>
          <w:p w14:paraId="34D2FA0B" w14:textId="3A294CF8"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t>11.98</w:t>
            </w:r>
          </w:p>
        </w:tc>
        <w:tc>
          <w:tcPr>
            <w:tcW w:w="1984" w:type="dxa"/>
            <w:vMerge/>
          </w:tcPr>
          <w:p w14:paraId="771AEAB9"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1CCF562F" w14:textId="0CA6D3E0"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F7B91" w:rsidRPr="00CB7EFA" w14:paraId="260308B3"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3CA4C98E" w14:textId="5424D037" w:rsidR="005F7B91" w:rsidRPr="00CB7EFA" w:rsidRDefault="005F7B91" w:rsidP="00E9603A">
            <w:pPr>
              <w:pStyle w:val="SDMTableBoxParaNotNumbered"/>
            </w:pPr>
            <w:r>
              <w:t>Solar PV (CIGS) – roof mounted</w:t>
            </w:r>
          </w:p>
        </w:tc>
        <w:tc>
          <w:tcPr>
            <w:tcW w:w="1843" w:type="dxa"/>
          </w:tcPr>
          <w:p w14:paraId="18D5308B" w14:textId="5D7A9A3D"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t>11.40</w:t>
            </w:r>
          </w:p>
        </w:tc>
        <w:tc>
          <w:tcPr>
            <w:tcW w:w="1984" w:type="dxa"/>
            <w:vMerge/>
          </w:tcPr>
          <w:p w14:paraId="154D5D2F"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45B403CF" w14:textId="1D2E53B1"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F7B91" w:rsidRPr="00CB7EFA" w14:paraId="026EADBF"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5D716F1A" w14:textId="2354BFF3" w:rsidR="005F7B91" w:rsidRPr="00CB7EFA" w:rsidRDefault="005F7B91" w:rsidP="00E9603A">
            <w:pPr>
              <w:pStyle w:val="SDMTableBoxParaNotNumbered"/>
            </w:pPr>
            <w:r>
              <w:t>Concentrated solar – parabolic through</w:t>
            </w:r>
          </w:p>
        </w:tc>
        <w:tc>
          <w:tcPr>
            <w:tcW w:w="1843" w:type="dxa"/>
          </w:tcPr>
          <w:p w14:paraId="63C01B80" w14:textId="437BEF53"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t>33.18</w:t>
            </w:r>
          </w:p>
        </w:tc>
        <w:tc>
          <w:tcPr>
            <w:tcW w:w="1984" w:type="dxa"/>
            <w:vMerge/>
          </w:tcPr>
          <w:p w14:paraId="0CA80074"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5BEBDC48" w14:textId="2E018DC1"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F7B91" w:rsidRPr="00CB7EFA" w14:paraId="37FCB8B5"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28CD83B3" w14:textId="05548B52" w:rsidR="005F7B91" w:rsidRPr="00CB7EFA" w:rsidRDefault="005F7B91" w:rsidP="00E9603A">
            <w:pPr>
              <w:pStyle w:val="SDMTableBoxParaNotNumbered"/>
            </w:pPr>
            <w:r>
              <w:t>Concentrated solar – central tower</w:t>
            </w:r>
          </w:p>
        </w:tc>
        <w:tc>
          <w:tcPr>
            <w:tcW w:w="1843" w:type="dxa"/>
          </w:tcPr>
          <w:p w14:paraId="6F423BB2" w14:textId="049922D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t>14.76</w:t>
            </w:r>
          </w:p>
        </w:tc>
        <w:tc>
          <w:tcPr>
            <w:tcW w:w="1984" w:type="dxa"/>
            <w:vMerge/>
          </w:tcPr>
          <w:p w14:paraId="5AF91B6A"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219DA62C"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F7B91" w:rsidRPr="00CB7EFA" w14:paraId="5556E5D9"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423C7F04" w14:textId="17718B8E" w:rsidR="005F7B91" w:rsidRPr="00CB7EFA" w:rsidRDefault="005F7B91" w:rsidP="00E9603A">
            <w:pPr>
              <w:pStyle w:val="SDMTableBoxParaNotNumbered"/>
            </w:pPr>
            <w:r>
              <w:t>Hydro</w:t>
            </w:r>
          </w:p>
        </w:tc>
        <w:tc>
          <w:tcPr>
            <w:tcW w:w="1843" w:type="dxa"/>
          </w:tcPr>
          <w:p w14:paraId="25E18596" w14:textId="01DA43DD"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t>10.47</w:t>
            </w:r>
          </w:p>
        </w:tc>
        <w:tc>
          <w:tcPr>
            <w:tcW w:w="1984" w:type="dxa"/>
            <w:vMerge/>
          </w:tcPr>
          <w:p w14:paraId="57CE89C2"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2987AF25"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F7B91" w:rsidRPr="00CB7EFA" w14:paraId="43841AA9"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3752DCF9" w14:textId="57A06E68" w:rsidR="005F7B91" w:rsidRPr="00CB7EFA" w:rsidRDefault="005F7B91" w:rsidP="00E9603A">
            <w:pPr>
              <w:pStyle w:val="SDMTableBoxParaNotNumbered"/>
            </w:pPr>
            <w:r>
              <w:t>Geothermal – binary</w:t>
            </w:r>
            <w:bookmarkStart w:id="367" w:name="_Ref224248981"/>
            <w:r>
              <w:rPr>
                <w:rStyle w:val="FootnoteReference"/>
              </w:rPr>
              <w:footnoteReference w:id="39"/>
            </w:r>
            <w:bookmarkEnd w:id="367"/>
          </w:p>
        </w:tc>
        <w:tc>
          <w:tcPr>
            <w:tcW w:w="1843" w:type="dxa"/>
          </w:tcPr>
          <w:p w14:paraId="00F41DB8" w14:textId="2D6A19C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rPr>
                <w:lang w:val="en-US"/>
              </w:rPr>
              <w:t>23 – 71</w:t>
            </w:r>
          </w:p>
        </w:tc>
        <w:tc>
          <w:tcPr>
            <w:tcW w:w="1984" w:type="dxa"/>
            <w:vMerge/>
          </w:tcPr>
          <w:p w14:paraId="3024C67B"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0DDF1DBA"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r w:rsidR="005F7B91" w:rsidRPr="00CB7EFA" w14:paraId="46538193" w14:textId="77777777" w:rsidTr="00E9603A">
        <w:tc>
          <w:tcPr>
            <w:cnfStyle w:val="001000000000" w:firstRow="0" w:lastRow="0" w:firstColumn="1" w:lastColumn="0" w:oddVBand="0" w:evenVBand="0" w:oddHBand="0" w:evenHBand="0" w:firstRowFirstColumn="0" w:firstRowLastColumn="0" w:lastRowFirstColumn="0" w:lastRowLastColumn="0"/>
            <w:tcW w:w="2972" w:type="dxa"/>
          </w:tcPr>
          <w:p w14:paraId="0260BE3F" w14:textId="07DE0D7C" w:rsidR="005F7B91" w:rsidRPr="00CB7EFA" w:rsidRDefault="005F7B91" w:rsidP="00D0578E">
            <w:pPr>
              <w:pStyle w:val="SDMTableBoxParaNotNumbered"/>
            </w:pPr>
            <w:r>
              <w:t>Geothermal – dry or flash steam</w:t>
            </w:r>
            <w:r>
              <w:fldChar w:fldCharType="begin"/>
            </w:r>
            <w:r>
              <w:instrText xml:space="preserve"> NOTEREF _Ref224248981 \f \h  \* MERGEFORMAT </w:instrText>
            </w:r>
            <w:r>
              <w:fldChar w:fldCharType="separate"/>
            </w:r>
            <w:r w:rsidR="00D0578E" w:rsidRPr="00D0578E">
              <w:rPr>
                <w:rStyle w:val="FootnoteReference"/>
              </w:rPr>
              <w:t>2</w:t>
            </w:r>
            <w:r>
              <w:fldChar w:fldCharType="end"/>
            </w:r>
          </w:p>
        </w:tc>
        <w:tc>
          <w:tcPr>
            <w:tcW w:w="1843" w:type="dxa"/>
          </w:tcPr>
          <w:p w14:paraId="546F36E0" w14:textId="5A6BAC61"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r>
              <w:rPr>
                <w:lang w:val="en-US"/>
              </w:rPr>
              <w:t>3.8 – 5.3</w:t>
            </w:r>
          </w:p>
        </w:tc>
        <w:tc>
          <w:tcPr>
            <w:tcW w:w="1984" w:type="dxa"/>
            <w:vMerge/>
          </w:tcPr>
          <w:p w14:paraId="49990DDD"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1843" w:type="dxa"/>
            <w:vMerge/>
          </w:tcPr>
          <w:p w14:paraId="0FB5A3A4" w14:textId="77777777" w:rsidR="005F7B91" w:rsidRPr="00CB7EFA" w:rsidRDefault="005F7B91" w:rsidP="00E9603A">
            <w:pPr>
              <w:pStyle w:val="SDMTableBoxParaNotNumbered"/>
              <w:cnfStyle w:val="000000000000" w:firstRow="0" w:lastRow="0" w:firstColumn="0" w:lastColumn="0" w:oddVBand="0" w:evenVBand="0" w:oddHBand="0" w:evenHBand="0" w:firstRowFirstColumn="0" w:firstRowLastColumn="0" w:lastRowFirstColumn="0" w:lastRowLastColumn="0"/>
            </w:pPr>
          </w:p>
        </w:tc>
      </w:tr>
    </w:tbl>
    <w:p w14:paraId="5E2B37DF" w14:textId="5A9027D8" w:rsidR="00952C0A" w:rsidRDefault="00296D9C" w:rsidP="00E07778">
      <w:pPr>
        <w:pStyle w:val="SDMApp2"/>
        <w:ind w:left="709" w:hanging="709"/>
      </w:pPr>
      <w:r>
        <w:t>Emissions from the combustion of fossil fuel in fossil fuel fired power plants connected to the electricity system</w:t>
      </w:r>
    </w:p>
    <w:p w14:paraId="3E298B7E" w14:textId="61BE26A5" w:rsidR="00952C0A" w:rsidRDefault="00D853A1" w:rsidP="003A66E1">
      <w:pPr>
        <w:pStyle w:val="SDMPara"/>
      </w:pPr>
      <w:r>
        <w:t>This is the main baseline emission source and, therefore, was included in the calculation of emission reductions</w:t>
      </w:r>
      <w:r w:rsidRPr="636CA247">
        <w:rPr>
          <w:rFonts w:eastAsiaTheme="minorEastAsia"/>
        </w:rPr>
        <w:t xml:space="preserve">. </w:t>
      </w:r>
      <w:r>
        <w:t>For such types of power plants, the main GHG emitted from the combustion of fossil fuels is CO</w:t>
      </w:r>
      <w:r w:rsidRPr="00885A44">
        <w:rPr>
          <w:vertAlign w:val="subscript"/>
        </w:rPr>
        <w:t>2</w:t>
      </w:r>
      <w:r>
        <w:t>, and the mechanism methodology does not consider emissions of CH</w:t>
      </w:r>
      <w:r w:rsidRPr="00885A44">
        <w:rPr>
          <w:vertAlign w:val="subscript"/>
        </w:rPr>
        <w:t>4</w:t>
      </w:r>
      <w:r>
        <w:t xml:space="preserve"> and N</w:t>
      </w:r>
      <w:r w:rsidRPr="00885A44">
        <w:rPr>
          <w:vertAlign w:val="subscript"/>
        </w:rPr>
        <w:t>2</w:t>
      </w:r>
      <w:r>
        <w:t>O since their concentrations in the exhaust gas are negligible.</w:t>
      </w:r>
      <w:r>
        <w:rPr>
          <w:rStyle w:val="FootnoteReference"/>
        </w:rPr>
        <w:footnoteReference w:id="40"/>
      </w:r>
    </w:p>
    <w:p w14:paraId="42BF884A" w14:textId="1609BAFD" w:rsidR="00D853A1" w:rsidRDefault="00575FFD" w:rsidP="00421237">
      <w:pPr>
        <w:pStyle w:val="SDMApp2"/>
      </w:pPr>
      <w:r>
        <w:t>Leakage from the use of pre-used equipment</w:t>
      </w:r>
    </w:p>
    <w:p w14:paraId="57B0ACFA" w14:textId="78F3C13E" w:rsidR="00952C0A" w:rsidRDefault="00421237" w:rsidP="003A66E1">
      <w:pPr>
        <w:pStyle w:val="SDMPara"/>
      </w:pPr>
      <w:r>
        <w:t>The mechanism methodology requires that the equipment installed under the Article 6.4 activity has previously not been used in any other plant but is newly produced, therefore this emission source is not included in the calculation of emission reductions.</w:t>
      </w:r>
    </w:p>
    <w:p w14:paraId="139E02F0" w14:textId="73D27288" w:rsidR="00952C0A" w:rsidRDefault="00B85C98" w:rsidP="002A39AF">
      <w:pPr>
        <w:pStyle w:val="SDMApp2"/>
        <w:keepLines w:val="0"/>
      </w:pPr>
      <w:r>
        <w:lastRenderedPageBreak/>
        <w:t>Competition for water in case of hydro power plants</w:t>
      </w:r>
    </w:p>
    <w:p w14:paraId="66BC42CA" w14:textId="5517BE0D" w:rsidR="00B85C98" w:rsidRDefault="00B60743" w:rsidP="00EC00DE">
      <w:pPr>
        <w:pStyle w:val="SDMPara"/>
        <w:keepNext/>
      </w:pPr>
      <w:r w:rsidRPr="001446D8">
        <w:t>For hydropower plants implemented in an existing reservoir, the mechanism methodology requires activity participants to demonstrate the following to avoid any leakage due to competition for water:</w:t>
      </w:r>
    </w:p>
    <w:p w14:paraId="46BACB99" w14:textId="79FBF66C" w:rsidR="00D853A1" w:rsidRPr="00CF66B8" w:rsidRDefault="00CF66B8" w:rsidP="007275C4">
      <w:pPr>
        <w:pStyle w:val="SDMSubPara1"/>
      </w:pPr>
      <w:r w:rsidRPr="008A01F4">
        <w:rPr>
          <w:rFonts w:eastAsiaTheme="minorEastAsia"/>
        </w:rPr>
        <w:t>The</w:t>
      </w:r>
      <w:r w:rsidRPr="001446D8">
        <w:rPr>
          <w:rFonts w:eastAsiaTheme="minorEastAsia"/>
          <w:lang w:val="en-US"/>
        </w:rPr>
        <w:t xml:space="preserve"> implementation of the Article 6.4 activity does not lead to a reduction in electricity generation at upstream or downstream hydropower plants that rely on the same water resource;</w:t>
      </w:r>
    </w:p>
    <w:p w14:paraId="56EB5A4D" w14:textId="77777777" w:rsidR="00E46924" w:rsidRDefault="00E46924" w:rsidP="00EC00DE">
      <w:pPr>
        <w:pStyle w:val="SDMSubPara1"/>
        <w:keepNext/>
      </w:pPr>
      <w:r>
        <w:t>For plants with an existing reservoir:</w:t>
      </w:r>
    </w:p>
    <w:p w14:paraId="1DF4197C" w14:textId="77777777" w:rsidR="00E46924" w:rsidRDefault="00E46924" w:rsidP="007275C4">
      <w:pPr>
        <w:pStyle w:val="SDMSubPara2"/>
      </w:pPr>
      <w:r>
        <w:t>The implementation of the Article 6.4 activity does not change average volume of water in the reservoir;</w:t>
      </w:r>
    </w:p>
    <w:p w14:paraId="388277E6" w14:textId="77777777" w:rsidR="00E46924" w:rsidRDefault="00E46924" w:rsidP="007275C4">
      <w:pPr>
        <w:pStyle w:val="SDMSubPara2"/>
      </w:pPr>
      <w:r>
        <w:t>The implementation of the Article 6.4 activity does not reduce the availability of water for irrigation; and</w:t>
      </w:r>
    </w:p>
    <w:p w14:paraId="2FB41419" w14:textId="003E81D5" w:rsidR="00CF66B8" w:rsidRDefault="00E46924" w:rsidP="007275C4">
      <w:pPr>
        <w:pStyle w:val="SDMSubPara2"/>
      </w:pPr>
      <w:r>
        <w:t>The hydropower plant operates in full compliance with the reservoir’s authorized operating rules and water rights.</w:t>
      </w:r>
    </w:p>
    <w:p w14:paraId="2EE08FDF" w14:textId="0B8B9319" w:rsidR="00D853A1" w:rsidRDefault="00253229" w:rsidP="00E07778">
      <w:pPr>
        <w:pStyle w:val="SDMApp2"/>
        <w:ind w:left="709" w:hanging="709"/>
      </w:pPr>
      <w:r>
        <w:t>Increase in the level of service as a result of the implementation of the Article 6.4 activity (rebound effect)</w:t>
      </w:r>
    </w:p>
    <w:p w14:paraId="1D686C60" w14:textId="7FB49D1B" w:rsidR="00D853A1" w:rsidRDefault="00925667" w:rsidP="003A66E1">
      <w:pPr>
        <w:pStyle w:val="SDMPara"/>
      </w:pPr>
      <w:r>
        <w:t xml:space="preserve">Due to the low operating costs of </w:t>
      </w:r>
      <w:r>
        <w:rPr>
          <w:rFonts w:eastAsia="MS Mincho" w:hint="eastAsia"/>
          <w:lang w:eastAsia="ja-JP"/>
        </w:rPr>
        <w:t xml:space="preserve">some </w:t>
      </w:r>
      <w:r>
        <w:t xml:space="preserve">renewable power plants, the expansion of renewable power generation </w:t>
      </w:r>
      <w:r>
        <w:rPr>
          <w:rFonts w:eastAsia="MS Mincho" w:hint="eastAsia"/>
          <w:lang w:eastAsia="ja-JP"/>
        </w:rPr>
        <w:t>may</w:t>
      </w:r>
      <w:r>
        <w:t xml:space="preserve"> displace power generation in those plants that have the highest marginal costs of electricity generation, which can lead to lower electricity prices (in some countries, this situation has led to an increasing number of hours where electricity prices are close to zero or negative).</w:t>
      </w:r>
    </w:p>
    <w:p w14:paraId="4A55E046" w14:textId="54D910A4" w:rsidR="00925667" w:rsidRDefault="00C90A1E" w:rsidP="003A66E1">
      <w:pPr>
        <w:pStyle w:val="SDMPara"/>
      </w:pPr>
      <w:r>
        <w:t>The extent of such effects is likely to be highly variable and to depend on the context and country (e.g., demand for electricity may increase anyway due to increased electrification of infrastructure). In some situations, these effects could be significant. Nevertheless, this emission source is not considered here for simplicity, given that other conservative assumptions, in particular the neglect of upstream emissions from electricity generation in the baseline may outweigh this emission source.</w:t>
      </w:r>
    </w:p>
    <w:p w14:paraId="5753C1F2" w14:textId="62E72C68" w:rsidR="00C90A1E" w:rsidRDefault="002C135F" w:rsidP="003A66E1">
      <w:pPr>
        <w:pStyle w:val="SDMPara"/>
      </w:pPr>
      <w:r>
        <w:t>This issue may be reconsidered, based on further data, in future revisions of this mechanism methodology.</w:t>
      </w:r>
    </w:p>
    <w:p w14:paraId="7F125925" w14:textId="4415C0D0" w:rsidR="002C135F" w:rsidRDefault="00CA4F66" w:rsidP="00CA4F66">
      <w:pPr>
        <w:pStyle w:val="SDMApp1"/>
      </w:pPr>
      <w:r>
        <w:t>Conclusion</w:t>
      </w:r>
    </w:p>
    <w:p w14:paraId="4000BD36" w14:textId="6CD253F7" w:rsidR="0097032E" w:rsidRPr="007B0C89" w:rsidRDefault="0097032E" w:rsidP="003A66E1">
      <w:pPr>
        <w:pStyle w:val="SDMPara"/>
      </w:pPr>
      <w:r w:rsidRPr="0097032E">
        <w:t>The main unaccounted emission sources include upstream emissions from the construction and operation of power plants, and potentially rebound effects. Given that upstream emissions from fossil fuel power plants are generally higher than those from renewable power plants, the selected approach is deemed to be conservative.</w:t>
      </w:r>
    </w:p>
    <w:p w14:paraId="77679FD9" w14:textId="77777777" w:rsidR="0097032E" w:rsidRPr="007B0C89" w:rsidRDefault="0097032E" w:rsidP="00690A70"/>
    <w:p w14:paraId="5D6C42DD" w14:textId="77777777" w:rsidR="0097032E" w:rsidRPr="00535F87" w:rsidRDefault="0097032E" w:rsidP="00690A70">
      <w:pPr>
        <w:sectPr w:rsidR="0097032E" w:rsidRPr="00535F87" w:rsidSect="0097032E">
          <w:headerReference w:type="even" r:id="rId21"/>
          <w:headerReference w:type="default" r:id="rId22"/>
          <w:footerReference w:type="default" r:id="rId23"/>
          <w:headerReference w:type="first" r:id="rId24"/>
          <w:footnotePr>
            <w:numRestart w:val="eachSect"/>
          </w:footnotePr>
          <w:pgSz w:w="11907" w:h="16840" w:code="9"/>
          <w:pgMar w:top="2552" w:right="1134" w:bottom="1418" w:left="1418" w:header="851" w:footer="567" w:gutter="0"/>
          <w:cols w:space="720"/>
          <w:formProt w:val="0"/>
          <w:docGrid w:linePitch="299"/>
        </w:sectPr>
      </w:pPr>
    </w:p>
    <w:p w14:paraId="1D4DFC04" w14:textId="51F86BC9" w:rsidR="0097032E" w:rsidRDefault="00D05F46" w:rsidP="00FB5765">
      <w:pPr>
        <w:pStyle w:val="SDMAppTitle"/>
      </w:pPr>
      <w:bookmarkStart w:id="368" w:name="_Toc233281831"/>
      <w:bookmarkStart w:id="369" w:name="_Toc233881743"/>
      <w:bookmarkStart w:id="370" w:name="_Toc233882109"/>
      <w:bookmarkStart w:id="371" w:name="_Toc233884236"/>
      <w:bookmarkStart w:id="372" w:name="_Toc233902845"/>
      <w:bookmarkStart w:id="373" w:name="_Toc233902882"/>
      <w:bookmarkStart w:id="374" w:name="_Toc236391913"/>
      <w:bookmarkStart w:id="375" w:name="_Toc236394055"/>
      <w:r>
        <w:lastRenderedPageBreak/>
        <w:t>Numerical example of the determination of the downward adjustment</w:t>
      </w:r>
      <w:bookmarkEnd w:id="368"/>
      <w:bookmarkEnd w:id="369"/>
      <w:bookmarkEnd w:id="370"/>
      <w:bookmarkEnd w:id="371"/>
      <w:bookmarkEnd w:id="372"/>
      <w:bookmarkEnd w:id="373"/>
      <w:bookmarkEnd w:id="374"/>
      <w:bookmarkEnd w:id="375"/>
    </w:p>
    <w:p w14:paraId="1BE4A671" w14:textId="050E5D3F" w:rsidR="00E52BD9" w:rsidRDefault="00E52BD9" w:rsidP="007255A3">
      <w:pPr>
        <w:pStyle w:val="SDMPara"/>
        <w:keepNext/>
        <w:numPr>
          <w:ilvl w:val="0"/>
          <w:numId w:val="31"/>
        </w:numPr>
      </w:pPr>
      <w:r>
        <w:t>The following assumptions are made for the numerical example:</w:t>
      </w:r>
    </w:p>
    <w:p w14:paraId="6D131989" w14:textId="06939B5B" w:rsidR="00E52BD9" w:rsidRDefault="000822CA" w:rsidP="007275C4">
      <w:pPr>
        <w:pStyle w:val="SDMSubPara1"/>
      </w:pPr>
      <w:r>
        <w:t>The start date of the crediting period for an Article 6.4 activity is on 01/10/2025, meaning the calendar year of the start date of the first crediting period (</w:t>
      </w:r>
      <w:r w:rsidRPr="003C7430">
        <w:rPr>
          <w:i/>
          <w:iCs/>
        </w:rPr>
        <w:t>y1</w:t>
      </w:r>
      <w:r>
        <w:t>) is 2025;</w:t>
      </w:r>
    </w:p>
    <w:p w14:paraId="146CD053" w14:textId="7A904D68" w:rsidR="000822CA" w:rsidRDefault="00267D8E" w:rsidP="007275C4">
      <w:pPr>
        <w:pStyle w:val="SDMSubPara1"/>
      </w:pPr>
      <w:r>
        <w:t>The unadjusted baseline emissions in the calendar year of the start date of the first crediting period (</w:t>
      </w:r>
      <w:r w:rsidRPr="00AE14C6">
        <w:rPr>
          <w:i/>
          <w:iCs/>
        </w:rPr>
        <w:t>BE</w:t>
      </w:r>
      <w:r w:rsidRPr="00AE14C6">
        <w:rPr>
          <w:i/>
          <w:iCs/>
          <w:vertAlign w:val="subscript"/>
        </w:rPr>
        <w:t>y1</w:t>
      </w:r>
      <w:r>
        <w:t>) are equal to 100 t</w:t>
      </w:r>
      <w:r w:rsidR="00C82350">
        <w:t> </w:t>
      </w:r>
      <w:r>
        <w:t>CO</w:t>
      </w:r>
      <w:r w:rsidRPr="00D90674">
        <w:rPr>
          <w:vertAlign w:val="subscript"/>
        </w:rPr>
        <w:t>2</w:t>
      </w:r>
      <w:r>
        <w:t>eq. These emissions are calculated for the period between 01/10/2025 and 31/12/2025;</w:t>
      </w:r>
    </w:p>
    <w:p w14:paraId="568E001B" w14:textId="4F92450B" w:rsidR="00267D8E" w:rsidRDefault="00144C59" w:rsidP="007275C4">
      <w:pPr>
        <w:pStyle w:val="SDMSubPara1"/>
      </w:pPr>
      <w:r>
        <w:t>The initial downward adjustment (</w:t>
      </w:r>
      <w:r w:rsidRPr="00784EF6">
        <w:rPr>
          <w:i/>
          <w:iCs/>
        </w:rPr>
        <w:t>DA</w:t>
      </w:r>
      <w:r w:rsidRPr="00784EF6">
        <w:rPr>
          <w:i/>
          <w:iCs/>
          <w:vertAlign w:val="subscript"/>
        </w:rPr>
        <w:t>initial</w:t>
      </w:r>
      <w:r>
        <w:t xml:space="preserve">) is equal to 10 per cent of the baseline emissions in year </w:t>
      </w:r>
      <w:r w:rsidRPr="00794590">
        <w:rPr>
          <w:i/>
          <w:iCs/>
        </w:rPr>
        <w:t>y1</w:t>
      </w:r>
      <w:r>
        <w:t>;</w:t>
      </w:r>
    </w:p>
    <w:p w14:paraId="1912D550" w14:textId="39AF0FE3" w:rsidR="00144C59" w:rsidRDefault="00021937" w:rsidP="007275C4">
      <w:pPr>
        <w:pStyle w:val="SDMSubPara1"/>
      </w:pPr>
      <w:r>
        <w:t>The annual increase in the downward adjustment is equal to 1 per cent of the baseline emissions in year y1; and</w:t>
      </w:r>
    </w:p>
    <w:p w14:paraId="3F81CF49" w14:textId="0A540A56" w:rsidR="00021937" w:rsidRDefault="005A0E65" w:rsidP="007275C4">
      <w:pPr>
        <w:pStyle w:val="SDMSubPara1"/>
      </w:pPr>
      <w:r>
        <w:t>The type of crediting period selected by the Article 6.4 activity is renewable, and the end of the crediting period is on 30/09/2030.</w:t>
      </w:r>
    </w:p>
    <w:p w14:paraId="538A9D77" w14:textId="3412B51B" w:rsidR="00E52BD9" w:rsidRPr="00AF39B4" w:rsidRDefault="00AF39B4" w:rsidP="003A66E1">
      <w:pPr>
        <w:pStyle w:val="SDMPara"/>
      </w:pPr>
      <w:r>
        <w:t>As per step 2 under section 7.3.4, the annual increase in the downward adjustment (</w:t>
      </w:r>
      <w:r w:rsidRPr="00AD1F1B">
        <w:rPr>
          <w:i/>
          <w:iCs/>
        </w:rPr>
        <w:t>INDA</w:t>
      </w:r>
      <w:r>
        <w:t xml:space="preserve">) is equal to 0.01 and </w:t>
      </w:r>
      <w:r w:rsidRPr="40E30BC4">
        <w:rPr>
          <w:rFonts w:eastAsia="Arial"/>
        </w:rPr>
        <w:t>shall be applied in the calendar year following the calendar year of the start date of the first crediting period</w:t>
      </w:r>
      <w:r>
        <w:rPr>
          <w:rFonts w:eastAsia="Arial"/>
        </w:rPr>
        <w:t>, i.e., 2026.</w:t>
      </w:r>
    </w:p>
    <w:p w14:paraId="4AA7123F" w14:textId="22843B1E" w:rsidR="00AF39B4" w:rsidRDefault="00EC4385" w:rsidP="00EC00DE">
      <w:pPr>
        <w:pStyle w:val="SDMPara"/>
        <w:keepNext/>
      </w:pPr>
      <w:r>
        <w:t>As per step 3, the downward adjusted baseline emissions during the crediting period are calculated as follows:</w:t>
      </w:r>
    </w:p>
    <w:p w14:paraId="3F2B96EA" w14:textId="6E3759E0" w:rsidR="00EC4385" w:rsidRPr="003262A3" w:rsidRDefault="003262A3" w:rsidP="00EC00DE">
      <w:pPr>
        <w:pStyle w:val="SDMSubPara1"/>
        <w:keepNext/>
      </w:pPr>
      <w:r>
        <w:t xml:space="preserve">For the </w:t>
      </w:r>
      <w:r w:rsidRPr="40E30BC4">
        <w:rPr>
          <w:rFonts w:eastAsia="Arial"/>
        </w:rPr>
        <w:t>calendar year of the start date of the first crediting period</w:t>
      </w:r>
      <w:r>
        <w:rPr>
          <w:rFonts w:eastAsia="Arial"/>
        </w:rPr>
        <w:t>:</w:t>
      </w:r>
    </w:p>
    <w:p w14:paraId="65456A5B" w14:textId="77777777" w:rsidR="004B444D" w:rsidRPr="004B444D" w:rsidRDefault="0039641B" w:rsidP="000F455A">
      <w:pPr>
        <w:pStyle w:val="SDMPara"/>
        <w:numPr>
          <w:ilvl w:val="0"/>
          <w:numId w:val="0"/>
        </w:numPr>
        <w:ind w:left="1418"/>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adj,EG,y</m:t>
              </m:r>
            </m:sub>
          </m:sSub>
          <m:r>
            <w:rPr>
              <w:rFonts w:ascii="Cambria Math" w:hAnsi="Cambria Math"/>
            </w:rPr>
            <m:t>=</m:t>
          </m:r>
          <m:sSub>
            <m:sSubPr>
              <m:ctrlPr>
                <w:rPr>
                  <w:rFonts w:ascii="Cambria Math" w:hAnsi="Cambria Math"/>
                  <w:i/>
                </w:rPr>
              </m:ctrlPr>
            </m:sSubPr>
            <m:e>
              <m:r>
                <w:rPr>
                  <w:rFonts w:ascii="Cambria Math" w:hAnsi="Cambria Math"/>
                </w:rPr>
                <m:t>BE</m:t>
              </m:r>
            </m:e>
            <m:sub>
              <m:r>
                <w:rPr>
                  <w:rFonts w:ascii="Cambria Math" w:hAnsi="Cambria Math"/>
                </w:rPr>
                <m:t>EG,y</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DA</m:t>
                  </m:r>
                </m:e>
                <m:sub>
                  <m:r>
                    <w:rPr>
                      <w:rFonts w:ascii="Cambria Math" w:hAnsi="Cambria Math"/>
                    </w:rPr>
                    <m:t>y</m:t>
                  </m:r>
                </m:sub>
              </m:sSub>
            </m:e>
          </m:d>
          <m:r>
            <w:rPr>
              <w:rFonts w:ascii="Cambria Math" w:hAnsi="Cambria Math"/>
            </w:rPr>
            <m:t>,</m:t>
          </m:r>
          <m:r>
            <m:rPr>
              <m:sty m:val="p"/>
            </m:rPr>
            <w:rPr>
              <w:rFonts w:ascii="Cambria Math" w:hAnsi="Cambria Math"/>
            </w:rPr>
            <m:t xml:space="preserve"> and</m:t>
          </m:r>
        </m:oMath>
      </m:oMathPara>
    </w:p>
    <w:p w14:paraId="330E214A" w14:textId="77777777" w:rsidR="004B444D" w:rsidRPr="004B444D" w:rsidRDefault="0039641B" w:rsidP="000F455A">
      <w:pPr>
        <w:pStyle w:val="SDMPara"/>
        <w:numPr>
          <w:ilvl w:val="0"/>
          <w:numId w:val="0"/>
        </w:numPr>
        <w:spacing w:before="120"/>
        <w:ind w:left="1418"/>
        <w:rPr>
          <w:rFonts w:ascii="Cambria Math" w:hAnsi="Cambria Math"/>
          <w:oMath/>
        </w:rPr>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DA</m:t>
              </m:r>
            </m:e>
            <m:sub>
              <m:r>
                <w:rPr>
                  <w:rFonts w:ascii="Cambria Math" w:hAnsi="Cambria Math"/>
                </w:rPr>
                <m:t>initial</m:t>
              </m:r>
            </m:sub>
          </m:sSub>
          <m:r>
            <w:rPr>
              <w:rFonts w:ascii="Cambria Math" w:hAnsi="Cambria Math"/>
            </w:rPr>
            <m:t>+ INDA×</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cd</m:t>
                      </m:r>
                    </m:e>
                    <m:sub>
                      <m:r>
                        <w:rPr>
                          <w:rFonts w:ascii="Cambria Math" w:hAnsi="Cambria Math"/>
                        </w:rPr>
                        <m:t>y</m:t>
                      </m:r>
                    </m:sub>
                  </m:sSub>
                </m:num>
                <m:den>
                  <m:sSub>
                    <m:sSubPr>
                      <m:ctrlPr>
                        <w:rPr>
                          <w:rFonts w:ascii="Cambria Math" w:hAnsi="Cambria Math"/>
                          <w:i/>
                        </w:rPr>
                      </m:ctrlPr>
                    </m:sSubPr>
                    <m:e>
                      <m:r>
                        <w:rPr>
                          <w:rFonts w:ascii="Cambria Math" w:hAnsi="Cambria Math"/>
                        </w:rPr>
                        <m:t>nd</m:t>
                      </m:r>
                    </m:e>
                    <m:sub>
                      <m:r>
                        <w:rPr>
                          <w:rFonts w:ascii="Cambria Math" w:hAnsi="Cambria Math"/>
                        </w:rPr>
                        <m:t>y</m:t>
                      </m:r>
                    </m:sub>
                  </m:sSub>
                </m:den>
              </m:f>
              <m:r>
                <w:rPr>
                  <w:rFonts w:ascii="Cambria Math" w:hAnsi="Cambria Math"/>
                </w:rPr>
                <m:t>+</m:t>
              </m:r>
              <m:d>
                <m:dPr>
                  <m:ctrlPr>
                    <w:rPr>
                      <w:rFonts w:ascii="Cambria Math" w:hAnsi="Cambria Math"/>
                      <w:i/>
                    </w:rPr>
                  </m:ctrlPr>
                </m:dPr>
                <m:e>
                  <m:r>
                    <w:rPr>
                      <w:rFonts w:ascii="Cambria Math" w:hAnsi="Cambria Math"/>
                    </w:rPr>
                    <m:t>y-y1</m:t>
                  </m:r>
                </m:e>
              </m:d>
              <m:r>
                <w:rPr>
                  <w:rFonts w:ascii="Cambria Math" w:hAnsi="Cambria Math"/>
                </w:rPr>
                <m:t>-1</m:t>
              </m:r>
            </m:e>
          </m:d>
        </m:oMath>
      </m:oMathPara>
    </w:p>
    <w:p w14:paraId="401FF3DE" w14:textId="77777777" w:rsidR="004B444D" w:rsidRPr="004B444D" w:rsidRDefault="004B444D" w:rsidP="000F455A">
      <w:pPr>
        <w:pStyle w:val="SDMPara"/>
        <w:numPr>
          <w:ilvl w:val="0"/>
          <w:numId w:val="0"/>
        </w:numPr>
        <w:spacing w:before="120"/>
        <w:ind w:left="1418"/>
        <w:rPr>
          <w:iCs/>
        </w:rPr>
      </w:pPr>
      <m:oMathPara>
        <m:oMathParaPr>
          <m:jc m:val="left"/>
        </m:oMathParaPr>
        <m:oMath>
          <m:r>
            <m:rPr>
              <m:sty m:val="p"/>
            </m:rPr>
            <w:rPr>
              <w:rFonts w:ascii="Cambria Math" w:hAnsi="Cambria Math"/>
            </w:rPr>
            <m:t>Therefore,</m:t>
          </m:r>
        </m:oMath>
      </m:oMathPara>
    </w:p>
    <w:p w14:paraId="1288829D" w14:textId="24DB5947" w:rsidR="003262A3" w:rsidRPr="004B444D" w:rsidRDefault="0039641B" w:rsidP="000F455A">
      <w:pPr>
        <w:pStyle w:val="SDMPara"/>
        <w:numPr>
          <w:ilvl w:val="0"/>
          <w:numId w:val="0"/>
        </w:numPr>
        <w:ind w:left="1418"/>
      </w:pPr>
      <m:oMathPara>
        <m:oMathParaPr>
          <m:jc m:val="left"/>
        </m:oMathParaPr>
        <m:oMath>
          <m:sSub>
            <m:sSubPr>
              <m:ctrlPr>
                <w:rPr>
                  <w:rFonts w:ascii="Cambria Math" w:hAnsi="Cambria Math"/>
                  <w:i/>
                  <w:sz w:val="20"/>
                  <w:szCs w:val="20"/>
                </w:rPr>
              </m:ctrlPr>
            </m:sSubPr>
            <m:e>
              <m:r>
                <w:rPr>
                  <w:rFonts w:ascii="Cambria Math" w:hAnsi="Cambria Math"/>
                  <w:sz w:val="20"/>
                  <w:szCs w:val="20"/>
                </w:rPr>
                <m:t>BE</m:t>
              </m:r>
            </m:e>
            <m:sub>
              <m:r>
                <w:rPr>
                  <w:rFonts w:ascii="Cambria Math" w:hAnsi="Cambria Math"/>
                  <w:sz w:val="20"/>
                  <w:szCs w:val="20"/>
                </w:rPr>
                <m:t>adj,EG,y</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BE</m:t>
              </m:r>
            </m:e>
            <m:sub>
              <m:r>
                <w:rPr>
                  <w:rFonts w:ascii="Cambria Math" w:hAnsi="Cambria Math"/>
                  <w:sz w:val="20"/>
                  <w:szCs w:val="20"/>
                </w:rPr>
                <m:t>EG,y</m:t>
              </m:r>
            </m:sub>
          </m:sSub>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1-</m:t>
              </m:r>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DA</m:t>
                      </m:r>
                    </m:e>
                    <m:sub>
                      <m:r>
                        <w:rPr>
                          <w:rFonts w:ascii="Cambria Math" w:hAnsi="Cambria Math"/>
                          <w:sz w:val="20"/>
                          <w:szCs w:val="20"/>
                        </w:rPr>
                        <m:t>initial</m:t>
                      </m:r>
                    </m:sub>
                  </m:sSub>
                  <m:r>
                    <w:rPr>
                      <w:rFonts w:ascii="Cambria Math" w:hAnsi="Cambria Math"/>
                      <w:sz w:val="20"/>
                      <w:szCs w:val="20"/>
                    </w:rPr>
                    <m:t>+ INDA×</m:t>
                  </m:r>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cd</m:t>
                              </m:r>
                            </m:e>
                            <m:sub>
                              <m:r>
                                <w:rPr>
                                  <w:rFonts w:ascii="Cambria Math" w:hAnsi="Cambria Math"/>
                                  <w:sz w:val="20"/>
                                  <w:szCs w:val="20"/>
                                </w:rPr>
                                <m:t>y</m:t>
                              </m:r>
                            </m:sub>
                          </m:sSub>
                        </m:num>
                        <m:den>
                          <m:sSub>
                            <m:sSubPr>
                              <m:ctrlPr>
                                <w:rPr>
                                  <w:rFonts w:ascii="Cambria Math" w:hAnsi="Cambria Math"/>
                                  <w:i/>
                                  <w:sz w:val="20"/>
                                  <w:szCs w:val="20"/>
                                </w:rPr>
                              </m:ctrlPr>
                            </m:sSubPr>
                            <m:e>
                              <m:r>
                                <w:rPr>
                                  <w:rFonts w:ascii="Cambria Math" w:hAnsi="Cambria Math"/>
                                  <w:sz w:val="20"/>
                                  <w:szCs w:val="20"/>
                                </w:rPr>
                                <m:t>nd</m:t>
                              </m:r>
                            </m:e>
                            <m:sub>
                              <m:r>
                                <w:rPr>
                                  <w:rFonts w:ascii="Cambria Math" w:hAnsi="Cambria Math"/>
                                  <w:sz w:val="20"/>
                                  <w:szCs w:val="20"/>
                                </w:rPr>
                                <m:t>y</m:t>
                              </m:r>
                            </m:sub>
                          </m:sSub>
                        </m:den>
                      </m:f>
                      <m:r>
                        <w:rPr>
                          <w:rFonts w:ascii="Cambria Math" w:hAnsi="Cambria Math"/>
                          <w:sz w:val="20"/>
                          <w:szCs w:val="20"/>
                        </w:rPr>
                        <m:t>+y-y1-1</m:t>
                      </m:r>
                    </m:e>
                  </m:d>
                </m:e>
              </m:d>
            </m:e>
          </m:d>
        </m:oMath>
      </m:oMathPara>
    </w:p>
    <w:p w14:paraId="2AEB18D1" w14:textId="39076DF4" w:rsidR="003262A3" w:rsidRDefault="004B7385" w:rsidP="00EC00DE">
      <w:pPr>
        <w:pStyle w:val="SDMSubPara1"/>
        <w:keepNext/>
      </w:pPr>
      <w:r>
        <w:t>For the last calendar year </w:t>
      </w:r>
      <w:r w:rsidRPr="00E12CE5">
        <w:rPr>
          <w:i/>
          <w:iCs/>
        </w:rPr>
        <w:t>y</w:t>
      </w:r>
      <w:r>
        <w:t xml:space="preserve"> of the last crediting period, </w:t>
      </w:r>
      <w:r w:rsidRPr="00AB35F7">
        <w:rPr>
          <w:i/>
          <w:iCs/>
        </w:rPr>
        <w:t>DA</w:t>
      </w:r>
      <w:r w:rsidRPr="00AB35F7">
        <w:rPr>
          <w:i/>
          <w:iCs/>
          <w:vertAlign w:val="subscript"/>
        </w:rPr>
        <w:t>y</w:t>
      </w:r>
      <w:r>
        <w:t xml:space="preserve"> shall be calculated based on equation (17) as follows:</w:t>
      </w:r>
    </w:p>
    <w:p w14:paraId="1815D4D6" w14:textId="630D4F48" w:rsidR="004B7385" w:rsidRPr="0093170D" w:rsidRDefault="0039641B" w:rsidP="000F455A">
      <w:pPr>
        <w:pStyle w:val="SDMSubPara1"/>
        <w:numPr>
          <w:ilvl w:val="0"/>
          <w:numId w:val="0"/>
        </w:numPr>
        <w:ind w:left="1418"/>
      </w:pPr>
      <m:oMathPara>
        <m:oMathParaPr>
          <m:jc m:val="left"/>
        </m:oMathParaPr>
        <m:oMath>
          <m:sSub>
            <m:sSubPr>
              <m:ctrlPr>
                <w:rPr>
                  <w:rFonts w:ascii="Cambria Math" w:hAnsi="Cambria Math"/>
                  <w:i/>
                </w:rPr>
              </m:ctrlPr>
            </m:sSubPr>
            <m:e>
              <m:r>
                <w:rPr>
                  <w:rFonts w:ascii="Cambria Math" w:hAnsi="Cambria Math"/>
                </w:rPr>
                <m:t>DA</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DA</m:t>
              </m:r>
            </m:e>
            <m:sub>
              <m:r>
                <w:rPr>
                  <w:rFonts w:ascii="Cambria Math" w:hAnsi="Cambria Math"/>
                </w:rPr>
                <m:t>initial</m:t>
              </m:r>
            </m:sub>
          </m:sSub>
          <m:r>
            <w:rPr>
              <w:rFonts w:ascii="Cambria Math" w:hAnsi="Cambria Math"/>
            </w:rPr>
            <m:t>+INDA×</m:t>
          </m:r>
          <m:d>
            <m:dPr>
              <m:begChr m:val="["/>
              <m:endChr m:val="]"/>
              <m:ctrlPr>
                <w:rPr>
                  <w:rFonts w:ascii="Cambria Math" w:hAnsi="Cambria Math"/>
                  <w:i/>
                </w:rPr>
              </m:ctrlPr>
            </m:dPr>
            <m:e>
              <m:d>
                <m:dPr>
                  <m:ctrlPr>
                    <w:rPr>
                      <w:rFonts w:ascii="Cambria Math" w:hAnsi="Cambria Math"/>
                      <w:i/>
                    </w:rPr>
                  </m:ctrlPr>
                </m:dPr>
                <m:e>
                  <m:r>
                    <w:rPr>
                      <w:rFonts w:ascii="Cambria Math" w:hAnsi="Cambria Math"/>
                    </w:rPr>
                    <m:t>y-y1</m:t>
                  </m:r>
                </m:e>
              </m:d>
              <m:r>
                <w:rPr>
                  <w:rFonts w:ascii="Cambria Math" w:hAnsi="Cambria Math"/>
                </w:rPr>
                <m:t>-1</m:t>
              </m:r>
            </m:e>
          </m:d>
        </m:oMath>
      </m:oMathPara>
    </w:p>
    <w:p w14:paraId="2FBE17BA" w14:textId="5575187F" w:rsidR="003262A3" w:rsidRDefault="000F455A" w:rsidP="00EC00DE">
      <w:pPr>
        <w:pStyle w:val="SDMPara"/>
        <w:keepNext/>
      </w:pPr>
      <w:r>
        <w:t>The yearly downward adjusted baseline emissions determined for the example in paragraph 1 of this appendix and determined based on the equations above are exemplified in the table below, where:</w:t>
      </w:r>
    </w:p>
    <w:p w14:paraId="69F1A0BE" w14:textId="678DC5AD" w:rsidR="00145FA2" w:rsidRDefault="00145FA2" w:rsidP="007275C4">
      <w:pPr>
        <w:pStyle w:val="SDMSubPara1"/>
      </w:pPr>
      <w:r>
        <w:t>The baseline emissions between 2026 and the 2029 are equal to 396.74 t CO</w:t>
      </w:r>
      <w:r w:rsidRPr="00FA4CF7">
        <w:rPr>
          <w:vertAlign w:val="subscript"/>
        </w:rPr>
        <w:t>2</w:t>
      </w:r>
      <w:r>
        <w:t>eq/year, determined by multiplying 100 t</w:t>
      </w:r>
      <w:r w:rsidR="00C82350">
        <w:t> </w:t>
      </w:r>
      <w:r>
        <w:t>CO</w:t>
      </w:r>
      <w:r w:rsidRPr="003E4E7A">
        <w:rPr>
          <w:vertAlign w:val="subscript"/>
        </w:rPr>
        <w:t>2</w:t>
      </w:r>
      <w:r>
        <w:t>eq by 365 days, and dividing the result by 92 days;</w:t>
      </w:r>
    </w:p>
    <w:p w14:paraId="75B08F42" w14:textId="74AAAF06" w:rsidR="00145FA2" w:rsidRDefault="00145FA2" w:rsidP="007275C4">
      <w:pPr>
        <w:pStyle w:val="SDMSubPara1"/>
      </w:pPr>
      <w:r>
        <w:lastRenderedPageBreak/>
        <w:t>The baseline emissions between for the calendar year 2030 are equal to 296.74 t</w:t>
      </w:r>
      <w:r w:rsidR="007D04D4">
        <w:t> </w:t>
      </w:r>
      <w:r>
        <w:t>CO</w:t>
      </w:r>
      <w:r w:rsidRPr="007D04D4">
        <w:rPr>
          <w:vertAlign w:val="subscript"/>
        </w:rPr>
        <w:t>2</w:t>
      </w:r>
      <w:r>
        <w:t>eq</w:t>
      </w:r>
      <w:r w:rsidR="007D04D4">
        <w:t> </w:t>
      </w:r>
      <w:r>
        <w:t>/</w:t>
      </w:r>
      <w:r w:rsidR="007D04D4">
        <w:t> </w:t>
      </w:r>
      <w:r>
        <w:t>year, determined by multiplying 396.74 t</w:t>
      </w:r>
      <w:r w:rsidR="00C82350">
        <w:t> </w:t>
      </w:r>
      <w:r>
        <w:t>CO</w:t>
      </w:r>
      <w:r w:rsidRPr="00E70AA9">
        <w:rPr>
          <w:vertAlign w:val="subscript"/>
        </w:rPr>
        <w:t>2</w:t>
      </w:r>
      <w:r>
        <w:t>eq by 273 days, and dividing the result by 365 days;</w:t>
      </w:r>
    </w:p>
    <w:p w14:paraId="0E50B4FE" w14:textId="77777777" w:rsidR="00D33549" w:rsidRPr="00052E22" w:rsidRDefault="00D33549" w:rsidP="007275C4">
      <w:pPr>
        <w:pStyle w:val="SDMSubPara1"/>
      </w:pPr>
      <w:r w:rsidRPr="00D33549">
        <w:rPr>
          <w:rFonts w:eastAsia="Arial"/>
          <w:i/>
          <w:iCs/>
        </w:rPr>
        <w:t>cd</w:t>
      </w:r>
      <w:r w:rsidRPr="00D33549">
        <w:rPr>
          <w:rFonts w:eastAsia="Arial"/>
          <w:i/>
          <w:iCs/>
          <w:vertAlign w:val="subscript"/>
        </w:rPr>
        <w:t>y</w:t>
      </w:r>
      <w:r w:rsidRPr="00D33549">
        <w:rPr>
          <w:rFonts w:eastAsia="Arial"/>
        </w:rPr>
        <w:t xml:space="preserve"> is equal to 92 days for non-leap years and 93 days for leap years; and</w:t>
      </w:r>
    </w:p>
    <w:p w14:paraId="493C29FF" w14:textId="77777777" w:rsidR="00D33549" w:rsidRDefault="00D33549" w:rsidP="007275C4">
      <w:pPr>
        <w:pStyle w:val="SDMSubPara1"/>
      </w:pPr>
      <w:r w:rsidRPr="00D33549">
        <w:rPr>
          <w:rFonts w:eastAsia="Arial"/>
          <w:i/>
          <w:iCs/>
        </w:rPr>
        <w:t>nd</w:t>
      </w:r>
      <w:r w:rsidRPr="00D33549">
        <w:rPr>
          <w:rFonts w:eastAsia="Arial"/>
          <w:i/>
          <w:iCs/>
          <w:vertAlign w:val="subscript"/>
        </w:rPr>
        <w:t>y</w:t>
      </w:r>
      <w:r w:rsidRPr="00D33549">
        <w:rPr>
          <w:rFonts w:eastAsia="Arial"/>
        </w:rPr>
        <w:t xml:space="preserve"> is equal to 365 days for non-leap years and 366 days for leap years.</w:t>
      </w:r>
    </w:p>
    <w:p w14:paraId="4CDA120D" w14:textId="5BB94E07" w:rsidR="0045073F" w:rsidRDefault="0045073F" w:rsidP="0045073F">
      <w:pPr>
        <w:pStyle w:val="Caption"/>
      </w:pPr>
      <w:r>
        <w:t>Tabl</w:t>
      </w:r>
      <w:r w:rsidR="004B2DB1">
        <w:t>e</w:t>
      </w:r>
      <w:r>
        <w:rPr>
          <w:lang w:val="en-US"/>
        </w:rPr>
        <w:t>.</w:t>
      </w:r>
      <w:r>
        <w:rPr>
          <w:lang w:val="en-US"/>
        </w:rPr>
        <w:tab/>
      </w:r>
      <w:r w:rsidRPr="00135AC6">
        <w:rPr>
          <w:lang w:val="en-US"/>
        </w:rPr>
        <w:t>Numerical example of the calculation of the downward adjusted baseline emissions</w:t>
      </w:r>
    </w:p>
    <w:tbl>
      <w:tblPr>
        <w:tblStyle w:val="SDMTable"/>
        <w:tblW w:w="8618" w:type="dxa"/>
        <w:tblLayout w:type="fixed"/>
        <w:tblLook w:val="04A0" w:firstRow="1" w:lastRow="0" w:firstColumn="1" w:lastColumn="0" w:noHBand="0" w:noVBand="1"/>
      </w:tblPr>
      <w:tblGrid>
        <w:gridCol w:w="1980"/>
        <w:gridCol w:w="1417"/>
        <w:gridCol w:w="879"/>
        <w:gridCol w:w="750"/>
        <w:gridCol w:w="839"/>
        <w:gridCol w:w="839"/>
        <w:gridCol w:w="918"/>
        <w:gridCol w:w="996"/>
      </w:tblGrid>
      <w:tr w:rsidR="00600E82" w:rsidRPr="00162111" w14:paraId="53BCFA09" w14:textId="77777777" w:rsidTr="00E96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489244D" w14:textId="1601F89B" w:rsidR="00600E82" w:rsidRPr="00CB7EFA" w:rsidRDefault="00600E82" w:rsidP="00E9603A">
            <w:pPr>
              <w:pStyle w:val="SDMTableBoxParaNumbered"/>
            </w:pPr>
            <w:r w:rsidRPr="0052394E">
              <w:t>Calendar year</w:t>
            </w:r>
            <w:r>
              <w:t xml:space="preserve"> </w:t>
            </w:r>
            <w:r w:rsidRPr="004A3D72">
              <w:rPr>
                <w:i/>
              </w:rPr>
              <w:t>y</w:t>
            </w:r>
          </w:p>
        </w:tc>
        <w:tc>
          <w:tcPr>
            <w:tcW w:w="141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C428E71" w14:textId="6982B50B" w:rsidR="00600E82" w:rsidRPr="00CB7EFA" w:rsidRDefault="00600E82" w:rsidP="00E9603A">
            <w:pPr>
              <w:pStyle w:val="SDMTableBoxParaNotNumbered"/>
              <w:cnfStyle w:val="100000000000" w:firstRow="1" w:lastRow="0" w:firstColumn="0" w:lastColumn="0" w:oddVBand="0" w:evenVBand="0" w:oddHBand="0" w:evenHBand="0" w:firstRowFirstColumn="0" w:firstRowLastColumn="0" w:lastRowFirstColumn="0" w:lastRowLastColumn="0"/>
            </w:pPr>
            <w:r w:rsidRPr="0052394E">
              <w:rPr>
                <w:i/>
              </w:rPr>
              <w:t>BE</w:t>
            </w:r>
            <w:r w:rsidRPr="0052394E">
              <w:rPr>
                <w:rFonts w:asciiTheme="minorBidi" w:hAnsiTheme="minorBidi" w:cstheme="minorBidi"/>
                <w:bCs/>
                <w:i/>
                <w:iCs/>
                <w:color w:val="000000"/>
                <w:vertAlign w:val="subscript"/>
              </w:rPr>
              <w:t>EG,y</w:t>
            </w:r>
            <w:r w:rsidR="00E15E00">
              <w:rPr>
                <w:rFonts w:asciiTheme="minorBidi" w:hAnsiTheme="minorBidi" w:cstheme="minorBidi"/>
                <w:bCs/>
                <w:i/>
                <w:iCs/>
                <w:color w:val="000000"/>
                <w:vertAlign w:val="subscript"/>
              </w:rPr>
              <w:br/>
            </w:r>
            <w:r w:rsidRPr="0052394E">
              <w:t>(t</w:t>
            </w:r>
            <w:r w:rsidR="007D04D4">
              <w:t> </w:t>
            </w:r>
            <w:r w:rsidRPr="0052394E">
              <w:t>CO</w:t>
            </w:r>
            <w:r w:rsidRPr="0052394E">
              <w:rPr>
                <w:vertAlign w:val="subscript"/>
              </w:rPr>
              <w:t>2</w:t>
            </w:r>
            <w:r w:rsidRPr="0052394E">
              <w:t>eq)</w:t>
            </w:r>
          </w:p>
        </w:tc>
        <w:tc>
          <w:tcPr>
            <w:tcW w:w="87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282074E7" w14:textId="2ADF4F1D" w:rsidR="00600E82" w:rsidRPr="00CB7EFA" w:rsidRDefault="00600E82" w:rsidP="00E9603A">
            <w:pPr>
              <w:pStyle w:val="SDMTableBoxParaNotNumbered"/>
              <w:cnfStyle w:val="100000000000" w:firstRow="1" w:lastRow="0" w:firstColumn="0" w:lastColumn="0" w:oddVBand="0" w:evenVBand="0" w:oddHBand="0" w:evenHBand="0" w:firstRowFirstColumn="0" w:firstRowLastColumn="0" w:lastRowFirstColumn="0" w:lastRowLastColumn="0"/>
            </w:pPr>
            <w:r w:rsidRPr="0052394E">
              <w:rPr>
                <w:i/>
              </w:rPr>
              <w:t>DA</w:t>
            </w:r>
            <w:r w:rsidRPr="0052394E">
              <w:rPr>
                <w:i/>
                <w:vertAlign w:val="subscript"/>
              </w:rPr>
              <w:t>initial</w:t>
            </w:r>
            <w:r w:rsidR="00D66A55">
              <w:rPr>
                <w:i/>
                <w:vertAlign w:val="subscript"/>
              </w:rPr>
              <w:t xml:space="preserve"> </w:t>
            </w:r>
            <w:r w:rsidR="00D66A55" w:rsidRPr="00D66A55">
              <w:t>(per cent)</w:t>
            </w:r>
          </w:p>
        </w:tc>
        <w:tc>
          <w:tcPr>
            <w:tcW w:w="75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B7CB672" w14:textId="4E329EBF" w:rsidR="00600E82" w:rsidRPr="00CB7EFA" w:rsidRDefault="00600E82" w:rsidP="00E9603A">
            <w:pPr>
              <w:pStyle w:val="SDMTableBoxParaNotNumbered"/>
              <w:cnfStyle w:val="100000000000" w:firstRow="1" w:lastRow="0" w:firstColumn="0" w:lastColumn="0" w:oddVBand="0" w:evenVBand="0" w:oddHBand="0" w:evenHBand="0" w:firstRowFirstColumn="0" w:firstRowLastColumn="0" w:lastRowFirstColumn="0" w:lastRowLastColumn="0"/>
            </w:pPr>
            <w:r w:rsidRPr="0052394E">
              <w:rPr>
                <w:i/>
              </w:rPr>
              <w:t>INDA</w:t>
            </w:r>
          </w:p>
        </w:tc>
        <w:tc>
          <w:tcPr>
            <w:tcW w:w="83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595649A7" w14:textId="55BB4C42" w:rsidR="00600E82" w:rsidRPr="00CB7EFA" w:rsidRDefault="00600E82" w:rsidP="00E9603A">
            <w:pPr>
              <w:pStyle w:val="SDMTableBoxParaNotNumbered"/>
              <w:cnfStyle w:val="100000000000" w:firstRow="1" w:lastRow="0" w:firstColumn="0" w:lastColumn="0" w:oddVBand="0" w:evenVBand="0" w:oddHBand="0" w:evenHBand="0" w:firstRowFirstColumn="0" w:firstRowLastColumn="0" w:lastRowFirstColumn="0" w:lastRowLastColumn="0"/>
            </w:pPr>
            <w:r w:rsidRPr="0052394E">
              <w:rPr>
                <w:i/>
              </w:rPr>
              <w:t>cd</w:t>
            </w:r>
            <w:r w:rsidRPr="0052394E">
              <w:rPr>
                <w:rFonts w:asciiTheme="minorBidi" w:hAnsiTheme="minorBidi" w:cstheme="minorBidi"/>
                <w:bCs/>
                <w:i/>
                <w:iCs/>
                <w:color w:val="000000"/>
                <w:vertAlign w:val="subscript"/>
              </w:rPr>
              <w:t>y</w:t>
            </w:r>
            <w:r w:rsidR="00E15E00">
              <w:rPr>
                <w:rFonts w:asciiTheme="minorBidi" w:hAnsiTheme="minorBidi" w:cstheme="minorBidi"/>
                <w:bCs/>
                <w:i/>
                <w:iCs/>
                <w:color w:val="000000"/>
                <w:vertAlign w:val="subscript"/>
              </w:rPr>
              <w:br/>
            </w:r>
            <w:r w:rsidRPr="0052394E">
              <w:t>(days)</w:t>
            </w:r>
          </w:p>
        </w:tc>
        <w:tc>
          <w:tcPr>
            <w:tcW w:w="83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3B22BEC3" w14:textId="2B41EAD3" w:rsidR="00600E82" w:rsidRPr="00CB7EFA" w:rsidRDefault="00600E82" w:rsidP="00E9603A">
            <w:pPr>
              <w:pStyle w:val="SDMTableBoxParaNotNumbered"/>
              <w:cnfStyle w:val="100000000000" w:firstRow="1" w:lastRow="0" w:firstColumn="0" w:lastColumn="0" w:oddVBand="0" w:evenVBand="0" w:oddHBand="0" w:evenHBand="0" w:firstRowFirstColumn="0" w:firstRowLastColumn="0" w:lastRowFirstColumn="0" w:lastRowLastColumn="0"/>
            </w:pPr>
            <w:r w:rsidRPr="0052394E">
              <w:rPr>
                <w:i/>
              </w:rPr>
              <w:t>nd</w:t>
            </w:r>
            <w:r w:rsidRPr="0052394E">
              <w:rPr>
                <w:rFonts w:asciiTheme="minorBidi" w:hAnsiTheme="minorBidi" w:cstheme="minorBidi"/>
                <w:bCs/>
                <w:i/>
                <w:iCs/>
                <w:color w:val="000000"/>
                <w:vertAlign w:val="subscript"/>
              </w:rPr>
              <w:t>y</w:t>
            </w:r>
            <w:r w:rsidR="00E15E00">
              <w:rPr>
                <w:rFonts w:asciiTheme="minorBidi" w:hAnsiTheme="minorBidi" w:cstheme="minorBidi"/>
                <w:bCs/>
                <w:i/>
                <w:iCs/>
                <w:color w:val="000000"/>
                <w:vertAlign w:val="subscript"/>
              </w:rPr>
              <w:br/>
            </w:r>
            <w:r w:rsidRPr="0052394E">
              <w:t>(days)</w:t>
            </w:r>
          </w:p>
        </w:tc>
        <w:tc>
          <w:tcPr>
            <w:tcW w:w="91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05C134DA" w14:textId="68750426" w:rsidR="00600E82" w:rsidRPr="00CB7EFA" w:rsidRDefault="00600E82" w:rsidP="00E9603A">
            <w:pPr>
              <w:pStyle w:val="SDMTableBoxParaNotNumbered"/>
              <w:cnfStyle w:val="100000000000" w:firstRow="1" w:lastRow="0" w:firstColumn="0" w:lastColumn="0" w:oddVBand="0" w:evenVBand="0" w:oddHBand="0" w:evenHBand="0" w:firstRowFirstColumn="0" w:firstRowLastColumn="0" w:lastRowFirstColumn="0" w:lastRowLastColumn="0"/>
            </w:pPr>
            <w:r w:rsidRPr="0052394E">
              <w:rPr>
                <w:i/>
              </w:rPr>
              <w:t>DA</w:t>
            </w:r>
            <w:r w:rsidRPr="0052394E">
              <w:rPr>
                <w:i/>
                <w:vertAlign w:val="subscript"/>
              </w:rPr>
              <w:t>y</w:t>
            </w:r>
            <w:r w:rsidR="00D66A55">
              <w:rPr>
                <w:i/>
                <w:vertAlign w:val="subscript"/>
              </w:rPr>
              <w:t xml:space="preserve"> </w:t>
            </w:r>
            <w:r w:rsidR="00D66A55" w:rsidRPr="00D66A55">
              <w:t>(per cent)</w:t>
            </w:r>
          </w:p>
        </w:tc>
        <w:tc>
          <w:tcPr>
            <w:tcW w:w="99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305F5141" w14:textId="21256505" w:rsidR="00600E82" w:rsidRPr="0045073F" w:rsidRDefault="00600E82" w:rsidP="00E9603A">
            <w:pPr>
              <w:pStyle w:val="SDMTableBoxParaNotNumbered"/>
              <w:cnfStyle w:val="100000000000" w:firstRow="1" w:lastRow="0" w:firstColumn="0" w:lastColumn="0" w:oddVBand="0" w:evenVBand="0" w:oddHBand="0" w:evenHBand="0" w:firstRowFirstColumn="0" w:firstRowLastColumn="0" w:lastRowFirstColumn="0" w:lastRowLastColumn="0"/>
              <w:rPr>
                <w:lang w:val="fr-FR"/>
              </w:rPr>
            </w:pPr>
            <w:r w:rsidRPr="0052394E">
              <w:rPr>
                <w:i/>
                <w:lang w:val="fr-FR"/>
              </w:rPr>
              <w:t>BE</w:t>
            </w:r>
            <w:r w:rsidRPr="0052394E">
              <w:rPr>
                <w:rFonts w:asciiTheme="minorBidi" w:hAnsiTheme="minorBidi" w:cstheme="minorBidi"/>
                <w:bCs/>
                <w:i/>
                <w:iCs/>
                <w:color w:val="000000"/>
                <w:vertAlign w:val="subscript"/>
                <w:lang w:val="fr-FR"/>
              </w:rPr>
              <w:t>adj,EG,y1</w:t>
            </w:r>
            <w:r w:rsidR="00E15E00">
              <w:rPr>
                <w:rFonts w:asciiTheme="minorBidi" w:hAnsiTheme="minorBidi" w:cstheme="minorBidi"/>
                <w:bCs/>
                <w:i/>
                <w:iCs/>
                <w:color w:val="000000"/>
                <w:vertAlign w:val="subscript"/>
                <w:lang w:val="fr-FR"/>
              </w:rPr>
              <w:br/>
            </w:r>
            <w:r w:rsidRPr="0052394E">
              <w:rPr>
                <w:lang w:val="fr-FR"/>
              </w:rPr>
              <w:t>(t</w:t>
            </w:r>
            <w:r w:rsidR="007D04D4">
              <w:rPr>
                <w:lang w:val="fr-FR"/>
              </w:rPr>
              <w:t> </w:t>
            </w:r>
            <w:r w:rsidRPr="0052394E">
              <w:rPr>
                <w:lang w:val="fr-FR"/>
              </w:rPr>
              <w:t>CO</w:t>
            </w:r>
            <w:r w:rsidRPr="0052394E">
              <w:rPr>
                <w:vertAlign w:val="subscript"/>
                <w:lang w:val="fr-FR"/>
              </w:rPr>
              <w:t>2</w:t>
            </w:r>
            <w:r w:rsidRPr="0052394E">
              <w:rPr>
                <w:lang w:val="fr-FR"/>
              </w:rPr>
              <w:t>eq)</w:t>
            </w:r>
          </w:p>
        </w:tc>
      </w:tr>
      <w:tr w:rsidR="00CD176C" w:rsidRPr="00CB7EFA" w14:paraId="199AAD1D" w14:textId="77777777" w:rsidTr="00E9603A">
        <w:tc>
          <w:tcPr>
            <w:cnfStyle w:val="001000000000" w:firstRow="0" w:lastRow="0" w:firstColumn="1" w:lastColumn="0" w:oddVBand="0" w:evenVBand="0" w:oddHBand="0" w:evenHBand="0" w:firstRowFirstColumn="0" w:firstRowLastColumn="0" w:lastRowFirstColumn="0" w:lastRowLastColumn="0"/>
            <w:tcW w:w="1980" w:type="dxa"/>
          </w:tcPr>
          <w:p w14:paraId="13D119CB" w14:textId="59B83BAF" w:rsidR="00CD176C" w:rsidRPr="00443BF1" w:rsidRDefault="00CD176C" w:rsidP="00E9603A">
            <w:pPr>
              <w:pStyle w:val="SDMTableBoxParaNotNumbered"/>
              <w:rPr>
                <w:b w:val="0"/>
                <w:bCs/>
              </w:rPr>
            </w:pPr>
            <w:r w:rsidRPr="00443BF1">
              <w:rPr>
                <w:bCs/>
              </w:rPr>
              <w:t>2025</w:t>
            </w:r>
            <w:r w:rsidR="00E15E00">
              <w:rPr>
                <w:bCs/>
              </w:rPr>
              <w:br/>
            </w:r>
            <w:r w:rsidRPr="00443BF1">
              <w:rPr>
                <w:bCs/>
              </w:rPr>
              <w:t>(01/10/2025 – 31/12/2025)</w:t>
            </w:r>
          </w:p>
        </w:tc>
        <w:tc>
          <w:tcPr>
            <w:tcW w:w="1417" w:type="dxa"/>
          </w:tcPr>
          <w:p w14:paraId="57D73126" w14:textId="27A659E8"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100</w:t>
            </w:r>
          </w:p>
        </w:tc>
        <w:tc>
          <w:tcPr>
            <w:tcW w:w="879" w:type="dxa"/>
            <w:vMerge w:val="restart"/>
          </w:tcPr>
          <w:p w14:paraId="36CDC792" w14:textId="6C2D13B9"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t>10</w:t>
            </w:r>
          </w:p>
        </w:tc>
        <w:tc>
          <w:tcPr>
            <w:tcW w:w="750" w:type="dxa"/>
          </w:tcPr>
          <w:p w14:paraId="274D2B7A" w14:textId="5B045D1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w:t>
            </w:r>
          </w:p>
        </w:tc>
        <w:tc>
          <w:tcPr>
            <w:tcW w:w="839" w:type="dxa"/>
          </w:tcPr>
          <w:p w14:paraId="65B42EE1" w14:textId="517410D9"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w:t>
            </w:r>
          </w:p>
        </w:tc>
        <w:tc>
          <w:tcPr>
            <w:tcW w:w="839" w:type="dxa"/>
          </w:tcPr>
          <w:p w14:paraId="74A4D93F" w14:textId="6CB743CC"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w:t>
            </w:r>
          </w:p>
        </w:tc>
        <w:tc>
          <w:tcPr>
            <w:tcW w:w="918" w:type="dxa"/>
          </w:tcPr>
          <w:p w14:paraId="189365AE" w14:textId="185A8BF5"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16350">
              <w:t>10</w:t>
            </w:r>
          </w:p>
        </w:tc>
        <w:tc>
          <w:tcPr>
            <w:tcW w:w="996" w:type="dxa"/>
          </w:tcPr>
          <w:p w14:paraId="758565AE" w14:textId="1701D31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A208A">
              <w:t>90.00</w:t>
            </w:r>
          </w:p>
        </w:tc>
      </w:tr>
      <w:tr w:rsidR="00CD176C" w:rsidRPr="00CB7EFA" w14:paraId="718FAB7A" w14:textId="77777777" w:rsidTr="00E9603A">
        <w:tc>
          <w:tcPr>
            <w:cnfStyle w:val="001000000000" w:firstRow="0" w:lastRow="0" w:firstColumn="1" w:lastColumn="0" w:oddVBand="0" w:evenVBand="0" w:oddHBand="0" w:evenHBand="0" w:firstRowFirstColumn="0" w:firstRowLastColumn="0" w:lastRowFirstColumn="0" w:lastRowLastColumn="0"/>
            <w:tcW w:w="1980" w:type="dxa"/>
          </w:tcPr>
          <w:p w14:paraId="5DEFF066" w14:textId="735327B9" w:rsidR="00CD176C" w:rsidRPr="00443BF1" w:rsidRDefault="00CD176C" w:rsidP="00E9603A">
            <w:pPr>
              <w:pStyle w:val="SDMTableBoxParaNotNumbered"/>
              <w:rPr>
                <w:b w:val="0"/>
                <w:bCs/>
              </w:rPr>
            </w:pPr>
            <w:r w:rsidRPr="00443BF1">
              <w:rPr>
                <w:bCs/>
              </w:rPr>
              <w:t>2026</w:t>
            </w:r>
          </w:p>
        </w:tc>
        <w:tc>
          <w:tcPr>
            <w:tcW w:w="1417" w:type="dxa"/>
          </w:tcPr>
          <w:p w14:paraId="58E6621A" w14:textId="33D3E7BB"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396.74</w:t>
            </w:r>
          </w:p>
        </w:tc>
        <w:tc>
          <w:tcPr>
            <w:tcW w:w="879" w:type="dxa"/>
            <w:vMerge/>
          </w:tcPr>
          <w:p w14:paraId="18554E67" w14:textId="7777777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50" w:type="dxa"/>
          </w:tcPr>
          <w:p w14:paraId="1D8FA4B3" w14:textId="3C0BDE24"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0.01</w:t>
            </w:r>
          </w:p>
        </w:tc>
        <w:tc>
          <w:tcPr>
            <w:tcW w:w="839" w:type="dxa"/>
          </w:tcPr>
          <w:p w14:paraId="4714D24E" w14:textId="2E55DB2E"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92</w:t>
            </w:r>
          </w:p>
        </w:tc>
        <w:tc>
          <w:tcPr>
            <w:tcW w:w="839" w:type="dxa"/>
          </w:tcPr>
          <w:p w14:paraId="261CFA99" w14:textId="2EC62DDB"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365</w:t>
            </w:r>
          </w:p>
        </w:tc>
        <w:tc>
          <w:tcPr>
            <w:tcW w:w="918" w:type="dxa"/>
          </w:tcPr>
          <w:p w14:paraId="289A30E6" w14:textId="1407E96E"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16350">
              <w:t>10.25</w:t>
            </w:r>
          </w:p>
        </w:tc>
        <w:tc>
          <w:tcPr>
            <w:tcW w:w="996" w:type="dxa"/>
          </w:tcPr>
          <w:p w14:paraId="194E729D" w14:textId="5DA291D4"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A208A">
              <w:t>356.07</w:t>
            </w:r>
          </w:p>
        </w:tc>
      </w:tr>
      <w:tr w:rsidR="00CD176C" w:rsidRPr="00CB7EFA" w14:paraId="125EF9DB" w14:textId="77777777" w:rsidTr="00E9603A">
        <w:tc>
          <w:tcPr>
            <w:cnfStyle w:val="001000000000" w:firstRow="0" w:lastRow="0" w:firstColumn="1" w:lastColumn="0" w:oddVBand="0" w:evenVBand="0" w:oddHBand="0" w:evenHBand="0" w:firstRowFirstColumn="0" w:firstRowLastColumn="0" w:lastRowFirstColumn="0" w:lastRowLastColumn="0"/>
            <w:tcW w:w="1980" w:type="dxa"/>
          </w:tcPr>
          <w:p w14:paraId="2FB25B3C" w14:textId="5827E994" w:rsidR="00CD176C" w:rsidRPr="00443BF1" w:rsidRDefault="00CD176C" w:rsidP="00E9603A">
            <w:pPr>
              <w:pStyle w:val="SDMTableBoxParaNotNumbered"/>
              <w:rPr>
                <w:b w:val="0"/>
                <w:bCs/>
              </w:rPr>
            </w:pPr>
            <w:r w:rsidRPr="00443BF1">
              <w:rPr>
                <w:bCs/>
              </w:rPr>
              <w:t>2027</w:t>
            </w:r>
          </w:p>
        </w:tc>
        <w:tc>
          <w:tcPr>
            <w:tcW w:w="1417" w:type="dxa"/>
          </w:tcPr>
          <w:p w14:paraId="6862E6A2" w14:textId="636DD19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396.74</w:t>
            </w:r>
          </w:p>
        </w:tc>
        <w:tc>
          <w:tcPr>
            <w:tcW w:w="879" w:type="dxa"/>
            <w:vMerge/>
          </w:tcPr>
          <w:p w14:paraId="5CCCD11B" w14:textId="7777777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50" w:type="dxa"/>
          </w:tcPr>
          <w:p w14:paraId="1A3D7F4B" w14:textId="40C16196"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0.01</w:t>
            </w:r>
          </w:p>
        </w:tc>
        <w:tc>
          <w:tcPr>
            <w:tcW w:w="839" w:type="dxa"/>
          </w:tcPr>
          <w:p w14:paraId="34F0D801" w14:textId="55C97CBA"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92</w:t>
            </w:r>
          </w:p>
        </w:tc>
        <w:tc>
          <w:tcPr>
            <w:tcW w:w="839" w:type="dxa"/>
          </w:tcPr>
          <w:p w14:paraId="7E565F7B" w14:textId="2DC2BF1E"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365</w:t>
            </w:r>
          </w:p>
        </w:tc>
        <w:tc>
          <w:tcPr>
            <w:tcW w:w="918" w:type="dxa"/>
          </w:tcPr>
          <w:p w14:paraId="6754B501" w14:textId="0E92CC6C"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16350">
              <w:t>11.25</w:t>
            </w:r>
          </w:p>
        </w:tc>
        <w:tc>
          <w:tcPr>
            <w:tcW w:w="996" w:type="dxa"/>
          </w:tcPr>
          <w:p w14:paraId="3536CCE3" w14:textId="36BC5280"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A208A">
              <w:t>352.10</w:t>
            </w:r>
          </w:p>
        </w:tc>
      </w:tr>
      <w:tr w:rsidR="00CD176C" w:rsidRPr="00CB7EFA" w14:paraId="6F8EFE29" w14:textId="77777777" w:rsidTr="00E9603A">
        <w:tc>
          <w:tcPr>
            <w:cnfStyle w:val="001000000000" w:firstRow="0" w:lastRow="0" w:firstColumn="1" w:lastColumn="0" w:oddVBand="0" w:evenVBand="0" w:oddHBand="0" w:evenHBand="0" w:firstRowFirstColumn="0" w:firstRowLastColumn="0" w:lastRowFirstColumn="0" w:lastRowLastColumn="0"/>
            <w:tcW w:w="1980" w:type="dxa"/>
          </w:tcPr>
          <w:p w14:paraId="60A414C8" w14:textId="0E38B8E5" w:rsidR="00CD176C" w:rsidRPr="00443BF1" w:rsidRDefault="00CD176C" w:rsidP="00E9603A">
            <w:pPr>
              <w:pStyle w:val="SDMTableBoxParaNotNumbered"/>
              <w:rPr>
                <w:b w:val="0"/>
                <w:bCs/>
              </w:rPr>
            </w:pPr>
            <w:r w:rsidRPr="00443BF1">
              <w:rPr>
                <w:bCs/>
              </w:rPr>
              <w:t>2028</w:t>
            </w:r>
          </w:p>
        </w:tc>
        <w:tc>
          <w:tcPr>
            <w:tcW w:w="1417" w:type="dxa"/>
          </w:tcPr>
          <w:p w14:paraId="11BE2EC6" w14:textId="070E73D6"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396.74</w:t>
            </w:r>
          </w:p>
        </w:tc>
        <w:tc>
          <w:tcPr>
            <w:tcW w:w="879" w:type="dxa"/>
            <w:vMerge/>
          </w:tcPr>
          <w:p w14:paraId="681E80CE" w14:textId="7777777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50" w:type="dxa"/>
          </w:tcPr>
          <w:p w14:paraId="686440FF" w14:textId="71B5CD9E"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0.01</w:t>
            </w:r>
          </w:p>
        </w:tc>
        <w:tc>
          <w:tcPr>
            <w:tcW w:w="839" w:type="dxa"/>
          </w:tcPr>
          <w:p w14:paraId="5B545F79" w14:textId="669E0D6C"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93</w:t>
            </w:r>
          </w:p>
        </w:tc>
        <w:tc>
          <w:tcPr>
            <w:tcW w:w="839" w:type="dxa"/>
          </w:tcPr>
          <w:p w14:paraId="2DDB7CF2" w14:textId="5875DF25"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366</w:t>
            </w:r>
          </w:p>
        </w:tc>
        <w:tc>
          <w:tcPr>
            <w:tcW w:w="918" w:type="dxa"/>
          </w:tcPr>
          <w:p w14:paraId="18955665" w14:textId="30B90C33"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16350">
              <w:t>12.25</w:t>
            </w:r>
          </w:p>
        </w:tc>
        <w:tc>
          <w:tcPr>
            <w:tcW w:w="996" w:type="dxa"/>
          </w:tcPr>
          <w:p w14:paraId="48152DE8" w14:textId="0877725F"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A208A">
              <w:t>348.12</w:t>
            </w:r>
          </w:p>
        </w:tc>
      </w:tr>
      <w:tr w:rsidR="00CD176C" w:rsidRPr="00CB7EFA" w14:paraId="03E89CD9" w14:textId="77777777" w:rsidTr="00E9603A">
        <w:tc>
          <w:tcPr>
            <w:cnfStyle w:val="001000000000" w:firstRow="0" w:lastRow="0" w:firstColumn="1" w:lastColumn="0" w:oddVBand="0" w:evenVBand="0" w:oddHBand="0" w:evenHBand="0" w:firstRowFirstColumn="0" w:firstRowLastColumn="0" w:lastRowFirstColumn="0" w:lastRowLastColumn="0"/>
            <w:tcW w:w="1980" w:type="dxa"/>
          </w:tcPr>
          <w:p w14:paraId="5BB965C7" w14:textId="3119F2C6" w:rsidR="00CD176C" w:rsidRPr="00443BF1" w:rsidRDefault="00CD176C" w:rsidP="00E9603A">
            <w:pPr>
              <w:pStyle w:val="SDMTableBoxParaNotNumbered"/>
              <w:rPr>
                <w:b w:val="0"/>
                <w:bCs/>
              </w:rPr>
            </w:pPr>
            <w:r w:rsidRPr="00443BF1">
              <w:rPr>
                <w:bCs/>
              </w:rPr>
              <w:t>2029</w:t>
            </w:r>
          </w:p>
        </w:tc>
        <w:tc>
          <w:tcPr>
            <w:tcW w:w="1417" w:type="dxa"/>
          </w:tcPr>
          <w:p w14:paraId="728258EF" w14:textId="507E9462"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396.74</w:t>
            </w:r>
          </w:p>
        </w:tc>
        <w:tc>
          <w:tcPr>
            <w:tcW w:w="879" w:type="dxa"/>
            <w:vMerge/>
          </w:tcPr>
          <w:p w14:paraId="57D2D1AB" w14:textId="7777777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50" w:type="dxa"/>
          </w:tcPr>
          <w:p w14:paraId="5C70695B" w14:textId="696B6CA4"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0.01</w:t>
            </w:r>
          </w:p>
        </w:tc>
        <w:tc>
          <w:tcPr>
            <w:tcW w:w="839" w:type="dxa"/>
          </w:tcPr>
          <w:p w14:paraId="20E7BEE5" w14:textId="5933D061"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92</w:t>
            </w:r>
          </w:p>
        </w:tc>
        <w:tc>
          <w:tcPr>
            <w:tcW w:w="839" w:type="dxa"/>
          </w:tcPr>
          <w:p w14:paraId="5D3B59FD" w14:textId="33CDFC4B"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365</w:t>
            </w:r>
          </w:p>
        </w:tc>
        <w:tc>
          <w:tcPr>
            <w:tcW w:w="918" w:type="dxa"/>
          </w:tcPr>
          <w:p w14:paraId="1E7DC975" w14:textId="4615C683"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16350">
              <w:t>13.25</w:t>
            </w:r>
          </w:p>
        </w:tc>
        <w:tc>
          <w:tcPr>
            <w:tcW w:w="996" w:type="dxa"/>
          </w:tcPr>
          <w:p w14:paraId="0D9ABA45" w14:textId="4ABF0C21"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A208A">
              <w:t>344.16</w:t>
            </w:r>
          </w:p>
        </w:tc>
      </w:tr>
      <w:tr w:rsidR="00CD176C" w:rsidRPr="00CB7EFA" w14:paraId="619B66A7" w14:textId="77777777" w:rsidTr="00E9603A">
        <w:tc>
          <w:tcPr>
            <w:cnfStyle w:val="001000000000" w:firstRow="0" w:lastRow="0" w:firstColumn="1" w:lastColumn="0" w:oddVBand="0" w:evenVBand="0" w:oddHBand="0" w:evenHBand="0" w:firstRowFirstColumn="0" w:firstRowLastColumn="0" w:lastRowFirstColumn="0" w:lastRowLastColumn="0"/>
            <w:tcW w:w="1980" w:type="dxa"/>
          </w:tcPr>
          <w:p w14:paraId="0DD5D1A7" w14:textId="2D9127EE" w:rsidR="00CD176C" w:rsidRPr="00443BF1" w:rsidRDefault="00CD176C" w:rsidP="00E9603A">
            <w:pPr>
              <w:pStyle w:val="SDMTableBoxParaNotNumbered"/>
              <w:rPr>
                <w:b w:val="0"/>
                <w:bCs/>
              </w:rPr>
            </w:pPr>
            <w:r w:rsidRPr="00443BF1">
              <w:rPr>
                <w:bCs/>
              </w:rPr>
              <w:t>2030</w:t>
            </w:r>
            <w:r w:rsidR="00E15E00">
              <w:rPr>
                <w:bCs/>
              </w:rPr>
              <w:br/>
            </w:r>
            <w:r w:rsidRPr="00443BF1">
              <w:rPr>
                <w:bCs/>
              </w:rPr>
              <w:t>(01/01/2030 – 30/09/2030)</w:t>
            </w:r>
          </w:p>
        </w:tc>
        <w:tc>
          <w:tcPr>
            <w:tcW w:w="1417" w:type="dxa"/>
          </w:tcPr>
          <w:p w14:paraId="5ED8BC92" w14:textId="230F63EC"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t>296.74</w:t>
            </w:r>
          </w:p>
        </w:tc>
        <w:tc>
          <w:tcPr>
            <w:tcW w:w="879" w:type="dxa"/>
            <w:vMerge/>
          </w:tcPr>
          <w:p w14:paraId="22811560" w14:textId="7777777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50" w:type="dxa"/>
          </w:tcPr>
          <w:p w14:paraId="30869E09" w14:textId="1E4123EF"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0.01</w:t>
            </w:r>
          </w:p>
        </w:tc>
        <w:tc>
          <w:tcPr>
            <w:tcW w:w="839" w:type="dxa"/>
          </w:tcPr>
          <w:p w14:paraId="2F641D8D" w14:textId="440C56CC"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92</w:t>
            </w:r>
          </w:p>
        </w:tc>
        <w:tc>
          <w:tcPr>
            <w:tcW w:w="839" w:type="dxa"/>
          </w:tcPr>
          <w:p w14:paraId="65CF4C96" w14:textId="286ABB2F"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365</w:t>
            </w:r>
          </w:p>
        </w:tc>
        <w:tc>
          <w:tcPr>
            <w:tcW w:w="918" w:type="dxa"/>
          </w:tcPr>
          <w:p w14:paraId="79E5CAC0" w14:textId="4C6D5C1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16350">
              <w:t>14.00</w:t>
            </w:r>
          </w:p>
        </w:tc>
        <w:tc>
          <w:tcPr>
            <w:tcW w:w="996" w:type="dxa"/>
          </w:tcPr>
          <w:p w14:paraId="3BC72320" w14:textId="6F9C8684"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A208A">
              <w:t>255.20</w:t>
            </w:r>
          </w:p>
        </w:tc>
      </w:tr>
      <w:tr w:rsidR="00CD176C" w:rsidRPr="00CB7EFA" w14:paraId="4A311709" w14:textId="77777777" w:rsidTr="00E9603A">
        <w:tc>
          <w:tcPr>
            <w:cnfStyle w:val="001000000000" w:firstRow="0" w:lastRow="0" w:firstColumn="1" w:lastColumn="0" w:oddVBand="0" w:evenVBand="0" w:oddHBand="0" w:evenHBand="0" w:firstRowFirstColumn="0" w:firstRowLastColumn="0" w:lastRowFirstColumn="0" w:lastRowLastColumn="0"/>
            <w:tcW w:w="1980" w:type="dxa"/>
          </w:tcPr>
          <w:p w14:paraId="21BE0151" w14:textId="7C5A59CC" w:rsidR="00CD176C" w:rsidRPr="00443BF1" w:rsidRDefault="00CD176C" w:rsidP="00E9603A">
            <w:pPr>
              <w:pStyle w:val="SDMTableBoxParaNotNumbered"/>
              <w:rPr>
                <w:b w:val="0"/>
                <w:bCs/>
              </w:rPr>
            </w:pPr>
            <w:r w:rsidRPr="00443BF1">
              <w:rPr>
                <w:bCs/>
              </w:rPr>
              <w:t>2025</w:t>
            </w:r>
            <w:r w:rsidR="00E15E00">
              <w:rPr>
                <w:bCs/>
              </w:rPr>
              <w:br/>
            </w:r>
            <w:r w:rsidRPr="00443BF1">
              <w:rPr>
                <w:bCs/>
              </w:rPr>
              <w:t>(01/10/2025 – 31/12/2025)</w:t>
            </w:r>
          </w:p>
        </w:tc>
        <w:tc>
          <w:tcPr>
            <w:tcW w:w="1417" w:type="dxa"/>
          </w:tcPr>
          <w:p w14:paraId="11454271" w14:textId="207912ED"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100</w:t>
            </w:r>
          </w:p>
        </w:tc>
        <w:tc>
          <w:tcPr>
            <w:tcW w:w="879" w:type="dxa"/>
            <w:vMerge/>
          </w:tcPr>
          <w:p w14:paraId="3916F4AC" w14:textId="77777777"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p>
        </w:tc>
        <w:tc>
          <w:tcPr>
            <w:tcW w:w="750" w:type="dxa"/>
          </w:tcPr>
          <w:p w14:paraId="34B372F8" w14:textId="62E173FB"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w:t>
            </w:r>
          </w:p>
        </w:tc>
        <w:tc>
          <w:tcPr>
            <w:tcW w:w="839" w:type="dxa"/>
          </w:tcPr>
          <w:p w14:paraId="45F31246" w14:textId="7E2B521A"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w:t>
            </w:r>
          </w:p>
        </w:tc>
        <w:tc>
          <w:tcPr>
            <w:tcW w:w="839" w:type="dxa"/>
          </w:tcPr>
          <w:p w14:paraId="3592506F" w14:textId="5EF99B31"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52394E">
              <w:t>-</w:t>
            </w:r>
          </w:p>
        </w:tc>
        <w:tc>
          <w:tcPr>
            <w:tcW w:w="918" w:type="dxa"/>
          </w:tcPr>
          <w:p w14:paraId="19ED0BD7" w14:textId="1A72C9A8"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16350">
              <w:t>10</w:t>
            </w:r>
          </w:p>
        </w:tc>
        <w:tc>
          <w:tcPr>
            <w:tcW w:w="996" w:type="dxa"/>
          </w:tcPr>
          <w:p w14:paraId="29129D81" w14:textId="7055D7CC" w:rsidR="00CD176C" w:rsidRPr="00CB7EFA" w:rsidRDefault="00CD176C" w:rsidP="00E9603A">
            <w:pPr>
              <w:pStyle w:val="SDMTableBoxParaNotNumbered"/>
              <w:cnfStyle w:val="000000000000" w:firstRow="0" w:lastRow="0" w:firstColumn="0" w:lastColumn="0" w:oddVBand="0" w:evenVBand="0" w:oddHBand="0" w:evenHBand="0" w:firstRowFirstColumn="0" w:firstRowLastColumn="0" w:lastRowFirstColumn="0" w:lastRowLastColumn="0"/>
            </w:pPr>
            <w:r w:rsidRPr="009A208A">
              <w:t>90.00</w:t>
            </w:r>
          </w:p>
        </w:tc>
      </w:tr>
    </w:tbl>
    <w:p w14:paraId="1D3F748B" w14:textId="5D22A132" w:rsidR="00C55B23" w:rsidRDefault="00B87602" w:rsidP="00B87602">
      <w:pPr>
        <w:spacing w:before="240"/>
        <w:jc w:val="center"/>
        <w:rPr>
          <w:rFonts w:cs="Arial"/>
        </w:rPr>
      </w:pPr>
      <w:r>
        <w:rPr>
          <w:rFonts w:cs="Arial"/>
        </w:rPr>
        <w:t>- - - - -</w:t>
      </w:r>
    </w:p>
    <w:p w14:paraId="6C30A6BA" w14:textId="77777777" w:rsidR="002454C9" w:rsidRPr="00CB7EFA" w:rsidRDefault="002454C9" w:rsidP="00D3272F">
      <w:pPr>
        <w:pStyle w:val="SDMDocInfoTitle"/>
        <w:keepLines w:val="0"/>
      </w:pPr>
      <w:r w:rsidRPr="00CB7EFA">
        <w:t>Document information</w:t>
      </w:r>
    </w:p>
    <w:tbl>
      <w:tblPr>
        <w:tblW w:w="5000" w:type="pct"/>
        <w:jc w:val="center"/>
        <w:tblLayout w:type="fixed"/>
        <w:tblLook w:val="0000" w:firstRow="0" w:lastRow="0" w:firstColumn="0" w:lastColumn="0" w:noHBand="0" w:noVBand="0"/>
      </w:tblPr>
      <w:tblGrid>
        <w:gridCol w:w="1105"/>
        <w:gridCol w:w="2204"/>
        <w:gridCol w:w="6046"/>
      </w:tblGrid>
      <w:tr w:rsidR="002454C9" w:rsidRPr="00CB7EFA" w14:paraId="55538164" w14:textId="77777777" w:rsidTr="00C167D3">
        <w:trPr>
          <w:cantSplit/>
          <w:trHeight w:val="113"/>
          <w:tblHeader/>
          <w:jc w:val="center"/>
        </w:trPr>
        <w:tc>
          <w:tcPr>
            <w:tcW w:w="1105" w:type="dxa"/>
            <w:tcBorders>
              <w:top w:val="single" w:sz="4" w:space="0" w:color="auto"/>
              <w:bottom w:val="single" w:sz="12" w:space="0" w:color="auto"/>
            </w:tcBorders>
            <w:tcMar>
              <w:top w:w="80" w:type="dxa"/>
              <w:bottom w:w="80" w:type="dxa"/>
            </w:tcMar>
            <w:vAlign w:val="center"/>
          </w:tcPr>
          <w:p w14:paraId="217926CE" w14:textId="77777777" w:rsidR="002454C9" w:rsidRPr="00CB7EFA" w:rsidRDefault="002454C9" w:rsidP="00D3272F">
            <w:pPr>
              <w:pStyle w:val="SDMDocInfoHeadRow"/>
              <w:keepNext w:val="0"/>
              <w:keepLines w:val="0"/>
            </w:pPr>
            <w:r w:rsidRPr="00CB7EFA">
              <w:t>Version</w:t>
            </w:r>
          </w:p>
        </w:tc>
        <w:tc>
          <w:tcPr>
            <w:tcW w:w="2204" w:type="dxa"/>
            <w:tcBorders>
              <w:top w:val="single" w:sz="4" w:space="0" w:color="auto"/>
              <w:bottom w:val="single" w:sz="12" w:space="0" w:color="auto"/>
            </w:tcBorders>
            <w:tcMar>
              <w:top w:w="80" w:type="dxa"/>
              <w:bottom w:w="80" w:type="dxa"/>
            </w:tcMar>
            <w:vAlign w:val="center"/>
          </w:tcPr>
          <w:p w14:paraId="3FD282C7" w14:textId="77777777" w:rsidR="002454C9" w:rsidRPr="00CB7EFA" w:rsidRDefault="002454C9" w:rsidP="00796092">
            <w:pPr>
              <w:pStyle w:val="SDMDocInfoHeadRow"/>
            </w:pPr>
            <w:r w:rsidRPr="00CB7EFA">
              <w:t>Date</w:t>
            </w:r>
          </w:p>
        </w:tc>
        <w:tc>
          <w:tcPr>
            <w:tcW w:w="6046" w:type="dxa"/>
            <w:tcBorders>
              <w:top w:val="single" w:sz="4" w:space="0" w:color="auto"/>
              <w:bottom w:val="single" w:sz="12" w:space="0" w:color="auto"/>
            </w:tcBorders>
            <w:tcMar>
              <w:top w:w="80" w:type="dxa"/>
              <w:bottom w:w="80" w:type="dxa"/>
            </w:tcMar>
            <w:vAlign w:val="center"/>
          </w:tcPr>
          <w:p w14:paraId="09EFF340" w14:textId="77777777" w:rsidR="002454C9" w:rsidRPr="00CB7EFA" w:rsidRDefault="002454C9" w:rsidP="00796092">
            <w:pPr>
              <w:pStyle w:val="SDMDocInfoHeadRow"/>
            </w:pPr>
            <w:r w:rsidRPr="00CB7EFA">
              <w:t>Description</w:t>
            </w:r>
          </w:p>
        </w:tc>
      </w:tr>
      <w:tr w:rsidR="002454C9" w:rsidRPr="00CB7EFA" w14:paraId="7AD81DBF" w14:textId="77777777" w:rsidTr="00C167D3">
        <w:trPr>
          <w:cantSplit/>
          <w:trHeight w:val="113"/>
          <w:tblHeader/>
          <w:jc w:val="center"/>
        </w:trPr>
        <w:tc>
          <w:tcPr>
            <w:tcW w:w="9355" w:type="dxa"/>
            <w:gridSpan w:val="3"/>
            <w:tcBorders>
              <w:top w:val="single" w:sz="12" w:space="0" w:color="auto"/>
            </w:tcBorders>
          </w:tcPr>
          <w:p w14:paraId="7F97BA6E" w14:textId="77777777" w:rsidR="002454C9" w:rsidRPr="00CB7EFA" w:rsidRDefault="002454C9" w:rsidP="00D3272F">
            <w:pPr>
              <w:pStyle w:val="SDMDocInfoHeadRow"/>
              <w:keepLines w:val="0"/>
            </w:pPr>
          </w:p>
        </w:tc>
      </w:tr>
      <w:tr w:rsidR="009222F3" w:rsidRPr="00CB7EFA" w14:paraId="030CCA91" w14:textId="77777777" w:rsidTr="00C167D3">
        <w:trPr>
          <w:cantSplit/>
          <w:trHeight w:val="113"/>
          <w:jc w:val="center"/>
        </w:trPr>
        <w:tc>
          <w:tcPr>
            <w:tcW w:w="1105" w:type="dxa"/>
            <w:tcBorders>
              <w:bottom w:val="single" w:sz="4" w:space="0" w:color="auto"/>
            </w:tcBorders>
          </w:tcPr>
          <w:p w14:paraId="519401E6" w14:textId="090BD273" w:rsidR="009222F3" w:rsidRPr="00CB7EFA" w:rsidRDefault="00E32D01" w:rsidP="00E32D01">
            <w:pPr>
              <w:pStyle w:val="SDMDocInfoText"/>
            </w:pPr>
            <w:r w:rsidRPr="00E32D01">
              <w:t>01.0</w:t>
            </w:r>
          </w:p>
        </w:tc>
        <w:tc>
          <w:tcPr>
            <w:tcW w:w="2204" w:type="dxa"/>
            <w:tcBorders>
              <w:bottom w:val="single" w:sz="4" w:space="0" w:color="auto"/>
            </w:tcBorders>
          </w:tcPr>
          <w:p w14:paraId="3619B5D0" w14:textId="1E64F5DD" w:rsidR="009222F3" w:rsidRPr="00CB7EFA" w:rsidRDefault="004B2DB1" w:rsidP="00AA0087">
            <w:pPr>
              <w:pStyle w:val="SDMDocInfoText"/>
            </w:pPr>
            <w:r>
              <w:t>30</w:t>
            </w:r>
            <w:r w:rsidR="00AA0087" w:rsidRPr="00AA0087">
              <w:t xml:space="preserve"> </w:t>
            </w:r>
            <w:r>
              <w:t>July</w:t>
            </w:r>
            <w:r w:rsidR="00AA0087" w:rsidRPr="00AA0087">
              <w:t xml:space="preserve"> 2026</w:t>
            </w:r>
          </w:p>
        </w:tc>
        <w:tc>
          <w:tcPr>
            <w:tcW w:w="6046" w:type="dxa"/>
            <w:tcBorders>
              <w:bottom w:val="single" w:sz="4" w:space="0" w:color="auto"/>
            </w:tcBorders>
          </w:tcPr>
          <w:p w14:paraId="1360C907" w14:textId="219588B4" w:rsidR="009222F3" w:rsidRPr="00CB7EFA" w:rsidRDefault="006F423F" w:rsidP="00E9603A">
            <w:pPr>
              <w:pStyle w:val="SDMDocInfoText"/>
            </w:pPr>
            <w:r>
              <w:t>SBM 022, Annex </w:t>
            </w:r>
            <w:r w:rsidR="001D2D2E">
              <w:t>3</w:t>
            </w:r>
            <w:r>
              <w:t>.</w:t>
            </w:r>
            <w:r w:rsidR="00E9603A">
              <w:br/>
            </w:r>
            <w:r>
              <w:t>Initial adoption.</w:t>
            </w:r>
          </w:p>
        </w:tc>
      </w:tr>
      <w:tr w:rsidR="00777A90" w:rsidRPr="0056518A" w14:paraId="5A23C4C0" w14:textId="77777777" w:rsidTr="00C167D3">
        <w:trPr>
          <w:cantSplit/>
          <w:trHeight w:val="113"/>
          <w:jc w:val="center"/>
        </w:trPr>
        <w:tc>
          <w:tcPr>
            <w:tcW w:w="9355" w:type="dxa"/>
            <w:gridSpan w:val="3"/>
            <w:tcBorders>
              <w:top w:val="single" w:sz="4" w:space="0" w:color="auto"/>
              <w:bottom w:val="single" w:sz="12" w:space="0" w:color="auto"/>
            </w:tcBorders>
            <w:vAlign w:val="center"/>
          </w:tcPr>
          <w:p w14:paraId="69576DFF" w14:textId="1803796B" w:rsidR="00777A90" w:rsidRPr="00CB7EFA" w:rsidRDefault="00F94448" w:rsidP="00995734">
            <w:pPr>
              <w:pStyle w:val="SDMDocInfoText"/>
              <w:jc w:val="left"/>
            </w:pPr>
            <w:r w:rsidRPr="00CB7EFA">
              <w:t>Decision Class: Regulatory</w:t>
            </w:r>
            <w:r w:rsidRPr="00CB7EFA">
              <w:br/>
              <w:t>Document Type: Standard</w:t>
            </w:r>
            <w:r w:rsidRPr="00CB7EFA">
              <w:br/>
              <w:t>Business Function: Methodology</w:t>
            </w:r>
            <w:r w:rsidRPr="00CB7EFA">
              <w:br/>
              <w:t xml:space="preserve">Keywords: </w:t>
            </w:r>
            <w:r w:rsidR="00E76EF5" w:rsidRPr="00E76EF5">
              <w:t> A6.4 mechanism, electricity generation, electric power transmission, methodologies, renewable energy generation</w:t>
            </w:r>
            <w:r w:rsidR="00E9603A">
              <w:t>.</w:t>
            </w:r>
          </w:p>
        </w:tc>
      </w:tr>
    </w:tbl>
    <w:p w14:paraId="293FCFEB" w14:textId="77777777" w:rsidR="00235FD4" w:rsidRDefault="00235FD4" w:rsidP="00ED7CB5">
      <w:pPr>
        <w:rPr>
          <w:sz w:val="2"/>
          <w:szCs w:val="2"/>
        </w:rPr>
      </w:pPr>
    </w:p>
    <w:sectPr w:rsidR="00235FD4" w:rsidSect="00E171DA">
      <w:headerReference w:type="default" r:id="rId25"/>
      <w:pgSz w:w="11907" w:h="16840" w:code="9"/>
      <w:pgMar w:top="2552" w:right="1134" w:bottom="1418" w:left="1418" w:header="851"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001A0" w14:textId="77777777" w:rsidR="0039641B" w:rsidRDefault="0039641B">
      <w:r>
        <w:separator/>
      </w:r>
    </w:p>
  </w:endnote>
  <w:endnote w:type="continuationSeparator" w:id="0">
    <w:p w14:paraId="4D288CE0" w14:textId="77777777" w:rsidR="0039641B" w:rsidRDefault="0039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A226" w14:textId="77777777" w:rsidR="008011CA" w:rsidRPr="00F306F1" w:rsidRDefault="008011CA" w:rsidP="00F306F1">
    <w:pPr>
      <w:pStyle w:val="SDMFooter"/>
    </w:pPr>
    <w:r w:rsidRPr="00F306F1">
      <w:fldChar w:fldCharType="begin"/>
    </w:r>
    <w:r w:rsidRPr="00F306F1">
      <w:instrText xml:space="preserve"> PAGE </w:instrText>
    </w:r>
    <w:r w:rsidRPr="00F306F1">
      <w:fldChar w:fldCharType="separate"/>
    </w:r>
    <w:r>
      <w:rPr>
        <w:noProof/>
      </w:rPr>
      <w:t>4</w:t>
    </w:r>
    <w:r w:rsidRPr="00F306F1">
      <w:fldChar w:fldCharType="end"/>
    </w:r>
    <w:r w:rsidRPr="00F306F1">
      <w:t xml:space="preserve"> of </w:t>
    </w:r>
    <w:fldSimple w:instr=" NUMPAGES ">
      <w:r>
        <w:rPr>
          <w:noProof/>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1B49" w14:textId="77777777" w:rsidR="008011CA" w:rsidRPr="00F306F1" w:rsidRDefault="008011CA" w:rsidP="00F306F1">
    <w:pPr>
      <w:pStyle w:val="SDMFooter"/>
    </w:pPr>
    <w:r w:rsidRPr="00F306F1">
      <w:fldChar w:fldCharType="begin"/>
    </w:r>
    <w:r w:rsidRPr="00F306F1">
      <w:instrText xml:space="preserve"> PAGE </w:instrText>
    </w:r>
    <w:r w:rsidRPr="00F306F1">
      <w:fldChar w:fldCharType="separate"/>
    </w:r>
    <w:r>
      <w:rPr>
        <w:noProof/>
      </w:rPr>
      <w:t>10</w:t>
    </w:r>
    <w:r w:rsidRPr="00F306F1">
      <w:fldChar w:fldCharType="end"/>
    </w:r>
    <w:r w:rsidRPr="00F306F1">
      <w:t xml:space="preserve"> of </w:t>
    </w:r>
    <w:fldSimple w:instr=" NUMPAGES ">
      <w:r>
        <w:rPr>
          <w:noProof/>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FD0E" w14:textId="77777777" w:rsidR="0097032E" w:rsidRPr="00F306F1" w:rsidRDefault="0097032E" w:rsidP="00690A70">
    <w:pPr>
      <w:pStyle w:val="SDMFooter"/>
    </w:pPr>
    <w:r w:rsidRPr="00F306F1">
      <w:fldChar w:fldCharType="begin"/>
    </w:r>
    <w:r w:rsidRPr="00F306F1">
      <w:instrText xml:space="preserve"> PAGE </w:instrText>
    </w:r>
    <w:r w:rsidRPr="00F306F1">
      <w:fldChar w:fldCharType="separate"/>
    </w:r>
    <w:r>
      <w:rPr>
        <w:noProof/>
      </w:rPr>
      <w:t>5</w:t>
    </w:r>
    <w:r w:rsidRPr="00F306F1">
      <w:fldChar w:fldCharType="end"/>
    </w:r>
    <w:r w:rsidRPr="00F306F1">
      <w:t xml:space="preserve"> of </w:t>
    </w:r>
    <w:fldSimple w:instr=" NUMPAGES ">
      <w:r>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A4A6B" w14:textId="77777777" w:rsidR="0039641B" w:rsidRDefault="0039641B">
      <w:r>
        <w:separator/>
      </w:r>
    </w:p>
  </w:footnote>
  <w:footnote w:type="continuationSeparator" w:id="0">
    <w:p w14:paraId="094712B8" w14:textId="77777777" w:rsidR="0039641B" w:rsidRDefault="0039641B">
      <w:r>
        <w:continuationSeparator/>
      </w:r>
    </w:p>
  </w:footnote>
  <w:footnote w:id="1">
    <w:p w14:paraId="4F7112F8" w14:textId="02F5B21C" w:rsidR="00F94448" w:rsidRDefault="00F94448">
      <w:pPr>
        <w:pStyle w:val="FootnoteText"/>
      </w:pPr>
      <w:r>
        <w:rPr>
          <w:rStyle w:val="FootnoteReference"/>
        </w:rPr>
        <w:footnoteRef/>
      </w:r>
      <w:r w:rsidR="00565242">
        <w:tab/>
      </w:r>
      <w:r w:rsidRPr="00F94448">
        <w:t xml:space="preserve">See </w:t>
      </w:r>
      <w:hyperlink r:id="rId1" w:history="1">
        <w:r w:rsidRPr="00A9383B">
          <w:rPr>
            <w:rStyle w:val="Hyperlink"/>
          </w:rPr>
          <w:t>https://unfccc.int/sites/default/files/resource/A6.4-PROC-METH-001.pdf</w:t>
        </w:r>
      </w:hyperlink>
      <w:r>
        <w:t>.</w:t>
      </w:r>
    </w:p>
  </w:footnote>
  <w:footnote w:id="2">
    <w:p w14:paraId="34272FCD" w14:textId="77777777" w:rsidR="00E84033" w:rsidRDefault="00E84033" w:rsidP="00E84033">
      <w:pPr>
        <w:pStyle w:val="FootnoteText"/>
      </w:pPr>
      <w:r>
        <w:rPr>
          <w:rStyle w:val="FootnoteReference"/>
        </w:rPr>
        <w:footnoteRef/>
      </w:r>
      <w:r>
        <w:rPr>
          <w:lang w:val="en-US"/>
        </w:rPr>
        <w:tab/>
      </w:r>
      <w:r w:rsidRPr="00265A4E">
        <w:rPr>
          <w:lang w:val="en-US"/>
        </w:rPr>
        <w:t xml:space="preserve">This definition is informed by the discussion on page 451 of </w:t>
      </w:r>
      <w:r>
        <w:rPr>
          <w:lang w:val="en-US"/>
        </w:rPr>
        <w:t xml:space="preserve">the </w:t>
      </w:r>
      <w:r w:rsidRPr="00051917">
        <w:rPr>
          <w:i/>
          <w:iCs/>
          <w:lang w:val="en-US"/>
        </w:rPr>
        <w:t>Special Report on Renewable Energy Sources and Climate Change Mitigation</w:t>
      </w:r>
      <w:r w:rsidRPr="00684A1D">
        <w:rPr>
          <w:lang w:val="en-US"/>
        </w:rPr>
        <w:t xml:space="preserve"> (</w:t>
      </w:r>
      <w:r>
        <w:rPr>
          <w:lang w:val="en-US"/>
        </w:rPr>
        <w:t>IPCC, 2011</w:t>
      </w:r>
      <w:r w:rsidRPr="00684A1D">
        <w:rPr>
          <w:lang w:val="en-US"/>
        </w:rPr>
        <w:t>)</w:t>
      </w:r>
      <w:r>
        <w:rPr>
          <w:lang w:val="en-US"/>
        </w:rPr>
        <w:t>.</w:t>
      </w:r>
    </w:p>
  </w:footnote>
  <w:footnote w:id="3">
    <w:p w14:paraId="36FAE466" w14:textId="756EDDF0" w:rsidR="00F94448" w:rsidRDefault="00F94448">
      <w:pPr>
        <w:pStyle w:val="FootnoteText"/>
      </w:pPr>
      <w:r>
        <w:rPr>
          <w:rStyle w:val="FootnoteReference"/>
        </w:rPr>
        <w:footnoteRef/>
      </w:r>
      <w:r w:rsidR="00565242">
        <w:tab/>
      </w:r>
      <w:r w:rsidRPr="00F94448">
        <w:t xml:space="preserve">See </w:t>
      </w:r>
      <w:hyperlink r:id="rId2" w:history="1">
        <w:r w:rsidRPr="00A9383B">
          <w:rPr>
            <w:rStyle w:val="Hyperlink"/>
          </w:rPr>
          <w:t>https://unfccc.int/sites/default/files/resource/A6.4-Glossary.pdf</w:t>
        </w:r>
      </w:hyperlink>
      <w:r>
        <w:t>.</w:t>
      </w:r>
    </w:p>
  </w:footnote>
  <w:footnote w:id="4">
    <w:p w14:paraId="3FE7FAA8" w14:textId="2CDBBB15" w:rsidR="00E84033" w:rsidRDefault="00E84033" w:rsidP="00E84033">
      <w:pPr>
        <w:pStyle w:val="FootnoteText"/>
        <w:jc w:val="left"/>
      </w:pPr>
      <w:r>
        <w:rPr>
          <w:rStyle w:val="FootnoteReference"/>
        </w:rPr>
        <w:footnoteRef/>
      </w:r>
      <w:r>
        <w:rPr>
          <w:lang w:val="en-US"/>
        </w:rPr>
        <w:tab/>
        <w:t xml:space="preserve">See </w:t>
      </w:r>
      <w:hyperlink r:id="rId3" w:history="1">
        <w:r w:rsidRPr="00D62C05">
          <w:rPr>
            <w:rStyle w:val="Hyperlink"/>
            <w:lang w:val="en-US"/>
          </w:rPr>
          <w:t>https://cdm.unfccc.int/methodologies/DB/XB1TX7TAZ6SLWM9B7BC67THHVD16JV</w:t>
        </w:r>
      </w:hyperlink>
      <w:r w:rsidRPr="004E7393">
        <w:rPr>
          <w:rStyle w:val="Hyperlink"/>
          <w:u w:val="none"/>
          <w:lang w:val="en-US"/>
        </w:rPr>
        <w:t>.</w:t>
      </w:r>
    </w:p>
  </w:footnote>
  <w:footnote w:id="5">
    <w:p w14:paraId="4187D007" w14:textId="43CB00E2" w:rsidR="00E84033" w:rsidRDefault="00E84033" w:rsidP="00E84033">
      <w:pPr>
        <w:pStyle w:val="FootnoteText"/>
        <w:ind w:right="-143"/>
        <w:jc w:val="left"/>
      </w:pPr>
      <w:r>
        <w:rPr>
          <w:rStyle w:val="FootnoteReference"/>
        </w:rPr>
        <w:footnoteRef/>
      </w:r>
      <w:r>
        <w:rPr>
          <w:lang w:val="en-US"/>
        </w:rPr>
        <w:tab/>
        <w:t xml:space="preserve">See </w:t>
      </w:r>
      <w:hyperlink r:id="rId4" w:history="1">
        <w:r w:rsidRPr="004717B7">
          <w:rPr>
            <w:rStyle w:val="Hyperlink"/>
            <w:lang w:val="en-US"/>
          </w:rPr>
          <w:t>https://cdm.unfccc.int/methodologies/DB/W3TINZ7KKWCK7L8WTXFQQOFQQH4SBK</w:t>
        </w:r>
      </w:hyperlink>
      <w:r w:rsidRPr="004E7393">
        <w:rPr>
          <w:rStyle w:val="Hyperlink"/>
          <w:u w:val="none"/>
          <w:lang w:val="en-US"/>
        </w:rPr>
        <w:t>.</w:t>
      </w:r>
    </w:p>
  </w:footnote>
  <w:footnote w:id="6">
    <w:p w14:paraId="39CA5798" w14:textId="0157E584" w:rsidR="00E84033" w:rsidRDefault="00E84033" w:rsidP="00E84033">
      <w:pPr>
        <w:pStyle w:val="FootnoteText"/>
        <w:jc w:val="left"/>
      </w:pPr>
      <w:r>
        <w:rPr>
          <w:rStyle w:val="FootnoteReference"/>
        </w:rPr>
        <w:footnoteRef/>
      </w:r>
      <w:r>
        <w:rPr>
          <w:lang w:val="en-US"/>
        </w:rPr>
        <w:tab/>
        <w:t xml:space="preserve">See </w:t>
      </w:r>
      <w:hyperlink r:id="rId5" w:history="1">
        <w:r w:rsidRPr="00D62C05">
          <w:rPr>
            <w:rStyle w:val="Hyperlink"/>
            <w:lang w:val="en-US"/>
          </w:rPr>
          <w:t>https://unfccc.int/process-and-meetings/the-paris-agreement/article-6/article-64-pacm/mechanism-process/methodologies/a64-amt-001</w:t>
        </w:r>
      </w:hyperlink>
      <w:r w:rsidRPr="004E7393">
        <w:rPr>
          <w:rStyle w:val="Hyperlink"/>
          <w:u w:val="none"/>
          <w:lang w:val="en-US"/>
        </w:rPr>
        <w:t>.</w:t>
      </w:r>
    </w:p>
  </w:footnote>
  <w:footnote w:id="7">
    <w:p w14:paraId="650E66BD" w14:textId="13430087" w:rsidR="00E84033" w:rsidRDefault="00E84033" w:rsidP="00E84033">
      <w:pPr>
        <w:pStyle w:val="FootnoteText"/>
        <w:jc w:val="left"/>
      </w:pPr>
      <w:r>
        <w:rPr>
          <w:rStyle w:val="FootnoteReference"/>
        </w:rPr>
        <w:footnoteRef/>
      </w:r>
      <w:r>
        <w:rPr>
          <w:lang w:val="en-US"/>
        </w:rPr>
        <w:tab/>
        <w:t xml:space="preserve">See </w:t>
      </w:r>
      <w:hyperlink r:id="rId6" w:history="1">
        <w:r w:rsidRPr="00D62C05">
          <w:rPr>
            <w:rStyle w:val="Hyperlink"/>
            <w:lang w:val="en-US"/>
          </w:rPr>
          <w:t>https://unfccc.int/process-and-meetings/the-paris-agreement/article-6/article-64-pacm/mechanism-process/methodologies/a64-amt-002</w:t>
        </w:r>
      </w:hyperlink>
      <w:r w:rsidRPr="004E7393">
        <w:rPr>
          <w:rStyle w:val="Hyperlink"/>
          <w:u w:val="none"/>
          <w:lang w:val="en-US"/>
        </w:rPr>
        <w:t>.</w:t>
      </w:r>
    </w:p>
  </w:footnote>
  <w:footnote w:id="8">
    <w:p w14:paraId="0E16F79C" w14:textId="71C25201" w:rsidR="00E84033" w:rsidRDefault="00E84033" w:rsidP="00E84033">
      <w:pPr>
        <w:pStyle w:val="FootnoteText"/>
        <w:jc w:val="left"/>
      </w:pPr>
      <w:r>
        <w:rPr>
          <w:rStyle w:val="FootnoteReference"/>
        </w:rPr>
        <w:footnoteRef/>
      </w:r>
      <w:r>
        <w:rPr>
          <w:lang w:val="en-US"/>
        </w:rPr>
        <w:tab/>
        <w:t xml:space="preserve">See </w:t>
      </w:r>
      <w:hyperlink r:id="rId7" w:history="1">
        <w:r w:rsidRPr="00D62C05">
          <w:rPr>
            <w:rStyle w:val="Hyperlink"/>
            <w:lang w:val="en-US"/>
          </w:rPr>
          <w:t>https://unfccc.int/process-and-meetings/the-paris-agreement/article-6/article-64-pacm/mechanism-process/methodologies/a64-amt-007-emissions-from-electricity-generation-and-consumption</w:t>
        </w:r>
      </w:hyperlink>
      <w:r w:rsidRPr="004E7393">
        <w:rPr>
          <w:rStyle w:val="Hyperlink"/>
          <w:u w:val="none"/>
          <w:lang w:val="en-US"/>
        </w:rPr>
        <w:t>.</w:t>
      </w:r>
    </w:p>
  </w:footnote>
  <w:footnote w:id="9">
    <w:p w14:paraId="2225C57C" w14:textId="580A3390" w:rsidR="00E84033" w:rsidRDefault="00E84033" w:rsidP="00E84033">
      <w:pPr>
        <w:pStyle w:val="FootnoteText"/>
        <w:jc w:val="left"/>
      </w:pPr>
      <w:r>
        <w:rPr>
          <w:rStyle w:val="FootnoteReference"/>
        </w:rPr>
        <w:footnoteRef/>
      </w:r>
      <w:r>
        <w:rPr>
          <w:lang w:val="en-US"/>
        </w:rPr>
        <w:tab/>
        <w:t xml:space="preserve">See </w:t>
      </w:r>
      <w:hyperlink r:id="rId8" w:history="1">
        <w:r w:rsidRPr="002E2184">
          <w:rPr>
            <w:rStyle w:val="Hyperlink"/>
            <w:lang w:val="en-US"/>
          </w:rPr>
          <w:t>https://unfccc.int/process-and-meetings/the-paris-agreement/article-6/article-64-pacm/mechanism-process/methodologies/a64-amt-008</w:t>
        </w:r>
      </w:hyperlink>
      <w:r w:rsidR="00275DB9">
        <w:t>.</w:t>
      </w:r>
    </w:p>
  </w:footnote>
  <w:footnote w:id="10">
    <w:p w14:paraId="73EEE5FA" w14:textId="47CE0820" w:rsidR="00E84033" w:rsidRDefault="00E84033" w:rsidP="00E84033">
      <w:pPr>
        <w:pStyle w:val="FootnoteText"/>
        <w:jc w:val="left"/>
      </w:pPr>
      <w:r>
        <w:rPr>
          <w:rStyle w:val="FootnoteReference"/>
        </w:rPr>
        <w:footnoteRef/>
      </w:r>
      <w:r>
        <w:rPr>
          <w:lang w:val="en-US"/>
        </w:rPr>
        <w:tab/>
      </w:r>
      <w:r w:rsidRPr="00E0728F">
        <w:rPr>
          <w:lang w:val="en-US"/>
        </w:rPr>
        <w:t xml:space="preserve">See </w:t>
      </w:r>
      <w:hyperlink r:id="rId9" w:history="1">
        <w:r w:rsidRPr="00E0728F">
          <w:rPr>
            <w:rStyle w:val="Hyperlink"/>
            <w:lang w:val="en-US"/>
          </w:rPr>
          <w:t>https://archive.ipcc.ch/pdf/special-reports/srren/SRREN_Full_Report.pdf</w:t>
        </w:r>
      </w:hyperlink>
      <w:r w:rsidRPr="004E7393">
        <w:rPr>
          <w:rStyle w:val="Hyperlink"/>
          <w:u w:val="none"/>
          <w:lang w:val="en-US"/>
        </w:rPr>
        <w:t>.</w:t>
      </w:r>
    </w:p>
  </w:footnote>
  <w:footnote w:id="11">
    <w:p w14:paraId="2AE43D18" w14:textId="022811A0" w:rsidR="00E84033" w:rsidRDefault="00E84033" w:rsidP="00E84033">
      <w:pPr>
        <w:pStyle w:val="FootnoteText"/>
        <w:jc w:val="left"/>
      </w:pPr>
      <w:r>
        <w:rPr>
          <w:rStyle w:val="FootnoteReference"/>
        </w:rPr>
        <w:footnoteRef/>
      </w:r>
      <w:r>
        <w:rPr>
          <w:lang w:val="en-US"/>
        </w:rPr>
        <w:tab/>
        <w:t xml:space="preserve">See </w:t>
      </w:r>
      <w:hyperlink r:id="rId10" w:history="1">
        <w:r w:rsidRPr="00C91A61">
          <w:rPr>
            <w:rStyle w:val="Hyperlink"/>
            <w:lang w:val="en-US"/>
          </w:rPr>
          <w:t>https://www.ipcc-nggip.iges.or.jp/public/2006gl/vol2.html</w:t>
        </w:r>
      </w:hyperlink>
      <w:r w:rsidRPr="004E7393">
        <w:rPr>
          <w:rStyle w:val="Hyperlink"/>
          <w:u w:val="none"/>
          <w:lang w:val="en-US"/>
        </w:rPr>
        <w:t>.</w:t>
      </w:r>
    </w:p>
  </w:footnote>
  <w:footnote w:id="12">
    <w:p w14:paraId="110899EA" w14:textId="5C750B25" w:rsidR="00E84033" w:rsidRDefault="00E84033" w:rsidP="00E84033">
      <w:pPr>
        <w:pStyle w:val="FootnoteText"/>
        <w:jc w:val="left"/>
      </w:pPr>
      <w:r>
        <w:rPr>
          <w:rStyle w:val="FootnoteReference"/>
        </w:rPr>
        <w:footnoteRef/>
      </w:r>
      <w:r>
        <w:rPr>
          <w:lang w:val="en-US"/>
        </w:rPr>
        <w:tab/>
        <w:t xml:space="preserve">See </w:t>
      </w:r>
      <w:hyperlink r:id="rId11" w:history="1">
        <w:r w:rsidRPr="00C91A61">
          <w:rPr>
            <w:rStyle w:val="Hyperlink"/>
            <w:lang w:val="en-US"/>
          </w:rPr>
          <w:t>https://www.ipcc-nggip.iges.or.jp/public/2019rf/vol1.html</w:t>
        </w:r>
      </w:hyperlink>
      <w:r>
        <w:t>.</w:t>
      </w:r>
    </w:p>
  </w:footnote>
  <w:footnote w:id="13">
    <w:p w14:paraId="02633E9C" w14:textId="01732574" w:rsidR="009D1387" w:rsidRPr="00124FE5" w:rsidRDefault="009D1387" w:rsidP="009D1387">
      <w:pPr>
        <w:pStyle w:val="FootnoteText"/>
      </w:pPr>
      <w:r w:rsidRPr="00124FE5">
        <w:rPr>
          <w:rStyle w:val="FootnoteReference"/>
        </w:rPr>
        <w:footnoteRef/>
      </w:r>
      <w:r w:rsidRPr="00124FE5">
        <w:tab/>
        <w:t xml:space="preserve">This version of the mechanism methodology does not apply to activities at an existing power plant (e.g., capacity addition, retrofit, rehabilitation, or replacement), as it does not provide the procedures or requirements for establishing a baseline for such activities. </w:t>
      </w:r>
      <w:r w:rsidR="002505BD" w:rsidRPr="00124FE5">
        <w:t>The mechanism methodology may be revised in the future to include specific provisions for these types of activities. Activity participants are also encouraged to submit a revision to this mechanism methodology through the “Procedure: Development, revision and clarification of methodologies and methodological tools” (A6.4-PROC-METH-001)</w:t>
      </w:r>
      <w:r w:rsidR="0060084A">
        <w:t>.</w:t>
      </w:r>
    </w:p>
  </w:footnote>
  <w:footnote w:id="14">
    <w:p w14:paraId="47C7C3E6" w14:textId="262C59FE" w:rsidR="008A18E5" w:rsidRPr="00124FE5" w:rsidRDefault="008A18E5" w:rsidP="008A18E5">
      <w:pPr>
        <w:pStyle w:val="FootnoteText"/>
      </w:pPr>
      <w:r>
        <w:rPr>
          <w:rStyle w:val="FootnoteReference"/>
        </w:rPr>
        <w:footnoteRef/>
      </w:r>
      <w:r w:rsidR="00124FE5">
        <w:tab/>
      </w:r>
      <w:r w:rsidRPr="00124FE5">
        <w:t xml:space="preserve">The mechanism methodology may be revised in the future to include differentiation </w:t>
      </w:r>
      <w:r w:rsidRPr="00124FE5">
        <w:rPr>
          <w:lang w:val="en-US"/>
        </w:rPr>
        <w:t xml:space="preserve">between plants with and without co-located BESS in future revisions of the methodology. </w:t>
      </w:r>
      <w:r w:rsidRPr="00124FE5">
        <w:t>Activity participants are also encouraged to submit a revision to this mechanism methodology through the “Procedure: Development, revision and clarification of methodologies and methodological tools” (A6.4-PROC-METH-001).</w:t>
      </w:r>
    </w:p>
  </w:footnote>
  <w:footnote w:id="15">
    <w:p w14:paraId="0A1FE874" w14:textId="43D79EDA" w:rsidR="009D1387" w:rsidRPr="00CD0865" w:rsidRDefault="009D1387" w:rsidP="009D1387">
      <w:pPr>
        <w:pStyle w:val="FootnoteText"/>
      </w:pPr>
      <w:r>
        <w:rPr>
          <w:rStyle w:val="FootnoteReference"/>
        </w:rPr>
        <w:footnoteRef/>
      </w:r>
      <w:r>
        <w:rPr>
          <w:lang w:val="en-US"/>
        </w:rPr>
        <w:tab/>
      </w:r>
      <w:r w:rsidR="005C07AA" w:rsidRPr="00265A4E">
        <w:rPr>
          <w:lang w:val="en-US"/>
        </w:rPr>
        <w:t>These conditions are introduced because this version of the methodology does not include provisions to estimate carbon dioxide, methane</w:t>
      </w:r>
      <w:r w:rsidR="005C07AA">
        <w:rPr>
          <w:lang w:val="en-US"/>
        </w:rPr>
        <w:t>,</w:t>
      </w:r>
      <w:r w:rsidR="005C07AA" w:rsidRPr="00265A4E">
        <w:rPr>
          <w:lang w:val="en-US"/>
        </w:rPr>
        <w:t xml:space="preserve"> and nitrous oxide emissions from reservoirs. It is assumed that the fulfilment of these conditions ensures that such emissions are very small. </w:t>
      </w:r>
      <w:r w:rsidR="005C07AA" w:rsidRPr="00CD0865">
        <w:t>The mechanism methodology may be revised in the future to include specific provisions to estimate these emissions. Activity participants are also encouraged to submit a revision to this mechanism methodology through the “Procedure: Development, revision and clarification of methodologies and methodological tools” (A6.4-PROC-METH-001).</w:t>
      </w:r>
    </w:p>
  </w:footnote>
  <w:footnote w:id="16">
    <w:p w14:paraId="46330056" w14:textId="5F6624F3" w:rsidR="009D1387" w:rsidRDefault="009D1387" w:rsidP="009D1387">
      <w:pPr>
        <w:pStyle w:val="FootnoteText"/>
        <w:jc w:val="left"/>
      </w:pPr>
      <w:r>
        <w:rPr>
          <w:rStyle w:val="FootnoteReference"/>
        </w:rPr>
        <w:footnoteRef/>
      </w:r>
      <w:r>
        <w:rPr>
          <w:lang w:val="en-US"/>
        </w:rPr>
        <w:tab/>
      </w:r>
      <w:r w:rsidRPr="008E6081">
        <w:t xml:space="preserve">These factors were identified based on different studies. Storage duration is commonly used to distinguish run-of-river plants. Hydraulic residence time influences methane emissions because longer water retention promotes stratification, oxygen depletion and anaerobic decomposition. </w:t>
      </w:r>
      <w:r>
        <w:t>A</w:t>
      </w:r>
      <w:r w:rsidRPr="008E6081">
        <w:t>vailable research also suggests that the amount of available biomass influences emissions. See, for example:</w:t>
      </w:r>
      <w:r>
        <w:t xml:space="preserve"> </w:t>
      </w:r>
      <w:r w:rsidRPr="008E6081">
        <w:t>World Bank. 2017. Greenhouse Gases from Reservoirs Caused by Biogeochemical Processes. World Bank, Washington, DC</w:t>
      </w:r>
      <w:r w:rsidR="00A6627C">
        <w:t>, available at:</w:t>
      </w:r>
      <w:r w:rsidR="00A751A1">
        <w:t xml:space="preserve"> </w:t>
      </w:r>
      <w:hyperlink r:id="rId12" w:history="1">
        <w:r w:rsidR="00A06985" w:rsidRPr="00AC3161">
          <w:rPr>
            <w:rStyle w:val="Hyperlink"/>
          </w:rPr>
          <w:t>https://documents1.worldbank.org/curated/en/739881515751628436/pdf/Greenhouse-gases-from-reservoirs-caused-by-biogeochemical-processes.pdf</w:t>
        </w:r>
      </w:hyperlink>
      <w:r w:rsidR="00A751A1">
        <w:t xml:space="preserve">, </w:t>
      </w:r>
      <w:r w:rsidRPr="008E6081">
        <w:t>and</w:t>
      </w:r>
      <w:r>
        <w:t xml:space="preserve"> </w:t>
      </w:r>
      <w:r w:rsidRPr="008E6081">
        <w:t>Tittel, J., Hüls, M. &amp; Koschorreck, M. Terrestrial Vegetation Drives Methane Production in the Sediments of two German Reservoirs. Sci Rep 9, 15944 (2019)</w:t>
      </w:r>
      <w:r w:rsidR="00A751A1">
        <w:t xml:space="preserve">, available at: </w:t>
      </w:r>
      <w:hyperlink r:id="rId13" w:history="1">
        <w:r w:rsidR="00A751A1" w:rsidRPr="00AC3161">
          <w:rPr>
            <w:rStyle w:val="Hyperlink"/>
          </w:rPr>
          <w:t>https://doi.org/10.1038/s41598-019-52288-1</w:t>
        </w:r>
      </w:hyperlink>
      <w:r>
        <w:t>.</w:t>
      </w:r>
    </w:p>
  </w:footnote>
  <w:footnote w:id="17">
    <w:p w14:paraId="232C0651" w14:textId="77777777" w:rsidR="009D1387" w:rsidRDefault="009D1387" w:rsidP="009D1387">
      <w:pPr>
        <w:pStyle w:val="FootnoteText"/>
      </w:pPr>
      <w:r>
        <w:rPr>
          <w:rStyle w:val="FootnoteReference"/>
        </w:rPr>
        <w:footnoteRef/>
      </w:r>
      <w:r>
        <w:rPr>
          <w:lang w:val="en-US"/>
        </w:rPr>
        <w:tab/>
      </w:r>
      <w:r w:rsidRPr="00265A4E">
        <w:rPr>
          <w:lang w:val="en-US"/>
        </w:rPr>
        <w:t xml:space="preserve">Under this mechanism methodology, a forest shall meet the national definition of forests of the applicable host </w:t>
      </w:r>
      <w:r>
        <w:rPr>
          <w:lang w:val="en-US"/>
        </w:rPr>
        <w:t>Party</w:t>
      </w:r>
      <w:r w:rsidRPr="00265A4E">
        <w:rPr>
          <w:lang w:val="en-US"/>
        </w:rPr>
        <w:t>.</w:t>
      </w:r>
    </w:p>
  </w:footnote>
  <w:footnote w:id="18">
    <w:p w14:paraId="5934BA56" w14:textId="41F5DF7F" w:rsidR="009D1387" w:rsidRDefault="009D1387" w:rsidP="009D1387">
      <w:pPr>
        <w:pStyle w:val="FootnoteText"/>
      </w:pPr>
      <w:r>
        <w:rPr>
          <w:rStyle w:val="FootnoteReference"/>
        </w:rPr>
        <w:footnoteRef/>
      </w:r>
      <w:r>
        <w:tab/>
      </w:r>
      <w:r w:rsidRPr="003015A6">
        <w:t xml:space="preserve">The mechanism methodology does not apply to activities that supply electricity </w:t>
      </w:r>
      <w:r w:rsidRPr="00CD0865">
        <w:t xml:space="preserve">to </w:t>
      </w:r>
      <w:r w:rsidR="000C53A1" w:rsidRPr="00CD0865">
        <w:t>end-consumers</w:t>
      </w:r>
      <w:r w:rsidRPr="003015A6">
        <w:t>, as the baseline scenario for such projects may not be defined as electricity supplied from the electricity system.</w:t>
      </w:r>
    </w:p>
  </w:footnote>
  <w:footnote w:id="19">
    <w:p w14:paraId="56DD500E" w14:textId="77777777" w:rsidR="009D1387" w:rsidRPr="00BA68F8" w:rsidRDefault="009D1387" w:rsidP="009D1387">
      <w:pPr>
        <w:pStyle w:val="FootnoteText"/>
      </w:pPr>
      <w:r w:rsidRPr="00BA68F8">
        <w:rPr>
          <w:rStyle w:val="FootnoteReference"/>
        </w:rPr>
        <w:footnoteRef/>
      </w:r>
      <w:r>
        <w:tab/>
      </w:r>
      <w:r w:rsidRPr="00BA68F8">
        <w:t>Machinery and tools related to electricity generation facilities, e.g., power plant equipment such as photovoltaic modules, turbines, electric generators, pumps, motors or engines.</w:t>
      </w:r>
    </w:p>
  </w:footnote>
  <w:footnote w:id="20">
    <w:p w14:paraId="035508A0" w14:textId="77777777" w:rsidR="009D1387" w:rsidRDefault="009D1387" w:rsidP="009D1387">
      <w:pPr>
        <w:pStyle w:val="FootnoteText"/>
      </w:pPr>
      <w:r w:rsidRPr="6C50512D">
        <w:rPr>
          <w:rStyle w:val="FootnoteReference"/>
        </w:rPr>
        <w:footnoteRef/>
      </w:r>
      <w:r>
        <w:rPr>
          <w:lang w:val="en-US"/>
        </w:rPr>
        <w:tab/>
      </w:r>
      <w:r w:rsidRPr="6C50512D">
        <w:rPr>
          <w:lang w:val="en-US"/>
        </w:rPr>
        <w:t>This condition is introduced to avoid any leakage from baseline equipment transfer, consistent with paragraph 14(a) of version 01.0 of the “Standard: Addressing leakage in mechanism methodologies” (A6.4-STAN-METH-005).</w:t>
      </w:r>
    </w:p>
  </w:footnote>
  <w:footnote w:id="21">
    <w:p w14:paraId="3A867458" w14:textId="77777777" w:rsidR="009D1387" w:rsidRPr="00BA68F8" w:rsidRDefault="009D1387" w:rsidP="009D1387">
      <w:pPr>
        <w:pStyle w:val="FootnoteText"/>
      </w:pPr>
      <w:r w:rsidRPr="00BA68F8">
        <w:rPr>
          <w:rStyle w:val="FootnoteReference"/>
        </w:rPr>
        <w:footnoteRef/>
      </w:r>
      <w:r>
        <w:tab/>
      </w:r>
      <w:r w:rsidRPr="00BA68F8">
        <w:t>The mechanism methodology may be amended in the future to also cover activities implemented at other scales (e.g., programmes of activities, policies, sectoral approaches, etc).</w:t>
      </w:r>
    </w:p>
  </w:footnote>
  <w:footnote w:id="22">
    <w:p w14:paraId="19113543" w14:textId="77777777" w:rsidR="009D1387" w:rsidRPr="00C71B38" w:rsidRDefault="009D1387" w:rsidP="009D1387">
      <w:pPr>
        <w:pStyle w:val="FootnoteText"/>
        <w:jc w:val="left"/>
      </w:pPr>
      <w:r w:rsidRPr="00C71B38">
        <w:rPr>
          <w:rStyle w:val="FootnoteReference"/>
        </w:rPr>
        <w:footnoteRef/>
      </w:r>
      <w:r w:rsidRPr="00C71B38">
        <w:tab/>
        <w:t xml:space="preserve">Refer to </w:t>
      </w:r>
      <w:r>
        <w:t xml:space="preserve">the </w:t>
      </w:r>
      <w:r>
        <w:rPr>
          <w:rFonts w:eastAsiaTheme="minorEastAsia"/>
        </w:rPr>
        <w:t>“</w:t>
      </w:r>
      <w:r w:rsidRPr="00B52A7C">
        <w:rPr>
          <w:rFonts w:eastAsiaTheme="minorEastAsia"/>
        </w:rPr>
        <w:t>Methodological tool</w:t>
      </w:r>
      <w:r>
        <w:rPr>
          <w:rFonts w:eastAsiaTheme="minorEastAsia"/>
        </w:rPr>
        <w:t>:</w:t>
      </w:r>
      <w:r w:rsidRPr="2785112B">
        <w:rPr>
          <w:rFonts w:eastAsiaTheme="minorEastAsia"/>
        </w:rPr>
        <w:t xml:space="preserve"> Emissions from electricity generation and consumption</w:t>
      </w:r>
      <w:r>
        <w:rPr>
          <w:rFonts w:eastAsiaTheme="minorEastAsia"/>
        </w:rPr>
        <w:t>” (</w:t>
      </w:r>
      <w:r w:rsidRPr="2785112B">
        <w:rPr>
          <w:rFonts w:eastAsiaTheme="minorEastAsia"/>
        </w:rPr>
        <w:t>A6.4-</w:t>
      </w:r>
      <w:r>
        <w:rPr>
          <w:rFonts w:eastAsiaTheme="minorEastAsia"/>
        </w:rPr>
        <w:t>AMT-007)</w:t>
      </w:r>
      <w:r>
        <w:t xml:space="preserve"> </w:t>
      </w:r>
      <w:r w:rsidRPr="00C71B38">
        <w:t>for definition of an electricity system.</w:t>
      </w:r>
    </w:p>
  </w:footnote>
  <w:footnote w:id="23">
    <w:p w14:paraId="52F9A8E5" w14:textId="77777777" w:rsidR="008A78B4" w:rsidRPr="009C32F9" w:rsidRDefault="008A78B4" w:rsidP="008A78B4">
      <w:pPr>
        <w:pStyle w:val="FootnoteText"/>
      </w:pPr>
      <w:r w:rsidRPr="00053F4F">
        <w:rPr>
          <w:rStyle w:val="FootnoteReference"/>
        </w:rPr>
        <w:footnoteRef/>
      </w:r>
      <w:r>
        <w:tab/>
      </w:r>
      <w:r w:rsidRPr="00053F4F">
        <w:t xml:space="preserve">For example, if regulations explicitly </w:t>
      </w:r>
      <w:r>
        <w:t xml:space="preserve">state </w:t>
      </w:r>
      <w:r w:rsidRPr="00053F4F">
        <w:t xml:space="preserve">that the Article 6.4 </w:t>
      </w:r>
      <w:r>
        <w:t xml:space="preserve">mechanism </w:t>
      </w:r>
      <w:r w:rsidRPr="00053F4F">
        <w:t xml:space="preserve">and </w:t>
      </w:r>
      <w:r>
        <w:t xml:space="preserve">the </w:t>
      </w:r>
      <w:r w:rsidRPr="00053F4F">
        <w:t xml:space="preserve">revenues </w:t>
      </w:r>
      <w:r>
        <w:t xml:space="preserve">generated from it </w:t>
      </w:r>
      <w:r w:rsidRPr="00053F4F">
        <w:t>are to be used as incentives to achieve emission reductions in a specific sector.</w:t>
      </w:r>
    </w:p>
  </w:footnote>
  <w:footnote w:id="24">
    <w:p w14:paraId="147D5B9C" w14:textId="77777777" w:rsidR="004520BE" w:rsidRDefault="004520BE" w:rsidP="004520BE">
      <w:pPr>
        <w:pStyle w:val="FootnoteText"/>
      </w:pPr>
      <w:r>
        <w:rPr>
          <w:rStyle w:val="FootnoteReference"/>
        </w:rPr>
        <w:footnoteRef/>
      </w:r>
      <w:r>
        <w:rPr>
          <w:rFonts w:eastAsiaTheme="minorEastAsia"/>
        </w:rPr>
        <w:tab/>
      </w:r>
      <w:r w:rsidRPr="5A50DC01">
        <w:rPr>
          <w:rFonts w:eastAsiaTheme="minorEastAsia"/>
        </w:rPr>
        <w:t xml:space="preserve">Data from </w:t>
      </w:r>
      <w:r>
        <w:t>Fridriksson</w:t>
      </w:r>
      <w:r>
        <w:rPr>
          <w:rFonts w:eastAsiaTheme="minorEastAsia"/>
        </w:rPr>
        <w:t xml:space="preserve"> et al.</w:t>
      </w:r>
      <w:r w:rsidRPr="00250E70">
        <w:rPr>
          <w:rFonts w:eastAsiaTheme="minorEastAsia"/>
          <w:iCs/>
        </w:rPr>
        <w:t xml:space="preserve"> (2017)</w:t>
      </w:r>
      <w:r w:rsidRPr="5A50DC01">
        <w:rPr>
          <w:rFonts w:eastAsiaTheme="minorEastAsia"/>
        </w:rPr>
        <w:t xml:space="preserve"> indicate an emission intensity range of </w:t>
      </w:r>
      <w:r w:rsidRPr="00BF5298">
        <w:rPr>
          <w:rFonts w:eastAsiaTheme="minorEastAsia"/>
        </w:rPr>
        <w:t>4 - 740</w:t>
      </w:r>
      <w:r w:rsidRPr="5A50DC01">
        <w:rPr>
          <w:rFonts w:eastAsiaTheme="minorEastAsia"/>
        </w:rPr>
        <w:t xml:space="preserve"> g/kWh for geothermal </w:t>
      </w:r>
      <w:r>
        <w:rPr>
          <w:rFonts w:eastAsiaTheme="minorEastAsia"/>
        </w:rPr>
        <w:t xml:space="preserve">electricity </w:t>
      </w:r>
      <w:r w:rsidRPr="5A50DC01">
        <w:rPr>
          <w:rFonts w:eastAsiaTheme="minorEastAsia"/>
        </w:rPr>
        <w:t xml:space="preserve">generation. This suggests that </w:t>
      </w:r>
      <w:r>
        <w:rPr>
          <w:rFonts w:eastAsiaTheme="minorEastAsia"/>
        </w:rPr>
        <w:t xml:space="preserve">some </w:t>
      </w:r>
      <w:r w:rsidRPr="5A50DC01">
        <w:rPr>
          <w:rFonts w:eastAsiaTheme="minorEastAsia"/>
        </w:rPr>
        <w:t xml:space="preserve">geothermal </w:t>
      </w:r>
      <w:r>
        <w:rPr>
          <w:rFonts w:eastAsiaTheme="minorEastAsia"/>
        </w:rPr>
        <w:t xml:space="preserve">power </w:t>
      </w:r>
      <w:r w:rsidRPr="5A50DC01">
        <w:rPr>
          <w:rFonts w:eastAsiaTheme="minorEastAsia"/>
        </w:rPr>
        <w:t xml:space="preserve">plants </w:t>
      </w:r>
      <w:r>
        <w:rPr>
          <w:rFonts w:eastAsiaTheme="minorEastAsia"/>
        </w:rPr>
        <w:t xml:space="preserve">have a high emission intensity and thus </w:t>
      </w:r>
      <w:r w:rsidRPr="5A50DC01">
        <w:rPr>
          <w:rFonts w:eastAsiaTheme="minorEastAsia"/>
        </w:rPr>
        <w:t>carr</w:t>
      </w:r>
      <w:r>
        <w:rPr>
          <w:rFonts w:eastAsiaTheme="minorEastAsia"/>
        </w:rPr>
        <w:t>y</w:t>
      </w:r>
      <w:r w:rsidRPr="5A50DC01">
        <w:rPr>
          <w:rFonts w:eastAsiaTheme="minorEastAsia"/>
        </w:rPr>
        <w:t xml:space="preserve"> a lock-in risk. Therefore, a lock-in risk analysis </w:t>
      </w:r>
      <w:r>
        <w:rPr>
          <w:rFonts w:eastAsiaTheme="minorEastAsia"/>
        </w:rPr>
        <w:t>is</w:t>
      </w:r>
      <w:r w:rsidRPr="5A50DC01">
        <w:rPr>
          <w:rFonts w:eastAsiaTheme="minorEastAsia"/>
        </w:rPr>
        <w:t xml:space="preserve"> required for geothermal power generation </w:t>
      </w:r>
      <w:r>
        <w:rPr>
          <w:rFonts w:eastAsiaTheme="minorEastAsia"/>
        </w:rPr>
        <w:t>projects</w:t>
      </w:r>
      <w:r w:rsidRPr="5A50DC01">
        <w:rPr>
          <w:rFonts w:eastAsiaTheme="minorEastAsia"/>
        </w:rPr>
        <w:t>.</w:t>
      </w:r>
      <w:r>
        <w:rPr>
          <w:rFonts w:eastAsiaTheme="minorEastAsia"/>
        </w:rPr>
        <w:t xml:space="preserve"> See </w:t>
      </w:r>
      <w:r>
        <w:t>Fridriksson</w:t>
      </w:r>
      <w:r w:rsidRPr="00606CD1">
        <w:t>, T., Mateos, A., Audinet, P. and Orucu, Y.</w:t>
      </w:r>
      <w:r>
        <w:rPr>
          <w:rFonts w:eastAsiaTheme="minorEastAsia"/>
        </w:rPr>
        <w:t xml:space="preserve"> (2017). </w:t>
      </w:r>
      <w:r w:rsidRPr="00476504">
        <w:rPr>
          <w:rFonts w:eastAsiaTheme="minorEastAsia"/>
          <w:i/>
        </w:rPr>
        <w:t xml:space="preserve">Greenhouse </w:t>
      </w:r>
      <w:r w:rsidRPr="00476504">
        <w:rPr>
          <w:i/>
          <w:iCs/>
        </w:rPr>
        <w:t>Gases</w:t>
      </w:r>
      <w:r w:rsidRPr="00476504">
        <w:rPr>
          <w:rFonts w:eastAsiaTheme="minorEastAsia"/>
          <w:i/>
        </w:rPr>
        <w:t xml:space="preserve"> from Geothermal Power Production</w:t>
      </w:r>
      <w:r>
        <w:rPr>
          <w:rFonts w:eastAsiaTheme="minorEastAsia"/>
        </w:rPr>
        <w:t xml:space="preserve">. </w:t>
      </w:r>
      <w:r w:rsidRPr="00606CD1">
        <w:t xml:space="preserve">ESMAP Technical Report 09/16. </w:t>
      </w:r>
      <w:r>
        <w:rPr>
          <w:rFonts w:eastAsiaTheme="minorEastAsia"/>
          <w:iCs/>
        </w:rPr>
        <w:t>World Bank</w:t>
      </w:r>
      <w:r w:rsidRPr="00606CD1">
        <w:t>, Washington, DC.</w:t>
      </w:r>
    </w:p>
  </w:footnote>
  <w:footnote w:id="25">
    <w:p w14:paraId="330828F8" w14:textId="77777777" w:rsidR="00EF3B9E" w:rsidRDefault="00EF3B9E" w:rsidP="00EF3B9E">
      <w:pPr>
        <w:pStyle w:val="FootnoteText"/>
      </w:pPr>
      <w:r>
        <w:rPr>
          <w:rStyle w:val="FootnoteReference"/>
        </w:rPr>
        <w:footnoteRef/>
      </w:r>
      <w:r>
        <w:rPr>
          <w:lang w:val="en-US"/>
        </w:rPr>
        <w:tab/>
        <w:t>The mechanism methodology specifies how the emission intensity of the technology, the BAU emissions and the lowest emission intensity for the proposed Article 6.4 activity are calculated; therefore, the determination of comparable technologies and the applicable geographical area is not relevant.</w:t>
      </w:r>
    </w:p>
  </w:footnote>
  <w:footnote w:id="26">
    <w:p w14:paraId="00AC7227" w14:textId="77777777" w:rsidR="00E415C4" w:rsidRDefault="00E415C4" w:rsidP="00E415C4">
      <w:pPr>
        <w:pStyle w:val="FootnoteText"/>
      </w:pPr>
      <w:r>
        <w:rPr>
          <w:rStyle w:val="FootnoteReference"/>
        </w:rPr>
        <w:footnoteRef/>
      </w:r>
      <w:r>
        <w:rPr>
          <w:lang w:val="en-US"/>
        </w:rPr>
        <w:tab/>
      </w:r>
      <w:r w:rsidRPr="5A50DC01">
        <w:rPr>
          <w:lang w:val="en-US"/>
        </w:rPr>
        <w:t xml:space="preserve">For renewable power plants, </w:t>
      </w:r>
      <w:r>
        <w:rPr>
          <w:lang w:val="en-US"/>
        </w:rPr>
        <w:t xml:space="preserve">a </w:t>
      </w:r>
      <w:r w:rsidRPr="5A50DC01">
        <w:rPr>
          <w:lang w:val="en-US"/>
        </w:rPr>
        <w:t xml:space="preserve">resource </w:t>
      </w:r>
      <w:r>
        <w:rPr>
          <w:lang w:val="en-US"/>
        </w:rPr>
        <w:t>important</w:t>
      </w:r>
      <w:r w:rsidRPr="5A50DC01">
        <w:rPr>
          <w:lang w:val="en-US"/>
        </w:rPr>
        <w:t xml:space="preserve"> for mitigating climate change or achieving other policy objectives is land use. However, for a geothermal power plant, land is used primarily for the construction of wells, pipelines, and the plant itself, all of which are </w:t>
      </w:r>
      <w:r>
        <w:rPr>
          <w:lang w:val="en-US"/>
        </w:rPr>
        <w:t>located</w:t>
      </w:r>
      <w:r w:rsidRPr="5A50DC01">
        <w:rPr>
          <w:lang w:val="en-US"/>
        </w:rPr>
        <w:t xml:space="preserve"> in a limited area. Therefore, </w:t>
      </w:r>
      <w:r>
        <w:rPr>
          <w:lang w:val="en-US"/>
        </w:rPr>
        <w:t>an</w:t>
      </w:r>
      <w:r w:rsidRPr="5A50DC01">
        <w:rPr>
          <w:lang w:val="en-US"/>
        </w:rPr>
        <w:t xml:space="preserve"> assessment o</w:t>
      </w:r>
      <w:r>
        <w:rPr>
          <w:lang w:val="en-US"/>
        </w:rPr>
        <w:t xml:space="preserve">f possible inefficient use of </w:t>
      </w:r>
      <w:r w:rsidRPr="5A50DC01">
        <w:rPr>
          <w:lang w:val="en-US"/>
        </w:rPr>
        <w:t>resource</w:t>
      </w:r>
      <w:r>
        <w:rPr>
          <w:lang w:val="en-US"/>
        </w:rPr>
        <w:t>s</w:t>
      </w:r>
      <w:r w:rsidRPr="5A50DC01">
        <w:rPr>
          <w:lang w:val="en-US"/>
        </w:rPr>
        <w:t xml:space="preserve"> is not required</w:t>
      </w:r>
      <w:r>
        <w:rPr>
          <w:lang w:val="en-US"/>
        </w:rPr>
        <w:t>.</w:t>
      </w:r>
    </w:p>
  </w:footnote>
  <w:footnote w:id="27">
    <w:p w14:paraId="4C3A34F1" w14:textId="77777777" w:rsidR="001D6E36" w:rsidRPr="006F5A86" w:rsidRDefault="001D6E36" w:rsidP="001D6E36">
      <w:pPr>
        <w:pStyle w:val="FootnoteText"/>
      </w:pPr>
      <w:r w:rsidRPr="006F5A86">
        <w:rPr>
          <w:rStyle w:val="FootnoteReference"/>
        </w:rPr>
        <w:footnoteRef/>
      </w:r>
      <w:r>
        <w:tab/>
      </w:r>
      <w:r w:rsidRPr="006F5A86">
        <w:rPr>
          <w:lang w:val="en-US"/>
        </w:rPr>
        <w:t xml:space="preserve">Given the overall electricity demand and the installed capacity of individual renewable power plants, </w:t>
      </w:r>
      <w:r>
        <w:rPr>
          <w:lang w:val="en-US"/>
        </w:rPr>
        <w:t>a</w:t>
      </w:r>
      <w:r w:rsidRPr="006F5A86">
        <w:rPr>
          <w:lang w:val="en-US"/>
        </w:rPr>
        <w:t xml:space="preserve"> scale assessment is not required.</w:t>
      </w:r>
    </w:p>
  </w:footnote>
  <w:footnote w:id="28">
    <w:p w14:paraId="7E3E2C82" w14:textId="77777777" w:rsidR="009D6A32" w:rsidRDefault="009D6A32" w:rsidP="009D6A32">
      <w:pPr>
        <w:pStyle w:val="FootnoteText"/>
      </w:pPr>
      <w:r>
        <w:rPr>
          <w:rStyle w:val="FootnoteReference"/>
        </w:rPr>
        <w:footnoteRef/>
      </w:r>
      <w:r>
        <w:tab/>
      </w:r>
      <w:r w:rsidRPr="3F0643CD">
        <w:rPr>
          <w:rFonts w:eastAsia="Arial"/>
        </w:rPr>
        <w:t>For example, if the investment cost of the Article 6.4 activity can be demonstrated by contracts, the variation for the total investment is not needed</w:t>
      </w:r>
      <w:r>
        <w:rPr>
          <w:rFonts w:eastAsia="Arial"/>
        </w:rPr>
        <w:t>.</w:t>
      </w:r>
    </w:p>
  </w:footnote>
  <w:footnote w:id="29">
    <w:p w14:paraId="1E67DCE8" w14:textId="1C851808" w:rsidR="006268C5" w:rsidRPr="002B6569" w:rsidRDefault="006268C5" w:rsidP="006268C5">
      <w:pPr>
        <w:pStyle w:val="FootnoteText"/>
      </w:pPr>
      <w:r w:rsidRPr="002B6569">
        <w:rPr>
          <w:rStyle w:val="FootnoteReference"/>
        </w:rPr>
        <w:footnoteRef/>
      </w:r>
      <w:r w:rsidR="0060084A">
        <w:tab/>
      </w:r>
      <w:r w:rsidRPr="002B6569">
        <w:t>The electricity system shall be determined based on the Methodological tool: Emissions from electricity generation and consumption(A6.4-AMT-007).</w:t>
      </w:r>
    </w:p>
  </w:footnote>
  <w:footnote w:id="30">
    <w:p w14:paraId="49666163" w14:textId="2CAFDB94" w:rsidR="008967E2" w:rsidRPr="00EE662A" w:rsidRDefault="008967E2" w:rsidP="008967E2">
      <w:pPr>
        <w:pStyle w:val="FootnoteText"/>
      </w:pPr>
      <w:r>
        <w:rPr>
          <w:rStyle w:val="FootnoteReference"/>
        </w:rPr>
        <w:footnoteRef/>
      </w:r>
      <w:r>
        <w:tab/>
      </w:r>
      <w:r w:rsidR="007B2079" w:rsidRPr="00EE662A">
        <w:t xml:space="preserve">The mechanism methodology may be revised in the future to include differentiation </w:t>
      </w:r>
      <w:r w:rsidR="007B2079" w:rsidRPr="00EE662A">
        <w:rPr>
          <w:lang w:val="en-US"/>
        </w:rPr>
        <w:t xml:space="preserve">between plants with and without co-located BESS in future revisions of the methodology. </w:t>
      </w:r>
      <w:r w:rsidR="007B2079" w:rsidRPr="00EE662A">
        <w:t>Activity participants are also encouraged to submit a revision to this mechanism methodology through the “Procedure: Development, revision and clarification of methodologies and methodological tools” (A6.4-PROC-METH-001).</w:t>
      </w:r>
    </w:p>
  </w:footnote>
  <w:footnote w:id="31">
    <w:p w14:paraId="4628AB65" w14:textId="2F7A67A5" w:rsidR="008B7EC4" w:rsidRDefault="008B7EC4">
      <w:pPr>
        <w:pStyle w:val="FootnoteText"/>
      </w:pPr>
      <w:r>
        <w:rPr>
          <w:rStyle w:val="FootnoteReference"/>
        </w:rPr>
        <w:footnoteRef/>
      </w:r>
      <w:r w:rsidR="002C3056">
        <w:tab/>
      </w:r>
      <w:r>
        <w:t xml:space="preserve">The </w:t>
      </w:r>
      <w:r w:rsidRPr="008B7EC4">
        <w:t xml:space="preserve">approach is selected </w:t>
      </w:r>
      <w:r w:rsidR="001B17A6">
        <w:t>considering that the electricity generation by existing or new grid-connected power plants may differ between Article 6.4 activities and regions, depending on the intermittent nature of the activity, the power generation technologies, and the natural resources (e.g., wind or precipitation) available in the respective electricity system</w:t>
      </w:r>
      <w:r w:rsidR="00801096">
        <w:t>.</w:t>
      </w:r>
    </w:p>
  </w:footnote>
  <w:footnote w:id="32">
    <w:p w14:paraId="4FF3A776" w14:textId="7187916F" w:rsidR="00882F53" w:rsidRDefault="00882F53" w:rsidP="00882F53">
      <w:pPr>
        <w:pStyle w:val="FootnoteText"/>
      </w:pPr>
      <w:r>
        <w:rPr>
          <w:rStyle w:val="FootnoteReference"/>
        </w:rPr>
        <w:footnoteRef/>
      </w:r>
      <w:r>
        <w:rPr>
          <w:lang w:val="en-US"/>
        </w:rPr>
        <w:tab/>
      </w:r>
      <w:r w:rsidRPr="0060382F">
        <w:rPr>
          <w:lang w:val="en-US"/>
        </w:rPr>
        <w:t xml:space="preserve">This provision is deemed to be a simplified and conservative approach. The mechanism methodology may be revised in the future to include specific provisions to account more accurately for the impact of using a BESS on the emission factor. Activity participants are also </w:t>
      </w:r>
      <w:r w:rsidR="00761BD4" w:rsidRPr="00EE662A">
        <w:rPr>
          <w:lang w:val="en-US"/>
        </w:rPr>
        <w:t>encouraged</w:t>
      </w:r>
      <w:r w:rsidR="00761BD4">
        <w:rPr>
          <w:lang w:val="en-US"/>
        </w:rPr>
        <w:t xml:space="preserve"> </w:t>
      </w:r>
      <w:r w:rsidRPr="0060382F">
        <w:rPr>
          <w:lang w:val="en-US"/>
        </w:rPr>
        <w:t>to submit a revision to this mechanism methodology through the “Procedure: Development, revision and clarification of methodologies and</w:t>
      </w:r>
      <w:r w:rsidRPr="000B145C">
        <w:rPr>
          <w:lang w:val="en-US"/>
        </w:rPr>
        <w:t xml:space="preserve"> methodological tools</w:t>
      </w:r>
      <w:r>
        <w:rPr>
          <w:lang w:val="en-US"/>
        </w:rPr>
        <w:t>” (A6.4-PROC-METH-001).</w:t>
      </w:r>
    </w:p>
  </w:footnote>
  <w:footnote w:id="33">
    <w:p w14:paraId="4CEBC0F6" w14:textId="77777777" w:rsidR="00013622" w:rsidRDefault="00013622" w:rsidP="00013622">
      <w:pPr>
        <w:pStyle w:val="FootnoteText"/>
      </w:pPr>
      <w:r>
        <w:rPr>
          <w:rStyle w:val="FootnoteReference"/>
        </w:rPr>
        <w:footnoteRef/>
      </w:r>
      <w:r>
        <w:tab/>
        <w:t>The MEP reviewed studies that provided different values for the wake effect and also consulted with industry experts. The MEP notes that the wake effect depends on the local conditions where the power plant is installed (e.g., geography, climate). The distance thresholds are considered by the MEP as a conservative approach where such wake effects can be deemed to be negligible.</w:t>
      </w:r>
    </w:p>
  </w:footnote>
  <w:footnote w:id="34">
    <w:p w14:paraId="1C5682A3" w14:textId="7B72DEED" w:rsidR="006B5C96" w:rsidRDefault="006B5C96" w:rsidP="0053126A">
      <w:pPr>
        <w:pStyle w:val="FootnoteText"/>
        <w:jc w:val="left"/>
      </w:pPr>
      <w:r>
        <w:rPr>
          <w:rStyle w:val="FootnoteReference"/>
        </w:rPr>
        <w:footnoteRef/>
      </w:r>
      <w:r>
        <w:rPr>
          <w:lang w:val="en-US"/>
        </w:rPr>
        <w:tab/>
        <w:t xml:space="preserve">See </w:t>
      </w:r>
      <w:hyperlink r:id="rId14" w:history="1">
        <w:r>
          <w:rPr>
            <w:rStyle w:val="Hyperlink"/>
          </w:rPr>
          <w:t>https://unfccc.int/sites/default/files/resource/A6.4-STAN-METH-004.pdf</w:t>
        </w:r>
      </w:hyperlink>
      <w:r>
        <w:t>.</w:t>
      </w:r>
    </w:p>
  </w:footnote>
  <w:footnote w:id="35">
    <w:p w14:paraId="6AE077BE" w14:textId="77777777" w:rsidR="00B31ED1" w:rsidRPr="004B0F03" w:rsidRDefault="00B31ED1" w:rsidP="00B31ED1">
      <w:pPr>
        <w:pStyle w:val="FootnoteText"/>
      </w:pPr>
      <w:r w:rsidRPr="004B0F03">
        <w:rPr>
          <w:rStyle w:val="FootnoteReference"/>
        </w:rPr>
        <w:footnoteRef/>
      </w:r>
      <w:r>
        <w:tab/>
      </w:r>
      <w:r w:rsidRPr="00FD4957">
        <w:t>For example, if the start date of the first crediting period is 1 October 2025, then in the year 2028, this parameter includes the days from 1 October 2028 to 31 December 2028 (i.e. 92 days).</w:t>
      </w:r>
    </w:p>
  </w:footnote>
  <w:footnote w:id="36">
    <w:p w14:paraId="67F1B3D8" w14:textId="77777777" w:rsidR="008D4262" w:rsidRDefault="008D4262" w:rsidP="008D4262">
      <w:pPr>
        <w:pStyle w:val="FootnoteText"/>
      </w:pPr>
      <w:r>
        <w:rPr>
          <w:rStyle w:val="FootnoteReference"/>
        </w:rPr>
        <w:footnoteRef/>
      </w:r>
      <w:r>
        <w:tab/>
        <w:t>Conservativeness</w:t>
      </w:r>
      <w:r>
        <w:rPr>
          <w:rFonts w:eastAsia="Arial"/>
        </w:rPr>
        <w:t xml:space="preserve"> is </w:t>
      </w:r>
      <w:r>
        <w:t>ensured because</w:t>
      </w:r>
      <w:r>
        <w:rPr>
          <w:rFonts w:eastAsia="Arial"/>
        </w:rPr>
        <w:t xml:space="preserve"> </w:t>
      </w:r>
      <w:r w:rsidRPr="000E2AAF">
        <w:rPr>
          <w:rFonts w:eastAsia="Arial"/>
        </w:rPr>
        <w:t xml:space="preserve">the </w:t>
      </w:r>
      <w:r>
        <w:rPr>
          <w:rFonts w:eastAsia="Arial"/>
        </w:rPr>
        <w:t>“M</w:t>
      </w:r>
      <w:r w:rsidRPr="000E2AAF">
        <w:rPr>
          <w:rFonts w:eastAsia="Arial"/>
        </w:rPr>
        <w:t xml:space="preserve">ethodological tool: Emissions from </w:t>
      </w:r>
      <w:r>
        <w:rPr>
          <w:rFonts w:eastAsia="Arial"/>
        </w:rPr>
        <w:t>e</w:t>
      </w:r>
      <w:r w:rsidRPr="000E2AAF">
        <w:rPr>
          <w:rFonts w:eastAsia="Arial"/>
        </w:rPr>
        <w:t xml:space="preserve">lectricity </w:t>
      </w:r>
      <w:r>
        <w:rPr>
          <w:rFonts w:eastAsia="Arial"/>
        </w:rPr>
        <w:t>g</w:t>
      </w:r>
      <w:r w:rsidRPr="000E2AAF">
        <w:rPr>
          <w:rFonts w:eastAsia="Arial"/>
        </w:rPr>
        <w:t xml:space="preserve">eneration and </w:t>
      </w:r>
      <w:r>
        <w:rPr>
          <w:rFonts w:eastAsia="Arial"/>
        </w:rPr>
        <w:t>c</w:t>
      </w:r>
      <w:r w:rsidRPr="000E2AAF">
        <w:rPr>
          <w:rFonts w:eastAsia="Arial"/>
        </w:rPr>
        <w:t>onsumption</w:t>
      </w:r>
      <w:r>
        <w:rPr>
          <w:rFonts w:eastAsia="Arial"/>
        </w:rPr>
        <w:t>” (A6.4-AMT-007)</w:t>
      </w:r>
      <w:r w:rsidRPr="000E2AAF">
        <w:rPr>
          <w:rFonts w:eastAsia="Arial"/>
        </w:rPr>
        <w:t xml:space="preserve"> </w:t>
      </w:r>
      <w:r>
        <w:rPr>
          <w:rFonts w:eastAsia="Arial"/>
        </w:rPr>
        <w:t xml:space="preserve">determines the emission factor for an electricity system </w:t>
      </w:r>
      <w:r w:rsidRPr="000E2AAF">
        <w:rPr>
          <w:rFonts w:eastAsia="Arial"/>
        </w:rPr>
        <w:t xml:space="preserve">reflecting the dynamic trends </w:t>
      </w:r>
      <w:r>
        <w:rPr>
          <w:rFonts w:eastAsia="Arial"/>
        </w:rPr>
        <w:t>in</w:t>
      </w:r>
      <w:r w:rsidRPr="000E2AAF">
        <w:rPr>
          <w:rFonts w:eastAsia="Arial"/>
        </w:rPr>
        <w:t xml:space="preserve"> the </w:t>
      </w:r>
      <w:r>
        <w:rPr>
          <w:rFonts w:eastAsia="Arial"/>
        </w:rPr>
        <w:t>electricity system</w:t>
      </w:r>
      <w:r w:rsidRPr="000E2AAF">
        <w:rPr>
          <w:rFonts w:eastAsia="Arial"/>
        </w:rPr>
        <w:t xml:space="preserve"> to which the Article 6.4 activity is connected</w:t>
      </w:r>
      <w:r>
        <w:rPr>
          <w:rFonts w:eastAsia="Arial"/>
        </w:rPr>
        <w:t>.</w:t>
      </w:r>
    </w:p>
  </w:footnote>
  <w:footnote w:id="37">
    <w:p w14:paraId="0176B91C" w14:textId="7DAE8694" w:rsidR="0071686E" w:rsidRDefault="0071686E" w:rsidP="0071686E">
      <w:pPr>
        <w:pStyle w:val="FootnoteText"/>
      </w:pPr>
      <w:r w:rsidRPr="00EE662A">
        <w:rPr>
          <w:rStyle w:val="FootnoteReference"/>
        </w:rPr>
        <w:footnoteRef/>
      </w:r>
      <w:r w:rsidRPr="00EE662A">
        <w:rPr>
          <w:lang w:val="en-US"/>
        </w:rPr>
        <w:tab/>
      </w:r>
      <w:r w:rsidR="00B87EF3" w:rsidRPr="00EE662A">
        <w:rPr>
          <w:lang w:val="en-US"/>
        </w:rPr>
        <w:t xml:space="preserve">The </w:t>
      </w:r>
      <w:r w:rsidR="00B87EF3" w:rsidRPr="00EE662A">
        <w:t xml:space="preserve">mechanism methodology may be revised in the future to </w:t>
      </w:r>
      <w:r w:rsidR="00B87EF3" w:rsidRPr="00EE662A">
        <w:rPr>
          <w:lang w:val="en-US"/>
        </w:rPr>
        <w:t>incorporate specific provisions for projects operated with a BESS. Activity participants are also encouraged</w:t>
      </w:r>
      <w:r w:rsidR="00B87EF3">
        <w:rPr>
          <w:lang w:val="en-US"/>
        </w:rPr>
        <w:t xml:space="preserve"> </w:t>
      </w:r>
      <w:r w:rsidR="00B87EF3" w:rsidRPr="46A383F8">
        <w:rPr>
          <w:lang w:val="en-US"/>
        </w:rPr>
        <w:t>to submit a revision to this mechanism methodology through the “Procedure: Development, revision and clarification of methodologies and methodological tools” (A6.4-PROC-METH-001)</w:t>
      </w:r>
      <w:r w:rsidR="00B87EF3">
        <w:rPr>
          <w:lang w:val="en-US"/>
        </w:rPr>
        <w:t>.</w:t>
      </w:r>
    </w:p>
  </w:footnote>
  <w:footnote w:id="38">
    <w:p w14:paraId="289B434C" w14:textId="77777777" w:rsidR="00A21DDD" w:rsidRPr="00062E5D" w:rsidRDefault="00A21DDD" w:rsidP="00EC00DE">
      <w:pPr>
        <w:pStyle w:val="FootnoteText"/>
        <w:keepNext/>
      </w:pPr>
      <w:r>
        <w:rPr>
          <w:rStyle w:val="FootnoteReference"/>
        </w:rPr>
        <w:footnoteRef/>
      </w:r>
      <w:r>
        <w:rPr>
          <w:lang w:val="en-US"/>
        </w:rPr>
        <w:tab/>
      </w:r>
      <w:r w:rsidRPr="00062E5D">
        <w:rPr>
          <w:lang w:val="en-US"/>
        </w:rPr>
        <w:t>Adapted from United Nations Economic Commission for Europe (UNECE), Life Cycle Assessment of Electricity Generation Options (Geneva: United Nations, 2021). The report identifies the sources of upstream emissions as follows:</w:t>
      </w:r>
    </w:p>
    <w:p w14:paraId="67717700" w14:textId="77777777" w:rsidR="00A21DDD" w:rsidRDefault="00A21DDD">
      <w:pPr>
        <w:pStyle w:val="FootnoteText"/>
        <w:numPr>
          <w:ilvl w:val="1"/>
          <w:numId w:val="11"/>
        </w:numPr>
      </w:pPr>
      <w:r w:rsidRPr="00062E5D">
        <w:t>Upstream emissions from coal and natural gas power plants: energy carrier supply chains, from extraction to combustion (including methane leakage); infrastructure construction, operation, and dismantling (energy inputs and waste production); and connection to the grid;</w:t>
      </w:r>
    </w:p>
    <w:p w14:paraId="06EF2447" w14:textId="77777777" w:rsidR="00A21DDD" w:rsidRDefault="00A21DDD">
      <w:pPr>
        <w:pStyle w:val="FootnoteText"/>
        <w:numPr>
          <w:ilvl w:val="1"/>
          <w:numId w:val="11"/>
        </w:numPr>
      </w:pPr>
      <w:r w:rsidRPr="00062E5D">
        <w:t>Upstream emissions from concentrated solar power plants: infrastructure, site preparation and occupation, operation and maintenance, decommissioning (energy inputs and waste production) and connection to grid;</w:t>
      </w:r>
    </w:p>
    <w:p w14:paraId="1F4F7323" w14:textId="77777777" w:rsidR="00A21DDD" w:rsidRDefault="00A21DDD">
      <w:pPr>
        <w:pStyle w:val="FootnoteText"/>
        <w:numPr>
          <w:ilvl w:val="1"/>
          <w:numId w:val="11"/>
        </w:numPr>
      </w:pPr>
      <w:r w:rsidRPr="00062E5D">
        <w:t>Upstream emissions from photovoltaic power plants: infrastructure, site preparation and occupation, operation and maintenance, decommissioning (energy inputs and waste production) and connection to grid; and</w:t>
      </w:r>
    </w:p>
    <w:p w14:paraId="4600DA29" w14:textId="77777777" w:rsidR="00A21DDD" w:rsidRDefault="00A21DDD">
      <w:pPr>
        <w:pStyle w:val="FootnoteText"/>
        <w:numPr>
          <w:ilvl w:val="1"/>
          <w:numId w:val="11"/>
        </w:numPr>
      </w:pPr>
      <w:r w:rsidRPr="00062E5D">
        <w:t>Upstream emissions from wind power plants: infrastructure, site preparation and occupation, operation and maintenance, decommissioning (energy inputs and waste production) and connection to grid</w:t>
      </w:r>
      <w:r>
        <w:t>.</w:t>
      </w:r>
    </w:p>
  </w:footnote>
  <w:footnote w:id="39">
    <w:p w14:paraId="40B877AE" w14:textId="08F1458E" w:rsidR="005F7B91" w:rsidRPr="00954A4D" w:rsidRDefault="005F7B91" w:rsidP="00690A70">
      <w:pPr>
        <w:pStyle w:val="FootnoteText"/>
        <w:rPr>
          <w:lang w:val="en-US"/>
        </w:rPr>
      </w:pPr>
      <w:r>
        <w:rPr>
          <w:rStyle w:val="FootnoteReference"/>
        </w:rPr>
        <w:footnoteRef/>
      </w:r>
      <w:r w:rsidRPr="00954A4D">
        <w:rPr>
          <w:lang w:val="en-US"/>
        </w:rPr>
        <w:tab/>
        <w:t xml:space="preserve">Adapted from Eberle, A; Heath, G; Nicholson, S; Carpenter, A. (2017) Systematic Review of Life Cycle Greenhouse Gas Emissions from Geothermal Electricity, U.S. National Renewable Energy Laboratory Technical Report NREL/TP-6A20-68474, </w:t>
      </w:r>
      <w:hyperlink r:id="rId15" w:history="1">
        <w:r w:rsidRPr="00954A4D">
          <w:rPr>
            <w:rStyle w:val="Hyperlink"/>
            <w:lang w:val="en-US"/>
          </w:rPr>
          <w:t>https://docs.nlr.gov/docs/fy17osti/68474.pdf</w:t>
        </w:r>
      </w:hyperlink>
      <w:r w:rsidRPr="00954A4D">
        <w:rPr>
          <w:lang w:val="en-US"/>
        </w:rPr>
        <w:t>.</w:t>
      </w:r>
    </w:p>
  </w:footnote>
  <w:footnote w:id="40">
    <w:p w14:paraId="56DD6B25" w14:textId="46C6C2CC" w:rsidR="00D853A1" w:rsidRDefault="00D853A1" w:rsidP="00D853A1">
      <w:pPr>
        <w:pStyle w:val="FootnoteText"/>
      </w:pPr>
      <w:r>
        <w:rPr>
          <w:rStyle w:val="FootnoteReference"/>
        </w:rPr>
        <w:footnoteRef/>
      </w:r>
      <w:r>
        <w:rPr>
          <w:lang w:val="en-US"/>
        </w:rPr>
        <w:tab/>
        <w:t>The default CH</w:t>
      </w:r>
      <w:r w:rsidRPr="003D75AC">
        <w:rPr>
          <w:vertAlign w:val="subscript"/>
          <w:lang w:val="en-US"/>
        </w:rPr>
        <w:t>4</w:t>
      </w:r>
      <w:r>
        <w:rPr>
          <w:lang w:val="en-US"/>
        </w:rPr>
        <w:t xml:space="preserve"> emission factor for the combustion of fossil fuels from the IPCC (2006) is in the range of 1-10 kg</w:t>
      </w:r>
      <w:r w:rsidR="001E7C7B">
        <w:rPr>
          <w:lang w:val="en-US"/>
        </w:rPr>
        <w:t> </w:t>
      </w:r>
      <w:r>
        <w:rPr>
          <w:lang w:val="en-US"/>
        </w:rPr>
        <w:t>CH</w:t>
      </w:r>
      <w:r w:rsidRPr="003D75AC">
        <w:rPr>
          <w:vertAlign w:val="subscript"/>
          <w:lang w:val="en-US"/>
        </w:rPr>
        <w:t>4</w:t>
      </w:r>
      <w:r w:rsidR="001E7C7B">
        <w:rPr>
          <w:lang w:val="en-US"/>
        </w:rPr>
        <w:t> </w:t>
      </w:r>
      <w:r>
        <w:rPr>
          <w:lang w:val="en-US"/>
        </w:rPr>
        <w:t>/</w:t>
      </w:r>
      <w:r w:rsidR="001E7C7B">
        <w:rPr>
          <w:lang w:val="en-US"/>
        </w:rPr>
        <w:t> </w:t>
      </w:r>
      <w:r>
        <w:rPr>
          <w:lang w:val="en-US"/>
        </w:rPr>
        <w:t>TJ (converted to 28-280 kg</w:t>
      </w:r>
      <w:r w:rsidR="001E7C7B">
        <w:rPr>
          <w:lang w:val="en-US"/>
        </w:rPr>
        <w:t> </w:t>
      </w:r>
      <w:r>
        <w:rPr>
          <w:lang w:val="en-US"/>
        </w:rPr>
        <w:t>CO</w:t>
      </w:r>
      <w:r w:rsidRPr="003D75AC">
        <w:rPr>
          <w:vertAlign w:val="subscript"/>
          <w:lang w:val="en-US"/>
        </w:rPr>
        <w:t>2</w:t>
      </w:r>
      <w:r>
        <w:rPr>
          <w:lang w:val="en-US"/>
        </w:rPr>
        <w:t>eq</w:t>
      </w:r>
      <w:r w:rsidR="001E7C7B">
        <w:rPr>
          <w:lang w:val="en-US"/>
        </w:rPr>
        <w:t> </w:t>
      </w:r>
      <w:r>
        <w:rPr>
          <w:lang w:val="en-US"/>
        </w:rPr>
        <w:t>/</w:t>
      </w:r>
      <w:r w:rsidR="001E7C7B">
        <w:rPr>
          <w:lang w:val="en-US"/>
        </w:rPr>
        <w:t> </w:t>
      </w:r>
      <w:r>
        <w:rPr>
          <w:lang w:val="en-US"/>
        </w:rPr>
        <w:t>TJ), whereas the N</w:t>
      </w:r>
      <w:r w:rsidRPr="003D75AC">
        <w:rPr>
          <w:vertAlign w:val="subscript"/>
          <w:lang w:val="en-US"/>
        </w:rPr>
        <w:t>2</w:t>
      </w:r>
      <w:r>
        <w:rPr>
          <w:lang w:val="en-US"/>
        </w:rPr>
        <w:t>O emission factor from the same 2006 IPCC Guidelines is in the range of 0.6-2 kg</w:t>
      </w:r>
      <w:r w:rsidR="001E7C7B">
        <w:rPr>
          <w:lang w:val="en-US"/>
        </w:rPr>
        <w:t> </w:t>
      </w:r>
      <w:r>
        <w:rPr>
          <w:lang w:val="en-US"/>
        </w:rPr>
        <w:t>N</w:t>
      </w:r>
      <w:r w:rsidRPr="003D75AC">
        <w:rPr>
          <w:vertAlign w:val="subscript"/>
          <w:lang w:val="en-US"/>
        </w:rPr>
        <w:t>2</w:t>
      </w:r>
      <w:r>
        <w:rPr>
          <w:lang w:val="en-US"/>
        </w:rPr>
        <w:t>O</w:t>
      </w:r>
      <w:r w:rsidR="001E7C7B">
        <w:rPr>
          <w:lang w:val="en-US"/>
        </w:rPr>
        <w:t> </w:t>
      </w:r>
      <w:r>
        <w:rPr>
          <w:lang w:val="en-US"/>
        </w:rPr>
        <w:t>/</w:t>
      </w:r>
      <w:r w:rsidR="001E7C7B">
        <w:rPr>
          <w:lang w:val="en-US"/>
        </w:rPr>
        <w:t> </w:t>
      </w:r>
      <w:r>
        <w:rPr>
          <w:lang w:val="en-US"/>
        </w:rPr>
        <w:t>TJ (converted to 159-530 kg</w:t>
      </w:r>
      <w:r w:rsidR="001E7C7B">
        <w:rPr>
          <w:lang w:val="en-US"/>
        </w:rPr>
        <w:t> </w:t>
      </w:r>
      <w:r>
        <w:rPr>
          <w:lang w:val="en-US"/>
        </w:rPr>
        <w:t>CO</w:t>
      </w:r>
      <w:r w:rsidRPr="003D75AC">
        <w:rPr>
          <w:vertAlign w:val="subscript"/>
          <w:lang w:val="en-US"/>
        </w:rPr>
        <w:t>2</w:t>
      </w:r>
      <w:r>
        <w:rPr>
          <w:lang w:val="en-US"/>
        </w:rPr>
        <w:t>eq</w:t>
      </w:r>
      <w:r w:rsidR="001E7C7B">
        <w:rPr>
          <w:lang w:val="en-US"/>
        </w:rPr>
        <w:t> </w:t>
      </w:r>
      <w:r>
        <w:rPr>
          <w:lang w:val="en-US"/>
        </w:rPr>
        <w:t>/</w:t>
      </w:r>
      <w:r w:rsidR="001E7C7B">
        <w:rPr>
          <w:lang w:val="en-US"/>
        </w:rPr>
        <w:t> </w:t>
      </w:r>
      <w:r>
        <w:rPr>
          <w:lang w:val="en-US"/>
        </w:rPr>
        <w:t>TJ), which is significantly lower in scale when compared to the emissions of CO</w:t>
      </w:r>
      <w:r w:rsidRPr="003D75AC">
        <w:rPr>
          <w:vertAlign w:val="subscript"/>
          <w:lang w:val="en-US"/>
        </w:rPr>
        <w:t>2</w:t>
      </w:r>
      <w:r>
        <w:rPr>
          <w:lang w:val="en-US"/>
        </w:rPr>
        <w:t xml:space="preserve"> (e.g., the CO</w:t>
      </w:r>
      <w:r w:rsidRPr="003D75AC">
        <w:rPr>
          <w:vertAlign w:val="subscript"/>
          <w:lang w:val="en-US"/>
        </w:rPr>
        <w:t>2</w:t>
      </w:r>
      <w:r>
        <w:rPr>
          <w:lang w:val="en-US"/>
        </w:rPr>
        <w:t xml:space="preserve"> emission factor of natural gas is in the range of 54</w:t>
      </w:r>
      <w:r w:rsidR="00F531C2">
        <w:rPr>
          <w:lang w:val="en-US"/>
        </w:rPr>
        <w:t xml:space="preserve"> </w:t>
      </w:r>
      <w:r>
        <w:rPr>
          <w:lang w:val="en-US"/>
        </w:rPr>
        <w:t>300-58</w:t>
      </w:r>
      <w:r w:rsidR="00F531C2">
        <w:rPr>
          <w:lang w:val="en-US"/>
        </w:rPr>
        <w:t xml:space="preserve"> </w:t>
      </w:r>
      <w:r>
        <w:rPr>
          <w:lang w:val="en-US"/>
        </w:rPr>
        <w:t>300 kg</w:t>
      </w:r>
      <w:r w:rsidR="001E7C7B">
        <w:rPr>
          <w:lang w:val="en-US"/>
        </w:rPr>
        <w:t> </w:t>
      </w:r>
      <w:r>
        <w:rPr>
          <w:lang w:val="en-US"/>
        </w:rPr>
        <w:t>CO</w:t>
      </w:r>
      <w:r w:rsidRPr="003D75AC">
        <w:rPr>
          <w:vertAlign w:val="subscript"/>
          <w:lang w:val="en-US"/>
        </w:rPr>
        <w:t>2</w:t>
      </w:r>
      <w:r>
        <w:rPr>
          <w:lang w:val="en-US"/>
        </w:rPr>
        <w:t>eq</w:t>
      </w:r>
      <w:r w:rsidR="001E7C7B">
        <w:rPr>
          <w:lang w:val="en-US"/>
        </w:rPr>
        <w:t> </w:t>
      </w:r>
      <w:r>
        <w:rPr>
          <w:lang w:val="en-US"/>
        </w:rPr>
        <w:t>/</w:t>
      </w:r>
      <w:r w:rsidR="001E7C7B">
        <w:rPr>
          <w:lang w:val="en-US"/>
        </w:rPr>
        <w:t> </w:t>
      </w:r>
      <w:r>
        <w:rPr>
          <w:lang w:val="en-US"/>
        </w:rPr>
        <w:t>TJ).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5F77" w14:textId="7E02567D" w:rsidR="008011CA" w:rsidRPr="005307EB" w:rsidRDefault="001F47BD" w:rsidP="005307EB">
    <w:pPr>
      <w:pStyle w:val="SDMTiHead"/>
      <w:pBdr>
        <w:bottom w:val="single" w:sz="24" w:space="10" w:color="auto"/>
      </w:pBdr>
      <w:tabs>
        <w:tab w:val="clear" w:pos="4320"/>
        <w:tab w:val="clear" w:pos="8640"/>
      </w:tabs>
      <w:spacing w:after="240"/>
      <w:ind w:left="0" w:firstLine="0"/>
      <w:rPr>
        <w:lang w:val="de-DE"/>
      </w:rPr>
    </w:pPr>
    <w:r>
      <w:rPr>
        <w:lang w:val="de-DE"/>
      </w:rPr>
      <w:t xml:space="preserve">article 6.4 </w:t>
    </w:r>
    <w:r w:rsidR="008011CA">
      <w:rPr>
        <w:lang w:val="de-DE"/>
      </w:rPr>
      <w:t>Mechanism</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1FDB" w14:textId="77777777" w:rsidR="0097032E" w:rsidRPr="00B5677C" w:rsidRDefault="0097032E" w:rsidP="00690A70">
    <w:pPr>
      <w:numPr>
        <w:ilvl w:val="5"/>
        <w:numId w:val="0"/>
      </w:num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0E67" w14:textId="79B1EFD2" w:rsidR="00502166" w:rsidRDefault="004D7346" w:rsidP="00502166">
    <w:pPr>
      <w:pStyle w:val="SDMHeader"/>
    </w:pPr>
    <w:r w:rsidRPr="00FF477A">
      <w:fldChar w:fldCharType="begin"/>
    </w:r>
    <w:r w:rsidRPr="00FF477A">
      <w:instrText xml:space="preserve"> REF  SDMDocRef \* Upper \h  \* MERGEFORMAT </w:instrText>
    </w:r>
    <w:r w:rsidRPr="00FF477A">
      <w:fldChar w:fldCharType="separate"/>
    </w:r>
    <w:sdt>
      <w:sdtPr>
        <w:alias w:val="SDMDocRef"/>
        <w:tag w:val="SDMDocRef"/>
        <w:id w:val="-376627223"/>
        <w:lock w:val="sdtLocked"/>
        <w:placeholder>
          <w:docPart w:val="1431CF5130944CFA8A892CF1A1E4ADE0"/>
        </w:placeholder>
      </w:sdtPr>
      <w:sdtContent>
        <w:r w:rsidR="00D0578E" w:rsidRPr="00B50490">
          <w:t>A6.4-AMM-00</w:t>
        </w:r>
        <w:r w:rsidR="00D0578E">
          <w:t>3</w:t>
        </w:r>
      </w:sdtContent>
    </w:sdt>
    <w:r w:rsidRPr="00FF477A">
      <w:fldChar w:fldCharType="end"/>
    </w:r>
    <w:r w:rsidR="00502166">
      <w:tab/>
    </w:r>
    <w:r w:rsidRPr="00FF477A">
      <w:fldChar w:fldCharType="begin"/>
    </w:r>
    <w:r w:rsidRPr="00FF477A">
      <w:instrText xml:space="preserve"> REF  SDMConfidentialMark \* Upper \h  \* MERGEFORMAT </w:instrText>
    </w:r>
    <w:r w:rsidRPr="00FF477A">
      <w:fldChar w:fldCharType="separate"/>
    </w:r>
    <w:sdt>
      <w:sdtPr>
        <w:alias w:val="SDMConfidentialMark"/>
        <w:tag w:val="SDMConfidentialMark"/>
        <w:id w:val="-156238585"/>
        <w:lock w:val="sdtLocked"/>
        <w:placeholder>
          <w:docPart w:val="9D4E61F4DFAA46D0A183DD4AC8ECF0B2"/>
        </w:placeholder>
        <w:dropDownList>
          <w:listItem w:displayText="Confidential" w:value="Confidential"/>
          <w:listItem w:displayText=" " w:value="  "/>
        </w:dropDownList>
      </w:sdtPr>
      <w:sdtContent>
        <w:r w:rsidR="00D0578E">
          <w:t xml:space="preserve"> </w:t>
        </w:r>
      </w:sdtContent>
    </w:sdt>
    <w:r w:rsidRPr="00FF477A">
      <w:fldChar w:fldCharType="end"/>
    </w:r>
  </w:p>
  <w:p w14:paraId="6D9F8F5D" w14:textId="35742473" w:rsidR="004D7346" w:rsidRPr="00FF477A" w:rsidRDefault="004D7346" w:rsidP="00502166">
    <w:pPr>
      <w:pStyle w:val="SDMHeader"/>
    </w:pPr>
    <w:r w:rsidRPr="00FF477A">
      <w:fldChar w:fldCharType="begin"/>
    </w:r>
    <w:r w:rsidRPr="00FF477A">
      <w:instrText xml:space="preserve"> REF  SDMTitle1 \h  \* MERGEFORMAT </w:instrText>
    </w:r>
    <w:r w:rsidRPr="00FF477A">
      <w:fldChar w:fldCharType="separate"/>
    </w:r>
    <w:sdt>
      <w:sdtPr>
        <w:alias w:val="SDMTitle1"/>
        <w:tag w:val="SDMTitle1"/>
        <w:id w:val="385614741"/>
        <w:lock w:val="sdtLocked"/>
        <w:placeholder>
          <w:docPart w:val="A8A8291794FD45AC80240E811C7346A8"/>
        </w:placeholder>
      </w:sdtPr>
      <w:sdtContent>
        <w:r w:rsidR="00D0578E">
          <w:t>Mechanism</w:t>
        </w:r>
        <w:r w:rsidR="00D0578E" w:rsidRPr="0022484F">
          <w:t xml:space="preserve"> </w:t>
        </w:r>
        <w:sdt>
          <w:sdtPr>
            <w:alias w:val="SDMDocType"/>
            <w:tag w:val="SDMDocType"/>
            <w:id w:val="-1309086628"/>
            <w:lock w:val="sdtContentLocked"/>
            <w:placeholder>
              <w:docPart w:val="8AC10162DBDA4E4BAFDDDE3576C87A57"/>
            </w:placeholder>
            <w:dropDownList>
              <w:listItem w:displayText="Standard" w:value="Standard"/>
              <w:listItem w:displayText="Guideline" w:value="Guideline"/>
              <w:listItem w:displayText="Procedure" w:value="Procedure"/>
              <w:listItem w:displayText="Information note" w:value="Information note"/>
              <w:listItem w:displayText="Methodology" w:value="Methodology"/>
              <w:listItem w:displayText="Methodological tool" w:value="Methodological tool"/>
              <w:listItem w:displayText="Meeting report" w:value="Meeting report"/>
            </w:dropDownList>
          </w:sdtPr>
          <w:sdtContent>
            <w:r w:rsidR="00D0578E">
              <w:t>m</w:t>
            </w:r>
            <w:r w:rsidR="00D0578E" w:rsidRPr="0022484F">
              <w:t>ethodology</w:t>
            </w:r>
          </w:sdtContent>
        </w:sdt>
      </w:sdtContent>
    </w:sdt>
    <w:r w:rsidRPr="00FF477A">
      <w:fldChar w:fldCharType="end"/>
    </w:r>
    <w:r w:rsidRPr="00FF477A">
      <w:t xml:space="preserve">: </w:t>
    </w:r>
    <w:r w:rsidRPr="00FF477A">
      <w:fldChar w:fldCharType="begin"/>
    </w:r>
    <w:r w:rsidRPr="00FF477A">
      <w:instrText xml:space="preserve"> REF  SDMTitle2 \h  \* MERGEFORMAT </w:instrText>
    </w:r>
    <w:r w:rsidRPr="00FF477A">
      <w:fldChar w:fldCharType="separate"/>
    </w:r>
    <w:sdt>
      <w:sdtPr>
        <w:alias w:val="SDMTitle2"/>
        <w:tag w:val="SDMTitle2"/>
        <w:id w:val="-166488681"/>
        <w:lock w:val="sdtLocked"/>
        <w:placeholder>
          <w:docPart w:val="0F3A4E9D33924406961C22CF71574B37"/>
        </w:placeholder>
      </w:sdtPr>
      <w:sdtEndPr>
        <w:rPr>
          <w:lang w:val="de-DE"/>
        </w:rPr>
      </w:sdtEndPr>
      <w:sdtContent>
        <w:r w:rsidR="00D0578E">
          <w:t>Electricity</w:t>
        </w:r>
        <w:r w:rsidR="00D0578E" w:rsidRPr="00D27574">
          <w:t xml:space="preserve"> generation from renewable sources</w:t>
        </w:r>
        <w:r w:rsidR="00D0578E">
          <w:t xml:space="preserve"> connected to an electricity system</w:t>
        </w:r>
      </w:sdtContent>
    </w:sdt>
    <w:r w:rsidRPr="00FF477A">
      <w:fldChar w:fldCharType="end"/>
    </w:r>
  </w:p>
  <w:p w14:paraId="1D4BC624" w14:textId="2FD1E072" w:rsidR="004D7346" w:rsidRPr="00FF477A" w:rsidRDefault="004D7346" w:rsidP="00690A70">
    <w:pPr>
      <w:pStyle w:val="SDMHeader"/>
    </w:pPr>
    <w:r w:rsidRPr="00FF477A">
      <w:fldChar w:fldCharType="begin"/>
    </w:r>
    <w:r w:rsidRPr="00FF477A">
      <w:instrText xml:space="preserve"> REF  SDMDocVerLab \h  \* MERGEFORMAT </w:instrText>
    </w:r>
    <w:r w:rsidRPr="00FF477A">
      <w:fldChar w:fldCharType="separate"/>
    </w:r>
    <w:sdt>
      <w:sdtPr>
        <w:alias w:val="SDMDocVersionLabel"/>
        <w:tag w:val="SDMDocVersionLabel"/>
        <w:id w:val="391934458"/>
        <w:lock w:val="sdtLocked"/>
        <w:placeholder>
          <w:docPart w:val="A697EA6E58324696BD8EAC4F44C88B8A"/>
        </w:placeholder>
      </w:sdtPr>
      <w:sdtContent>
        <w:r w:rsidR="00D0578E" w:rsidRPr="00152FB5">
          <w:t>Version</w:t>
        </w:r>
        <w:r w:rsidR="00D0578E">
          <w:t xml:space="preserve"> </w:t>
        </w:r>
      </w:sdtContent>
    </w:sdt>
    <w:r w:rsidRPr="00FF477A">
      <w:fldChar w:fldCharType="end"/>
    </w:r>
    <w:r w:rsidRPr="00FF477A">
      <w:fldChar w:fldCharType="begin"/>
    </w:r>
    <w:r w:rsidRPr="00FF477A">
      <w:instrText xml:space="preserve"> REF  SDMDocVer \h  \* MERGEFORMAT </w:instrText>
    </w:r>
    <w:r w:rsidRPr="00FF477A">
      <w:fldChar w:fldCharType="separate"/>
    </w:r>
    <w:sdt>
      <w:sdtPr>
        <w:alias w:val="SDMDocVer"/>
        <w:tag w:val="SDMDocVer"/>
        <w:id w:val="-1945913823"/>
        <w:lock w:val="sdtLocked"/>
        <w:placeholder>
          <w:docPart w:val="B32550216A7949FE8FD26601C3DCB904"/>
        </w:placeholder>
        <w:showingPlcHdr/>
      </w:sdtPr>
      <w:sdtContent>
        <w:r w:rsidR="00D0578E">
          <w:t>01.0</w:t>
        </w:r>
      </w:sdtContent>
    </w:sdt>
    <w:r w:rsidRPr="00FF477A">
      <w:fldChar w:fldCharType="end"/>
    </w:r>
  </w:p>
  <w:p w14:paraId="7EFD2785" w14:textId="3823FC90" w:rsidR="004D7346" w:rsidRPr="00454CEC" w:rsidRDefault="004D7346" w:rsidP="00D06A18">
    <w:pPr>
      <w:pStyle w:val="SDMHeader"/>
    </w:pPr>
    <w:r w:rsidRPr="00FF477A">
      <w:fldChar w:fldCharType="begin"/>
    </w:r>
    <w:r w:rsidRPr="00FF477A">
      <w:instrText xml:space="preserve"> REF SDMSectoralScopeLab \h </w:instrText>
    </w:r>
    <w:r w:rsidR="00FF477A">
      <w:instrText xml:space="preserve"> \* MERGEFORMAT </w:instrText>
    </w:r>
    <w:r w:rsidRPr="00FF477A">
      <w:fldChar w:fldCharType="separate"/>
    </w:r>
    <w:sdt>
      <w:sdtPr>
        <w:alias w:val="SDMSectoralScopeLabel"/>
        <w:tag w:val="SDMSectoralScopeLabel"/>
        <w:id w:val="1976334974"/>
        <w:placeholder>
          <w:docPart w:val="3110C0EF53364918BB28C5A143E2953E"/>
        </w:placeholder>
      </w:sdtPr>
      <w:sdtContent>
        <w:r w:rsidR="00D0578E">
          <w:t xml:space="preserve">Sectoral scope(s): </w:t>
        </w:r>
      </w:sdtContent>
    </w:sdt>
    <w:r w:rsidRPr="00FF477A">
      <w:fldChar w:fldCharType="end"/>
    </w:r>
    <w:r w:rsidRPr="00FF477A">
      <w:fldChar w:fldCharType="begin"/>
    </w:r>
    <w:r w:rsidRPr="00FF477A">
      <w:instrText xml:space="preserve"> REF SDMSectoralScope \h </w:instrText>
    </w:r>
    <w:r w:rsidR="00FF477A">
      <w:instrText xml:space="preserve"> \* MERGEFORMAT </w:instrText>
    </w:r>
    <w:r w:rsidRPr="00FF477A">
      <w:fldChar w:fldCharType="separate"/>
    </w:r>
    <w:sdt>
      <w:sdtPr>
        <w:alias w:val="SDMSectoralScope"/>
        <w:tag w:val="SDMSectoralScope"/>
        <w:id w:val="-1096555247"/>
        <w:placeholder>
          <w:docPart w:val="3AFC070B4FD94F4E81355095A222F750"/>
        </w:placeholder>
      </w:sdtPr>
      <w:sdtContent>
        <w:r w:rsidR="00D0578E">
          <w:t>01</w:t>
        </w:r>
      </w:sdtContent>
    </w:sdt>
    <w:r w:rsidRPr="00FF477A">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DF42" w14:textId="77777777" w:rsidR="008011CA" w:rsidRDefault="008011C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6C64" w14:textId="3FA2F9AF" w:rsidR="008011CA" w:rsidRPr="001A7997" w:rsidRDefault="008011CA" w:rsidP="00B960DB">
    <w:pPr>
      <w:pStyle w:val="SDMHeader"/>
      <w:tabs>
        <w:tab w:val="left" w:pos="4705"/>
      </w:tabs>
    </w:pPr>
    <w:r w:rsidRPr="00454CEC">
      <w:fldChar w:fldCharType="begin"/>
    </w:r>
    <w:r w:rsidRPr="001A7997">
      <w:instrText xml:space="preserve"> REF  SDMDocRef \* Upper \h  \* MERGEFORMAT </w:instrText>
    </w:r>
    <w:r w:rsidRPr="00454CEC">
      <w:fldChar w:fldCharType="separate"/>
    </w:r>
    <w:sdt>
      <w:sdtPr>
        <w:alias w:val="SDMDocRef"/>
        <w:tag w:val="SDMDocRef"/>
        <w:id w:val="-225999557"/>
        <w:lock w:val="sdtLocked"/>
        <w:placeholder>
          <w:docPart w:val="D4994C2A136642EAA0671C42F5B37A8C"/>
        </w:placeholder>
      </w:sdtPr>
      <w:sdtContent>
        <w:r w:rsidR="00D0578E" w:rsidRPr="00B50490">
          <w:t>A6.4-AMM-00</w:t>
        </w:r>
        <w:r w:rsidR="00D0578E">
          <w:t>3</w:t>
        </w:r>
      </w:sdtContent>
    </w:sdt>
    <w:r w:rsidRPr="00454CEC">
      <w:fldChar w:fldCharType="end"/>
    </w:r>
    <w:r w:rsidR="00A3250D">
      <w:tab/>
    </w:r>
    <w:r w:rsidR="00A3250D">
      <w:tab/>
    </w:r>
    <w:r w:rsidRPr="00454CEC">
      <w:fldChar w:fldCharType="begin"/>
    </w:r>
    <w:r w:rsidRPr="001A7997">
      <w:instrText xml:space="preserve"> REF  SDMConfidentialMark \* Upper \h  \* MERGEFORMAT </w:instrText>
    </w:r>
    <w:r w:rsidRPr="00454CEC">
      <w:fldChar w:fldCharType="separate"/>
    </w:r>
    <w:sdt>
      <w:sdtPr>
        <w:alias w:val="SDMConfidentialMark"/>
        <w:tag w:val="SDMConfidentialMark"/>
        <w:id w:val="-423877229"/>
        <w:lock w:val="sdtLocked"/>
        <w:placeholder>
          <w:docPart w:val="8D8094A70B754E6D802A517CED2A9380"/>
        </w:placeholder>
        <w:dropDownList>
          <w:listItem w:displayText="Confidential" w:value="Confidential"/>
          <w:listItem w:displayText=" " w:value="  "/>
        </w:dropDownList>
      </w:sdtPr>
      <w:sdtContent>
        <w:r w:rsidR="00D0578E">
          <w:t xml:space="preserve"> </w:t>
        </w:r>
      </w:sdtContent>
    </w:sdt>
    <w:r w:rsidRPr="00454CEC">
      <w:fldChar w:fldCharType="end"/>
    </w:r>
  </w:p>
  <w:p w14:paraId="48521D68" w14:textId="316BB42B" w:rsidR="008011CA" w:rsidRPr="004639DA" w:rsidRDefault="008011CA" w:rsidP="004639DA">
    <w:pPr>
      <w:pStyle w:val="SDMHeader"/>
    </w:pPr>
    <w:r w:rsidRPr="004639DA">
      <w:fldChar w:fldCharType="begin"/>
    </w:r>
    <w:r w:rsidRPr="004639DA">
      <w:instrText xml:space="preserve"> REF  SDMTitle1 \h  \* MERGEFORMAT </w:instrText>
    </w:r>
    <w:r w:rsidRPr="004639DA">
      <w:fldChar w:fldCharType="separate"/>
    </w:r>
    <w:sdt>
      <w:sdtPr>
        <w:alias w:val="SDMTitle1"/>
        <w:tag w:val="SDMTitle1"/>
        <w:id w:val="-588158637"/>
        <w:lock w:val="sdtLocked"/>
        <w:placeholder>
          <w:docPart w:val="C40182D6226443B6AA761F1975BEAE1D"/>
        </w:placeholder>
      </w:sdtPr>
      <w:sdtContent>
        <w:r w:rsidR="00D0578E">
          <w:t>Mechanism</w:t>
        </w:r>
        <w:r w:rsidR="00D0578E" w:rsidRPr="0022484F">
          <w:t xml:space="preserve"> </w:t>
        </w:r>
        <w:sdt>
          <w:sdtPr>
            <w:alias w:val="SDMDocType"/>
            <w:tag w:val="SDMDocType"/>
            <w:id w:val="-521630322"/>
            <w:lock w:val="sdtContentLocked"/>
            <w:placeholder>
              <w:docPart w:val="FDA0D139F7584340B215186B5DC2107A"/>
            </w:placeholder>
            <w:dropDownList>
              <w:listItem w:displayText="Standard" w:value="Standard"/>
              <w:listItem w:displayText="Guideline" w:value="Guideline"/>
              <w:listItem w:displayText="Procedure" w:value="Procedure"/>
              <w:listItem w:displayText="Information note" w:value="Information note"/>
              <w:listItem w:displayText="Methodology" w:value="Methodology"/>
              <w:listItem w:displayText="Methodological tool" w:value="Methodological tool"/>
              <w:listItem w:displayText="Meeting report" w:value="Meeting report"/>
            </w:dropDownList>
          </w:sdtPr>
          <w:sdtContent>
            <w:r w:rsidR="00D0578E">
              <w:t>m</w:t>
            </w:r>
            <w:r w:rsidR="00D0578E" w:rsidRPr="0022484F">
              <w:t>ethodology</w:t>
            </w:r>
          </w:sdtContent>
        </w:sdt>
      </w:sdtContent>
    </w:sdt>
    <w:r w:rsidRPr="004639DA">
      <w:fldChar w:fldCharType="end"/>
    </w:r>
    <w:r w:rsidRPr="004639DA">
      <w:t xml:space="preserve">: </w:t>
    </w:r>
    <w:r w:rsidRPr="004639DA">
      <w:fldChar w:fldCharType="begin"/>
    </w:r>
    <w:r w:rsidRPr="004639DA">
      <w:instrText xml:space="preserve"> REF  SDMTitle2 \h  \* MERGEFORMAT </w:instrText>
    </w:r>
    <w:r w:rsidRPr="004639DA">
      <w:fldChar w:fldCharType="separate"/>
    </w:r>
    <w:sdt>
      <w:sdtPr>
        <w:alias w:val="SDMTitle2"/>
        <w:tag w:val="SDMTitle2"/>
        <w:id w:val="-1784018339"/>
        <w:lock w:val="sdtLocked"/>
        <w:placeholder>
          <w:docPart w:val="BD93C47F13CA4CC0AA63BD09D13F7A9F"/>
        </w:placeholder>
      </w:sdtPr>
      <w:sdtEndPr>
        <w:rPr>
          <w:lang w:val="de-DE"/>
        </w:rPr>
      </w:sdtEndPr>
      <w:sdtContent>
        <w:r w:rsidR="00D0578E">
          <w:t>Electricity</w:t>
        </w:r>
        <w:r w:rsidR="00D0578E" w:rsidRPr="00D27574">
          <w:t xml:space="preserve"> generation from renewable sources</w:t>
        </w:r>
        <w:r w:rsidR="00D0578E">
          <w:t xml:space="preserve"> connected to an electricity system</w:t>
        </w:r>
      </w:sdtContent>
    </w:sdt>
    <w:r w:rsidRPr="004639DA">
      <w:fldChar w:fldCharType="end"/>
    </w:r>
  </w:p>
  <w:p w14:paraId="113EF9E6" w14:textId="3C797204" w:rsidR="008011CA" w:rsidRDefault="008011CA" w:rsidP="00454CEC">
    <w:pPr>
      <w:pStyle w:val="SDMHeader"/>
    </w:pPr>
    <w:r w:rsidRPr="00454CEC">
      <w:fldChar w:fldCharType="begin"/>
    </w:r>
    <w:r w:rsidRPr="00454CEC">
      <w:instrText xml:space="preserve"> REF  SDMDocVerLab \h  \* MERGEFORMAT </w:instrText>
    </w:r>
    <w:r w:rsidRPr="00454CEC">
      <w:fldChar w:fldCharType="separate"/>
    </w:r>
    <w:sdt>
      <w:sdtPr>
        <w:alias w:val="SDMDocVersionLabel"/>
        <w:tag w:val="SDMDocVersionLabel"/>
        <w:id w:val="-957252437"/>
        <w:lock w:val="sdtLocked"/>
        <w:placeholder>
          <w:docPart w:val="23682C3E64DF47E9B78E0CDAB0739819"/>
        </w:placeholder>
      </w:sdtPr>
      <w:sdtContent>
        <w:r w:rsidR="00D0578E" w:rsidRPr="00152FB5">
          <w:t>Version</w:t>
        </w:r>
        <w:r w:rsidR="00D0578E">
          <w:t xml:space="preserve"> </w:t>
        </w:r>
      </w:sdtContent>
    </w:sdt>
    <w:r w:rsidRPr="00454CEC">
      <w:fldChar w:fldCharType="end"/>
    </w:r>
    <w:r w:rsidRPr="00454CEC">
      <w:fldChar w:fldCharType="begin"/>
    </w:r>
    <w:r w:rsidRPr="00454CEC">
      <w:instrText xml:space="preserve"> REF  SDMDocVer \h  \* MERGEFORMAT </w:instrText>
    </w:r>
    <w:r w:rsidRPr="00454CEC">
      <w:fldChar w:fldCharType="separate"/>
    </w:r>
    <w:sdt>
      <w:sdtPr>
        <w:alias w:val="SDMDocVer"/>
        <w:tag w:val="SDMDocVer"/>
        <w:id w:val="1944723842"/>
        <w:lock w:val="sdtLocked"/>
        <w:placeholder>
          <w:docPart w:val="A6D7AC910CEE439AB6E9B26DBBDEC888"/>
        </w:placeholder>
        <w:showingPlcHdr/>
      </w:sdtPr>
      <w:sdtContent>
        <w:r w:rsidR="00D0578E">
          <w:t>01.0</w:t>
        </w:r>
      </w:sdtContent>
    </w:sdt>
    <w:r w:rsidRPr="00454CEC">
      <w:fldChar w:fldCharType="end"/>
    </w:r>
  </w:p>
  <w:p w14:paraId="38059B3C" w14:textId="4CB1B498" w:rsidR="008011CA" w:rsidRPr="001F2AF9" w:rsidRDefault="008011CA" w:rsidP="00454CEC">
    <w:pPr>
      <w:pStyle w:val="SDMHeader"/>
      <w:rPr>
        <w:szCs w:val="20"/>
      </w:rPr>
    </w:pPr>
    <w:r>
      <w:fldChar w:fldCharType="begin"/>
    </w:r>
    <w:r>
      <w:rPr>
        <w:szCs w:val="20"/>
      </w:rPr>
      <w:instrText xml:space="preserve"> REF SDMSectoralScopeLab \h </w:instrText>
    </w:r>
    <w:r>
      <w:fldChar w:fldCharType="separate"/>
    </w:r>
    <w:sdt>
      <w:sdtPr>
        <w:alias w:val="SDMSectoralScopeLabel"/>
        <w:tag w:val="SDMSectoralScopeLabel"/>
        <w:id w:val="-1769079821"/>
        <w:placeholder>
          <w:docPart w:val="F809BC2FFD68416C87D795E8038E0E70"/>
        </w:placeholder>
      </w:sdtPr>
      <w:sdtContent>
        <w:r w:rsidR="00D0578E">
          <w:t xml:space="preserve">Sectoral scope(s): </w:t>
        </w:r>
      </w:sdtContent>
    </w:sdt>
    <w:r>
      <w:fldChar w:fldCharType="end"/>
    </w:r>
    <w:r>
      <w:fldChar w:fldCharType="begin"/>
    </w:r>
    <w:r>
      <w:instrText xml:space="preserve"> REF SDMSectoralScope \h </w:instrText>
    </w:r>
    <w:r>
      <w:fldChar w:fldCharType="separate"/>
    </w:r>
    <w:sdt>
      <w:sdtPr>
        <w:alias w:val="SDMSectoralScope"/>
        <w:tag w:val="SDMSectoralScope"/>
        <w:id w:val="1852604715"/>
        <w:placeholder>
          <w:docPart w:val="D0C5919B652B43E5A465FA1F9271D91C"/>
        </w:placeholder>
      </w:sdtPr>
      <w:sdtContent>
        <w:r w:rsidR="00D0578E">
          <w:t>01</w:t>
        </w:r>
      </w:sdtContent>
    </w:sdt>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559D" w14:textId="77777777" w:rsidR="008011CA" w:rsidRPr="003944B6" w:rsidRDefault="008011CA" w:rsidP="003944B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1F23" w14:textId="77777777" w:rsidR="008011CA" w:rsidRDefault="008011C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B664" w14:textId="1DC87815" w:rsidR="00284A0C" w:rsidRPr="00FF477A" w:rsidRDefault="00284A0C" w:rsidP="00284A0C">
    <w:pPr>
      <w:pStyle w:val="SDMHeader"/>
    </w:pPr>
    <w:r w:rsidRPr="00FF477A">
      <w:fldChar w:fldCharType="begin"/>
    </w:r>
    <w:r w:rsidRPr="00FF477A">
      <w:instrText xml:space="preserve"> REF  SDMDocRef \* Upper \h  \* MERGEFORMAT </w:instrText>
    </w:r>
    <w:r w:rsidRPr="00FF477A">
      <w:fldChar w:fldCharType="separate"/>
    </w:r>
    <w:sdt>
      <w:sdtPr>
        <w:alias w:val="SDMDocRef"/>
        <w:tag w:val="SDMDocRef"/>
        <w:id w:val="94295247"/>
        <w:lock w:val="sdtLocked"/>
        <w:placeholder>
          <w:docPart w:val="09122DAEB4F648A89CDC2C9716D90003"/>
        </w:placeholder>
      </w:sdtPr>
      <w:sdtContent>
        <w:r w:rsidR="00D0578E" w:rsidRPr="00B50490">
          <w:t>A6.4-AMM-00</w:t>
        </w:r>
        <w:r w:rsidR="00D0578E">
          <w:t>3</w:t>
        </w:r>
      </w:sdtContent>
    </w:sdt>
    <w:r w:rsidRPr="00FF477A">
      <w:fldChar w:fldCharType="end"/>
    </w:r>
    <w:r w:rsidRPr="00FF477A">
      <w:tab/>
    </w:r>
    <w:r w:rsidRPr="00FF477A">
      <w:fldChar w:fldCharType="begin"/>
    </w:r>
    <w:r w:rsidRPr="00FF477A">
      <w:instrText xml:space="preserve"> REF  SDMConfidentialMark \* Upper \h  \* MERGEFORMAT </w:instrText>
    </w:r>
    <w:r w:rsidRPr="00FF477A">
      <w:fldChar w:fldCharType="separate"/>
    </w:r>
    <w:sdt>
      <w:sdtPr>
        <w:alias w:val="SDMConfidentialMark"/>
        <w:tag w:val="SDMConfidentialMark"/>
        <w:id w:val="-1653437475"/>
        <w:lock w:val="sdtLocked"/>
        <w:placeholder>
          <w:docPart w:val="B2997243BF2F47BD8430DCB861039B82"/>
        </w:placeholder>
        <w:dropDownList>
          <w:listItem w:displayText="Confidential" w:value="Confidential"/>
          <w:listItem w:displayText=" " w:value="  "/>
        </w:dropDownList>
      </w:sdtPr>
      <w:sdtContent>
        <w:r w:rsidR="00D0578E">
          <w:t xml:space="preserve"> </w:t>
        </w:r>
      </w:sdtContent>
    </w:sdt>
    <w:r w:rsidRPr="00FF477A">
      <w:fldChar w:fldCharType="end"/>
    </w:r>
  </w:p>
  <w:p w14:paraId="17471A29" w14:textId="0B4E76F9" w:rsidR="00284A0C" w:rsidRPr="00FF477A" w:rsidRDefault="00284A0C" w:rsidP="00284A0C">
    <w:pPr>
      <w:pStyle w:val="SDMHeader"/>
    </w:pPr>
    <w:r w:rsidRPr="00FF477A">
      <w:fldChar w:fldCharType="begin"/>
    </w:r>
    <w:r w:rsidRPr="00FF477A">
      <w:instrText xml:space="preserve"> REF  SDMTitle1 \h  \* MERGEFORMAT </w:instrText>
    </w:r>
    <w:r w:rsidRPr="00FF477A">
      <w:fldChar w:fldCharType="separate"/>
    </w:r>
    <w:sdt>
      <w:sdtPr>
        <w:alias w:val="SDMTitle1"/>
        <w:tag w:val="SDMTitle1"/>
        <w:id w:val="413976896"/>
        <w:lock w:val="sdtLocked"/>
        <w:placeholder>
          <w:docPart w:val="E9571E95C955444A8408B37AA234D401"/>
        </w:placeholder>
      </w:sdtPr>
      <w:sdtContent>
        <w:r w:rsidR="00D0578E">
          <w:t>Mechanism</w:t>
        </w:r>
        <w:r w:rsidR="00D0578E" w:rsidRPr="0022484F">
          <w:t xml:space="preserve"> </w:t>
        </w:r>
        <w:sdt>
          <w:sdtPr>
            <w:alias w:val="SDMDocType"/>
            <w:tag w:val="SDMDocType"/>
            <w:id w:val="215933778"/>
            <w:lock w:val="sdtContentLocked"/>
            <w:placeholder>
              <w:docPart w:val="3304FCB2E3DE4C058C3B94AFA663C8A7"/>
            </w:placeholder>
            <w:dropDownList>
              <w:listItem w:displayText="Standard" w:value="Standard"/>
              <w:listItem w:displayText="Guideline" w:value="Guideline"/>
              <w:listItem w:displayText="Procedure" w:value="Procedure"/>
              <w:listItem w:displayText="Information note" w:value="Information note"/>
              <w:listItem w:displayText="Methodology" w:value="Methodology"/>
              <w:listItem w:displayText="Methodological tool" w:value="Methodological tool"/>
              <w:listItem w:displayText="Meeting report" w:value="Meeting report"/>
            </w:dropDownList>
          </w:sdtPr>
          <w:sdtContent>
            <w:r w:rsidR="00D0578E">
              <w:t>m</w:t>
            </w:r>
            <w:r w:rsidR="00D0578E" w:rsidRPr="0022484F">
              <w:t>ethodology</w:t>
            </w:r>
          </w:sdtContent>
        </w:sdt>
      </w:sdtContent>
    </w:sdt>
    <w:r w:rsidRPr="00FF477A">
      <w:fldChar w:fldCharType="end"/>
    </w:r>
    <w:r w:rsidR="00FF17DA">
      <w:t>:</w:t>
    </w:r>
    <w:r w:rsidR="00BE2316">
      <w:t xml:space="preserve"> </w:t>
    </w:r>
    <w:r w:rsidRPr="00FF477A">
      <w:fldChar w:fldCharType="begin"/>
    </w:r>
    <w:r w:rsidRPr="00FF477A">
      <w:instrText xml:space="preserve"> REF  SDMTitle2 \h  \* MERGEFORMAT </w:instrText>
    </w:r>
    <w:r w:rsidRPr="00FF477A">
      <w:fldChar w:fldCharType="separate"/>
    </w:r>
    <w:sdt>
      <w:sdtPr>
        <w:alias w:val="SDMTitle2"/>
        <w:tag w:val="SDMTitle2"/>
        <w:id w:val="1763026344"/>
        <w:lock w:val="sdtLocked"/>
        <w:placeholder>
          <w:docPart w:val="7585AF2E74DD452C86BF56D110D32E16"/>
        </w:placeholder>
      </w:sdtPr>
      <w:sdtEndPr>
        <w:rPr>
          <w:lang w:val="de-DE"/>
        </w:rPr>
      </w:sdtEndPr>
      <w:sdtContent>
        <w:r w:rsidR="00D0578E">
          <w:t>Electricity</w:t>
        </w:r>
        <w:r w:rsidR="00D0578E" w:rsidRPr="00D27574">
          <w:t xml:space="preserve"> generation from renewable sources</w:t>
        </w:r>
        <w:r w:rsidR="00D0578E">
          <w:t xml:space="preserve"> connected to an electricity system</w:t>
        </w:r>
      </w:sdtContent>
    </w:sdt>
    <w:r w:rsidRPr="00FF477A">
      <w:fldChar w:fldCharType="end"/>
    </w:r>
  </w:p>
  <w:p w14:paraId="1DC345E1" w14:textId="4D7D8C27" w:rsidR="00284A0C" w:rsidRPr="00FF477A" w:rsidRDefault="00284A0C" w:rsidP="00284A0C">
    <w:pPr>
      <w:pStyle w:val="SDMHeader"/>
    </w:pPr>
    <w:r w:rsidRPr="00FF477A">
      <w:fldChar w:fldCharType="begin"/>
    </w:r>
    <w:r w:rsidRPr="00FF477A">
      <w:instrText xml:space="preserve"> REF  SDMDocVerLab \h  \* MERGEFORMAT </w:instrText>
    </w:r>
    <w:r w:rsidRPr="00FF477A">
      <w:fldChar w:fldCharType="separate"/>
    </w:r>
    <w:sdt>
      <w:sdtPr>
        <w:alias w:val="SDMDocVersionLabel"/>
        <w:tag w:val="SDMDocVersionLabel"/>
        <w:id w:val="-69501144"/>
        <w:lock w:val="sdtLocked"/>
        <w:placeholder>
          <w:docPart w:val="9A2CC36867FC4B0ABDA5ABB7DAA9C515"/>
        </w:placeholder>
      </w:sdtPr>
      <w:sdtContent>
        <w:r w:rsidR="00D0578E" w:rsidRPr="00152FB5">
          <w:t>Version</w:t>
        </w:r>
        <w:r w:rsidR="00D0578E">
          <w:t xml:space="preserve"> </w:t>
        </w:r>
      </w:sdtContent>
    </w:sdt>
    <w:r w:rsidRPr="00FF477A">
      <w:fldChar w:fldCharType="end"/>
    </w:r>
    <w:r w:rsidRPr="00FF477A">
      <w:fldChar w:fldCharType="begin"/>
    </w:r>
    <w:r w:rsidRPr="00FF477A">
      <w:instrText xml:space="preserve"> REF  SDMDocVer \h  \* MERGEFORMAT </w:instrText>
    </w:r>
    <w:r w:rsidRPr="00FF477A">
      <w:fldChar w:fldCharType="separate"/>
    </w:r>
    <w:sdt>
      <w:sdtPr>
        <w:alias w:val="SDMDocVer"/>
        <w:tag w:val="SDMDocVer"/>
        <w:id w:val="-1529101345"/>
        <w:lock w:val="sdtLocked"/>
        <w:placeholder>
          <w:docPart w:val="ABCCA8767A2746C7BCDBDC2C469AFB50"/>
        </w:placeholder>
        <w:showingPlcHdr/>
      </w:sdtPr>
      <w:sdtContent>
        <w:r w:rsidR="00D0578E">
          <w:t>01.0</w:t>
        </w:r>
      </w:sdtContent>
    </w:sdt>
    <w:r w:rsidRPr="00FF477A">
      <w:fldChar w:fldCharType="end"/>
    </w:r>
  </w:p>
  <w:p w14:paraId="675C77F1" w14:textId="7AAD6F66" w:rsidR="008011CA" w:rsidRPr="00454CEC" w:rsidRDefault="00284A0C" w:rsidP="00454CEC">
    <w:pPr>
      <w:pStyle w:val="SDMHeader"/>
    </w:pPr>
    <w:r w:rsidRPr="00FF477A">
      <w:fldChar w:fldCharType="begin"/>
    </w:r>
    <w:r w:rsidRPr="00FF477A">
      <w:instrText xml:space="preserve"> REF SDMSectoralScopeLab \h </w:instrText>
    </w:r>
    <w:r w:rsidR="00FF477A">
      <w:instrText xml:space="preserve"> \* MERGEFORMAT </w:instrText>
    </w:r>
    <w:r w:rsidRPr="00FF477A">
      <w:fldChar w:fldCharType="separate"/>
    </w:r>
    <w:sdt>
      <w:sdtPr>
        <w:alias w:val="SDMSectoralScopeLabel"/>
        <w:tag w:val="SDMSectoralScopeLabel"/>
        <w:id w:val="1004096786"/>
        <w:placeholder>
          <w:docPart w:val="03DBC314D5E04D74B86471512FF00BBA"/>
        </w:placeholder>
      </w:sdtPr>
      <w:sdtContent>
        <w:r w:rsidR="00D0578E">
          <w:t xml:space="preserve">Sectoral scope(s): </w:t>
        </w:r>
      </w:sdtContent>
    </w:sdt>
    <w:r w:rsidRPr="00FF477A">
      <w:fldChar w:fldCharType="end"/>
    </w:r>
    <w:r w:rsidRPr="00FF477A">
      <w:fldChar w:fldCharType="begin"/>
    </w:r>
    <w:r w:rsidRPr="00FF477A">
      <w:instrText xml:space="preserve"> REF SDMSectoralScope \h </w:instrText>
    </w:r>
    <w:r w:rsidR="00FF477A">
      <w:instrText xml:space="preserve"> \* MERGEFORMAT </w:instrText>
    </w:r>
    <w:r w:rsidRPr="00FF477A">
      <w:fldChar w:fldCharType="separate"/>
    </w:r>
    <w:sdt>
      <w:sdtPr>
        <w:alias w:val="SDMSectoralScope"/>
        <w:tag w:val="SDMSectoralScope"/>
        <w:id w:val="1658652647"/>
        <w:placeholder>
          <w:docPart w:val="0D82F4E8DECA42ECA944DA1A3E2AF17B"/>
        </w:placeholder>
      </w:sdtPr>
      <w:sdtContent>
        <w:r w:rsidR="00D0578E">
          <w:t>01</w:t>
        </w:r>
      </w:sdtContent>
    </w:sdt>
    <w:r w:rsidRPr="00FF477A">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E4A5" w14:textId="77777777" w:rsidR="008011CA" w:rsidRPr="00B5677C" w:rsidRDefault="008011CA" w:rsidP="00B5677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E192" w14:textId="77777777" w:rsidR="0097032E" w:rsidRDefault="0097032E" w:rsidP="00690A70">
    <w:pPr>
      <w:numPr>
        <w:ilvl w:val="5"/>
        <w:numId w:val="0"/>
      </w:num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B2AB" w14:textId="3C8F5A87" w:rsidR="00502166" w:rsidRDefault="0097032E" w:rsidP="00502166">
    <w:pPr>
      <w:pStyle w:val="SDMHeader"/>
    </w:pPr>
    <w:r w:rsidRPr="003347FE">
      <w:fldChar w:fldCharType="begin"/>
    </w:r>
    <w:r w:rsidRPr="003347FE">
      <w:instrText xml:space="preserve"> REF  SDMDocRef \* Upper \h  \* MERGEFORMAT </w:instrText>
    </w:r>
    <w:r w:rsidRPr="003347FE">
      <w:fldChar w:fldCharType="separate"/>
    </w:r>
    <w:sdt>
      <w:sdtPr>
        <w:alias w:val="SDMDocRef"/>
        <w:tag w:val="SDMDocRef"/>
        <w:id w:val="590289954"/>
        <w:lock w:val="sdtLocked"/>
        <w:placeholder>
          <w:docPart w:val="FE29E9343C3C44F48F601205E7E3AC5C"/>
        </w:placeholder>
      </w:sdtPr>
      <w:sdtContent>
        <w:r w:rsidR="00D0578E" w:rsidRPr="00B50490">
          <w:t>A6.4-AMM-00</w:t>
        </w:r>
        <w:r w:rsidR="00D0578E">
          <w:t>3</w:t>
        </w:r>
      </w:sdtContent>
    </w:sdt>
    <w:r w:rsidRPr="003347FE">
      <w:fldChar w:fldCharType="end"/>
    </w:r>
    <w:r w:rsidR="00502166">
      <w:tab/>
    </w:r>
    <w:r w:rsidRPr="003347FE">
      <w:fldChar w:fldCharType="begin"/>
    </w:r>
    <w:r w:rsidRPr="003347FE">
      <w:instrText xml:space="preserve"> REF  SDMConfidentialMark \* Upper \h  \* MERGEFORMAT </w:instrText>
    </w:r>
    <w:r w:rsidRPr="003347FE">
      <w:fldChar w:fldCharType="separate"/>
    </w:r>
    <w:sdt>
      <w:sdtPr>
        <w:alias w:val="SDMConfidentialMark"/>
        <w:tag w:val="SDMConfidentialMark"/>
        <w:id w:val="1015817874"/>
        <w:lock w:val="sdtLocked"/>
        <w:placeholder>
          <w:docPart w:val="3C66BCEB2CC048878B2F84AD973B35C9"/>
        </w:placeholder>
        <w:dropDownList>
          <w:listItem w:displayText="Confidential" w:value="Confidential"/>
          <w:listItem w:displayText=" " w:value="  "/>
        </w:dropDownList>
      </w:sdtPr>
      <w:sdtContent>
        <w:r w:rsidR="00D0578E">
          <w:t xml:space="preserve"> </w:t>
        </w:r>
      </w:sdtContent>
    </w:sdt>
    <w:r w:rsidRPr="003347FE">
      <w:fldChar w:fldCharType="end"/>
    </w:r>
  </w:p>
  <w:p w14:paraId="1E7CC1C3" w14:textId="70968089" w:rsidR="0097032E" w:rsidRPr="003347FE" w:rsidRDefault="0097032E" w:rsidP="00502166">
    <w:pPr>
      <w:pStyle w:val="SDMHeader"/>
    </w:pPr>
    <w:r w:rsidRPr="003347FE">
      <w:fldChar w:fldCharType="begin"/>
    </w:r>
    <w:r w:rsidRPr="003347FE">
      <w:instrText xml:space="preserve"> REF  SDMTitle1 \h  \* MERGEFORMAT </w:instrText>
    </w:r>
    <w:r w:rsidRPr="003347FE">
      <w:fldChar w:fldCharType="separate"/>
    </w:r>
    <w:sdt>
      <w:sdtPr>
        <w:alias w:val="SDMTitle1"/>
        <w:tag w:val="SDMTitle1"/>
        <w:id w:val="-1252576430"/>
        <w:lock w:val="sdtLocked"/>
        <w:placeholder>
          <w:docPart w:val="C2CEB9903AB24328B7B8A6FEB2E24FFB"/>
        </w:placeholder>
      </w:sdtPr>
      <w:sdtContent>
        <w:r w:rsidR="00D0578E">
          <w:t>Mechanism</w:t>
        </w:r>
        <w:r w:rsidR="00D0578E" w:rsidRPr="0022484F">
          <w:t xml:space="preserve"> </w:t>
        </w:r>
        <w:sdt>
          <w:sdtPr>
            <w:alias w:val="SDMDocType"/>
            <w:tag w:val="SDMDocType"/>
            <w:id w:val="255872733"/>
            <w:lock w:val="sdtContentLocked"/>
            <w:placeholder>
              <w:docPart w:val="59C7DF399B1B4E57BA4DBEB6D1AD2342"/>
            </w:placeholder>
            <w:dropDownList>
              <w:listItem w:displayText="Standard" w:value="Standard"/>
              <w:listItem w:displayText="Guideline" w:value="Guideline"/>
              <w:listItem w:displayText="Procedure" w:value="Procedure"/>
              <w:listItem w:displayText="Information note" w:value="Information note"/>
              <w:listItem w:displayText="Methodology" w:value="Methodology"/>
              <w:listItem w:displayText="Methodological tool" w:value="Methodological tool"/>
              <w:listItem w:displayText="Meeting report" w:value="Meeting report"/>
            </w:dropDownList>
          </w:sdtPr>
          <w:sdtContent>
            <w:r w:rsidR="00D0578E">
              <w:t>m</w:t>
            </w:r>
            <w:r w:rsidR="00D0578E" w:rsidRPr="0022484F">
              <w:t>ethodology</w:t>
            </w:r>
          </w:sdtContent>
        </w:sdt>
      </w:sdtContent>
    </w:sdt>
    <w:r w:rsidRPr="003347FE">
      <w:fldChar w:fldCharType="end"/>
    </w:r>
    <w:r w:rsidRPr="003347FE">
      <w:t xml:space="preserve">: </w:t>
    </w:r>
    <w:r w:rsidRPr="003347FE">
      <w:fldChar w:fldCharType="begin"/>
    </w:r>
    <w:r w:rsidRPr="003347FE">
      <w:instrText xml:space="preserve"> REF  SDMTitle2 \h  \* MERGEFORMAT </w:instrText>
    </w:r>
    <w:r w:rsidRPr="003347FE">
      <w:fldChar w:fldCharType="separate"/>
    </w:r>
    <w:sdt>
      <w:sdtPr>
        <w:alias w:val="SDMTitle2"/>
        <w:tag w:val="SDMTitle2"/>
        <w:id w:val="-1885939618"/>
        <w:lock w:val="sdtLocked"/>
        <w:placeholder>
          <w:docPart w:val="D7E6C903C104406F80F83D070F246BBE"/>
        </w:placeholder>
      </w:sdtPr>
      <w:sdtEndPr>
        <w:rPr>
          <w:lang w:val="de-DE"/>
        </w:rPr>
      </w:sdtEndPr>
      <w:sdtContent>
        <w:r w:rsidR="00D0578E">
          <w:t>Electricity</w:t>
        </w:r>
        <w:r w:rsidR="00D0578E" w:rsidRPr="00D27574">
          <w:t xml:space="preserve"> generation from renewable sources</w:t>
        </w:r>
        <w:r w:rsidR="00D0578E">
          <w:t xml:space="preserve"> connected to an electricity system</w:t>
        </w:r>
      </w:sdtContent>
    </w:sdt>
    <w:r w:rsidRPr="003347FE">
      <w:fldChar w:fldCharType="end"/>
    </w:r>
  </w:p>
  <w:p w14:paraId="332213E2" w14:textId="3721343F" w:rsidR="0097032E" w:rsidRPr="003347FE" w:rsidRDefault="0097032E" w:rsidP="00690A70">
    <w:pPr>
      <w:pStyle w:val="SDMHeader"/>
    </w:pPr>
    <w:r w:rsidRPr="003347FE">
      <w:fldChar w:fldCharType="begin"/>
    </w:r>
    <w:r w:rsidRPr="003347FE">
      <w:instrText xml:space="preserve"> REF  SDMDocVerLab \h  \* MERGEFORMAT </w:instrText>
    </w:r>
    <w:r w:rsidRPr="003347FE">
      <w:fldChar w:fldCharType="separate"/>
    </w:r>
    <w:sdt>
      <w:sdtPr>
        <w:alias w:val="SDMDocVersionLabel"/>
        <w:tag w:val="SDMDocVersionLabel"/>
        <w:id w:val="-400750924"/>
        <w:lock w:val="sdtLocked"/>
        <w:placeholder>
          <w:docPart w:val="B42A1A0875D94B4AB8944303122D7061"/>
        </w:placeholder>
      </w:sdtPr>
      <w:sdtContent>
        <w:r w:rsidR="00D0578E" w:rsidRPr="00152FB5">
          <w:t>Version</w:t>
        </w:r>
        <w:r w:rsidR="00D0578E">
          <w:t xml:space="preserve"> </w:t>
        </w:r>
      </w:sdtContent>
    </w:sdt>
    <w:r w:rsidRPr="003347FE">
      <w:fldChar w:fldCharType="end"/>
    </w:r>
    <w:r w:rsidRPr="003347FE">
      <w:fldChar w:fldCharType="begin"/>
    </w:r>
    <w:r w:rsidRPr="003347FE">
      <w:instrText xml:space="preserve"> REF  SDMDocVer \h  \* MERGEFORMAT </w:instrText>
    </w:r>
    <w:r w:rsidRPr="003347FE">
      <w:fldChar w:fldCharType="separate"/>
    </w:r>
    <w:sdt>
      <w:sdtPr>
        <w:alias w:val="SDMDocVer"/>
        <w:tag w:val="SDMDocVer"/>
        <w:id w:val="125981555"/>
        <w:lock w:val="sdtLocked"/>
        <w:placeholder>
          <w:docPart w:val="21CCEF57AA374EDD9B1A88563F6971B4"/>
        </w:placeholder>
        <w:showingPlcHdr/>
      </w:sdtPr>
      <w:sdtContent>
        <w:r w:rsidR="00D0578E">
          <w:t>01.0</w:t>
        </w:r>
      </w:sdtContent>
    </w:sdt>
    <w:r w:rsidRPr="003347FE">
      <w:fldChar w:fldCharType="end"/>
    </w:r>
  </w:p>
  <w:p w14:paraId="172CEE80" w14:textId="25F98EEC" w:rsidR="00777FA1" w:rsidRPr="00454CEC" w:rsidRDefault="00777FA1" w:rsidP="00D06A18">
    <w:pPr>
      <w:pStyle w:val="SDMHeader"/>
    </w:pPr>
    <w:r w:rsidRPr="003347FE">
      <w:fldChar w:fldCharType="begin"/>
    </w:r>
    <w:r w:rsidRPr="003347FE">
      <w:instrText xml:space="preserve"> REF SDMSectoralScopeLab \h </w:instrText>
    </w:r>
    <w:r w:rsidR="003347FE">
      <w:instrText xml:space="preserve"> \* MERGEFORMAT </w:instrText>
    </w:r>
    <w:r w:rsidRPr="003347FE">
      <w:fldChar w:fldCharType="separate"/>
    </w:r>
    <w:sdt>
      <w:sdtPr>
        <w:alias w:val="SDMSectoralScopeLabel"/>
        <w:tag w:val="SDMSectoralScopeLabel"/>
        <w:id w:val="-1296065625"/>
        <w:placeholder>
          <w:docPart w:val="0E9BE12CC3FF40F3A9369A67C9D8CEBC"/>
        </w:placeholder>
      </w:sdtPr>
      <w:sdtContent>
        <w:r w:rsidR="00D0578E">
          <w:t xml:space="preserve">Sectoral scope(s): </w:t>
        </w:r>
      </w:sdtContent>
    </w:sdt>
    <w:r w:rsidRPr="003347FE">
      <w:fldChar w:fldCharType="end"/>
    </w:r>
    <w:r w:rsidRPr="003347FE">
      <w:fldChar w:fldCharType="begin"/>
    </w:r>
    <w:r w:rsidRPr="003347FE">
      <w:instrText xml:space="preserve"> REF SDMSectoralScope \h </w:instrText>
    </w:r>
    <w:r w:rsidR="003347FE">
      <w:instrText xml:space="preserve"> \* MERGEFORMAT </w:instrText>
    </w:r>
    <w:r w:rsidRPr="003347FE">
      <w:fldChar w:fldCharType="separate"/>
    </w:r>
    <w:sdt>
      <w:sdtPr>
        <w:alias w:val="SDMSectoralScope"/>
        <w:tag w:val="SDMSectoralScope"/>
        <w:id w:val="574325358"/>
        <w:placeholder>
          <w:docPart w:val="F6C3AFF081274058B9B43FB811BCA534"/>
        </w:placeholder>
      </w:sdtPr>
      <w:sdtContent>
        <w:r w:rsidR="00D0578E">
          <w:t>01</w:t>
        </w:r>
      </w:sdtContent>
    </w:sdt>
    <w:r w:rsidRPr="003347FE">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15:restartNumberingAfterBreak="0">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 w15:restartNumberingAfterBreak="0">
    <w:nsid w:val="028601A9"/>
    <w:multiLevelType w:val="hybridMultilevel"/>
    <w:tmpl w:val="DD64F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 w15:restartNumberingAfterBreak="0">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5" w15:restartNumberingAfterBreak="0">
    <w:nsid w:val="0AB21255"/>
    <w:multiLevelType w:val="multilevel"/>
    <w:tmpl w:val="A28EC812"/>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BD21D4D"/>
    <w:multiLevelType w:val="multilevel"/>
    <w:tmpl w:val="81E46A44"/>
    <w:numStyleLink w:val="SDMHeadList"/>
  </w:abstractNum>
  <w:abstractNum w:abstractNumId="7" w15:restartNumberingAfterBreak="0">
    <w:nsid w:val="0FB12BA1"/>
    <w:multiLevelType w:val="multilevel"/>
    <w:tmpl w:val="45C27C68"/>
    <w:styleLink w:val="SDMFootnoteList"/>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0" w15:restartNumberingAfterBreak="0">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1" w15:restartNumberingAfterBreak="0">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2"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4" w15:restartNumberingAfterBreak="0">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5" w15:restartNumberingAfterBreak="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62C4AFF"/>
    <w:multiLevelType w:val="multilevel"/>
    <w:tmpl w:val="4F9ED6BC"/>
    <w:numStyleLink w:val="SDMCovNoteHeadList"/>
  </w:abstractNum>
  <w:abstractNum w:abstractNumId="18" w15:restartNumberingAfterBreak="0">
    <w:nsid w:val="16404ED9"/>
    <w:multiLevelType w:val="multilevel"/>
    <w:tmpl w:val="3CC81634"/>
    <w:numStyleLink w:val="SDMTableBoxFigureFootnoteFullPageList"/>
  </w:abstractNum>
  <w:abstractNum w:abstractNumId="19" w15:restartNumberingAfterBreak="0">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0" w15:restartNumberingAfterBreak="0">
    <w:nsid w:val="1803504E"/>
    <w:multiLevelType w:val="hybridMultilevel"/>
    <w:tmpl w:val="2E804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2" w15:restartNumberingAfterBreak="0">
    <w:nsid w:val="1A416448"/>
    <w:multiLevelType w:val="multilevel"/>
    <w:tmpl w:val="A28EC812"/>
    <w:numStyleLink w:val="SDMMethEquationNrList"/>
  </w:abstractNum>
  <w:abstractNum w:abstractNumId="23" w15:restartNumberingAfterBreak="0">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4" w15:restartNumberingAfterBreak="0">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5" w15:restartNumberingAfterBreak="0">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pStyle w:val="SDMApp1"/>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7" w15:restartNumberingAfterBreak="0">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8" w15:restartNumberingAfterBreak="0">
    <w:nsid w:val="26566C45"/>
    <w:multiLevelType w:val="multilevel"/>
    <w:tmpl w:val="4858EB8E"/>
    <w:numStyleLink w:val="SDMTableBoxFigureFootnoteList"/>
  </w:abstractNum>
  <w:abstractNum w:abstractNumId="29" w15:restartNumberingAfterBreak="0">
    <w:nsid w:val="2B2037D9"/>
    <w:multiLevelType w:val="multilevel"/>
    <w:tmpl w:val="C182385A"/>
    <w:numStyleLink w:val="SDMAppHeadList"/>
  </w:abstractNum>
  <w:abstractNum w:abstractNumId="30" w15:restartNumberingAfterBreak="0">
    <w:nsid w:val="2D6E1A00"/>
    <w:multiLevelType w:val="multilevel"/>
    <w:tmpl w:val="568476D8"/>
    <w:name w:val="Reg"/>
    <w:lvl w:ilvl="0">
      <w:start w:val="1"/>
      <w:numFmt w:val="upperRoman"/>
      <w:suff w:val="space"/>
      <w:lvlText w:val="%1. "/>
      <w:lvlJc w:val="right"/>
      <w:pPr>
        <w:ind w:left="0" w:firstLine="0"/>
      </w:pPr>
    </w:lvl>
    <w:lvl w:ilvl="1">
      <w:start w:val="1"/>
      <w:numFmt w:val="upperLetter"/>
      <w:suff w:val="space"/>
      <w:lvlText w:val="%2. "/>
      <w:lvlJc w:val="left"/>
      <w:pPr>
        <w:ind w:left="0" w:firstLine="0"/>
      </w:pPr>
      <w:rPr>
        <w:b/>
        <w:u w:val="none"/>
      </w:rPr>
    </w:lvl>
    <w:lvl w:ilvl="2">
      <w:start w:val="1"/>
      <w:numFmt w:val="decimal"/>
      <w:lvlRestart w:val="0"/>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hint="default"/>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31" w15:restartNumberingAfterBreak="0">
    <w:nsid w:val="2FA03A21"/>
    <w:multiLevelType w:val="multilevel"/>
    <w:tmpl w:val="40EAA4EC"/>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2" w15:restartNumberingAfterBreak="0">
    <w:nsid w:val="307B1BD9"/>
    <w:multiLevelType w:val="multilevel"/>
    <w:tmpl w:val="075A6334"/>
    <w:name w:val="Reg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3" w15:restartNumberingAfterBreak="0">
    <w:nsid w:val="30E20603"/>
    <w:multiLevelType w:val="hybridMultilevel"/>
    <w:tmpl w:val="B590F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18031D1"/>
    <w:multiLevelType w:val="multilevel"/>
    <w:tmpl w:val="E2A427E0"/>
    <w:name w:val="Toc13"/>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35" w15:restartNumberingAfterBreak="0">
    <w:nsid w:val="31A3680B"/>
    <w:multiLevelType w:val="multilevel"/>
    <w:tmpl w:val="DEEC8B6A"/>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6"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36924865"/>
    <w:multiLevelType w:val="multilevel"/>
    <w:tmpl w:val="AE6881FE"/>
    <w:name w:val="Reg2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8" w15:restartNumberingAfterBreak="0">
    <w:nsid w:val="37A91694"/>
    <w:multiLevelType w:val="hybridMultilevel"/>
    <w:tmpl w:val="E64A3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C792321"/>
    <w:multiLevelType w:val="multilevel"/>
    <w:tmpl w:val="54D600CE"/>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0" w15:restartNumberingAfterBreak="0">
    <w:nsid w:val="3CFD042E"/>
    <w:multiLevelType w:val="multilevel"/>
    <w:tmpl w:val="C694A2DA"/>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1" w15:restartNumberingAfterBreak="0">
    <w:nsid w:val="3DC16119"/>
    <w:multiLevelType w:val="multilevel"/>
    <w:tmpl w:val="BCBAC81C"/>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2" w15:restartNumberingAfterBreak="0">
    <w:nsid w:val="3FDA42F1"/>
    <w:multiLevelType w:val="multilevel"/>
    <w:tmpl w:val="AE709A9A"/>
    <w:name w:val="Reg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3" w15:restartNumberingAfterBreak="0">
    <w:nsid w:val="428120B6"/>
    <w:multiLevelType w:val="multilevel"/>
    <w:tmpl w:val="23DC3AAA"/>
    <w:name w:val="Reg32"/>
    <w:lvl w:ilvl="0">
      <w:start w:val="1"/>
      <w:numFmt w:val="upperRoman"/>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44" w15:restartNumberingAfterBreak="0">
    <w:nsid w:val="45E052B9"/>
    <w:multiLevelType w:val="multilevel"/>
    <w:tmpl w:val="BAB8CCD8"/>
    <w:name w:val="Dec"/>
    <w:lvl w:ilvl="0">
      <w:start w:val="1"/>
      <w:numFmt w:val="upperRoman"/>
      <w:suff w:val="space"/>
      <w:lvlText w:val="%1. "/>
      <w:lvlJc w:val="right"/>
      <w:pPr>
        <w:ind w:left="0" w:firstLine="0"/>
      </w:pPr>
      <w:rPr>
        <w:rFonts w:hint="default"/>
        <w:sz w:val="24"/>
        <w:szCs w:val="24"/>
      </w:rPr>
    </w:lvl>
    <w:lvl w:ilvl="1">
      <w:start w:val="1"/>
      <w:numFmt w:val="decimal"/>
      <w:suff w:val="space"/>
      <w:lvlText w:val="%2. "/>
      <w:lvlJc w:val="left"/>
      <w:pPr>
        <w:ind w:left="0" w:firstLine="0"/>
      </w:pPr>
      <w:rPr>
        <w:rFonts w:hint="default"/>
        <w:u w:val="none"/>
      </w:rPr>
    </w:lvl>
    <w:lvl w:ilvl="2">
      <w:start w:val="1"/>
      <w:numFmt w:val="lowerLetter"/>
      <w:lvlText w:val="(%3)"/>
      <w:lvlJc w:val="left"/>
      <w:pPr>
        <w:tabs>
          <w:tab w:val="num" w:pos="360"/>
        </w:tabs>
        <w:ind w:left="0" w:firstLine="0"/>
      </w:pPr>
      <w:rPr>
        <w:rFonts w:hint="default"/>
        <w:b w:val="0"/>
        <w:i w:val="0"/>
        <w:u w:val="none"/>
      </w:rPr>
    </w:lvl>
    <w:lvl w:ilvl="3">
      <w:start w:val="1"/>
      <w:numFmt w:val="lowerRoman"/>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45" w15:restartNumberingAfterBreak="0">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4AC52DB2"/>
    <w:multiLevelType w:val="multilevel"/>
    <w:tmpl w:val="C694A2DA"/>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7" w15:restartNumberingAfterBreak="0">
    <w:nsid w:val="4B55483B"/>
    <w:multiLevelType w:val="multilevel"/>
    <w:tmpl w:val="BBA2A6C6"/>
    <w:name w:val="Reg1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8" w15:restartNumberingAfterBreak="0">
    <w:nsid w:val="4DF0353F"/>
    <w:multiLevelType w:val="multilevel"/>
    <w:tmpl w:val="7C72A55E"/>
    <w:name w:val="Reg1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9" w15:restartNumberingAfterBreak="0">
    <w:nsid w:val="524561C4"/>
    <w:multiLevelType w:val="multilevel"/>
    <w:tmpl w:val="A26A24AE"/>
    <w:name w:val="Reg1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0" w15:restartNumberingAfterBreak="0">
    <w:nsid w:val="571E6D02"/>
    <w:multiLevelType w:val="hybridMultilevel"/>
    <w:tmpl w:val="6BD683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AB17E88"/>
    <w:multiLevelType w:val="multilevel"/>
    <w:tmpl w:val="A6488ADC"/>
    <w:styleLink w:val="SDMTablesFiguresNoteList"/>
    <w:lvl w:ilvl="0">
      <w:start w:val="1"/>
      <w:numFmt w:val="lowerLetter"/>
      <w:suff w:val="space"/>
      <w:lvlText w:val="(%1)"/>
      <w:lvlJc w:val="left"/>
      <w:pPr>
        <w:ind w:left="907" w:hanging="198"/>
      </w:pPr>
      <w:rPr>
        <w:b w:val="0"/>
        <w:i w:val="0"/>
        <w:vertAlign w:val="superscript"/>
      </w:rPr>
    </w:lvl>
    <w:lvl w:ilvl="1">
      <w:start w:val="1"/>
      <w:numFmt w:val="decimal"/>
      <w:lvlText w:val="%2."/>
      <w:lvlJc w:val="left"/>
      <w:pPr>
        <w:tabs>
          <w:tab w:val="num" w:pos="936"/>
        </w:tabs>
        <w:ind w:left="1247" w:hanging="311"/>
      </w:pPr>
      <w:rPr>
        <w:rFonts w:hint="default"/>
      </w:rPr>
    </w:lvl>
    <w:lvl w:ilvl="2">
      <w:start w:val="1"/>
      <w:numFmt w:val="lowerLetter"/>
      <w:lvlText w:val="(%3)"/>
      <w:lvlJc w:val="left"/>
      <w:pPr>
        <w:tabs>
          <w:tab w:val="num" w:pos="1644"/>
        </w:tabs>
        <w:ind w:left="1644" w:hanging="397"/>
      </w:pPr>
      <w:rPr>
        <w:rFonts w:hint="default"/>
      </w:rPr>
    </w:lvl>
    <w:lvl w:ilvl="3">
      <w:start w:val="1"/>
      <w:numFmt w:val="lowerRoman"/>
      <w:lvlText w:val="(%4)"/>
      <w:lvlJc w:val="left"/>
      <w:pPr>
        <w:tabs>
          <w:tab w:val="num" w:pos="2041"/>
        </w:tabs>
        <w:ind w:left="2041" w:hanging="397"/>
      </w:pPr>
      <w:rPr>
        <w:rFonts w:hint="default"/>
      </w:rPr>
    </w:lvl>
    <w:lvl w:ilvl="4">
      <w:start w:val="1"/>
      <w:numFmt w:val="lowerLetter"/>
      <w:lvlText w:val="%5."/>
      <w:lvlJc w:val="left"/>
      <w:pPr>
        <w:tabs>
          <w:tab w:val="num" w:pos="2381"/>
        </w:tabs>
        <w:ind w:left="2381" w:hanging="340"/>
      </w:pPr>
      <w:rPr>
        <w:rFonts w:hint="default"/>
      </w:rPr>
    </w:lvl>
    <w:lvl w:ilvl="5">
      <w:start w:val="1"/>
      <w:numFmt w:val="lowerRoman"/>
      <w:lvlText w:val="%6."/>
      <w:lvlJc w:val="left"/>
      <w:pPr>
        <w:tabs>
          <w:tab w:val="num" w:pos="2722"/>
        </w:tabs>
        <w:ind w:left="2722" w:hanging="341"/>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5E65057A"/>
    <w:multiLevelType w:val="multilevel"/>
    <w:tmpl w:val="50041812"/>
    <w:name w:val="Reg1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3" w15:restartNumberingAfterBreak="0">
    <w:nsid w:val="6198513C"/>
    <w:multiLevelType w:val="hybridMultilevel"/>
    <w:tmpl w:val="67546EE2"/>
    <w:lvl w:ilvl="0" w:tplc="C25E2E46">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9E5E02"/>
    <w:multiLevelType w:val="multilevel"/>
    <w:tmpl w:val="E9BEC3F6"/>
    <w:name w:val="Reg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55" w15:restartNumberingAfterBreak="0">
    <w:nsid w:val="64D345AC"/>
    <w:multiLevelType w:val="multilevel"/>
    <w:tmpl w:val="12C0BDFA"/>
    <w:name w:val="Reg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6" w15:restartNumberingAfterBreak="0">
    <w:nsid w:val="6B392DA7"/>
    <w:multiLevelType w:val="multilevel"/>
    <w:tmpl w:val="5EDE06C6"/>
    <w:numStyleLink w:val="SDMParaList"/>
  </w:abstractNum>
  <w:abstractNum w:abstractNumId="57" w15:restartNumberingAfterBreak="0">
    <w:nsid w:val="6BAA183E"/>
    <w:multiLevelType w:val="multilevel"/>
    <w:tmpl w:val="AE40536C"/>
    <w:name w:val="Reg3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8" w15:restartNumberingAfterBreak="0">
    <w:nsid w:val="6C331F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9" w15:restartNumberingAfterBreak="0">
    <w:nsid w:val="6E1606BE"/>
    <w:multiLevelType w:val="multilevel"/>
    <w:tmpl w:val="CC264296"/>
    <w:name w:val="Reg2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0" w15:restartNumberingAfterBreak="0">
    <w:nsid w:val="6F060572"/>
    <w:multiLevelType w:val="multilevel"/>
    <w:tmpl w:val="5B66B3FC"/>
    <w:name w:val="Reg3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1" w15:restartNumberingAfterBreak="0">
    <w:nsid w:val="6FF560E4"/>
    <w:multiLevelType w:val="multilevel"/>
    <w:tmpl w:val="0E4A9DFC"/>
    <w:name w:val="Reg27"/>
    <w:lvl w:ilvl="0">
      <w:start w:val="1"/>
      <w:numFmt w:val="upperRoman"/>
      <w:suff w:val="space"/>
      <w:lvlText w:val="%1."/>
      <w:lvlJc w:val="left"/>
      <w:pPr>
        <w:ind w:left="720" w:hanging="720"/>
      </w:pPr>
      <w:rPr>
        <w:rFonts w:hint="default"/>
        <w:b/>
        <w:i w:val="0"/>
        <w:sz w:val="20"/>
      </w:rPr>
    </w:lvl>
    <w:lvl w:ilvl="1">
      <w:start w:val="1"/>
      <w:numFmt w:val="upperLetter"/>
      <w:suff w:val="space"/>
      <w:lvlText w:val="%2. "/>
      <w:lvlJc w:val="left"/>
      <w:pPr>
        <w:ind w:left="0" w:firstLine="0"/>
      </w:pPr>
      <w:rPr>
        <w:rFonts w:hint="default"/>
        <w:b w:val="0"/>
        <w:i w:val="0"/>
        <w:sz w:val="22"/>
        <w:u w:val="none"/>
      </w:rPr>
    </w:lvl>
    <w:lvl w:ilvl="2">
      <w:start w:val="1"/>
      <w:numFmt w:val="decimal"/>
      <w:lvlText w:val="%3."/>
      <w:lvlJc w:val="left"/>
      <w:pPr>
        <w:tabs>
          <w:tab w:val="num" w:pos="2160"/>
        </w:tabs>
        <w:ind w:left="2160" w:hanging="720"/>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3A857A3"/>
    <w:multiLevelType w:val="hybridMultilevel"/>
    <w:tmpl w:val="8214A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5906882"/>
    <w:multiLevelType w:val="hybridMultilevel"/>
    <w:tmpl w:val="028C0C32"/>
    <w:name w:val="Reg28"/>
    <w:lvl w:ilvl="0" w:tplc="03DEC4E8">
      <w:start w:val="1"/>
      <w:numFmt w:val="bullet"/>
      <w:lvlText w:val=""/>
      <w:lvlJc w:val="left"/>
      <w:pPr>
        <w:tabs>
          <w:tab w:val="num" w:pos="720"/>
        </w:tabs>
        <w:ind w:left="720" w:hanging="360"/>
      </w:pPr>
      <w:rPr>
        <w:rFonts w:ascii="Symbol" w:hAnsi="Symbol" w:hint="default"/>
      </w:rPr>
    </w:lvl>
    <w:lvl w:ilvl="1" w:tplc="8AA43FB0" w:tentative="1">
      <w:start w:val="1"/>
      <w:numFmt w:val="bullet"/>
      <w:lvlText w:val="o"/>
      <w:lvlJc w:val="left"/>
      <w:pPr>
        <w:tabs>
          <w:tab w:val="num" w:pos="1440"/>
        </w:tabs>
        <w:ind w:left="1440" w:hanging="360"/>
      </w:pPr>
      <w:rPr>
        <w:rFonts w:ascii="Courier New" w:hAnsi="Courier New" w:hint="default"/>
      </w:rPr>
    </w:lvl>
    <w:lvl w:ilvl="2" w:tplc="C86089E4" w:tentative="1">
      <w:start w:val="1"/>
      <w:numFmt w:val="bullet"/>
      <w:lvlText w:val=""/>
      <w:lvlJc w:val="left"/>
      <w:pPr>
        <w:tabs>
          <w:tab w:val="num" w:pos="2160"/>
        </w:tabs>
        <w:ind w:left="2160" w:hanging="360"/>
      </w:pPr>
      <w:rPr>
        <w:rFonts w:ascii="Wingdings" w:hAnsi="Wingdings" w:hint="default"/>
      </w:rPr>
    </w:lvl>
    <w:lvl w:ilvl="3" w:tplc="684CA72E" w:tentative="1">
      <w:start w:val="1"/>
      <w:numFmt w:val="bullet"/>
      <w:lvlText w:val=""/>
      <w:lvlJc w:val="left"/>
      <w:pPr>
        <w:tabs>
          <w:tab w:val="num" w:pos="2880"/>
        </w:tabs>
        <w:ind w:left="2880" w:hanging="360"/>
      </w:pPr>
      <w:rPr>
        <w:rFonts w:ascii="Symbol" w:hAnsi="Symbol" w:hint="default"/>
      </w:rPr>
    </w:lvl>
    <w:lvl w:ilvl="4" w:tplc="06A09FC6">
      <w:start w:val="1"/>
      <w:numFmt w:val="bullet"/>
      <w:lvlText w:val="o"/>
      <w:lvlJc w:val="left"/>
      <w:pPr>
        <w:tabs>
          <w:tab w:val="num" w:pos="3600"/>
        </w:tabs>
        <w:ind w:left="3600" w:hanging="360"/>
      </w:pPr>
      <w:rPr>
        <w:rFonts w:ascii="Courier New" w:hAnsi="Courier New" w:hint="default"/>
      </w:rPr>
    </w:lvl>
    <w:lvl w:ilvl="5" w:tplc="FDB82654" w:tentative="1">
      <w:start w:val="1"/>
      <w:numFmt w:val="bullet"/>
      <w:lvlText w:val=""/>
      <w:lvlJc w:val="left"/>
      <w:pPr>
        <w:tabs>
          <w:tab w:val="num" w:pos="4320"/>
        </w:tabs>
        <w:ind w:left="4320" w:hanging="360"/>
      </w:pPr>
      <w:rPr>
        <w:rFonts w:ascii="Wingdings" w:hAnsi="Wingdings" w:hint="default"/>
      </w:rPr>
    </w:lvl>
    <w:lvl w:ilvl="6" w:tplc="AAC861AE" w:tentative="1">
      <w:start w:val="1"/>
      <w:numFmt w:val="bullet"/>
      <w:lvlText w:val=""/>
      <w:lvlJc w:val="left"/>
      <w:pPr>
        <w:tabs>
          <w:tab w:val="num" w:pos="5040"/>
        </w:tabs>
        <w:ind w:left="5040" w:hanging="360"/>
      </w:pPr>
      <w:rPr>
        <w:rFonts w:ascii="Symbol" w:hAnsi="Symbol" w:hint="default"/>
      </w:rPr>
    </w:lvl>
    <w:lvl w:ilvl="7" w:tplc="ABC41C8E" w:tentative="1">
      <w:start w:val="1"/>
      <w:numFmt w:val="bullet"/>
      <w:lvlText w:val="o"/>
      <w:lvlJc w:val="left"/>
      <w:pPr>
        <w:tabs>
          <w:tab w:val="num" w:pos="5760"/>
        </w:tabs>
        <w:ind w:left="5760" w:hanging="360"/>
      </w:pPr>
      <w:rPr>
        <w:rFonts w:ascii="Courier New" w:hAnsi="Courier New" w:hint="default"/>
      </w:rPr>
    </w:lvl>
    <w:lvl w:ilvl="8" w:tplc="FDC41136"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pStyle w:val="SDMHead2"/>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5" w15:restartNumberingAfterBreak="0">
    <w:nsid w:val="7CBA47F7"/>
    <w:multiLevelType w:val="hybridMultilevel"/>
    <w:tmpl w:val="0A4A371A"/>
    <w:name w:val="Reg36"/>
    <w:lvl w:ilvl="0" w:tplc="FFFFFFFF">
      <w:start w:val="1"/>
      <w:numFmt w:val="lowerRoman"/>
      <w:lvlText w:val="(%1)"/>
      <w:lvlJc w:val="left"/>
      <w:pPr>
        <w:tabs>
          <w:tab w:val="num" w:pos="1440"/>
        </w:tabs>
        <w:ind w:left="887" w:hanging="16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281301341">
    <w:abstractNumId w:val="21"/>
  </w:num>
  <w:num w:numId="2" w16cid:durableId="1689527221">
    <w:abstractNumId w:val="3"/>
  </w:num>
  <w:num w:numId="3" w16cid:durableId="1921253498">
    <w:abstractNumId w:val="25"/>
  </w:num>
  <w:num w:numId="4" w16cid:durableId="1094471469">
    <w:abstractNumId w:val="64"/>
  </w:num>
  <w:num w:numId="5" w16cid:durableId="183324927">
    <w:abstractNumId w:val="16"/>
  </w:num>
  <w:num w:numId="6" w16cid:durableId="809788644">
    <w:abstractNumId w:val="45"/>
  </w:num>
  <w:num w:numId="7" w16cid:durableId="842010470">
    <w:abstractNumId w:val="17"/>
  </w:num>
  <w:num w:numId="8" w16cid:durableId="450054323">
    <w:abstractNumId w:val="8"/>
  </w:num>
  <w:num w:numId="9" w16cid:durableId="1484083177">
    <w:abstractNumId w:val="6"/>
    <w:lvlOverride w:ilvl="2">
      <w:lvl w:ilvl="2">
        <w:start w:val="1"/>
        <w:numFmt w:val="decimal"/>
        <w:pStyle w:val="SDMHead3"/>
        <w:lvlText w:val="%1.%2.%3."/>
        <w:lvlJc w:val="left"/>
        <w:pPr>
          <w:tabs>
            <w:tab w:val="num" w:pos="709"/>
          </w:tabs>
          <w:ind w:left="709" w:hanging="709"/>
        </w:pPr>
        <w:rPr>
          <w:rFonts w:hint="default"/>
        </w:rPr>
      </w:lvl>
    </w:lvlOverride>
  </w:num>
  <w:num w:numId="10" w16cid:durableId="878013360">
    <w:abstractNumId w:val="29"/>
  </w:num>
  <w:num w:numId="11" w16cid:durableId="1402168339">
    <w:abstractNumId w:val="7"/>
  </w:num>
  <w:num w:numId="12" w16cid:durableId="877164052">
    <w:abstractNumId w:val="58"/>
  </w:num>
  <w:num w:numId="13" w16cid:durableId="2041666371">
    <w:abstractNumId w:val="36"/>
  </w:num>
  <w:num w:numId="14" w16cid:durableId="536966217">
    <w:abstractNumId w:val="12"/>
  </w:num>
  <w:num w:numId="15" w16cid:durableId="2119979425">
    <w:abstractNumId w:val="28"/>
  </w:num>
  <w:num w:numId="16" w16cid:durableId="25956162">
    <w:abstractNumId w:val="18"/>
  </w:num>
  <w:num w:numId="17" w16cid:durableId="1133518616">
    <w:abstractNumId w:val="22"/>
  </w:num>
  <w:num w:numId="18" w16cid:durableId="1184594570">
    <w:abstractNumId w:val="56"/>
  </w:num>
  <w:num w:numId="19" w16cid:durableId="755129817">
    <w:abstractNumId w:val="51"/>
  </w:num>
  <w:num w:numId="20" w16cid:durableId="1332486362">
    <w:abstractNumId w:val="15"/>
  </w:num>
  <w:num w:numId="21" w16cid:durableId="1377854789">
    <w:abstractNumId w:val="5"/>
    <w:lvlOverride w:ilvl="0">
      <w:lvl w:ilvl="0">
        <w:start w:val="1"/>
        <w:numFmt w:val="decimal"/>
        <w:suff w:val="nothing"/>
        <w:lvlText w:val="Equation (%1)"/>
        <w:lvlJc w:val="left"/>
        <w:pPr>
          <w:ind w:left="0" w:firstLine="0"/>
        </w:pPr>
        <w:rPr>
          <w:rFonts w:hint="default"/>
        </w:rPr>
      </w:lvl>
    </w:lvlOverride>
  </w:num>
  <w:num w:numId="22" w16cid:durableId="1689523557">
    <w:abstractNumId w:val="2"/>
  </w:num>
  <w:num w:numId="23" w16cid:durableId="1275093589">
    <w:abstractNumId w:val="33"/>
  </w:num>
  <w:num w:numId="24" w16cid:durableId="941381893">
    <w:abstractNumId w:val="53"/>
  </w:num>
  <w:num w:numId="25" w16cid:durableId="1496071825">
    <w:abstractNumId w:val="62"/>
  </w:num>
  <w:num w:numId="26" w16cid:durableId="868837686">
    <w:abstractNumId w:val="20"/>
  </w:num>
  <w:num w:numId="27" w16cid:durableId="635528444">
    <w:abstractNumId w:val="50"/>
  </w:num>
  <w:num w:numId="28" w16cid:durableId="287394354">
    <w:abstractNumId w:val="38"/>
  </w:num>
  <w:num w:numId="29" w16cid:durableId="259918365">
    <w:abstractNumId w:val="9"/>
  </w:num>
  <w:num w:numId="30" w16cid:durableId="117881440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0785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60"/>
  <w:removeDateAndTim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forms"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style="mso-position-horizontal:center;mso-position-horizontal-relative:margin;mso-position-vertical:center;mso-position-vertical-relative:margin" fill="f" fillcolor="#a6a6a6" stroke="f">
      <v:fill color="#a6a6a6" on="f"/>
      <v:stroke on="f"/>
      <v:shadow color="#868686"/>
      <o:colormru v:ext="edit" colors="#ffc"/>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9E"/>
    <w:rsid w:val="0000013B"/>
    <w:rsid w:val="0000045C"/>
    <w:rsid w:val="000004B7"/>
    <w:rsid w:val="0000088E"/>
    <w:rsid w:val="000009BC"/>
    <w:rsid w:val="00000ADB"/>
    <w:rsid w:val="00000B5E"/>
    <w:rsid w:val="000012E9"/>
    <w:rsid w:val="0000166E"/>
    <w:rsid w:val="000017C8"/>
    <w:rsid w:val="00001AC8"/>
    <w:rsid w:val="000023FE"/>
    <w:rsid w:val="000027C4"/>
    <w:rsid w:val="00002823"/>
    <w:rsid w:val="00002A1E"/>
    <w:rsid w:val="00002CD1"/>
    <w:rsid w:val="00002FBE"/>
    <w:rsid w:val="000031D5"/>
    <w:rsid w:val="00003473"/>
    <w:rsid w:val="00003582"/>
    <w:rsid w:val="000036C6"/>
    <w:rsid w:val="000039C2"/>
    <w:rsid w:val="00003DBE"/>
    <w:rsid w:val="00003F80"/>
    <w:rsid w:val="0000404D"/>
    <w:rsid w:val="000043F7"/>
    <w:rsid w:val="00004B7A"/>
    <w:rsid w:val="00004C06"/>
    <w:rsid w:val="000051F4"/>
    <w:rsid w:val="0000544A"/>
    <w:rsid w:val="0000544C"/>
    <w:rsid w:val="00005504"/>
    <w:rsid w:val="00005B98"/>
    <w:rsid w:val="00005C4D"/>
    <w:rsid w:val="00006979"/>
    <w:rsid w:val="00006A75"/>
    <w:rsid w:val="00006AC5"/>
    <w:rsid w:val="00006F4F"/>
    <w:rsid w:val="00006FC4"/>
    <w:rsid w:val="000072AE"/>
    <w:rsid w:val="00007AE8"/>
    <w:rsid w:val="00007C0A"/>
    <w:rsid w:val="00007E9B"/>
    <w:rsid w:val="00007EA9"/>
    <w:rsid w:val="00010125"/>
    <w:rsid w:val="00010300"/>
    <w:rsid w:val="0001049C"/>
    <w:rsid w:val="0001073B"/>
    <w:rsid w:val="00010910"/>
    <w:rsid w:val="00010CE4"/>
    <w:rsid w:val="00010D38"/>
    <w:rsid w:val="0001110F"/>
    <w:rsid w:val="00011165"/>
    <w:rsid w:val="0001140D"/>
    <w:rsid w:val="00011573"/>
    <w:rsid w:val="0001165C"/>
    <w:rsid w:val="00011B5E"/>
    <w:rsid w:val="00011BC7"/>
    <w:rsid w:val="00011E6C"/>
    <w:rsid w:val="00011F5D"/>
    <w:rsid w:val="00012257"/>
    <w:rsid w:val="0001251E"/>
    <w:rsid w:val="00012556"/>
    <w:rsid w:val="00012790"/>
    <w:rsid w:val="00012A91"/>
    <w:rsid w:val="00012ACF"/>
    <w:rsid w:val="00012DDB"/>
    <w:rsid w:val="00012EFA"/>
    <w:rsid w:val="00013330"/>
    <w:rsid w:val="000134D8"/>
    <w:rsid w:val="00013622"/>
    <w:rsid w:val="00013B88"/>
    <w:rsid w:val="00013E90"/>
    <w:rsid w:val="00014189"/>
    <w:rsid w:val="000144CE"/>
    <w:rsid w:val="000146C3"/>
    <w:rsid w:val="000147F0"/>
    <w:rsid w:val="00014814"/>
    <w:rsid w:val="0001516D"/>
    <w:rsid w:val="00015177"/>
    <w:rsid w:val="000159BC"/>
    <w:rsid w:val="00016131"/>
    <w:rsid w:val="000165AF"/>
    <w:rsid w:val="000174BC"/>
    <w:rsid w:val="000176CE"/>
    <w:rsid w:val="000179CF"/>
    <w:rsid w:val="00017A2F"/>
    <w:rsid w:val="00017D33"/>
    <w:rsid w:val="00020041"/>
    <w:rsid w:val="00020754"/>
    <w:rsid w:val="00020FBF"/>
    <w:rsid w:val="00021280"/>
    <w:rsid w:val="000215F5"/>
    <w:rsid w:val="00021937"/>
    <w:rsid w:val="00021AD8"/>
    <w:rsid w:val="00021B33"/>
    <w:rsid w:val="00022A60"/>
    <w:rsid w:val="00022A86"/>
    <w:rsid w:val="00022CC8"/>
    <w:rsid w:val="000230A2"/>
    <w:rsid w:val="000236E7"/>
    <w:rsid w:val="000238DE"/>
    <w:rsid w:val="000239DB"/>
    <w:rsid w:val="00023AF4"/>
    <w:rsid w:val="00023C46"/>
    <w:rsid w:val="00023E80"/>
    <w:rsid w:val="00023F5C"/>
    <w:rsid w:val="000241A5"/>
    <w:rsid w:val="000244A0"/>
    <w:rsid w:val="000244AB"/>
    <w:rsid w:val="000246DA"/>
    <w:rsid w:val="00024755"/>
    <w:rsid w:val="0002487B"/>
    <w:rsid w:val="00024974"/>
    <w:rsid w:val="00024B45"/>
    <w:rsid w:val="00024BA3"/>
    <w:rsid w:val="00024C03"/>
    <w:rsid w:val="00024C9D"/>
    <w:rsid w:val="00025256"/>
    <w:rsid w:val="000252C5"/>
    <w:rsid w:val="00025465"/>
    <w:rsid w:val="0002562E"/>
    <w:rsid w:val="000258F7"/>
    <w:rsid w:val="00025937"/>
    <w:rsid w:val="00025A12"/>
    <w:rsid w:val="00025B94"/>
    <w:rsid w:val="00025FDB"/>
    <w:rsid w:val="00026099"/>
    <w:rsid w:val="0002663E"/>
    <w:rsid w:val="0002677D"/>
    <w:rsid w:val="0002690A"/>
    <w:rsid w:val="00026A0B"/>
    <w:rsid w:val="00026B93"/>
    <w:rsid w:val="00026C11"/>
    <w:rsid w:val="0002743F"/>
    <w:rsid w:val="000274ED"/>
    <w:rsid w:val="000279BF"/>
    <w:rsid w:val="000279FA"/>
    <w:rsid w:val="00027E0F"/>
    <w:rsid w:val="00027F65"/>
    <w:rsid w:val="000306E5"/>
    <w:rsid w:val="000306ED"/>
    <w:rsid w:val="00030861"/>
    <w:rsid w:val="00030991"/>
    <w:rsid w:val="00030C08"/>
    <w:rsid w:val="00030D59"/>
    <w:rsid w:val="00030E69"/>
    <w:rsid w:val="00030F34"/>
    <w:rsid w:val="00031003"/>
    <w:rsid w:val="000310A1"/>
    <w:rsid w:val="0003133D"/>
    <w:rsid w:val="0003138B"/>
    <w:rsid w:val="000315CA"/>
    <w:rsid w:val="00031EFF"/>
    <w:rsid w:val="00032021"/>
    <w:rsid w:val="00032207"/>
    <w:rsid w:val="00032453"/>
    <w:rsid w:val="00032951"/>
    <w:rsid w:val="00032A52"/>
    <w:rsid w:val="00032B9D"/>
    <w:rsid w:val="00032C2B"/>
    <w:rsid w:val="00032DED"/>
    <w:rsid w:val="00032E10"/>
    <w:rsid w:val="00032FBA"/>
    <w:rsid w:val="00033640"/>
    <w:rsid w:val="0003376B"/>
    <w:rsid w:val="000339B5"/>
    <w:rsid w:val="00033A36"/>
    <w:rsid w:val="00033F7B"/>
    <w:rsid w:val="0003406D"/>
    <w:rsid w:val="000340C5"/>
    <w:rsid w:val="000343F5"/>
    <w:rsid w:val="00034472"/>
    <w:rsid w:val="0003494A"/>
    <w:rsid w:val="00034A56"/>
    <w:rsid w:val="00034B0D"/>
    <w:rsid w:val="00034BDF"/>
    <w:rsid w:val="000357EC"/>
    <w:rsid w:val="000358DF"/>
    <w:rsid w:val="00035AA9"/>
    <w:rsid w:val="00035F3E"/>
    <w:rsid w:val="000361DB"/>
    <w:rsid w:val="0003624C"/>
    <w:rsid w:val="00036406"/>
    <w:rsid w:val="0003674D"/>
    <w:rsid w:val="00036793"/>
    <w:rsid w:val="00036818"/>
    <w:rsid w:val="00036857"/>
    <w:rsid w:val="00036902"/>
    <w:rsid w:val="00036AED"/>
    <w:rsid w:val="00036DF9"/>
    <w:rsid w:val="00037036"/>
    <w:rsid w:val="0003769B"/>
    <w:rsid w:val="00037ECD"/>
    <w:rsid w:val="00037FC8"/>
    <w:rsid w:val="0004019F"/>
    <w:rsid w:val="0004059F"/>
    <w:rsid w:val="000408DA"/>
    <w:rsid w:val="00040A7A"/>
    <w:rsid w:val="00040F3E"/>
    <w:rsid w:val="0004103B"/>
    <w:rsid w:val="0004112F"/>
    <w:rsid w:val="000412E2"/>
    <w:rsid w:val="00041360"/>
    <w:rsid w:val="00041737"/>
    <w:rsid w:val="00041D85"/>
    <w:rsid w:val="00041E3F"/>
    <w:rsid w:val="0004222E"/>
    <w:rsid w:val="0004239B"/>
    <w:rsid w:val="0004270B"/>
    <w:rsid w:val="00042A49"/>
    <w:rsid w:val="00042BF3"/>
    <w:rsid w:val="00042EE5"/>
    <w:rsid w:val="0004311A"/>
    <w:rsid w:val="000431FA"/>
    <w:rsid w:val="00043B18"/>
    <w:rsid w:val="000449AF"/>
    <w:rsid w:val="00044BFB"/>
    <w:rsid w:val="00044F86"/>
    <w:rsid w:val="00045030"/>
    <w:rsid w:val="00045794"/>
    <w:rsid w:val="000457EA"/>
    <w:rsid w:val="0004584A"/>
    <w:rsid w:val="0004586D"/>
    <w:rsid w:val="00045C2B"/>
    <w:rsid w:val="0004606A"/>
    <w:rsid w:val="00046120"/>
    <w:rsid w:val="00046F53"/>
    <w:rsid w:val="00047247"/>
    <w:rsid w:val="00047658"/>
    <w:rsid w:val="000478BE"/>
    <w:rsid w:val="00047916"/>
    <w:rsid w:val="00047EEB"/>
    <w:rsid w:val="00047F0B"/>
    <w:rsid w:val="00047FD4"/>
    <w:rsid w:val="000501E2"/>
    <w:rsid w:val="00050204"/>
    <w:rsid w:val="000502D5"/>
    <w:rsid w:val="0005039D"/>
    <w:rsid w:val="00050967"/>
    <w:rsid w:val="00050B5D"/>
    <w:rsid w:val="00050C99"/>
    <w:rsid w:val="00050E99"/>
    <w:rsid w:val="00050EDA"/>
    <w:rsid w:val="00050F75"/>
    <w:rsid w:val="000513DA"/>
    <w:rsid w:val="00051A49"/>
    <w:rsid w:val="000522FD"/>
    <w:rsid w:val="00052717"/>
    <w:rsid w:val="0005271E"/>
    <w:rsid w:val="000529A2"/>
    <w:rsid w:val="00052A2C"/>
    <w:rsid w:val="000530C3"/>
    <w:rsid w:val="0005341D"/>
    <w:rsid w:val="00053B06"/>
    <w:rsid w:val="00053D88"/>
    <w:rsid w:val="00054151"/>
    <w:rsid w:val="000543C6"/>
    <w:rsid w:val="000545B1"/>
    <w:rsid w:val="0005485D"/>
    <w:rsid w:val="00054879"/>
    <w:rsid w:val="00054C8A"/>
    <w:rsid w:val="00054CE4"/>
    <w:rsid w:val="00054D31"/>
    <w:rsid w:val="000550AB"/>
    <w:rsid w:val="00055154"/>
    <w:rsid w:val="000552A1"/>
    <w:rsid w:val="00055563"/>
    <w:rsid w:val="00055565"/>
    <w:rsid w:val="00056364"/>
    <w:rsid w:val="00056569"/>
    <w:rsid w:val="00056680"/>
    <w:rsid w:val="0005672B"/>
    <w:rsid w:val="00056763"/>
    <w:rsid w:val="00056845"/>
    <w:rsid w:val="000574DA"/>
    <w:rsid w:val="00057792"/>
    <w:rsid w:val="0006037D"/>
    <w:rsid w:val="00060389"/>
    <w:rsid w:val="00060BA0"/>
    <w:rsid w:val="00060C52"/>
    <w:rsid w:val="00060E35"/>
    <w:rsid w:val="00060F41"/>
    <w:rsid w:val="00061799"/>
    <w:rsid w:val="00061AAE"/>
    <w:rsid w:val="00061F17"/>
    <w:rsid w:val="00062146"/>
    <w:rsid w:val="00062180"/>
    <w:rsid w:val="00062322"/>
    <w:rsid w:val="000625F9"/>
    <w:rsid w:val="00062CC9"/>
    <w:rsid w:val="00062CF0"/>
    <w:rsid w:val="000630C6"/>
    <w:rsid w:val="00063344"/>
    <w:rsid w:val="00063349"/>
    <w:rsid w:val="0006338C"/>
    <w:rsid w:val="000633F9"/>
    <w:rsid w:val="000637F7"/>
    <w:rsid w:val="00063807"/>
    <w:rsid w:val="00063AB5"/>
    <w:rsid w:val="00063E08"/>
    <w:rsid w:val="00064651"/>
    <w:rsid w:val="00064735"/>
    <w:rsid w:val="00064C0C"/>
    <w:rsid w:val="00064FB6"/>
    <w:rsid w:val="0006526A"/>
    <w:rsid w:val="000653B7"/>
    <w:rsid w:val="00065C85"/>
    <w:rsid w:val="00065E31"/>
    <w:rsid w:val="00066304"/>
    <w:rsid w:val="00066393"/>
    <w:rsid w:val="000666DF"/>
    <w:rsid w:val="000666E9"/>
    <w:rsid w:val="000668E7"/>
    <w:rsid w:val="00066B4B"/>
    <w:rsid w:val="00066D37"/>
    <w:rsid w:val="00066FC2"/>
    <w:rsid w:val="00067083"/>
    <w:rsid w:val="000671D5"/>
    <w:rsid w:val="00067713"/>
    <w:rsid w:val="00067730"/>
    <w:rsid w:val="00067826"/>
    <w:rsid w:val="00067B7E"/>
    <w:rsid w:val="000700D8"/>
    <w:rsid w:val="00070225"/>
    <w:rsid w:val="0007034A"/>
    <w:rsid w:val="00070BA4"/>
    <w:rsid w:val="000711FC"/>
    <w:rsid w:val="0007146C"/>
    <w:rsid w:val="00071AC7"/>
    <w:rsid w:val="00071B34"/>
    <w:rsid w:val="00071E89"/>
    <w:rsid w:val="00071FCC"/>
    <w:rsid w:val="00072050"/>
    <w:rsid w:val="00072098"/>
    <w:rsid w:val="000722FD"/>
    <w:rsid w:val="000724BA"/>
    <w:rsid w:val="000725B5"/>
    <w:rsid w:val="00072A05"/>
    <w:rsid w:val="00073333"/>
    <w:rsid w:val="000736DB"/>
    <w:rsid w:val="000738ED"/>
    <w:rsid w:val="00073927"/>
    <w:rsid w:val="00073D26"/>
    <w:rsid w:val="00074071"/>
    <w:rsid w:val="000740AC"/>
    <w:rsid w:val="000747BE"/>
    <w:rsid w:val="00074F92"/>
    <w:rsid w:val="00074FA9"/>
    <w:rsid w:val="0007521F"/>
    <w:rsid w:val="0007525F"/>
    <w:rsid w:val="0007546C"/>
    <w:rsid w:val="00075504"/>
    <w:rsid w:val="000756F5"/>
    <w:rsid w:val="00075E7D"/>
    <w:rsid w:val="00076437"/>
    <w:rsid w:val="000768F8"/>
    <w:rsid w:val="000769E0"/>
    <w:rsid w:val="00076ECB"/>
    <w:rsid w:val="00077241"/>
    <w:rsid w:val="000776E5"/>
    <w:rsid w:val="000778FC"/>
    <w:rsid w:val="000779A5"/>
    <w:rsid w:val="00077CF7"/>
    <w:rsid w:val="00080741"/>
    <w:rsid w:val="000809A8"/>
    <w:rsid w:val="000812CF"/>
    <w:rsid w:val="00081555"/>
    <w:rsid w:val="000816FC"/>
    <w:rsid w:val="00081E2E"/>
    <w:rsid w:val="00081E91"/>
    <w:rsid w:val="00081F76"/>
    <w:rsid w:val="00082228"/>
    <w:rsid w:val="000822CA"/>
    <w:rsid w:val="000823C6"/>
    <w:rsid w:val="00082986"/>
    <w:rsid w:val="00082C21"/>
    <w:rsid w:val="00082C71"/>
    <w:rsid w:val="00082F50"/>
    <w:rsid w:val="00083504"/>
    <w:rsid w:val="000838BF"/>
    <w:rsid w:val="0008406E"/>
    <w:rsid w:val="000846E2"/>
    <w:rsid w:val="0008489F"/>
    <w:rsid w:val="00084D1F"/>
    <w:rsid w:val="00085049"/>
    <w:rsid w:val="0008541D"/>
    <w:rsid w:val="000855A5"/>
    <w:rsid w:val="00085604"/>
    <w:rsid w:val="0008667B"/>
    <w:rsid w:val="000866AF"/>
    <w:rsid w:val="0008699B"/>
    <w:rsid w:val="00086AE0"/>
    <w:rsid w:val="00086D83"/>
    <w:rsid w:val="00087198"/>
    <w:rsid w:val="0008783C"/>
    <w:rsid w:val="000878E7"/>
    <w:rsid w:val="00087EDF"/>
    <w:rsid w:val="00090067"/>
    <w:rsid w:val="000900DD"/>
    <w:rsid w:val="00090481"/>
    <w:rsid w:val="000904A8"/>
    <w:rsid w:val="000905DC"/>
    <w:rsid w:val="00090954"/>
    <w:rsid w:val="0009124B"/>
    <w:rsid w:val="000913CF"/>
    <w:rsid w:val="000914D2"/>
    <w:rsid w:val="000915E2"/>
    <w:rsid w:val="0009194E"/>
    <w:rsid w:val="00091BC3"/>
    <w:rsid w:val="00091C7B"/>
    <w:rsid w:val="000920C6"/>
    <w:rsid w:val="000924D0"/>
    <w:rsid w:val="00092BA8"/>
    <w:rsid w:val="00093030"/>
    <w:rsid w:val="00093093"/>
    <w:rsid w:val="00093BB6"/>
    <w:rsid w:val="00093C1C"/>
    <w:rsid w:val="00093DB6"/>
    <w:rsid w:val="00093E2D"/>
    <w:rsid w:val="00093E8F"/>
    <w:rsid w:val="00094043"/>
    <w:rsid w:val="000940E6"/>
    <w:rsid w:val="00094104"/>
    <w:rsid w:val="000944E3"/>
    <w:rsid w:val="00094649"/>
    <w:rsid w:val="000946BB"/>
    <w:rsid w:val="000946DB"/>
    <w:rsid w:val="000948DD"/>
    <w:rsid w:val="00094E92"/>
    <w:rsid w:val="00094F24"/>
    <w:rsid w:val="000950E4"/>
    <w:rsid w:val="00095297"/>
    <w:rsid w:val="0009541E"/>
    <w:rsid w:val="000956D1"/>
    <w:rsid w:val="000958B1"/>
    <w:rsid w:val="00095EC6"/>
    <w:rsid w:val="000962AE"/>
    <w:rsid w:val="000967E5"/>
    <w:rsid w:val="00096DDA"/>
    <w:rsid w:val="00096E48"/>
    <w:rsid w:val="00096E88"/>
    <w:rsid w:val="000972D4"/>
    <w:rsid w:val="0009730B"/>
    <w:rsid w:val="000975EA"/>
    <w:rsid w:val="00097C44"/>
    <w:rsid w:val="00097DB3"/>
    <w:rsid w:val="00097FB3"/>
    <w:rsid w:val="000A07CF"/>
    <w:rsid w:val="000A0A34"/>
    <w:rsid w:val="000A0A3D"/>
    <w:rsid w:val="000A0BF3"/>
    <w:rsid w:val="000A0E1E"/>
    <w:rsid w:val="000A0E3A"/>
    <w:rsid w:val="000A11E4"/>
    <w:rsid w:val="000A1429"/>
    <w:rsid w:val="000A2684"/>
    <w:rsid w:val="000A26C6"/>
    <w:rsid w:val="000A2914"/>
    <w:rsid w:val="000A2A21"/>
    <w:rsid w:val="000A2F32"/>
    <w:rsid w:val="000A3021"/>
    <w:rsid w:val="000A317F"/>
    <w:rsid w:val="000A32C1"/>
    <w:rsid w:val="000A35EE"/>
    <w:rsid w:val="000A3942"/>
    <w:rsid w:val="000A3CDF"/>
    <w:rsid w:val="000A3D11"/>
    <w:rsid w:val="000A3FEF"/>
    <w:rsid w:val="000A3FFC"/>
    <w:rsid w:val="000A420F"/>
    <w:rsid w:val="000A464D"/>
    <w:rsid w:val="000A474F"/>
    <w:rsid w:val="000A4C2A"/>
    <w:rsid w:val="000A4D8F"/>
    <w:rsid w:val="000A4EB6"/>
    <w:rsid w:val="000A571A"/>
    <w:rsid w:val="000A590F"/>
    <w:rsid w:val="000A5DBB"/>
    <w:rsid w:val="000A618A"/>
    <w:rsid w:val="000A62D4"/>
    <w:rsid w:val="000A668C"/>
    <w:rsid w:val="000A6938"/>
    <w:rsid w:val="000A6947"/>
    <w:rsid w:val="000A699E"/>
    <w:rsid w:val="000A6A23"/>
    <w:rsid w:val="000A6E5A"/>
    <w:rsid w:val="000A6FE4"/>
    <w:rsid w:val="000A7170"/>
    <w:rsid w:val="000A7B9A"/>
    <w:rsid w:val="000A7CFD"/>
    <w:rsid w:val="000B0087"/>
    <w:rsid w:val="000B0193"/>
    <w:rsid w:val="000B01FC"/>
    <w:rsid w:val="000B058B"/>
    <w:rsid w:val="000B069B"/>
    <w:rsid w:val="000B086D"/>
    <w:rsid w:val="000B0883"/>
    <w:rsid w:val="000B0E11"/>
    <w:rsid w:val="000B1FA0"/>
    <w:rsid w:val="000B25AE"/>
    <w:rsid w:val="000B2703"/>
    <w:rsid w:val="000B2846"/>
    <w:rsid w:val="000B2A70"/>
    <w:rsid w:val="000B2C3E"/>
    <w:rsid w:val="000B2E8C"/>
    <w:rsid w:val="000B32B6"/>
    <w:rsid w:val="000B3606"/>
    <w:rsid w:val="000B3884"/>
    <w:rsid w:val="000B39DA"/>
    <w:rsid w:val="000B3C1A"/>
    <w:rsid w:val="000B3FAF"/>
    <w:rsid w:val="000B429D"/>
    <w:rsid w:val="000B4312"/>
    <w:rsid w:val="000B4738"/>
    <w:rsid w:val="000B4A77"/>
    <w:rsid w:val="000B4CBF"/>
    <w:rsid w:val="000B50BD"/>
    <w:rsid w:val="000B5823"/>
    <w:rsid w:val="000B5BC6"/>
    <w:rsid w:val="000B5D2D"/>
    <w:rsid w:val="000B6574"/>
    <w:rsid w:val="000B66D8"/>
    <w:rsid w:val="000B6A28"/>
    <w:rsid w:val="000B6B97"/>
    <w:rsid w:val="000B7027"/>
    <w:rsid w:val="000B712F"/>
    <w:rsid w:val="000B7241"/>
    <w:rsid w:val="000B7458"/>
    <w:rsid w:val="000B74DF"/>
    <w:rsid w:val="000B770A"/>
    <w:rsid w:val="000B7E5E"/>
    <w:rsid w:val="000B7ED9"/>
    <w:rsid w:val="000B7FDD"/>
    <w:rsid w:val="000C0172"/>
    <w:rsid w:val="000C01E8"/>
    <w:rsid w:val="000C01EC"/>
    <w:rsid w:val="000C04A1"/>
    <w:rsid w:val="000C0BD0"/>
    <w:rsid w:val="000C0FBF"/>
    <w:rsid w:val="000C178D"/>
    <w:rsid w:val="000C1805"/>
    <w:rsid w:val="000C188C"/>
    <w:rsid w:val="000C190A"/>
    <w:rsid w:val="000C19A7"/>
    <w:rsid w:val="000C1B5C"/>
    <w:rsid w:val="000C1CCB"/>
    <w:rsid w:val="000C2202"/>
    <w:rsid w:val="000C254B"/>
    <w:rsid w:val="000C2AEC"/>
    <w:rsid w:val="000C3329"/>
    <w:rsid w:val="000C3597"/>
    <w:rsid w:val="000C3823"/>
    <w:rsid w:val="000C3888"/>
    <w:rsid w:val="000C3981"/>
    <w:rsid w:val="000C3BF3"/>
    <w:rsid w:val="000C4064"/>
    <w:rsid w:val="000C47EB"/>
    <w:rsid w:val="000C486C"/>
    <w:rsid w:val="000C49E3"/>
    <w:rsid w:val="000C4B7F"/>
    <w:rsid w:val="000C53A1"/>
    <w:rsid w:val="000C57A1"/>
    <w:rsid w:val="000C5829"/>
    <w:rsid w:val="000C589B"/>
    <w:rsid w:val="000C5B60"/>
    <w:rsid w:val="000C5B97"/>
    <w:rsid w:val="000C5BDC"/>
    <w:rsid w:val="000C5CC7"/>
    <w:rsid w:val="000C5F59"/>
    <w:rsid w:val="000C6655"/>
    <w:rsid w:val="000C6708"/>
    <w:rsid w:val="000C692E"/>
    <w:rsid w:val="000C6C90"/>
    <w:rsid w:val="000C7090"/>
    <w:rsid w:val="000C75BC"/>
    <w:rsid w:val="000C7652"/>
    <w:rsid w:val="000C792C"/>
    <w:rsid w:val="000C7BBC"/>
    <w:rsid w:val="000C7C18"/>
    <w:rsid w:val="000D023B"/>
    <w:rsid w:val="000D03E1"/>
    <w:rsid w:val="000D0530"/>
    <w:rsid w:val="000D1283"/>
    <w:rsid w:val="000D1B23"/>
    <w:rsid w:val="000D1BEF"/>
    <w:rsid w:val="000D1FA4"/>
    <w:rsid w:val="000D22A8"/>
    <w:rsid w:val="000D26B4"/>
    <w:rsid w:val="000D2D2D"/>
    <w:rsid w:val="000D30C8"/>
    <w:rsid w:val="000D30DB"/>
    <w:rsid w:val="000D310C"/>
    <w:rsid w:val="000D325F"/>
    <w:rsid w:val="000D369E"/>
    <w:rsid w:val="000D3954"/>
    <w:rsid w:val="000D39DD"/>
    <w:rsid w:val="000D3B7C"/>
    <w:rsid w:val="000D3CF0"/>
    <w:rsid w:val="000D3D61"/>
    <w:rsid w:val="000D4113"/>
    <w:rsid w:val="000D411B"/>
    <w:rsid w:val="000D4538"/>
    <w:rsid w:val="000D45C7"/>
    <w:rsid w:val="000D5AA7"/>
    <w:rsid w:val="000D5C6C"/>
    <w:rsid w:val="000D6349"/>
    <w:rsid w:val="000D6B0E"/>
    <w:rsid w:val="000D6D11"/>
    <w:rsid w:val="000D71F4"/>
    <w:rsid w:val="000D750E"/>
    <w:rsid w:val="000D7615"/>
    <w:rsid w:val="000D773D"/>
    <w:rsid w:val="000D77D9"/>
    <w:rsid w:val="000D7938"/>
    <w:rsid w:val="000D7BC5"/>
    <w:rsid w:val="000E063D"/>
    <w:rsid w:val="000E072B"/>
    <w:rsid w:val="000E08CB"/>
    <w:rsid w:val="000E0CE5"/>
    <w:rsid w:val="000E0D9D"/>
    <w:rsid w:val="000E0F37"/>
    <w:rsid w:val="000E0F97"/>
    <w:rsid w:val="000E1471"/>
    <w:rsid w:val="000E16DE"/>
    <w:rsid w:val="000E1739"/>
    <w:rsid w:val="000E1A2E"/>
    <w:rsid w:val="000E2159"/>
    <w:rsid w:val="000E24D8"/>
    <w:rsid w:val="000E29C8"/>
    <w:rsid w:val="000E2BA7"/>
    <w:rsid w:val="000E338E"/>
    <w:rsid w:val="000E3DB3"/>
    <w:rsid w:val="000E42CF"/>
    <w:rsid w:val="000E435A"/>
    <w:rsid w:val="000E453C"/>
    <w:rsid w:val="000E4751"/>
    <w:rsid w:val="000E47D2"/>
    <w:rsid w:val="000E486B"/>
    <w:rsid w:val="000E48F0"/>
    <w:rsid w:val="000E4F18"/>
    <w:rsid w:val="000E5183"/>
    <w:rsid w:val="000E528A"/>
    <w:rsid w:val="000E5D3D"/>
    <w:rsid w:val="000E6146"/>
    <w:rsid w:val="000E6241"/>
    <w:rsid w:val="000E63FD"/>
    <w:rsid w:val="000E64BF"/>
    <w:rsid w:val="000E6BA7"/>
    <w:rsid w:val="000E6E41"/>
    <w:rsid w:val="000E70A9"/>
    <w:rsid w:val="000E7585"/>
    <w:rsid w:val="000E75AF"/>
    <w:rsid w:val="000E7794"/>
    <w:rsid w:val="000E7AE4"/>
    <w:rsid w:val="000E7F12"/>
    <w:rsid w:val="000E7FDE"/>
    <w:rsid w:val="000F01E2"/>
    <w:rsid w:val="000F04ED"/>
    <w:rsid w:val="000F0584"/>
    <w:rsid w:val="000F093D"/>
    <w:rsid w:val="000F0CED"/>
    <w:rsid w:val="000F0D17"/>
    <w:rsid w:val="000F0E9A"/>
    <w:rsid w:val="000F10CC"/>
    <w:rsid w:val="000F1316"/>
    <w:rsid w:val="000F1D46"/>
    <w:rsid w:val="000F2401"/>
    <w:rsid w:val="000F253D"/>
    <w:rsid w:val="000F2CC4"/>
    <w:rsid w:val="000F2E77"/>
    <w:rsid w:val="000F31EA"/>
    <w:rsid w:val="000F3684"/>
    <w:rsid w:val="000F3DA4"/>
    <w:rsid w:val="000F3E3B"/>
    <w:rsid w:val="000F3F2A"/>
    <w:rsid w:val="000F4236"/>
    <w:rsid w:val="000F4409"/>
    <w:rsid w:val="000F441C"/>
    <w:rsid w:val="000F4539"/>
    <w:rsid w:val="000F455A"/>
    <w:rsid w:val="000F459D"/>
    <w:rsid w:val="000F4A9D"/>
    <w:rsid w:val="000F5463"/>
    <w:rsid w:val="000F5939"/>
    <w:rsid w:val="000F5A26"/>
    <w:rsid w:val="000F5C2F"/>
    <w:rsid w:val="000F5D33"/>
    <w:rsid w:val="000F5E83"/>
    <w:rsid w:val="000F6737"/>
    <w:rsid w:val="000F699F"/>
    <w:rsid w:val="000F6E87"/>
    <w:rsid w:val="000F6F9B"/>
    <w:rsid w:val="000F795D"/>
    <w:rsid w:val="000F7C68"/>
    <w:rsid w:val="000F7EAA"/>
    <w:rsid w:val="00100311"/>
    <w:rsid w:val="0010063B"/>
    <w:rsid w:val="00100C1F"/>
    <w:rsid w:val="0010149F"/>
    <w:rsid w:val="001014DD"/>
    <w:rsid w:val="00101633"/>
    <w:rsid w:val="00101790"/>
    <w:rsid w:val="00101798"/>
    <w:rsid w:val="0010195D"/>
    <w:rsid w:val="00101BAA"/>
    <w:rsid w:val="0010246C"/>
    <w:rsid w:val="001024AA"/>
    <w:rsid w:val="00102603"/>
    <w:rsid w:val="00102680"/>
    <w:rsid w:val="001029BB"/>
    <w:rsid w:val="00102A62"/>
    <w:rsid w:val="00102CE5"/>
    <w:rsid w:val="00102E23"/>
    <w:rsid w:val="00103545"/>
    <w:rsid w:val="0010378B"/>
    <w:rsid w:val="001037A8"/>
    <w:rsid w:val="0010395A"/>
    <w:rsid w:val="00103B1A"/>
    <w:rsid w:val="00103D34"/>
    <w:rsid w:val="001040B8"/>
    <w:rsid w:val="00104982"/>
    <w:rsid w:val="00104D01"/>
    <w:rsid w:val="00104F38"/>
    <w:rsid w:val="001050BD"/>
    <w:rsid w:val="0010516B"/>
    <w:rsid w:val="001053C8"/>
    <w:rsid w:val="00105E9D"/>
    <w:rsid w:val="00105F10"/>
    <w:rsid w:val="0010610B"/>
    <w:rsid w:val="00106308"/>
    <w:rsid w:val="00106533"/>
    <w:rsid w:val="00106691"/>
    <w:rsid w:val="00106B06"/>
    <w:rsid w:val="00106C08"/>
    <w:rsid w:val="00106EAA"/>
    <w:rsid w:val="001071A4"/>
    <w:rsid w:val="00107354"/>
    <w:rsid w:val="001073FF"/>
    <w:rsid w:val="00107597"/>
    <w:rsid w:val="0010767D"/>
    <w:rsid w:val="00107747"/>
    <w:rsid w:val="001077C0"/>
    <w:rsid w:val="00107F5D"/>
    <w:rsid w:val="00110138"/>
    <w:rsid w:val="00110202"/>
    <w:rsid w:val="001102E6"/>
    <w:rsid w:val="00110607"/>
    <w:rsid w:val="0011063E"/>
    <w:rsid w:val="00110845"/>
    <w:rsid w:val="00110A86"/>
    <w:rsid w:val="00110BBF"/>
    <w:rsid w:val="0011106B"/>
    <w:rsid w:val="00111269"/>
    <w:rsid w:val="0011133C"/>
    <w:rsid w:val="00111503"/>
    <w:rsid w:val="00111535"/>
    <w:rsid w:val="00111986"/>
    <w:rsid w:val="00111BD7"/>
    <w:rsid w:val="0011240C"/>
    <w:rsid w:val="00112AE3"/>
    <w:rsid w:val="00112FB3"/>
    <w:rsid w:val="001133FD"/>
    <w:rsid w:val="0011363B"/>
    <w:rsid w:val="00113779"/>
    <w:rsid w:val="00113A19"/>
    <w:rsid w:val="00113A5E"/>
    <w:rsid w:val="00113A96"/>
    <w:rsid w:val="00113E3A"/>
    <w:rsid w:val="0011466E"/>
    <w:rsid w:val="001146DB"/>
    <w:rsid w:val="00114A0D"/>
    <w:rsid w:val="00114BD8"/>
    <w:rsid w:val="00114DC8"/>
    <w:rsid w:val="00114F85"/>
    <w:rsid w:val="0011503B"/>
    <w:rsid w:val="00115070"/>
    <w:rsid w:val="001151A2"/>
    <w:rsid w:val="00115434"/>
    <w:rsid w:val="001155AC"/>
    <w:rsid w:val="001157E4"/>
    <w:rsid w:val="00115AA0"/>
    <w:rsid w:val="00115C0C"/>
    <w:rsid w:val="00115DD0"/>
    <w:rsid w:val="001163B7"/>
    <w:rsid w:val="00116946"/>
    <w:rsid w:val="0011715E"/>
    <w:rsid w:val="00117D4D"/>
    <w:rsid w:val="00117E4C"/>
    <w:rsid w:val="00117E7E"/>
    <w:rsid w:val="00117F12"/>
    <w:rsid w:val="001200C0"/>
    <w:rsid w:val="0012057C"/>
    <w:rsid w:val="001210CF"/>
    <w:rsid w:val="00121350"/>
    <w:rsid w:val="00121478"/>
    <w:rsid w:val="00121698"/>
    <w:rsid w:val="001218DF"/>
    <w:rsid w:val="00121B8D"/>
    <w:rsid w:val="00121E2A"/>
    <w:rsid w:val="0012209F"/>
    <w:rsid w:val="0012246B"/>
    <w:rsid w:val="0012253D"/>
    <w:rsid w:val="001225AF"/>
    <w:rsid w:val="00122770"/>
    <w:rsid w:val="00122884"/>
    <w:rsid w:val="001228EB"/>
    <w:rsid w:val="00122BDA"/>
    <w:rsid w:val="00122D61"/>
    <w:rsid w:val="00123161"/>
    <w:rsid w:val="00123196"/>
    <w:rsid w:val="001232BE"/>
    <w:rsid w:val="001232EA"/>
    <w:rsid w:val="0012431B"/>
    <w:rsid w:val="00124C6D"/>
    <w:rsid w:val="00124FE5"/>
    <w:rsid w:val="00125074"/>
    <w:rsid w:val="0012528D"/>
    <w:rsid w:val="00125347"/>
    <w:rsid w:val="00125503"/>
    <w:rsid w:val="0012582E"/>
    <w:rsid w:val="00125A0E"/>
    <w:rsid w:val="00125C81"/>
    <w:rsid w:val="00125D01"/>
    <w:rsid w:val="00125DC3"/>
    <w:rsid w:val="00126101"/>
    <w:rsid w:val="00126123"/>
    <w:rsid w:val="001262D1"/>
    <w:rsid w:val="00126344"/>
    <w:rsid w:val="0012671F"/>
    <w:rsid w:val="001267B1"/>
    <w:rsid w:val="001268FC"/>
    <w:rsid w:val="00126900"/>
    <w:rsid w:val="00126DE0"/>
    <w:rsid w:val="00127399"/>
    <w:rsid w:val="001273B6"/>
    <w:rsid w:val="001274D9"/>
    <w:rsid w:val="001275BF"/>
    <w:rsid w:val="00127639"/>
    <w:rsid w:val="00130392"/>
    <w:rsid w:val="00130544"/>
    <w:rsid w:val="00130710"/>
    <w:rsid w:val="001307E9"/>
    <w:rsid w:val="001309BC"/>
    <w:rsid w:val="00130BCF"/>
    <w:rsid w:val="00130BE3"/>
    <w:rsid w:val="00130DA0"/>
    <w:rsid w:val="001311BF"/>
    <w:rsid w:val="00131696"/>
    <w:rsid w:val="00131A2D"/>
    <w:rsid w:val="00131CD7"/>
    <w:rsid w:val="00131DC5"/>
    <w:rsid w:val="00131E72"/>
    <w:rsid w:val="001320AE"/>
    <w:rsid w:val="001325CB"/>
    <w:rsid w:val="001328D0"/>
    <w:rsid w:val="001329D0"/>
    <w:rsid w:val="00132BF1"/>
    <w:rsid w:val="00132C7D"/>
    <w:rsid w:val="00132D84"/>
    <w:rsid w:val="0013378E"/>
    <w:rsid w:val="001339FD"/>
    <w:rsid w:val="0013428D"/>
    <w:rsid w:val="001342C0"/>
    <w:rsid w:val="001347C7"/>
    <w:rsid w:val="00134AD9"/>
    <w:rsid w:val="00135291"/>
    <w:rsid w:val="0013588E"/>
    <w:rsid w:val="0013590C"/>
    <w:rsid w:val="00135A07"/>
    <w:rsid w:val="00135B2D"/>
    <w:rsid w:val="00135CC0"/>
    <w:rsid w:val="00135F59"/>
    <w:rsid w:val="001365BA"/>
    <w:rsid w:val="00136776"/>
    <w:rsid w:val="00136B3C"/>
    <w:rsid w:val="00136B44"/>
    <w:rsid w:val="00136C18"/>
    <w:rsid w:val="001370DA"/>
    <w:rsid w:val="00137165"/>
    <w:rsid w:val="0013716C"/>
    <w:rsid w:val="001376E2"/>
    <w:rsid w:val="00137989"/>
    <w:rsid w:val="001404CC"/>
    <w:rsid w:val="001404DA"/>
    <w:rsid w:val="0014067D"/>
    <w:rsid w:val="00140EE7"/>
    <w:rsid w:val="00140FA5"/>
    <w:rsid w:val="00141053"/>
    <w:rsid w:val="00141A33"/>
    <w:rsid w:val="00141CDB"/>
    <w:rsid w:val="00141D6E"/>
    <w:rsid w:val="00141F07"/>
    <w:rsid w:val="0014207D"/>
    <w:rsid w:val="00142277"/>
    <w:rsid w:val="0014237B"/>
    <w:rsid w:val="001427BD"/>
    <w:rsid w:val="001429D1"/>
    <w:rsid w:val="00142A9B"/>
    <w:rsid w:val="001430E1"/>
    <w:rsid w:val="00143404"/>
    <w:rsid w:val="001438A5"/>
    <w:rsid w:val="00143B11"/>
    <w:rsid w:val="00144187"/>
    <w:rsid w:val="001447C1"/>
    <w:rsid w:val="00144AA8"/>
    <w:rsid w:val="00144BEB"/>
    <w:rsid w:val="00144C59"/>
    <w:rsid w:val="00145430"/>
    <w:rsid w:val="0014544B"/>
    <w:rsid w:val="00145464"/>
    <w:rsid w:val="001458D2"/>
    <w:rsid w:val="00145A29"/>
    <w:rsid w:val="00145A49"/>
    <w:rsid w:val="00145D82"/>
    <w:rsid w:val="00145F42"/>
    <w:rsid w:val="00145FA2"/>
    <w:rsid w:val="00145FFF"/>
    <w:rsid w:val="0014651D"/>
    <w:rsid w:val="00146C1E"/>
    <w:rsid w:val="00146F1E"/>
    <w:rsid w:val="00147ACD"/>
    <w:rsid w:val="00147B6F"/>
    <w:rsid w:val="00147D8E"/>
    <w:rsid w:val="00147E95"/>
    <w:rsid w:val="00150103"/>
    <w:rsid w:val="00150387"/>
    <w:rsid w:val="00150574"/>
    <w:rsid w:val="001505A9"/>
    <w:rsid w:val="00150E2F"/>
    <w:rsid w:val="0015111E"/>
    <w:rsid w:val="001513EF"/>
    <w:rsid w:val="0015175E"/>
    <w:rsid w:val="001520B8"/>
    <w:rsid w:val="001524B2"/>
    <w:rsid w:val="0015272A"/>
    <w:rsid w:val="0015280C"/>
    <w:rsid w:val="00152EB5"/>
    <w:rsid w:val="00152F2E"/>
    <w:rsid w:val="00152FB5"/>
    <w:rsid w:val="0015333E"/>
    <w:rsid w:val="001537C4"/>
    <w:rsid w:val="00153C73"/>
    <w:rsid w:val="00153E67"/>
    <w:rsid w:val="001543C9"/>
    <w:rsid w:val="001544A0"/>
    <w:rsid w:val="00154649"/>
    <w:rsid w:val="00154B0E"/>
    <w:rsid w:val="00154BFB"/>
    <w:rsid w:val="00154D4B"/>
    <w:rsid w:val="00154DB5"/>
    <w:rsid w:val="00154E66"/>
    <w:rsid w:val="00155236"/>
    <w:rsid w:val="001552BF"/>
    <w:rsid w:val="00155583"/>
    <w:rsid w:val="00155A1C"/>
    <w:rsid w:val="0015601B"/>
    <w:rsid w:val="0015624B"/>
    <w:rsid w:val="00156974"/>
    <w:rsid w:val="00156A32"/>
    <w:rsid w:val="00156ADF"/>
    <w:rsid w:val="00156D39"/>
    <w:rsid w:val="00156D75"/>
    <w:rsid w:val="00156E49"/>
    <w:rsid w:val="0015742D"/>
    <w:rsid w:val="001576E7"/>
    <w:rsid w:val="00157C10"/>
    <w:rsid w:val="001602E9"/>
    <w:rsid w:val="00160E25"/>
    <w:rsid w:val="001612CB"/>
    <w:rsid w:val="001613FA"/>
    <w:rsid w:val="0016150E"/>
    <w:rsid w:val="00161B05"/>
    <w:rsid w:val="00161C87"/>
    <w:rsid w:val="00162111"/>
    <w:rsid w:val="0016216C"/>
    <w:rsid w:val="00162469"/>
    <w:rsid w:val="001625D1"/>
    <w:rsid w:val="00162AE2"/>
    <w:rsid w:val="00162B88"/>
    <w:rsid w:val="00162C95"/>
    <w:rsid w:val="00162E7B"/>
    <w:rsid w:val="00163176"/>
    <w:rsid w:val="00163491"/>
    <w:rsid w:val="001635B1"/>
    <w:rsid w:val="001636A5"/>
    <w:rsid w:val="0016392A"/>
    <w:rsid w:val="00163E47"/>
    <w:rsid w:val="00163E8F"/>
    <w:rsid w:val="00164198"/>
    <w:rsid w:val="00164665"/>
    <w:rsid w:val="00164830"/>
    <w:rsid w:val="00164A98"/>
    <w:rsid w:val="00164F54"/>
    <w:rsid w:val="0016535E"/>
    <w:rsid w:val="00165584"/>
    <w:rsid w:val="00165729"/>
    <w:rsid w:val="001659C5"/>
    <w:rsid w:val="001660AB"/>
    <w:rsid w:val="00166841"/>
    <w:rsid w:val="00166BB1"/>
    <w:rsid w:val="00166CCD"/>
    <w:rsid w:val="001673AB"/>
    <w:rsid w:val="001677D3"/>
    <w:rsid w:val="00167A87"/>
    <w:rsid w:val="00167F82"/>
    <w:rsid w:val="00170190"/>
    <w:rsid w:val="001703AB"/>
    <w:rsid w:val="00170668"/>
    <w:rsid w:val="00170843"/>
    <w:rsid w:val="00170A2C"/>
    <w:rsid w:val="00170C18"/>
    <w:rsid w:val="00170F2B"/>
    <w:rsid w:val="00170FF3"/>
    <w:rsid w:val="00170FF4"/>
    <w:rsid w:val="0017111A"/>
    <w:rsid w:val="0017125D"/>
    <w:rsid w:val="00171345"/>
    <w:rsid w:val="00171607"/>
    <w:rsid w:val="00171BA3"/>
    <w:rsid w:val="00171C0A"/>
    <w:rsid w:val="00171DCE"/>
    <w:rsid w:val="00171F7D"/>
    <w:rsid w:val="001726F5"/>
    <w:rsid w:val="00172BC6"/>
    <w:rsid w:val="00172D2F"/>
    <w:rsid w:val="00173271"/>
    <w:rsid w:val="0017360D"/>
    <w:rsid w:val="0017383E"/>
    <w:rsid w:val="00173A58"/>
    <w:rsid w:val="00173A75"/>
    <w:rsid w:val="00173B7A"/>
    <w:rsid w:val="00173BD6"/>
    <w:rsid w:val="001740C6"/>
    <w:rsid w:val="001740C7"/>
    <w:rsid w:val="00174100"/>
    <w:rsid w:val="001745C8"/>
    <w:rsid w:val="00174A94"/>
    <w:rsid w:val="00174CC8"/>
    <w:rsid w:val="0017534A"/>
    <w:rsid w:val="001757B5"/>
    <w:rsid w:val="00175981"/>
    <w:rsid w:val="00175A9D"/>
    <w:rsid w:val="0017620F"/>
    <w:rsid w:val="00176281"/>
    <w:rsid w:val="001762E4"/>
    <w:rsid w:val="0017697F"/>
    <w:rsid w:val="00176B49"/>
    <w:rsid w:val="0017706D"/>
    <w:rsid w:val="0017709F"/>
    <w:rsid w:val="001774CC"/>
    <w:rsid w:val="0017761D"/>
    <w:rsid w:val="001779C9"/>
    <w:rsid w:val="00177A89"/>
    <w:rsid w:val="00177E00"/>
    <w:rsid w:val="00177F21"/>
    <w:rsid w:val="001801C6"/>
    <w:rsid w:val="00180857"/>
    <w:rsid w:val="00180B28"/>
    <w:rsid w:val="001811FE"/>
    <w:rsid w:val="0018120E"/>
    <w:rsid w:val="0018123A"/>
    <w:rsid w:val="0018127F"/>
    <w:rsid w:val="0018140E"/>
    <w:rsid w:val="001814D5"/>
    <w:rsid w:val="00181609"/>
    <w:rsid w:val="00181635"/>
    <w:rsid w:val="0018172C"/>
    <w:rsid w:val="00181789"/>
    <w:rsid w:val="0018187B"/>
    <w:rsid w:val="00181AF8"/>
    <w:rsid w:val="00181B5B"/>
    <w:rsid w:val="00181B5D"/>
    <w:rsid w:val="00181D75"/>
    <w:rsid w:val="00181FD8"/>
    <w:rsid w:val="00182308"/>
    <w:rsid w:val="00182336"/>
    <w:rsid w:val="001824DA"/>
    <w:rsid w:val="001826D8"/>
    <w:rsid w:val="00182909"/>
    <w:rsid w:val="00182BD2"/>
    <w:rsid w:val="00182EB8"/>
    <w:rsid w:val="001830EA"/>
    <w:rsid w:val="00183174"/>
    <w:rsid w:val="001832BE"/>
    <w:rsid w:val="001835AA"/>
    <w:rsid w:val="00183804"/>
    <w:rsid w:val="0018398F"/>
    <w:rsid w:val="00183A4C"/>
    <w:rsid w:val="00183B85"/>
    <w:rsid w:val="00183BCF"/>
    <w:rsid w:val="00183D61"/>
    <w:rsid w:val="00183EF8"/>
    <w:rsid w:val="00184078"/>
    <w:rsid w:val="001840EE"/>
    <w:rsid w:val="00184175"/>
    <w:rsid w:val="001841BF"/>
    <w:rsid w:val="00184504"/>
    <w:rsid w:val="00184632"/>
    <w:rsid w:val="00184BD6"/>
    <w:rsid w:val="00184E7F"/>
    <w:rsid w:val="00185565"/>
    <w:rsid w:val="001857B1"/>
    <w:rsid w:val="001857FE"/>
    <w:rsid w:val="00185CDE"/>
    <w:rsid w:val="00185F98"/>
    <w:rsid w:val="00186342"/>
    <w:rsid w:val="0018634D"/>
    <w:rsid w:val="0018663F"/>
    <w:rsid w:val="00186954"/>
    <w:rsid w:val="0018740A"/>
    <w:rsid w:val="00187B7A"/>
    <w:rsid w:val="00190573"/>
    <w:rsid w:val="00190877"/>
    <w:rsid w:val="00190DD9"/>
    <w:rsid w:val="00190ED4"/>
    <w:rsid w:val="00191140"/>
    <w:rsid w:val="001914BF"/>
    <w:rsid w:val="0019160B"/>
    <w:rsid w:val="00191E08"/>
    <w:rsid w:val="00192258"/>
    <w:rsid w:val="00192465"/>
    <w:rsid w:val="001925C6"/>
    <w:rsid w:val="00192BCC"/>
    <w:rsid w:val="00192C32"/>
    <w:rsid w:val="00192CB7"/>
    <w:rsid w:val="00192F58"/>
    <w:rsid w:val="001930B4"/>
    <w:rsid w:val="0019331A"/>
    <w:rsid w:val="001934C3"/>
    <w:rsid w:val="001939EE"/>
    <w:rsid w:val="00193AD5"/>
    <w:rsid w:val="00193D37"/>
    <w:rsid w:val="00193E47"/>
    <w:rsid w:val="00193F48"/>
    <w:rsid w:val="0019463F"/>
    <w:rsid w:val="00194799"/>
    <w:rsid w:val="0019479E"/>
    <w:rsid w:val="00194B37"/>
    <w:rsid w:val="001951BB"/>
    <w:rsid w:val="00195202"/>
    <w:rsid w:val="00195984"/>
    <w:rsid w:val="00195990"/>
    <w:rsid w:val="00195C34"/>
    <w:rsid w:val="00195D01"/>
    <w:rsid w:val="00195D06"/>
    <w:rsid w:val="00196298"/>
    <w:rsid w:val="001962CF"/>
    <w:rsid w:val="00196515"/>
    <w:rsid w:val="0019662B"/>
    <w:rsid w:val="001967A4"/>
    <w:rsid w:val="00196C0E"/>
    <w:rsid w:val="00196EF8"/>
    <w:rsid w:val="00196FCD"/>
    <w:rsid w:val="001970EF"/>
    <w:rsid w:val="001977E2"/>
    <w:rsid w:val="001979E5"/>
    <w:rsid w:val="00197A6F"/>
    <w:rsid w:val="00197BD1"/>
    <w:rsid w:val="00197D5A"/>
    <w:rsid w:val="00197E55"/>
    <w:rsid w:val="00197ED9"/>
    <w:rsid w:val="001A02D0"/>
    <w:rsid w:val="001A0357"/>
    <w:rsid w:val="001A0480"/>
    <w:rsid w:val="001A0A28"/>
    <w:rsid w:val="001A0AA9"/>
    <w:rsid w:val="001A0B0A"/>
    <w:rsid w:val="001A0C16"/>
    <w:rsid w:val="001A109D"/>
    <w:rsid w:val="001A119C"/>
    <w:rsid w:val="001A1340"/>
    <w:rsid w:val="001A15C6"/>
    <w:rsid w:val="001A1637"/>
    <w:rsid w:val="001A16D0"/>
    <w:rsid w:val="001A1BDD"/>
    <w:rsid w:val="001A206A"/>
    <w:rsid w:val="001A20D5"/>
    <w:rsid w:val="001A2655"/>
    <w:rsid w:val="001A26D7"/>
    <w:rsid w:val="001A2FED"/>
    <w:rsid w:val="001A3551"/>
    <w:rsid w:val="001A3BCB"/>
    <w:rsid w:val="001A3C40"/>
    <w:rsid w:val="001A449B"/>
    <w:rsid w:val="001A455E"/>
    <w:rsid w:val="001A4DC9"/>
    <w:rsid w:val="001A51BB"/>
    <w:rsid w:val="001A527D"/>
    <w:rsid w:val="001A5A24"/>
    <w:rsid w:val="001A5EBE"/>
    <w:rsid w:val="001A600D"/>
    <w:rsid w:val="001A6050"/>
    <w:rsid w:val="001A60DA"/>
    <w:rsid w:val="001A6279"/>
    <w:rsid w:val="001A683A"/>
    <w:rsid w:val="001A686B"/>
    <w:rsid w:val="001A6FEB"/>
    <w:rsid w:val="001A776D"/>
    <w:rsid w:val="001A7997"/>
    <w:rsid w:val="001A7A3F"/>
    <w:rsid w:val="001A7B43"/>
    <w:rsid w:val="001A7D05"/>
    <w:rsid w:val="001A7DBA"/>
    <w:rsid w:val="001A7E26"/>
    <w:rsid w:val="001B0E46"/>
    <w:rsid w:val="001B0EA9"/>
    <w:rsid w:val="001B0EE5"/>
    <w:rsid w:val="001B0F14"/>
    <w:rsid w:val="001B14E8"/>
    <w:rsid w:val="001B1783"/>
    <w:rsid w:val="001B17A6"/>
    <w:rsid w:val="001B1D59"/>
    <w:rsid w:val="001B20E0"/>
    <w:rsid w:val="001B22B1"/>
    <w:rsid w:val="001B22B2"/>
    <w:rsid w:val="001B2334"/>
    <w:rsid w:val="001B2422"/>
    <w:rsid w:val="001B2692"/>
    <w:rsid w:val="001B2B29"/>
    <w:rsid w:val="001B2F15"/>
    <w:rsid w:val="001B3091"/>
    <w:rsid w:val="001B330A"/>
    <w:rsid w:val="001B35F2"/>
    <w:rsid w:val="001B3F22"/>
    <w:rsid w:val="001B3F4F"/>
    <w:rsid w:val="001B4B79"/>
    <w:rsid w:val="001B4E9E"/>
    <w:rsid w:val="001B4F32"/>
    <w:rsid w:val="001B4FBF"/>
    <w:rsid w:val="001B53C6"/>
    <w:rsid w:val="001B5503"/>
    <w:rsid w:val="001B6384"/>
    <w:rsid w:val="001B63AF"/>
    <w:rsid w:val="001B64A6"/>
    <w:rsid w:val="001B67A8"/>
    <w:rsid w:val="001B6CD3"/>
    <w:rsid w:val="001B6EAC"/>
    <w:rsid w:val="001B7406"/>
    <w:rsid w:val="001B767C"/>
    <w:rsid w:val="001B7831"/>
    <w:rsid w:val="001B7BF0"/>
    <w:rsid w:val="001B7DB1"/>
    <w:rsid w:val="001B7F30"/>
    <w:rsid w:val="001B7FE6"/>
    <w:rsid w:val="001C0047"/>
    <w:rsid w:val="001C060A"/>
    <w:rsid w:val="001C07BD"/>
    <w:rsid w:val="001C0F0E"/>
    <w:rsid w:val="001C11E2"/>
    <w:rsid w:val="001C13C2"/>
    <w:rsid w:val="001C13E2"/>
    <w:rsid w:val="001C14C6"/>
    <w:rsid w:val="001C18AA"/>
    <w:rsid w:val="001C1E52"/>
    <w:rsid w:val="001C2056"/>
    <w:rsid w:val="001C2416"/>
    <w:rsid w:val="001C2AC1"/>
    <w:rsid w:val="001C3307"/>
    <w:rsid w:val="001C3388"/>
    <w:rsid w:val="001C3BC7"/>
    <w:rsid w:val="001C408F"/>
    <w:rsid w:val="001C4222"/>
    <w:rsid w:val="001C45E8"/>
    <w:rsid w:val="001C46C6"/>
    <w:rsid w:val="001C4CC4"/>
    <w:rsid w:val="001C52E2"/>
    <w:rsid w:val="001C5377"/>
    <w:rsid w:val="001C54EB"/>
    <w:rsid w:val="001C5580"/>
    <w:rsid w:val="001C5814"/>
    <w:rsid w:val="001C5B71"/>
    <w:rsid w:val="001C62DA"/>
    <w:rsid w:val="001C6370"/>
    <w:rsid w:val="001C658F"/>
    <w:rsid w:val="001C65DB"/>
    <w:rsid w:val="001C6769"/>
    <w:rsid w:val="001C6814"/>
    <w:rsid w:val="001C68DC"/>
    <w:rsid w:val="001C68ED"/>
    <w:rsid w:val="001C6E9D"/>
    <w:rsid w:val="001C7318"/>
    <w:rsid w:val="001C7753"/>
    <w:rsid w:val="001C7953"/>
    <w:rsid w:val="001C7A3D"/>
    <w:rsid w:val="001C7AA5"/>
    <w:rsid w:val="001D03F6"/>
    <w:rsid w:val="001D0516"/>
    <w:rsid w:val="001D0762"/>
    <w:rsid w:val="001D07AD"/>
    <w:rsid w:val="001D0A3D"/>
    <w:rsid w:val="001D1053"/>
    <w:rsid w:val="001D12E9"/>
    <w:rsid w:val="001D15B4"/>
    <w:rsid w:val="001D1620"/>
    <w:rsid w:val="001D1672"/>
    <w:rsid w:val="001D182A"/>
    <w:rsid w:val="001D1D13"/>
    <w:rsid w:val="001D22BB"/>
    <w:rsid w:val="001D22EB"/>
    <w:rsid w:val="001D2739"/>
    <w:rsid w:val="001D2864"/>
    <w:rsid w:val="001D2CCC"/>
    <w:rsid w:val="001D2D2E"/>
    <w:rsid w:val="001D311E"/>
    <w:rsid w:val="001D3165"/>
    <w:rsid w:val="001D3C5B"/>
    <w:rsid w:val="001D3F27"/>
    <w:rsid w:val="001D4146"/>
    <w:rsid w:val="001D4319"/>
    <w:rsid w:val="001D4327"/>
    <w:rsid w:val="001D4406"/>
    <w:rsid w:val="001D485C"/>
    <w:rsid w:val="001D4D37"/>
    <w:rsid w:val="001D4E21"/>
    <w:rsid w:val="001D51F7"/>
    <w:rsid w:val="001D5E97"/>
    <w:rsid w:val="001D5F77"/>
    <w:rsid w:val="001D61B2"/>
    <w:rsid w:val="001D620F"/>
    <w:rsid w:val="001D62C5"/>
    <w:rsid w:val="001D6677"/>
    <w:rsid w:val="001D6C71"/>
    <w:rsid w:val="001D6DF6"/>
    <w:rsid w:val="001D6E36"/>
    <w:rsid w:val="001D70B3"/>
    <w:rsid w:val="001D7390"/>
    <w:rsid w:val="001D76DD"/>
    <w:rsid w:val="001D76EF"/>
    <w:rsid w:val="001D788A"/>
    <w:rsid w:val="001D7967"/>
    <w:rsid w:val="001D79C6"/>
    <w:rsid w:val="001D7FB3"/>
    <w:rsid w:val="001E061C"/>
    <w:rsid w:val="001E06BF"/>
    <w:rsid w:val="001E0899"/>
    <w:rsid w:val="001E0D02"/>
    <w:rsid w:val="001E0D04"/>
    <w:rsid w:val="001E14EA"/>
    <w:rsid w:val="001E1C5D"/>
    <w:rsid w:val="001E1F34"/>
    <w:rsid w:val="001E266E"/>
    <w:rsid w:val="001E269F"/>
    <w:rsid w:val="001E2A1D"/>
    <w:rsid w:val="001E2E81"/>
    <w:rsid w:val="001E358C"/>
    <w:rsid w:val="001E378E"/>
    <w:rsid w:val="001E38B0"/>
    <w:rsid w:val="001E3A69"/>
    <w:rsid w:val="001E3A89"/>
    <w:rsid w:val="001E3A9F"/>
    <w:rsid w:val="001E3B4F"/>
    <w:rsid w:val="001E3D61"/>
    <w:rsid w:val="001E44EF"/>
    <w:rsid w:val="001E46C6"/>
    <w:rsid w:val="001E473B"/>
    <w:rsid w:val="001E4A39"/>
    <w:rsid w:val="001E4C1A"/>
    <w:rsid w:val="001E4C2F"/>
    <w:rsid w:val="001E4F44"/>
    <w:rsid w:val="001E4FCC"/>
    <w:rsid w:val="001E4FDA"/>
    <w:rsid w:val="001E515F"/>
    <w:rsid w:val="001E532E"/>
    <w:rsid w:val="001E539A"/>
    <w:rsid w:val="001E53AA"/>
    <w:rsid w:val="001E589D"/>
    <w:rsid w:val="001E5928"/>
    <w:rsid w:val="001E5A27"/>
    <w:rsid w:val="001E5F6B"/>
    <w:rsid w:val="001E5FA5"/>
    <w:rsid w:val="001E5FA6"/>
    <w:rsid w:val="001E6009"/>
    <w:rsid w:val="001E6174"/>
    <w:rsid w:val="001E63A5"/>
    <w:rsid w:val="001E63D1"/>
    <w:rsid w:val="001E647F"/>
    <w:rsid w:val="001E65AC"/>
    <w:rsid w:val="001E66A2"/>
    <w:rsid w:val="001E66F5"/>
    <w:rsid w:val="001E685E"/>
    <w:rsid w:val="001E6B55"/>
    <w:rsid w:val="001E6F87"/>
    <w:rsid w:val="001E6F9D"/>
    <w:rsid w:val="001E7136"/>
    <w:rsid w:val="001E718B"/>
    <w:rsid w:val="001E747B"/>
    <w:rsid w:val="001E7C1B"/>
    <w:rsid w:val="001E7C7B"/>
    <w:rsid w:val="001F0016"/>
    <w:rsid w:val="001F04C2"/>
    <w:rsid w:val="001F075E"/>
    <w:rsid w:val="001F079E"/>
    <w:rsid w:val="001F0958"/>
    <w:rsid w:val="001F0B79"/>
    <w:rsid w:val="001F0B7A"/>
    <w:rsid w:val="001F0DF5"/>
    <w:rsid w:val="001F13AC"/>
    <w:rsid w:val="001F190E"/>
    <w:rsid w:val="001F1A3E"/>
    <w:rsid w:val="001F1B4D"/>
    <w:rsid w:val="001F1D42"/>
    <w:rsid w:val="001F1E4F"/>
    <w:rsid w:val="001F1F2E"/>
    <w:rsid w:val="001F213C"/>
    <w:rsid w:val="001F2AF9"/>
    <w:rsid w:val="001F2C52"/>
    <w:rsid w:val="001F2EA0"/>
    <w:rsid w:val="001F2F39"/>
    <w:rsid w:val="001F2FCB"/>
    <w:rsid w:val="001F35BC"/>
    <w:rsid w:val="001F3B3A"/>
    <w:rsid w:val="001F3CCE"/>
    <w:rsid w:val="001F3CDD"/>
    <w:rsid w:val="001F3DD3"/>
    <w:rsid w:val="001F4087"/>
    <w:rsid w:val="001F4230"/>
    <w:rsid w:val="001F44AB"/>
    <w:rsid w:val="001F47BD"/>
    <w:rsid w:val="001F4949"/>
    <w:rsid w:val="001F49D6"/>
    <w:rsid w:val="001F4AED"/>
    <w:rsid w:val="001F4D32"/>
    <w:rsid w:val="001F5187"/>
    <w:rsid w:val="001F5476"/>
    <w:rsid w:val="001F5AEB"/>
    <w:rsid w:val="001F5D05"/>
    <w:rsid w:val="001F5D81"/>
    <w:rsid w:val="001F5F63"/>
    <w:rsid w:val="001F5F9C"/>
    <w:rsid w:val="001F6004"/>
    <w:rsid w:val="001F61E1"/>
    <w:rsid w:val="001F64F0"/>
    <w:rsid w:val="001F6567"/>
    <w:rsid w:val="001F6CAB"/>
    <w:rsid w:val="001F6D9A"/>
    <w:rsid w:val="001F722D"/>
    <w:rsid w:val="001F72CF"/>
    <w:rsid w:val="001F733F"/>
    <w:rsid w:val="001F76B9"/>
    <w:rsid w:val="001F7AF4"/>
    <w:rsid w:val="001F7BE4"/>
    <w:rsid w:val="001F7F37"/>
    <w:rsid w:val="0020000B"/>
    <w:rsid w:val="002004D3"/>
    <w:rsid w:val="0020070E"/>
    <w:rsid w:val="00200789"/>
    <w:rsid w:val="002007A5"/>
    <w:rsid w:val="00200C4D"/>
    <w:rsid w:val="00200F48"/>
    <w:rsid w:val="0020142B"/>
    <w:rsid w:val="00201792"/>
    <w:rsid w:val="002018D0"/>
    <w:rsid w:val="00201BBB"/>
    <w:rsid w:val="00201D5C"/>
    <w:rsid w:val="00201DF2"/>
    <w:rsid w:val="0020249F"/>
    <w:rsid w:val="002027F2"/>
    <w:rsid w:val="00202A67"/>
    <w:rsid w:val="00202A89"/>
    <w:rsid w:val="00202DBC"/>
    <w:rsid w:val="00202EB7"/>
    <w:rsid w:val="002030EF"/>
    <w:rsid w:val="002031B2"/>
    <w:rsid w:val="002032FE"/>
    <w:rsid w:val="002037CF"/>
    <w:rsid w:val="002037E6"/>
    <w:rsid w:val="00203A7F"/>
    <w:rsid w:val="002041C2"/>
    <w:rsid w:val="0020439D"/>
    <w:rsid w:val="00204D79"/>
    <w:rsid w:val="00205815"/>
    <w:rsid w:val="00205C9E"/>
    <w:rsid w:val="00205FA1"/>
    <w:rsid w:val="00206186"/>
    <w:rsid w:val="002063A3"/>
    <w:rsid w:val="00206666"/>
    <w:rsid w:val="00206AC2"/>
    <w:rsid w:val="00206C58"/>
    <w:rsid w:val="00206FDC"/>
    <w:rsid w:val="00207740"/>
    <w:rsid w:val="0020789D"/>
    <w:rsid w:val="00207CD9"/>
    <w:rsid w:val="00210191"/>
    <w:rsid w:val="0021047D"/>
    <w:rsid w:val="00210648"/>
    <w:rsid w:val="002109AB"/>
    <w:rsid w:val="0021135A"/>
    <w:rsid w:val="0021146C"/>
    <w:rsid w:val="00211830"/>
    <w:rsid w:val="002119D2"/>
    <w:rsid w:val="002119F3"/>
    <w:rsid w:val="00211A39"/>
    <w:rsid w:val="00211A64"/>
    <w:rsid w:val="00211BCE"/>
    <w:rsid w:val="00211C21"/>
    <w:rsid w:val="0021223B"/>
    <w:rsid w:val="002137ED"/>
    <w:rsid w:val="0021389E"/>
    <w:rsid w:val="00213A83"/>
    <w:rsid w:val="00213BD7"/>
    <w:rsid w:val="00213CCF"/>
    <w:rsid w:val="00213FEC"/>
    <w:rsid w:val="002142C7"/>
    <w:rsid w:val="00214492"/>
    <w:rsid w:val="00214985"/>
    <w:rsid w:val="00214CB6"/>
    <w:rsid w:val="00214D36"/>
    <w:rsid w:val="00214F11"/>
    <w:rsid w:val="002156EA"/>
    <w:rsid w:val="002158D4"/>
    <w:rsid w:val="002158DE"/>
    <w:rsid w:val="00215A1A"/>
    <w:rsid w:val="00215B71"/>
    <w:rsid w:val="00215C41"/>
    <w:rsid w:val="00215C59"/>
    <w:rsid w:val="00215E76"/>
    <w:rsid w:val="00215EE9"/>
    <w:rsid w:val="00215FF2"/>
    <w:rsid w:val="00216146"/>
    <w:rsid w:val="00216C2A"/>
    <w:rsid w:val="00216DB5"/>
    <w:rsid w:val="00216E5B"/>
    <w:rsid w:val="00217019"/>
    <w:rsid w:val="00217154"/>
    <w:rsid w:val="002172CC"/>
    <w:rsid w:val="00217680"/>
    <w:rsid w:val="0021771C"/>
    <w:rsid w:val="00217862"/>
    <w:rsid w:val="00217C72"/>
    <w:rsid w:val="00220400"/>
    <w:rsid w:val="00220A70"/>
    <w:rsid w:val="00221CF5"/>
    <w:rsid w:val="00222508"/>
    <w:rsid w:val="00222806"/>
    <w:rsid w:val="002228DC"/>
    <w:rsid w:val="002229FC"/>
    <w:rsid w:val="00222CFB"/>
    <w:rsid w:val="0022328A"/>
    <w:rsid w:val="002232A5"/>
    <w:rsid w:val="0022333C"/>
    <w:rsid w:val="002236AD"/>
    <w:rsid w:val="0022370D"/>
    <w:rsid w:val="002239E2"/>
    <w:rsid w:val="00223F67"/>
    <w:rsid w:val="00223FFD"/>
    <w:rsid w:val="00224498"/>
    <w:rsid w:val="00224603"/>
    <w:rsid w:val="0022484F"/>
    <w:rsid w:val="00224E01"/>
    <w:rsid w:val="00224FF4"/>
    <w:rsid w:val="00225105"/>
    <w:rsid w:val="002253F5"/>
    <w:rsid w:val="00225623"/>
    <w:rsid w:val="00225AB7"/>
    <w:rsid w:val="00226024"/>
    <w:rsid w:val="002260D9"/>
    <w:rsid w:val="0022626F"/>
    <w:rsid w:val="00226391"/>
    <w:rsid w:val="002267AF"/>
    <w:rsid w:val="0022764E"/>
    <w:rsid w:val="00227A49"/>
    <w:rsid w:val="00227B34"/>
    <w:rsid w:val="002306EE"/>
    <w:rsid w:val="00230AF0"/>
    <w:rsid w:val="00230C0D"/>
    <w:rsid w:val="00230E1D"/>
    <w:rsid w:val="002314D3"/>
    <w:rsid w:val="00231526"/>
    <w:rsid w:val="0023176D"/>
    <w:rsid w:val="00231CD6"/>
    <w:rsid w:val="00231CE9"/>
    <w:rsid w:val="00231F00"/>
    <w:rsid w:val="002320AD"/>
    <w:rsid w:val="002321CF"/>
    <w:rsid w:val="00232317"/>
    <w:rsid w:val="00232334"/>
    <w:rsid w:val="0023244A"/>
    <w:rsid w:val="002325CB"/>
    <w:rsid w:val="0023263E"/>
    <w:rsid w:val="00232934"/>
    <w:rsid w:val="00232C3A"/>
    <w:rsid w:val="00232FF0"/>
    <w:rsid w:val="00233076"/>
    <w:rsid w:val="0023388D"/>
    <w:rsid w:val="002339D2"/>
    <w:rsid w:val="00233BCC"/>
    <w:rsid w:val="00233EA6"/>
    <w:rsid w:val="0023421F"/>
    <w:rsid w:val="00234308"/>
    <w:rsid w:val="00234461"/>
    <w:rsid w:val="002346C1"/>
    <w:rsid w:val="002346D1"/>
    <w:rsid w:val="0023479F"/>
    <w:rsid w:val="002347FE"/>
    <w:rsid w:val="00234A91"/>
    <w:rsid w:val="00234E8D"/>
    <w:rsid w:val="002352CE"/>
    <w:rsid w:val="00235C45"/>
    <w:rsid w:val="00235C85"/>
    <w:rsid w:val="00235FD4"/>
    <w:rsid w:val="002360AC"/>
    <w:rsid w:val="0023636E"/>
    <w:rsid w:val="0023680D"/>
    <w:rsid w:val="0023699C"/>
    <w:rsid w:val="00236A23"/>
    <w:rsid w:val="00236B56"/>
    <w:rsid w:val="00237487"/>
    <w:rsid w:val="00237A06"/>
    <w:rsid w:val="00237BEA"/>
    <w:rsid w:val="00237F1C"/>
    <w:rsid w:val="00240362"/>
    <w:rsid w:val="0024039A"/>
    <w:rsid w:val="00240D05"/>
    <w:rsid w:val="00240E42"/>
    <w:rsid w:val="0024109B"/>
    <w:rsid w:val="0024160B"/>
    <w:rsid w:val="0024193C"/>
    <w:rsid w:val="00241982"/>
    <w:rsid w:val="00241AC9"/>
    <w:rsid w:val="00241BB2"/>
    <w:rsid w:val="00241E45"/>
    <w:rsid w:val="00241E55"/>
    <w:rsid w:val="00241FC5"/>
    <w:rsid w:val="002420F1"/>
    <w:rsid w:val="00242330"/>
    <w:rsid w:val="00242B03"/>
    <w:rsid w:val="0024356B"/>
    <w:rsid w:val="0024393A"/>
    <w:rsid w:val="00243E34"/>
    <w:rsid w:val="00244083"/>
    <w:rsid w:val="002441BA"/>
    <w:rsid w:val="00244560"/>
    <w:rsid w:val="00244B80"/>
    <w:rsid w:val="00245316"/>
    <w:rsid w:val="00245409"/>
    <w:rsid w:val="00245474"/>
    <w:rsid w:val="002454C9"/>
    <w:rsid w:val="00245526"/>
    <w:rsid w:val="00245592"/>
    <w:rsid w:val="002456E2"/>
    <w:rsid w:val="00245871"/>
    <w:rsid w:val="00245919"/>
    <w:rsid w:val="00245A68"/>
    <w:rsid w:val="00245B31"/>
    <w:rsid w:val="00245BF4"/>
    <w:rsid w:val="00245CC6"/>
    <w:rsid w:val="00245E37"/>
    <w:rsid w:val="0024605D"/>
    <w:rsid w:val="002466B0"/>
    <w:rsid w:val="002466F3"/>
    <w:rsid w:val="002467B4"/>
    <w:rsid w:val="00246AA3"/>
    <w:rsid w:val="00247A0F"/>
    <w:rsid w:val="00247C12"/>
    <w:rsid w:val="00247D0A"/>
    <w:rsid w:val="0025019F"/>
    <w:rsid w:val="002505BD"/>
    <w:rsid w:val="00250836"/>
    <w:rsid w:val="00250F62"/>
    <w:rsid w:val="00251288"/>
    <w:rsid w:val="0025141F"/>
    <w:rsid w:val="0025172F"/>
    <w:rsid w:val="00251D83"/>
    <w:rsid w:val="00251DBA"/>
    <w:rsid w:val="002520FB"/>
    <w:rsid w:val="0025241E"/>
    <w:rsid w:val="002529A7"/>
    <w:rsid w:val="00252AA4"/>
    <w:rsid w:val="00252C19"/>
    <w:rsid w:val="00252D83"/>
    <w:rsid w:val="00252DAF"/>
    <w:rsid w:val="00252ED3"/>
    <w:rsid w:val="00253229"/>
    <w:rsid w:val="00253277"/>
    <w:rsid w:val="00253290"/>
    <w:rsid w:val="0025352E"/>
    <w:rsid w:val="00253695"/>
    <w:rsid w:val="00253705"/>
    <w:rsid w:val="00253874"/>
    <w:rsid w:val="00253B2E"/>
    <w:rsid w:val="0025584D"/>
    <w:rsid w:val="0025593C"/>
    <w:rsid w:val="00255CCA"/>
    <w:rsid w:val="00255E29"/>
    <w:rsid w:val="002566DE"/>
    <w:rsid w:val="00256766"/>
    <w:rsid w:val="00256AEE"/>
    <w:rsid w:val="0025741E"/>
    <w:rsid w:val="0025756A"/>
    <w:rsid w:val="00257716"/>
    <w:rsid w:val="002577F4"/>
    <w:rsid w:val="002601CC"/>
    <w:rsid w:val="002605B0"/>
    <w:rsid w:val="00260651"/>
    <w:rsid w:val="0026082C"/>
    <w:rsid w:val="00260A50"/>
    <w:rsid w:val="00260C24"/>
    <w:rsid w:val="00260D40"/>
    <w:rsid w:val="00260F43"/>
    <w:rsid w:val="0026109E"/>
    <w:rsid w:val="00261389"/>
    <w:rsid w:val="002614B1"/>
    <w:rsid w:val="002616D8"/>
    <w:rsid w:val="002618FC"/>
    <w:rsid w:val="002619CE"/>
    <w:rsid w:val="002622BE"/>
    <w:rsid w:val="002622CF"/>
    <w:rsid w:val="002625DB"/>
    <w:rsid w:val="00262775"/>
    <w:rsid w:val="00263220"/>
    <w:rsid w:val="0026366C"/>
    <w:rsid w:val="00263991"/>
    <w:rsid w:val="00263EF4"/>
    <w:rsid w:val="00263FAB"/>
    <w:rsid w:val="00264274"/>
    <w:rsid w:val="0026467E"/>
    <w:rsid w:val="00264A0F"/>
    <w:rsid w:val="00264CD3"/>
    <w:rsid w:val="00264FCD"/>
    <w:rsid w:val="002650B7"/>
    <w:rsid w:val="002655C8"/>
    <w:rsid w:val="00265CAF"/>
    <w:rsid w:val="00265F5D"/>
    <w:rsid w:val="0026640C"/>
    <w:rsid w:val="00266BE2"/>
    <w:rsid w:val="00267041"/>
    <w:rsid w:val="00267260"/>
    <w:rsid w:val="00267402"/>
    <w:rsid w:val="00267BCA"/>
    <w:rsid w:val="00267D46"/>
    <w:rsid w:val="00267D8E"/>
    <w:rsid w:val="002703EA"/>
    <w:rsid w:val="00270A2B"/>
    <w:rsid w:val="00270C18"/>
    <w:rsid w:val="00270C23"/>
    <w:rsid w:val="00270C4E"/>
    <w:rsid w:val="00270E50"/>
    <w:rsid w:val="00270F89"/>
    <w:rsid w:val="00270FD0"/>
    <w:rsid w:val="00271050"/>
    <w:rsid w:val="00271B7A"/>
    <w:rsid w:val="00271CD4"/>
    <w:rsid w:val="002722EA"/>
    <w:rsid w:val="00272313"/>
    <w:rsid w:val="0027240B"/>
    <w:rsid w:val="00272853"/>
    <w:rsid w:val="00272F27"/>
    <w:rsid w:val="00273109"/>
    <w:rsid w:val="0027336F"/>
    <w:rsid w:val="00273BC0"/>
    <w:rsid w:val="00273C5A"/>
    <w:rsid w:val="00273F15"/>
    <w:rsid w:val="002743A4"/>
    <w:rsid w:val="002745B5"/>
    <w:rsid w:val="00274CA6"/>
    <w:rsid w:val="00274EAD"/>
    <w:rsid w:val="002751C4"/>
    <w:rsid w:val="0027542C"/>
    <w:rsid w:val="00275763"/>
    <w:rsid w:val="00275BA5"/>
    <w:rsid w:val="00275DB9"/>
    <w:rsid w:val="00275E2D"/>
    <w:rsid w:val="00276177"/>
    <w:rsid w:val="00276293"/>
    <w:rsid w:val="00276300"/>
    <w:rsid w:val="0027665C"/>
    <w:rsid w:val="00276CD0"/>
    <w:rsid w:val="00276EAB"/>
    <w:rsid w:val="002773BB"/>
    <w:rsid w:val="002773C3"/>
    <w:rsid w:val="002774E1"/>
    <w:rsid w:val="0027767F"/>
    <w:rsid w:val="00277C3D"/>
    <w:rsid w:val="00277DD9"/>
    <w:rsid w:val="00280198"/>
    <w:rsid w:val="002808AB"/>
    <w:rsid w:val="00280A15"/>
    <w:rsid w:val="00280E28"/>
    <w:rsid w:val="00280EA2"/>
    <w:rsid w:val="002814BD"/>
    <w:rsid w:val="002818C1"/>
    <w:rsid w:val="00281C74"/>
    <w:rsid w:val="00281DF9"/>
    <w:rsid w:val="00282167"/>
    <w:rsid w:val="00282811"/>
    <w:rsid w:val="00282927"/>
    <w:rsid w:val="00282AB4"/>
    <w:rsid w:val="00282BB3"/>
    <w:rsid w:val="00283A5A"/>
    <w:rsid w:val="00283E82"/>
    <w:rsid w:val="00283F5D"/>
    <w:rsid w:val="00284164"/>
    <w:rsid w:val="002842B8"/>
    <w:rsid w:val="00284A0C"/>
    <w:rsid w:val="00284EC8"/>
    <w:rsid w:val="0028559A"/>
    <w:rsid w:val="00285651"/>
    <w:rsid w:val="00285696"/>
    <w:rsid w:val="00285DDE"/>
    <w:rsid w:val="0028603D"/>
    <w:rsid w:val="0028617D"/>
    <w:rsid w:val="0028622C"/>
    <w:rsid w:val="0028633C"/>
    <w:rsid w:val="0028646E"/>
    <w:rsid w:val="00286599"/>
    <w:rsid w:val="00286A67"/>
    <w:rsid w:val="00286BC4"/>
    <w:rsid w:val="00286DD5"/>
    <w:rsid w:val="00286E94"/>
    <w:rsid w:val="00286F9A"/>
    <w:rsid w:val="002877B0"/>
    <w:rsid w:val="00287B65"/>
    <w:rsid w:val="00287C11"/>
    <w:rsid w:val="00287F8C"/>
    <w:rsid w:val="00290095"/>
    <w:rsid w:val="00290276"/>
    <w:rsid w:val="0029038D"/>
    <w:rsid w:val="002903E8"/>
    <w:rsid w:val="00290479"/>
    <w:rsid w:val="002904CE"/>
    <w:rsid w:val="0029093A"/>
    <w:rsid w:val="00290955"/>
    <w:rsid w:val="00290DE2"/>
    <w:rsid w:val="0029112F"/>
    <w:rsid w:val="00291168"/>
    <w:rsid w:val="002912FE"/>
    <w:rsid w:val="00291322"/>
    <w:rsid w:val="002915B4"/>
    <w:rsid w:val="00291B05"/>
    <w:rsid w:val="00291C5B"/>
    <w:rsid w:val="00291CC1"/>
    <w:rsid w:val="00291D74"/>
    <w:rsid w:val="00292057"/>
    <w:rsid w:val="002923A7"/>
    <w:rsid w:val="0029270C"/>
    <w:rsid w:val="00292E6F"/>
    <w:rsid w:val="00293073"/>
    <w:rsid w:val="00293300"/>
    <w:rsid w:val="00293840"/>
    <w:rsid w:val="0029386B"/>
    <w:rsid w:val="00293AA9"/>
    <w:rsid w:val="00293B39"/>
    <w:rsid w:val="00293B78"/>
    <w:rsid w:val="00293CE4"/>
    <w:rsid w:val="00293E9C"/>
    <w:rsid w:val="00293EEF"/>
    <w:rsid w:val="002942A2"/>
    <w:rsid w:val="0029435C"/>
    <w:rsid w:val="002944BB"/>
    <w:rsid w:val="00294C02"/>
    <w:rsid w:val="00294C86"/>
    <w:rsid w:val="00294FD0"/>
    <w:rsid w:val="002952BA"/>
    <w:rsid w:val="00295384"/>
    <w:rsid w:val="002953FF"/>
    <w:rsid w:val="00295962"/>
    <w:rsid w:val="00295AEA"/>
    <w:rsid w:val="00295D86"/>
    <w:rsid w:val="00295E9A"/>
    <w:rsid w:val="00295ECE"/>
    <w:rsid w:val="002964FE"/>
    <w:rsid w:val="00296794"/>
    <w:rsid w:val="00296D9C"/>
    <w:rsid w:val="00296FB7"/>
    <w:rsid w:val="00297333"/>
    <w:rsid w:val="00297BF4"/>
    <w:rsid w:val="00297D41"/>
    <w:rsid w:val="00297E9B"/>
    <w:rsid w:val="00297ED0"/>
    <w:rsid w:val="002A0014"/>
    <w:rsid w:val="002A05AE"/>
    <w:rsid w:val="002A05B7"/>
    <w:rsid w:val="002A060B"/>
    <w:rsid w:val="002A0C8B"/>
    <w:rsid w:val="002A0D56"/>
    <w:rsid w:val="002A1002"/>
    <w:rsid w:val="002A141B"/>
    <w:rsid w:val="002A1574"/>
    <w:rsid w:val="002A1656"/>
    <w:rsid w:val="002A178E"/>
    <w:rsid w:val="002A1965"/>
    <w:rsid w:val="002A2225"/>
    <w:rsid w:val="002A2597"/>
    <w:rsid w:val="002A2F02"/>
    <w:rsid w:val="002A3054"/>
    <w:rsid w:val="002A30B6"/>
    <w:rsid w:val="002A30D0"/>
    <w:rsid w:val="002A3102"/>
    <w:rsid w:val="002A3775"/>
    <w:rsid w:val="002A39AF"/>
    <w:rsid w:val="002A3C8F"/>
    <w:rsid w:val="002A3DB7"/>
    <w:rsid w:val="002A41C4"/>
    <w:rsid w:val="002A42E9"/>
    <w:rsid w:val="002A4341"/>
    <w:rsid w:val="002A504E"/>
    <w:rsid w:val="002A596B"/>
    <w:rsid w:val="002A5E27"/>
    <w:rsid w:val="002A5F22"/>
    <w:rsid w:val="002A5F30"/>
    <w:rsid w:val="002A5FD7"/>
    <w:rsid w:val="002A61EB"/>
    <w:rsid w:val="002A64CD"/>
    <w:rsid w:val="002A679C"/>
    <w:rsid w:val="002A67A3"/>
    <w:rsid w:val="002A6B10"/>
    <w:rsid w:val="002A6C7E"/>
    <w:rsid w:val="002A6F53"/>
    <w:rsid w:val="002A6FE1"/>
    <w:rsid w:val="002A7423"/>
    <w:rsid w:val="002A7603"/>
    <w:rsid w:val="002A789C"/>
    <w:rsid w:val="002A794B"/>
    <w:rsid w:val="002A7B50"/>
    <w:rsid w:val="002A7C28"/>
    <w:rsid w:val="002A7C38"/>
    <w:rsid w:val="002A7F73"/>
    <w:rsid w:val="002A7FE3"/>
    <w:rsid w:val="002B0607"/>
    <w:rsid w:val="002B0985"/>
    <w:rsid w:val="002B11C7"/>
    <w:rsid w:val="002B137F"/>
    <w:rsid w:val="002B1492"/>
    <w:rsid w:val="002B15D3"/>
    <w:rsid w:val="002B16EF"/>
    <w:rsid w:val="002B1DAC"/>
    <w:rsid w:val="002B2252"/>
    <w:rsid w:val="002B26DE"/>
    <w:rsid w:val="002B2A8C"/>
    <w:rsid w:val="002B2B87"/>
    <w:rsid w:val="002B2C09"/>
    <w:rsid w:val="002B2DE1"/>
    <w:rsid w:val="002B2FB0"/>
    <w:rsid w:val="002B33AF"/>
    <w:rsid w:val="002B3D36"/>
    <w:rsid w:val="002B3E83"/>
    <w:rsid w:val="002B40AA"/>
    <w:rsid w:val="002B42D8"/>
    <w:rsid w:val="002B4407"/>
    <w:rsid w:val="002B45F1"/>
    <w:rsid w:val="002B4BED"/>
    <w:rsid w:val="002B502D"/>
    <w:rsid w:val="002B53A7"/>
    <w:rsid w:val="002B54C6"/>
    <w:rsid w:val="002B552A"/>
    <w:rsid w:val="002B570D"/>
    <w:rsid w:val="002B5892"/>
    <w:rsid w:val="002B5A03"/>
    <w:rsid w:val="002B5BED"/>
    <w:rsid w:val="002B5FBB"/>
    <w:rsid w:val="002B61B3"/>
    <w:rsid w:val="002B61F6"/>
    <w:rsid w:val="002B6569"/>
    <w:rsid w:val="002B6851"/>
    <w:rsid w:val="002B6960"/>
    <w:rsid w:val="002B70A5"/>
    <w:rsid w:val="002B71A5"/>
    <w:rsid w:val="002B7423"/>
    <w:rsid w:val="002B757E"/>
    <w:rsid w:val="002B7783"/>
    <w:rsid w:val="002B79BF"/>
    <w:rsid w:val="002B7CAA"/>
    <w:rsid w:val="002B7CDE"/>
    <w:rsid w:val="002C0318"/>
    <w:rsid w:val="002C0592"/>
    <w:rsid w:val="002C090E"/>
    <w:rsid w:val="002C0CA7"/>
    <w:rsid w:val="002C0DFF"/>
    <w:rsid w:val="002C0E20"/>
    <w:rsid w:val="002C1140"/>
    <w:rsid w:val="002C1276"/>
    <w:rsid w:val="002C1322"/>
    <w:rsid w:val="002C135F"/>
    <w:rsid w:val="002C151E"/>
    <w:rsid w:val="002C163C"/>
    <w:rsid w:val="002C1778"/>
    <w:rsid w:val="002C1B7E"/>
    <w:rsid w:val="002C1C8C"/>
    <w:rsid w:val="002C1CDB"/>
    <w:rsid w:val="002C20C0"/>
    <w:rsid w:val="002C259E"/>
    <w:rsid w:val="002C2604"/>
    <w:rsid w:val="002C2898"/>
    <w:rsid w:val="002C2CB6"/>
    <w:rsid w:val="002C2F73"/>
    <w:rsid w:val="002C303A"/>
    <w:rsid w:val="002C3056"/>
    <w:rsid w:val="002C335F"/>
    <w:rsid w:val="002C36B1"/>
    <w:rsid w:val="002C42F0"/>
    <w:rsid w:val="002C445C"/>
    <w:rsid w:val="002C4666"/>
    <w:rsid w:val="002C4729"/>
    <w:rsid w:val="002C4A73"/>
    <w:rsid w:val="002C4B0E"/>
    <w:rsid w:val="002C4BA2"/>
    <w:rsid w:val="002C5166"/>
    <w:rsid w:val="002C5188"/>
    <w:rsid w:val="002C5192"/>
    <w:rsid w:val="002C51D6"/>
    <w:rsid w:val="002C538D"/>
    <w:rsid w:val="002C5F51"/>
    <w:rsid w:val="002C68B6"/>
    <w:rsid w:val="002C6A7B"/>
    <w:rsid w:val="002C6BA5"/>
    <w:rsid w:val="002C6F8E"/>
    <w:rsid w:val="002C73A7"/>
    <w:rsid w:val="002C73B2"/>
    <w:rsid w:val="002C757A"/>
    <w:rsid w:val="002C77C8"/>
    <w:rsid w:val="002C7827"/>
    <w:rsid w:val="002C7ABF"/>
    <w:rsid w:val="002C7AD1"/>
    <w:rsid w:val="002D04E8"/>
    <w:rsid w:val="002D0528"/>
    <w:rsid w:val="002D08BD"/>
    <w:rsid w:val="002D09B1"/>
    <w:rsid w:val="002D0DDA"/>
    <w:rsid w:val="002D1357"/>
    <w:rsid w:val="002D1576"/>
    <w:rsid w:val="002D1616"/>
    <w:rsid w:val="002D1670"/>
    <w:rsid w:val="002D18EB"/>
    <w:rsid w:val="002D1994"/>
    <w:rsid w:val="002D1A66"/>
    <w:rsid w:val="002D2031"/>
    <w:rsid w:val="002D22A4"/>
    <w:rsid w:val="002D2445"/>
    <w:rsid w:val="002D24C6"/>
    <w:rsid w:val="002D26D5"/>
    <w:rsid w:val="002D2788"/>
    <w:rsid w:val="002D2B29"/>
    <w:rsid w:val="002D2B3A"/>
    <w:rsid w:val="002D3045"/>
    <w:rsid w:val="002D30CF"/>
    <w:rsid w:val="002D314B"/>
    <w:rsid w:val="002D34DF"/>
    <w:rsid w:val="002D382C"/>
    <w:rsid w:val="002D38A2"/>
    <w:rsid w:val="002D4397"/>
    <w:rsid w:val="002D463E"/>
    <w:rsid w:val="002D49F8"/>
    <w:rsid w:val="002D4A62"/>
    <w:rsid w:val="002D4BD1"/>
    <w:rsid w:val="002D4E17"/>
    <w:rsid w:val="002D53F4"/>
    <w:rsid w:val="002D5CEB"/>
    <w:rsid w:val="002D5E94"/>
    <w:rsid w:val="002D5FFB"/>
    <w:rsid w:val="002D62B6"/>
    <w:rsid w:val="002D6526"/>
    <w:rsid w:val="002D6DF6"/>
    <w:rsid w:val="002D750E"/>
    <w:rsid w:val="002D78E8"/>
    <w:rsid w:val="002D7B6E"/>
    <w:rsid w:val="002D7F32"/>
    <w:rsid w:val="002D7F88"/>
    <w:rsid w:val="002E00A7"/>
    <w:rsid w:val="002E017D"/>
    <w:rsid w:val="002E023D"/>
    <w:rsid w:val="002E0404"/>
    <w:rsid w:val="002E0979"/>
    <w:rsid w:val="002E0BCA"/>
    <w:rsid w:val="002E0E63"/>
    <w:rsid w:val="002E0F75"/>
    <w:rsid w:val="002E14E2"/>
    <w:rsid w:val="002E15E5"/>
    <w:rsid w:val="002E1AE5"/>
    <w:rsid w:val="002E1CC0"/>
    <w:rsid w:val="002E1EBC"/>
    <w:rsid w:val="002E1F27"/>
    <w:rsid w:val="002E22AA"/>
    <w:rsid w:val="002E23EE"/>
    <w:rsid w:val="002E26B9"/>
    <w:rsid w:val="002E270E"/>
    <w:rsid w:val="002E29F1"/>
    <w:rsid w:val="002E2AD5"/>
    <w:rsid w:val="002E2B6A"/>
    <w:rsid w:val="002E2D73"/>
    <w:rsid w:val="002E3112"/>
    <w:rsid w:val="002E3144"/>
    <w:rsid w:val="002E3E14"/>
    <w:rsid w:val="002E4B34"/>
    <w:rsid w:val="002E4BC8"/>
    <w:rsid w:val="002E4DC3"/>
    <w:rsid w:val="002E4E43"/>
    <w:rsid w:val="002E4EA3"/>
    <w:rsid w:val="002E55FE"/>
    <w:rsid w:val="002E563A"/>
    <w:rsid w:val="002E59A9"/>
    <w:rsid w:val="002E5C5F"/>
    <w:rsid w:val="002E5F37"/>
    <w:rsid w:val="002E6091"/>
    <w:rsid w:val="002E62E7"/>
    <w:rsid w:val="002E6352"/>
    <w:rsid w:val="002E6655"/>
    <w:rsid w:val="002E685B"/>
    <w:rsid w:val="002E68C7"/>
    <w:rsid w:val="002E698D"/>
    <w:rsid w:val="002E6A5E"/>
    <w:rsid w:val="002E6CC1"/>
    <w:rsid w:val="002E6EF6"/>
    <w:rsid w:val="002E7304"/>
    <w:rsid w:val="002E76A9"/>
    <w:rsid w:val="002E781E"/>
    <w:rsid w:val="002E7D14"/>
    <w:rsid w:val="002E7F6C"/>
    <w:rsid w:val="002E7FD9"/>
    <w:rsid w:val="002F059E"/>
    <w:rsid w:val="002F060C"/>
    <w:rsid w:val="002F07B9"/>
    <w:rsid w:val="002F14DF"/>
    <w:rsid w:val="002F17CA"/>
    <w:rsid w:val="002F1970"/>
    <w:rsid w:val="002F1DC6"/>
    <w:rsid w:val="002F214F"/>
    <w:rsid w:val="002F231E"/>
    <w:rsid w:val="002F249E"/>
    <w:rsid w:val="002F2631"/>
    <w:rsid w:val="002F2BFA"/>
    <w:rsid w:val="002F2E2E"/>
    <w:rsid w:val="002F2EB2"/>
    <w:rsid w:val="002F2FBA"/>
    <w:rsid w:val="002F30B3"/>
    <w:rsid w:val="002F3264"/>
    <w:rsid w:val="002F38BF"/>
    <w:rsid w:val="002F4048"/>
    <w:rsid w:val="002F41F4"/>
    <w:rsid w:val="002F4972"/>
    <w:rsid w:val="002F4A98"/>
    <w:rsid w:val="002F502F"/>
    <w:rsid w:val="002F50D6"/>
    <w:rsid w:val="002F53FC"/>
    <w:rsid w:val="002F5460"/>
    <w:rsid w:val="002F54CC"/>
    <w:rsid w:val="002F5757"/>
    <w:rsid w:val="002F59C7"/>
    <w:rsid w:val="002F5BBA"/>
    <w:rsid w:val="002F5DD0"/>
    <w:rsid w:val="002F5EB0"/>
    <w:rsid w:val="002F633B"/>
    <w:rsid w:val="002F667E"/>
    <w:rsid w:val="002F6771"/>
    <w:rsid w:val="002F6A21"/>
    <w:rsid w:val="002F6DCB"/>
    <w:rsid w:val="002F72F3"/>
    <w:rsid w:val="002F78EA"/>
    <w:rsid w:val="002F79E8"/>
    <w:rsid w:val="002F7EEF"/>
    <w:rsid w:val="003001DA"/>
    <w:rsid w:val="003006F2"/>
    <w:rsid w:val="00300744"/>
    <w:rsid w:val="00300773"/>
    <w:rsid w:val="0030091C"/>
    <w:rsid w:val="00300959"/>
    <w:rsid w:val="00300C78"/>
    <w:rsid w:val="00300FFA"/>
    <w:rsid w:val="003010C3"/>
    <w:rsid w:val="003011B9"/>
    <w:rsid w:val="00301211"/>
    <w:rsid w:val="0030153B"/>
    <w:rsid w:val="0030169D"/>
    <w:rsid w:val="00301756"/>
    <w:rsid w:val="00301B72"/>
    <w:rsid w:val="00302032"/>
    <w:rsid w:val="003020C2"/>
    <w:rsid w:val="003022B3"/>
    <w:rsid w:val="003023CC"/>
    <w:rsid w:val="00302582"/>
    <w:rsid w:val="00302692"/>
    <w:rsid w:val="003028AD"/>
    <w:rsid w:val="00302966"/>
    <w:rsid w:val="00302FD9"/>
    <w:rsid w:val="003032E1"/>
    <w:rsid w:val="0030335E"/>
    <w:rsid w:val="003036FB"/>
    <w:rsid w:val="00303703"/>
    <w:rsid w:val="003039CA"/>
    <w:rsid w:val="00303CCB"/>
    <w:rsid w:val="00303D98"/>
    <w:rsid w:val="00303EE2"/>
    <w:rsid w:val="0030424B"/>
    <w:rsid w:val="00304CD3"/>
    <w:rsid w:val="00304E45"/>
    <w:rsid w:val="0030502E"/>
    <w:rsid w:val="00305107"/>
    <w:rsid w:val="00305230"/>
    <w:rsid w:val="0030524E"/>
    <w:rsid w:val="00305256"/>
    <w:rsid w:val="003052C5"/>
    <w:rsid w:val="003054A5"/>
    <w:rsid w:val="003057A6"/>
    <w:rsid w:val="00305EA6"/>
    <w:rsid w:val="00305EA9"/>
    <w:rsid w:val="003060EB"/>
    <w:rsid w:val="0030616A"/>
    <w:rsid w:val="00306196"/>
    <w:rsid w:val="0030625B"/>
    <w:rsid w:val="00306296"/>
    <w:rsid w:val="003062A2"/>
    <w:rsid w:val="003067D2"/>
    <w:rsid w:val="003067D3"/>
    <w:rsid w:val="003069EF"/>
    <w:rsid w:val="00306A32"/>
    <w:rsid w:val="00306D22"/>
    <w:rsid w:val="003072F5"/>
    <w:rsid w:val="00307567"/>
    <w:rsid w:val="003079E1"/>
    <w:rsid w:val="003079E8"/>
    <w:rsid w:val="00307B99"/>
    <w:rsid w:val="00307BB9"/>
    <w:rsid w:val="00307D92"/>
    <w:rsid w:val="00310137"/>
    <w:rsid w:val="0031020E"/>
    <w:rsid w:val="00310379"/>
    <w:rsid w:val="003103B2"/>
    <w:rsid w:val="003107FC"/>
    <w:rsid w:val="003108C1"/>
    <w:rsid w:val="00310ADE"/>
    <w:rsid w:val="00310D10"/>
    <w:rsid w:val="00310D58"/>
    <w:rsid w:val="00310FB8"/>
    <w:rsid w:val="003115C1"/>
    <w:rsid w:val="0031172F"/>
    <w:rsid w:val="00311F6C"/>
    <w:rsid w:val="003120A5"/>
    <w:rsid w:val="003126F2"/>
    <w:rsid w:val="00312965"/>
    <w:rsid w:val="00312BE3"/>
    <w:rsid w:val="00312CAA"/>
    <w:rsid w:val="00313253"/>
    <w:rsid w:val="00313FB3"/>
    <w:rsid w:val="003141C0"/>
    <w:rsid w:val="003142F4"/>
    <w:rsid w:val="003143CA"/>
    <w:rsid w:val="003144C4"/>
    <w:rsid w:val="00314787"/>
    <w:rsid w:val="00314E6C"/>
    <w:rsid w:val="0031501E"/>
    <w:rsid w:val="00315225"/>
    <w:rsid w:val="003153A2"/>
    <w:rsid w:val="00315620"/>
    <w:rsid w:val="003159D9"/>
    <w:rsid w:val="00315A1E"/>
    <w:rsid w:val="00315D81"/>
    <w:rsid w:val="00315DB2"/>
    <w:rsid w:val="00315FBB"/>
    <w:rsid w:val="003161F0"/>
    <w:rsid w:val="0031625C"/>
    <w:rsid w:val="00316487"/>
    <w:rsid w:val="003169B2"/>
    <w:rsid w:val="00316B9F"/>
    <w:rsid w:val="00317047"/>
    <w:rsid w:val="0031754D"/>
    <w:rsid w:val="00317A32"/>
    <w:rsid w:val="00317C23"/>
    <w:rsid w:val="00317DA7"/>
    <w:rsid w:val="003200D5"/>
    <w:rsid w:val="003209C7"/>
    <w:rsid w:val="00320A06"/>
    <w:rsid w:val="00320A3B"/>
    <w:rsid w:val="00320C07"/>
    <w:rsid w:val="003217E7"/>
    <w:rsid w:val="00321CC6"/>
    <w:rsid w:val="00321ED1"/>
    <w:rsid w:val="0032200A"/>
    <w:rsid w:val="0032222E"/>
    <w:rsid w:val="00322237"/>
    <w:rsid w:val="0032237A"/>
    <w:rsid w:val="00322421"/>
    <w:rsid w:val="00322687"/>
    <w:rsid w:val="003228B3"/>
    <w:rsid w:val="003229A7"/>
    <w:rsid w:val="00322EFA"/>
    <w:rsid w:val="00322F5A"/>
    <w:rsid w:val="00322F88"/>
    <w:rsid w:val="00322FCD"/>
    <w:rsid w:val="003231EF"/>
    <w:rsid w:val="00323423"/>
    <w:rsid w:val="00323555"/>
    <w:rsid w:val="003235DE"/>
    <w:rsid w:val="00323612"/>
    <w:rsid w:val="003236A8"/>
    <w:rsid w:val="00323705"/>
    <w:rsid w:val="00323BCC"/>
    <w:rsid w:val="00323C8B"/>
    <w:rsid w:val="00323D3C"/>
    <w:rsid w:val="00323FC9"/>
    <w:rsid w:val="00324423"/>
    <w:rsid w:val="00324739"/>
    <w:rsid w:val="00324765"/>
    <w:rsid w:val="003249C2"/>
    <w:rsid w:val="00324A58"/>
    <w:rsid w:val="00324AA9"/>
    <w:rsid w:val="00324D16"/>
    <w:rsid w:val="00324DC6"/>
    <w:rsid w:val="00324F42"/>
    <w:rsid w:val="00325147"/>
    <w:rsid w:val="003253C5"/>
    <w:rsid w:val="003255BF"/>
    <w:rsid w:val="00326263"/>
    <w:rsid w:val="003262A3"/>
    <w:rsid w:val="00326369"/>
    <w:rsid w:val="003264A8"/>
    <w:rsid w:val="00326669"/>
    <w:rsid w:val="0032684E"/>
    <w:rsid w:val="00326A17"/>
    <w:rsid w:val="00326FAF"/>
    <w:rsid w:val="003271E1"/>
    <w:rsid w:val="003275E5"/>
    <w:rsid w:val="003278C3"/>
    <w:rsid w:val="00327B0C"/>
    <w:rsid w:val="00327B1C"/>
    <w:rsid w:val="00327C42"/>
    <w:rsid w:val="00327C73"/>
    <w:rsid w:val="00327D82"/>
    <w:rsid w:val="00327E58"/>
    <w:rsid w:val="00327F40"/>
    <w:rsid w:val="00330268"/>
    <w:rsid w:val="003303F0"/>
    <w:rsid w:val="003308A5"/>
    <w:rsid w:val="00330B01"/>
    <w:rsid w:val="00330D43"/>
    <w:rsid w:val="00330D47"/>
    <w:rsid w:val="00330DDC"/>
    <w:rsid w:val="0033131C"/>
    <w:rsid w:val="003314F9"/>
    <w:rsid w:val="003319A6"/>
    <w:rsid w:val="00331BC1"/>
    <w:rsid w:val="00331EB4"/>
    <w:rsid w:val="00331FD3"/>
    <w:rsid w:val="003324D2"/>
    <w:rsid w:val="003327E5"/>
    <w:rsid w:val="003327F4"/>
    <w:rsid w:val="003329DD"/>
    <w:rsid w:val="0033313C"/>
    <w:rsid w:val="00333140"/>
    <w:rsid w:val="0033352C"/>
    <w:rsid w:val="003338D8"/>
    <w:rsid w:val="003347FE"/>
    <w:rsid w:val="00334C94"/>
    <w:rsid w:val="0033503E"/>
    <w:rsid w:val="00335A21"/>
    <w:rsid w:val="00335E18"/>
    <w:rsid w:val="00335E54"/>
    <w:rsid w:val="00335F63"/>
    <w:rsid w:val="00336971"/>
    <w:rsid w:val="00336BFA"/>
    <w:rsid w:val="0033705A"/>
    <w:rsid w:val="0033716F"/>
    <w:rsid w:val="00337685"/>
    <w:rsid w:val="00337E73"/>
    <w:rsid w:val="003402F4"/>
    <w:rsid w:val="0034055C"/>
    <w:rsid w:val="00340653"/>
    <w:rsid w:val="00340A07"/>
    <w:rsid w:val="00340DC8"/>
    <w:rsid w:val="00340DFC"/>
    <w:rsid w:val="00341241"/>
    <w:rsid w:val="00341259"/>
    <w:rsid w:val="003416A1"/>
    <w:rsid w:val="00341706"/>
    <w:rsid w:val="00341E8D"/>
    <w:rsid w:val="0034221F"/>
    <w:rsid w:val="0034288B"/>
    <w:rsid w:val="00342BBE"/>
    <w:rsid w:val="00342D97"/>
    <w:rsid w:val="0034307E"/>
    <w:rsid w:val="003430C8"/>
    <w:rsid w:val="003436D5"/>
    <w:rsid w:val="003439BF"/>
    <w:rsid w:val="00343AC7"/>
    <w:rsid w:val="00343BA3"/>
    <w:rsid w:val="00343C1E"/>
    <w:rsid w:val="00343E3A"/>
    <w:rsid w:val="00343EC4"/>
    <w:rsid w:val="0034404E"/>
    <w:rsid w:val="003441E2"/>
    <w:rsid w:val="00344259"/>
    <w:rsid w:val="003445B7"/>
    <w:rsid w:val="00344745"/>
    <w:rsid w:val="00344B05"/>
    <w:rsid w:val="00344EBF"/>
    <w:rsid w:val="00344FFE"/>
    <w:rsid w:val="00345193"/>
    <w:rsid w:val="003456FF"/>
    <w:rsid w:val="003457C1"/>
    <w:rsid w:val="003459F4"/>
    <w:rsid w:val="00345E07"/>
    <w:rsid w:val="00345E68"/>
    <w:rsid w:val="003462FE"/>
    <w:rsid w:val="003466E6"/>
    <w:rsid w:val="00346D17"/>
    <w:rsid w:val="00346E5F"/>
    <w:rsid w:val="00347191"/>
    <w:rsid w:val="0034728D"/>
    <w:rsid w:val="00347674"/>
    <w:rsid w:val="00347813"/>
    <w:rsid w:val="00350B32"/>
    <w:rsid w:val="00350C88"/>
    <w:rsid w:val="00350F72"/>
    <w:rsid w:val="00351223"/>
    <w:rsid w:val="00351268"/>
    <w:rsid w:val="0035131A"/>
    <w:rsid w:val="00351AD9"/>
    <w:rsid w:val="00352098"/>
    <w:rsid w:val="003520B3"/>
    <w:rsid w:val="003524C2"/>
    <w:rsid w:val="00352712"/>
    <w:rsid w:val="003528B7"/>
    <w:rsid w:val="00352A01"/>
    <w:rsid w:val="00352A28"/>
    <w:rsid w:val="00352DC1"/>
    <w:rsid w:val="00352DC4"/>
    <w:rsid w:val="00352E28"/>
    <w:rsid w:val="00353277"/>
    <w:rsid w:val="003532F2"/>
    <w:rsid w:val="003533E2"/>
    <w:rsid w:val="003534C8"/>
    <w:rsid w:val="003537AB"/>
    <w:rsid w:val="00353EA4"/>
    <w:rsid w:val="0035404B"/>
    <w:rsid w:val="003540D8"/>
    <w:rsid w:val="003543E1"/>
    <w:rsid w:val="00354701"/>
    <w:rsid w:val="003548E6"/>
    <w:rsid w:val="00354BA6"/>
    <w:rsid w:val="003555D3"/>
    <w:rsid w:val="00355708"/>
    <w:rsid w:val="00355A6F"/>
    <w:rsid w:val="00355D53"/>
    <w:rsid w:val="00355E54"/>
    <w:rsid w:val="00356701"/>
    <w:rsid w:val="00356A24"/>
    <w:rsid w:val="00356C62"/>
    <w:rsid w:val="00357157"/>
    <w:rsid w:val="003572C0"/>
    <w:rsid w:val="00357A1C"/>
    <w:rsid w:val="00357C15"/>
    <w:rsid w:val="00357D21"/>
    <w:rsid w:val="00360BEE"/>
    <w:rsid w:val="00360D20"/>
    <w:rsid w:val="003619FC"/>
    <w:rsid w:val="00361A51"/>
    <w:rsid w:val="00361A69"/>
    <w:rsid w:val="00361A86"/>
    <w:rsid w:val="00361B90"/>
    <w:rsid w:val="00361D44"/>
    <w:rsid w:val="00361EA7"/>
    <w:rsid w:val="003624C3"/>
    <w:rsid w:val="0036287B"/>
    <w:rsid w:val="00362EE7"/>
    <w:rsid w:val="00362F98"/>
    <w:rsid w:val="00363316"/>
    <w:rsid w:val="00363657"/>
    <w:rsid w:val="003636F7"/>
    <w:rsid w:val="003639D7"/>
    <w:rsid w:val="00363D83"/>
    <w:rsid w:val="0036414A"/>
    <w:rsid w:val="00364319"/>
    <w:rsid w:val="0036480B"/>
    <w:rsid w:val="003648C3"/>
    <w:rsid w:val="00364B38"/>
    <w:rsid w:val="00365343"/>
    <w:rsid w:val="00365972"/>
    <w:rsid w:val="00365984"/>
    <w:rsid w:val="003659B5"/>
    <w:rsid w:val="00365C9E"/>
    <w:rsid w:val="00365D4D"/>
    <w:rsid w:val="003661CC"/>
    <w:rsid w:val="0036627C"/>
    <w:rsid w:val="00366361"/>
    <w:rsid w:val="003664EE"/>
    <w:rsid w:val="00366514"/>
    <w:rsid w:val="00366911"/>
    <w:rsid w:val="00366C8C"/>
    <w:rsid w:val="00367439"/>
    <w:rsid w:val="00367855"/>
    <w:rsid w:val="00367C0A"/>
    <w:rsid w:val="00367EB3"/>
    <w:rsid w:val="00367FDF"/>
    <w:rsid w:val="00367FF8"/>
    <w:rsid w:val="00370542"/>
    <w:rsid w:val="00370AED"/>
    <w:rsid w:val="00370E00"/>
    <w:rsid w:val="00370EF9"/>
    <w:rsid w:val="003711A0"/>
    <w:rsid w:val="0037136E"/>
    <w:rsid w:val="0037137A"/>
    <w:rsid w:val="003715AA"/>
    <w:rsid w:val="003716E0"/>
    <w:rsid w:val="00371E42"/>
    <w:rsid w:val="0037239D"/>
    <w:rsid w:val="003724DE"/>
    <w:rsid w:val="00372901"/>
    <w:rsid w:val="003729E5"/>
    <w:rsid w:val="00372B02"/>
    <w:rsid w:val="00372F01"/>
    <w:rsid w:val="003731E3"/>
    <w:rsid w:val="0037376B"/>
    <w:rsid w:val="003737F5"/>
    <w:rsid w:val="00373D9F"/>
    <w:rsid w:val="003742E2"/>
    <w:rsid w:val="003742E6"/>
    <w:rsid w:val="00374381"/>
    <w:rsid w:val="003743D6"/>
    <w:rsid w:val="003749E4"/>
    <w:rsid w:val="00374A59"/>
    <w:rsid w:val="003752EF"/>
    <w:rsid w:val="003754CC"/>
    <w:rsid w:val="003756A5"/>
    <w:rsid w:val="00375723"/>
    <w:rsid w:val="00375932"/>
    <w:rsid w:val="00375C07"/>
    <w:rsid w:val="00375E08"/>
    <w:rsid w:val="00375E2F"/>
    <w:rsid w:val="00375F80"/>
    <w:rsid w:val="00376181"/>
    <w:rsid w:val="00376542"/>
    <w:rsid w:val="00376613"/>
    <w:rsid w:val="00376648"/>
    <w:rsid w:val="0037694A"/>
    <w:rsid w:val="00376C39"/>
    <w:rsid w:val="00376E61"/>
    <w:rsid w:val="00376F6A"/>
    <w:rsid w:val="00376FEA"/>
    <w:rsid w:val="003770B1"/>
    <w:rsid w:val="003770F6"/>
    <w:rsid w:val="003773DB"/>
    <w:rsid w:val="00377768"/>
    <w:rsid w:val="00377908"/>
    <w:rsid w:val="00377AEC"/>
    <w:rsid w:val="00380577"/>
    <w:rsid w:val="003805C7"/>
    <w:rsid w:val="003805D1"/>
    <w:rsid w:val="00380638"/>
    <w:rsid w:val="003806B9"/>
    <w:rsid w:val="0038086A"/>
    <w:rsid w:val="00380983"/>
    <w:rsid w:val="00380B71"/>
    <w:rsid w:val="00380FB1"/>
    <w:rsid w:val="003812E8"/>
    <w:rsid w:val="003816EE"/>
    <w:rsid w:val="00381749"/>
    <w:rsid w:val="00381FCB"/>
    <w:rsid w:val="0038207E"/>
    <w:rsid w:val="0038208E"/>
    <w:rsid w:val="0038214E"/>
    <w:rsid w:val="00382421"/>
    <w:rsid w:val="00382AE4"/>
    <w:rsid w:val="00382DF7"/>
    <w:rsid w:val="00383092"/>
    <w:rsid w:val="0038310C"/>
    <w:rsid w:val="003836ED"/>
    <w:rsid w:val="00383778"/>
    <w:rsid w:val="00383A4D"/>
    <w:rsid w:val="00383C3A"/>
    <w:rsid w:val="00383E33"/>
    <w:rsid w:val="00383F6E"/>
    <w:rsid w:val="00383F96"/>
    <w:rsid w:val="00383FC9"/>
    <w:rsid w:val="003841B4"/>
    <w:rsid w:val="0038465C"/>
    <w:rsid w:val="003849DD"/>
    <w:rsid w:val="00384BF6"/>
    <w:rsid w:val="003850C6"/>
    <w:rsid w:val="00385211"/>
    <w:rsid w:val="003853EF"/>
    <w:rsid w:val="00385B1B"/>
    <w:rsid w:val="00385C09"/>
    <w:rsid w:val="00385DFB"/>
    <w:rsid w:val="0038603A"/>
    <w:rsid w:val="003861C6"/>
    <w:rsid w:val="00386319"/>
    <w:rsid w:val="00386B07"/>
    <w:rsid w:val="00386B25"/>
    <w:rsid w:val="00387428"/>
    <w:rsid w:val="00387472"/>
    <w:rsid w:val="00387858"/>
    <w:rsid w:val="003879B8"/>
    <w:rsid w:val="00387A1E"/>
    <w:rsid w:val="00387B6E"/>
    <w:rsid w:val="00387C5D"/>
    <w:rsid w:val="00387CC9"/>
    <w:rsid w:val="00387E32"/>
    <w:rsid w:val="003904E5"/>
    <w:rsid w:val="0039063D"/>
    <w:rsid w:val="0039098C"/>
    <w:rsid w:val="00390AAE"/>
    <w:rsid w:val="00391040"/>
    <w:rsid w:val="00391547"/>
    <w:rsid w:val="00391625"/>
    <w:rsid w:val="00391A59"/>
    <w:rsid w:val="00391C36"/>
    <w:rsid w:val="00392658"/>
    <w:rsid w:val="003926DC"/>
    <w:rsid w:val="003926FA"/>
    <w:rsid w:val="00392A70"/>
    <w:rsid w:val="00392CB9"/>
    <w:rsid w:val="00392D10"/>
    <w:rsid w:val="00392ED9"/>
    <w:rsid w:val="003937C4"/>
    <w:rsid w:val="003938E9"/>
    <w:rsid w:val="00393BAC"/>
    <w:rsid w:val="00393FB9"/>
    <w:rsid w:val="00393FEF"/>
    <w:rsid w:val="003941CE"/>
    <w:rsid w:val="00394201"/>
    <w:rsid w:val="0039444E"/>
    <w:rsid w:val="0039445E"/>
    <w:rsid w:val="003944B6"/>
    <w:rsid w:val="003948E6"/>
    <w:rsid w:val="00394A8E"/>
    <w:rsid w:val="00394C0C"/>
    <w:rsid w:val="00394E51"/>
    <w:rsid w:val="003950C0"/>
    <w:rsid w:val="003951FC"/>
    <w:rsid w:val="003953D1"/>
    <w:rsid w:val="0039540B"/>
    <w:rsid w:val="003955A7"/>
    <w:rsid w:val="00395926"/>
    <w:rsid w:val="00396229"/>
    <w:rsid w:val="0039641B"/>
    <w:rsid w:val="0039685D"/>
    <w:rsid w:val="0039686C"/>
    <w:rsid w:val="003968A9"/>
    <w:rsid w:val="00396C8F"/>
    <w:rsid w:val="00396E3A"/>
    <w:rsid w:val="00396F0C"/>
    <w:rsid w:val="003970A1"/>
    <w:rsid w:val="003972E6"/>
    <w:rsid w:val="0039742C"/>
    <w:rsid w:val="003978CE"/>
    <w:rsid w:val="003979A5"/>
    <w:rsid w:val="00397CC9"/>
    <w:rsid w:val="003A0279"/>
    <w:rsid w:val="003A079F"/>
    <w:rsid w:val="003A0A06"/>
    <w:rsid w:val="003A0A14"/>
    <w:rsid w:val="003A0AD7"/>
    <w:rsid w:val="003A0D28"/>
    <w:rsid w:val="003A0E49"/>
    <w:rsid w:val="003A106E"/>
    <w:rsid w:val="003A1249"/>
    <w:rsid w:val="003A12D2"/>
    <w:rsid w:val="003A1400"/>
    <w:rsid w:val="003A146F"/>
    <w:rsid w:val="003A19ED"/>
    <w:rsid w:val="003A1B35"/>
    <w:rsid w:val="003A1F23"/>
    <w:rsid w:val="003A1FD1"/>
    <w:rsid w:val="003A20A6"/>
    <w:rsid w:val="003A2CDD"/>
    <w:rsid w:val="003A2D40"/>
    <w:rsid w:val="003A2ECA"/>
    <w:rsid w:val="003A30AC"/>
    <w:rsid w:val="003A323E"/>
    <w:rsid w:val="003A33C5"/>
    <w:rsid w:val="003A366C"/>
    <w:rsid w:val="003A3860"/>
    <w:rsid w:val="003A39A2"/>
    <w:rsid w:val="003A4214"/>
    <w:rsid w:val="003A42A8"/>
    <w:rsid w:val="003A4307"/>
    <w:rsid w:val="003A450A"/>
    <w:rsid w:val="003A458E"/>
    <w:rsid w:val="003A46F9"/>
    <w:rsid w:val="003A472A"/>
    <w:rsid w:val="003A4942"/>
    <w:rsid w:val="003A49C5"/>
    <w:rsid w:val="003A4E95"/>
    <w:rsid w:val="003A4F9C"/>
    <w:rsid w:val="003A53ED"/>
    <w:rsid w:val="003A549E"/>
    <w:rsid w:val="003A5615"/>
    <w:rsid w:val="003A575F"/>
    <w:rsid w:val="003A58DB"/>
    <w:rsid w:val="003A5966"/>
    <w:rsid w:val="003A5CBC"/>
    <w:rsid w:val="003A61E3"/>
    <w:rsid w:val="003A6492"/>
    <w:rsid w:val="003A65B5"/>
    <w:rsid w:val="003A66E1"/>
    <w:rsid w:val="003A6C35"/>
    <w:rsid w:val="003A6C81"/>
    <w:rsid w:val="003A6E25"/>
    <w:rsid w:val="003A72A0"/>
    <w:rsid w:val="003A748F"/>
    <w:rsid w:val="003B03BB"/>
    <w:rsid w:val="003B076C"/>
    <w:rsid w:val="003B087B"/>
    <w:rsid w:val="003B0C87"/>
    <w:rsid w:val="003B1082"/>
    <w:rsid w:val="003B12F5"/>
    <w:rsid w:val="003B1AB2"/>
    <w:rsid w:val="003B1DC5"/>
    <w:rsid w:val="003B1E4C"/>
    <w:rsid w:val="003B2005"/>
    <w:rsid w:val="003B2301"/>
    <w:rsid w:val="003B2340"/>
    <w:rsid w:val="003B24B8"/>
    <w:rsid w:val="003B2914"/>
    <w:rsid w:val="003B2BF6"/>
    <w:rsid w:val="003B2C1E"/>
    <w:rsid w:val="003B2E4C"/>
    <w:rsid w:val="003B3684"/>
    <w:rsid w:val="003B3767"/>
    <w:rsid w:val="003B3917"/>
    <w:rsid w:val="003B3BCD"/>
    <w:rsid w:val="003B3CE7"/>
    <w:rsid w:val="003B3D06"/>
    <w:rsid w:val="003B3F8E"/>
    <w:rsid w:val="003B3FE4"/>
    <w:rsid w:val="003B435B"/>
    <w:rsid w:val="003B43A2"/>
    <w:rsid w:val="003B49E2"/>
    <w:rsid w:val="003B49F6"/>
    <w:rsid w:val="003B4E4E"/>
    <w:rsid w:val="003B5D4A"/>
    <w:rsid w:val="003B5D62"/>
    <w:rsid w:val="003B6583"/>
    <w:rsid w:val="003B6B71"/>
    <w:rsid w:val="003B6B8E"/>
    <w:rsid w:val="003B6FDE"/>
    <w:rsid w:val="003B7037"/>
    <w:rsid w:val="003B72F3"/>
    <w:rsid w:val="003B778C"/>
    <w:rsid w:val="003B79B5"/>
    <w:rsid w:val="003B7A54"/>
    <w:rsid w:val="003B7B45"/>
    <w:rsid w:val="003B7BC2"/>
    <w:rsid w:val="003B7C24"/>
    <w:rsid w:val="003B7E76"/>
    <w:rsid w:val="003C049C"/>
    <w:rsid w:val="003C0B86"/>
    <w:rsid w:val="003C10B0"/>
    <w:rsid w:val="003C18F1"/>
    <w:rsid w:val="003C1B7C"/>
    <w:rsid w:val="003C1E7D"/>
    <w:rsid w:val="003C1FB8"/>
    <w:rsid w:val="003C21B3"/>
    <w:rsid w:val="003C2359"/>
    <w:rsid w:val="003C2602"/>
    <w:rsid w:val="003C2A4D"/>
    <w:rsid w:val="003C2AEC"/>
    <w:rsid w:val="003C31E1"/>
    <w:rsid w:val="003C32B0"/>
    <w:rsid w:val="003C3474"/>
    <w:rsid w:val="003C3AC8"/>
    <w:rsid w:val="003C4564"/>
    <w:rsid w:val="003C466A"/>
    <w:rsid w:val="003C4AF7"/>
    <w:rsid w:val="003C4FDF"/>
    <w:rsid w:val="003C51E6"/>
    <w:rsid w:val="003C58E8"/>
    <w:rsid w:val="003C5AE7"/>
    <w:rsid w:val="003C5AF8"/>
    <w:rsid w:val="003C608F"/>
    <w:rsid w:val="003C6D5F"/>
    <w:rsid w:val="003C70DE"/>
    <w:rsid w:val="003C713C"/>
    <w:rsid w:val="003C7184"/>
    <w:rsid w:val="003C7329"/>
    <w:rsid w:val="003C73C2"/>
    <w:rsid w:val="003C7483"/>
    <w:rsid w:val="003C7579"/>
    <w:rsid w:val="003C7598"/>
    <w:rsid w:val="003C78AE"/>
    <w:rsid w:val="003C7ABA"/>
    <w:rsid w:val="003C7AF2"/>
    <w:rsid w:val="003C7D34"/>
    <w:rsid w:val="003C7F2D"/>
    <w:rsid w:val="003D0010"/>
    <w:rsid w:val="003D0158"/>
    <w:rsid w:val="003D02B5"/>
    <w:rsid w:val="003D0543"/>
    <w:rsid w:val="003D0DB2"/>
    <w:rsid w:val="003D0DCC"/>
    <w:rsid w:val="003D1222"/>
    <w:rsid w:val="003D12E2"/>
    <w:rsid w:val="003D148D"/>
    <w:rsid w:val="003D1B99"/>
    <w:rsid w:val="003D21E1"/>
    <w:rsid w:val="003D244E"/>
    <w:rsid w:val="003D2584"/>
    <w:rsid w:val="003D2645"/>
    <w:rsid w:val="003D2712"/>
    <w:rsid w:val="003D2B92"/>
    <w:rsid w:val="003D2EB0"/>
    <w:rsid w:val="003D2F70"/>
    <w:rsid w:val="003D3568"/>
    <w:rsid w:val="003D3844"/>
    <w:rsid w:val="003D3864"/>
    <w:rsid w:val="003D3BCD"/>
    <w:rsid w:val="003D43AA"/>
    <w:rsid w:val="003D450C"/>
    <w:rsid w:val="003D4683"/>
    <w:rsid w:val="003D468D"/>
    <w:rsid w:val="003D4AE9"/>
    <w:rsid w:val="003D4EBB"/>
    <w:rsid w:val="003D53FD"/>
    <w:rsid w:val="003D57E8"/>
    <w:rsid w:val="003D58FD"/>
    <w:rsid w:val="003D5AF8"/>
    <w:rsid w:val="003D5B7F"/>
    <w:rsid w:val="003D5DCB"/>
    <w:rsid w:val="003D5E58"/>
    <w:rsid w:val="003D6223"/>
    <w:rsid w:val="003D62B3"/>
    <w:rsid w:val="003D6317"/>
    <w:rsid w:val="003D649F"/>
    <w:rsid w:val="003D6734"/>
    <w:rsid w:val="003D691F"/>
    <w:rsid w:val="003D7006"/>
    <w:rsid w:val="003D7011"/>
    <w:rsid w:val="003D7086"/>
    <w:rsid w:val="003D77EB"/>
    <w:rsid w:val="003D7A84"/>
    <w:rsid w:val="003D7C0A"/>
    <w:rsid w:val="003D7E14"/>
    <w:rsid w:val="003E0320"/>
    <w:rsid w:val="003E0895"/>
    <w:rsid w:val="003E0A4A"/>
    <w:rsid w:val="003E0B49"/>
    <w:rsid w:val="003E1088"/>
    <w:rsid w:val="003E165F"/>
    <w:rsid w:val="003E1A77"/>
    <w:rsid w:val="003E1BED"/>
    <w:rsid w:val="003E1C9A"/>
    <w:rsid w:val="003E201D"/>
    <w:rsid w:val="003E24CB"/>
    <w:rsid w:val="003E24EF"/>
    <w:rsid w:val="003E2BBB"/>
    <w:rsid w:val="003E30BF"/>
    <w:rsid w:val="003E3411"/>
    <w:rsid w:val="003E34D1"/>
    <w:rsid w:val="003E361A"/>
    <w:rsid w:val="003E3A16"/>
    <w:rsid w:val="003E3A56"/>
    <w:rsid w:val="003E3E5E"/>
    <w:rsid w:val="003E3EBC"/>
    <w:rsid w:val="003E4869"/>
    <w:rsid w:val="003E4E7A"/>
    <w:rsid w:val="003E50AF"/>
    <w:rsid w:val="003E50CE"/>
    <w:rsid w:val="003E5457"/>
    <w:rsid w:val="003E5E74"/>
    <w:rsid w:val="003E5EF8"/>
    <w:rsid w:val="003E5F44"/>
    <w:rsid w:val="003E5FB1"/>
    <w:rsid w:val="003E647C"/>
    <w:rsid w:val="003E6803"/>
    <w:rsid w:val="003E7060"/>
    <w:rsid w:val="003E72C6"/>
    <w:rsid w:val="003E74C3"/>
    <w:rsid w:val="003E74FF"/>
    <w:rsid w:val="003E75E0"/>
    <w:rsid w:val="003E7703"/>
    <w:rsid w:val="003E79B5"/>
    <w:rsid w:val="003E7E63"/>
    <w:rsid w:val="003E7ED1"/>
    <w:rsid w:val="003F009F"/>
    <w:rsid w:val="003F0500"/>
    <w:rsid w:val="003F07EB"/>
    <w:rsid w:val="003F0E03"/>
    <w:rsid w:val="003F12F5"/>
    <w:rsid w:val="003F1336"/>
    <w:rsid w:val="003F14CD"/>
    <w:rsid w:val="003F1550"/>
    <w:rsid w:val="003F175D"/>
    <w:rsid w:val="003F18CF"/>
    <w:rsid w:val="003F1BB2"/>
    <w:rsid w:val="003F200A"/>
    <w:rsid w:val="003F209C"/>
    <w:rsid w:val="003F2284"/>
    <w:rsid w:val="003F22A5"/>
    <w:rsid w:val="003F248F"/>
    <w:rsid w:val="003F27B4"/>
    <w:rsid w:val="003F2801"/>
    <w:rsid w:val="003F2863"/>
    <w:rsid w:val="003F2B3D"/>
    <w:rsid w:val="003F2E23"/>
    <w:rsid w:val="003F2E91"/>
    <w:rsid w:val="003F3056"/>
    <w:rsid w:val="003F33AA"/>
    <w:rsid w:val="003F343E"/>
    <w:rsid w:val="003F37E8"/>
    <w:rsid w:val="003F398F"/>
    <w:rsid w:val="003F3FAC"/>
    <w:rsid w:val="003F40BF"/>
    <w:rsid w:val="003F418B"/>
    <w:rsid w:val="003F4195"/>
    <w:rsid w:val="003F4F3B"/>
    <w:rsid w:val="003F51FC"/>
    <w:rsid w:val="003F52EC"/>
    <w:rsid w:val="003F5335"/>
    <w:rsid w:val="003F59C4"/>
    <w:rsid w:val="003F5BFF"/>
    <w:rsid w:val="003F5CFC"/>
    <w:rsid w:val="003F5E84"/>
    <w:rsid w:val="003F5EFC"/>
    <w:rsid w:val="003F5F41"/>
    <w:rsid w:val="003F60CE"/>
    <w:rsid w:val="003F60DF"/>
    <w:rsid w:val="003F6745"/>
    <w:rsid w:val="003F6B4E"/>
    <w:rsid w:val="003F6B51"/>
    <w:rsid w:val="003F6E91"/>
    <w:rsid w:val="003F701E"/>
    <w:rsid w:val="003F707C"/>
    <w:rsid w:val="003F721A"/>
    <w:rsid w:val="003F7415"/>
    <w:rsid w:val="003F752D"/>
    <w:rsid w:val="003F7560"/>
    <w:rsid w:val="003F7577"/>
    <w:rsid w:val="003F7784"/>
    <w:rsid w:val="004002A5"/>
    <w:rsid w:val="00400637"/>
    <w:rsid w:val="00400B4B"/>
    <w:rsid w:val="00400BA3"/>
    <w:rsid w:val="00400D21"/>
    <w:rsid w:val="004012D9"/>
    <w:rsid w:val="00401525"/>
    <w:rsid w:val="00401782"/>
    <w:rsid w:val="00401849"/>
    <w:rsid w:val="00401FF2"/>
    <w:rsid w:val="00402025"/>
    <w:rsid w:val="004023EC"/>
    <w:rsid w:val="00402791"/>
    <w:rsid w:val="004027E0"/>
    <w:rsid w:val="0040297C"/>
    <w:rsid w:val="00402B2B"/>
    <w:rsid w:val="00403194"/>
    <w:rsid w:val="00403802"/>
    <w:rsid w:val="00404E16"/>
    <w:rsid w:val="00405082"/>
    <w:rsid w:val="004058C7"/>
    <w:rsid w:val="00405AF7"/>
    <w:rsid w:val="00405D1A"/>
    <w:rsid w:val="00405EB3"/>
    <w:rsid w:val="00406053"/>
    <w:rsid w:val="00406058"/>
    <w:rsid w:val="004060BA"/>
    <w:rsid w:val="0040623A"/>
    <w:rsid w:val="00406617"/>
    <w:rsid w:val="0040684D"/>
    <w:rsid w:val="00406AA6"/>
    <w:rsid w:val="00406BF7"/>
    <w:rsid w:val="00406C11"/>
    <w:rsid w:val="00406C7B"/>
    <w:rsid w:val="004071F2"/>
    <w:rsid w:val="004074E8"/>
    <w:rsid w:val="00407802"/>
    <w:rsid w:val="0041031B"/>
    <w:rsid w:val="004103B0"/>
    <w:rsid w:val="004103CE"/>
    <w:rsid w:val="00410810"/>
    <w:rsid w:val="00410B59"/>
    <w:rsid w:val="00410C70"/>
    <w:rsid w:val="004115E3"/>
    <w:rsid w:val="004117EB"/>
    <w:rsid w:val="004119D1"/>
    <w:rsid w:val="00411BDD"/>
    <w:rsid w:val="00412110"/>
    <w:rsid w:val="004122F7"/>
    <w:rsid w:val="00412412"/>
    <w:rsid w:val="00412D4B"/>
    <w:rsid w:val="00412E82"/>
    <w:rsid w:val="004131EC"/>
    <w:rsid w:val="0041365C"/>
    <w:rsid w:val="00413721"/>
    <w:rsid w:val="00413A10"/>
    <w:rsid w:val="00413C75"/>
    <w:rsid w:val="00413C8B"/>
    <w:rsid w:val="00413DBE"/>
    <w:rsid w:val="00414078"/>
    <w:rsid w:val="004142FA"/>
    <w:rsid w:val="00414C33"/>
    <w:rsid w:val="00414DDC"/>
    <w:rsid w:val="0041506D"/>
    <w:rsid w:val="00415150"/>
    <w:rsid w:val="004152B4"/>
    <w:rsid w:val="00415AB9"/>
    <w:rsid w:val="00416259"/>
    <w:rsid w:val="00416887"/>
    <w:rsid w:val="00416D19"/>
    <w:rsid w:val="00416E12"/>
    <w:rsid w:val="0041707D"/>
    <w:rsid w:val="004171DF"/>
    <w:rsid w:val="004174D6"/>
    <w:rsid w:val="0041751F"/>
    <w:rsid w:val="004176AF"/>
    <w:rsid w:val="004176FB"/>
    <w:rsid w:val="00417A5C"/>
    <w:rsid w:val="00420220"/>
    <w:rsid w:val="00420561"/>
    <w:rsid w:val="00420CB0"/>
    <w:rsid w:val="00420CE7"/>
    <w:rsid w:val="00420CF0"/>
    <w:rsid w:val="00420E5B"/>
    <w:rsid w:val="00420F85"/>
    <w:rsid w:val="00421237"/>
    <w:rsid w:val="004212B6"/>
    <w:rsid w:val="00421580"/>
    <w:rsid w:val="00421619"/>
    <w:rsid w:val="00422462"/>
    <w:rsid w:val="004225AE"/>
    <w:rsid w:val="00422661"/>
    <w:rsid w:val="00422B97"/>
    <w:rsid w:val="00422BC4"/>
    <w:rsid w:val="00422C88"/>
    <w:rsid w:val="00423616"/>
    <w:rsid w:val="004236D9"/>
    <w:rsid w:val="004239CB"/>
    <w:rsid w:val="00423B10"/>
    <w:rsid w:val="00423BC7"/>
    <w:rsid w:val="00424232"/>
    <w:rsid w:val="00424258"/>
    <w:rsid w:val="004242D7"/>
    <w:rsid w:val="00424667"/>
    <w:rsid w:val="00424700"/>
    <w:rsid w:val="004249D2"/>
    <w:rsid w:val="00424A45"/>
    <w:rsid w:val="00424A9E"/>
    <w:rsid w:val="00424E87"/>
    <w:rsid w:val="00424FC0"/>
    <w:rsid w:val="00425061"/>
    <w:rsid w:val="00425183"/>
    <w:rsid w:val="004251B4"/>
    <w:rsid w:val="00425293"/>
    <w:rsid w:val="004253B3"/>
    <w:rsid w:val="0042548D"/>
    <w:rsid w:val="004257F0"/>
    <w:rsid w:val="00425863"/>
    <w:rsid w:val="004258E9"/>
    <w:rsid w:val="00425DAF"/>
    <w:rsid w:val="0042622C"/>
    <w:rsid w:val="00426242"/>
    <w:rsid w:val="00426342"/>
    <w:rsid w:val="004263D3"/>
    <w:rsid w:val="0042697B"/>
    <w:rsid w:val="00426A8A"/>
    <w:rsid w:val="00426ABB"/>
    <w:rsid w:val="00426BCB"/>
    <w:rsid w:val="00426CA3"/>
    <w:rsid w:val="00426FB6"/>
    <w:rsid w:val="00426FF4"/>
    <w:rsid w:val="00427051"/>
    <w:rsid w:val="004272DD"/>
    <w:rsid w:val="00427506"/>
    <w:rsid w:val="0042769A"/>
    <w:rsid w:val="00427739"/>
    <w:rsid w:val="00427881"/>
    <w:rsid w:val="004279A6"/>
    <w:rsid w:val="00427BBD"/>
    <w:rsid w:val="0043017E"/>
    <w:rsid w:val="004302A3"/>
    <w:rsid w:val="00430584"/>
    <w:rsid w:val="00430AF0"/>
    <w:rsid w:val="00430DA0"/>
    <w:rsid w:val="00430F6B"/>
    <w:rsid w:val="004312C9"/>
    <w:rsid w:val="004316A6"/>
    <w:rsid w:val="004316B1"/>
    <w:rsid w:val="00431731"/>
    <w:rsid w:val="00431911"/>
    <w:rsid w:val="00431A31"/>
    <w:rsid w:val="00431C2A"/>
    <w:rsid w:val="00431F54"/>
    <w:rsid w:val="00432391"/>
    <w:rsid w:val="00432B1A"/>
    <w:rsid w:val="00432F90"/>
    <w:rsid w:val="00433BBC"/>
    <w:rsid w:val="00433E35"/>
    <w:rsid w:val="0043440C"/>
    <w:rsid w:val="004345C6"/>
    <w:rsid w:val="00434752"/>
    <w:rsid w:val="004347F7"/>
    <w:rsid w:val="00434927"/>
    <w:rsid w:val="00434D11"/>
    <w:rsid w:val="0043529B"/>
    <w:rsid w:val="00435320"/>
    <w:rsid w:val="0043532F"/>
    <w:rsid w:val="00435A08"/>
    <w:rsid w:val="00435A09"/>
    <w:rsid w:val="00435CCF"/>
    <w:rsid w:val="00435F4E"/>
    <w:rsid w:val="00436418"/>
    <w:rsid w:val="00436D92"/>
    <w:rsid w:val="00436FBB"/>
    <w:rsid w:val="004375EF"/>
    <w:rsid w:val="00437A9C"/>
    <w:rsid w:val="00437E49"/>
    <w:rsid w:val="00437EF4"/>
    <w:rsid w:val="004403F2"/>
    <w:rsid w:val="0044042E"/>
    <w:rsid w:val="00440472"/>
    <w:rsid w:val="00440FEB"/>
    <w:rsid w:val="004411AB"/>
    <w:rsid w:val="00441218"/>
    <w:rsid w:val="004412C4"/>
    <w:rsid w:val="004419DF"/>
    <w:rsid w:val="00441C78"/>
    <w:rsid w:val="00441E3D"/>
    <w:rsid w:val="004422E4"/>
    <w:rsid w:val="00442617"/>
    <w:rsid w:val="0044296D"/>
    <w:rsid w:val="00442CD9"/>
    <w:rsid w:val="00442EDD"/>
    <w:rsid w:val="00443160"/>
    <w:rsid w:val="00443BF1"/>
    <w:rsid w:val="00443DB0"/>
    <w:rsid w:val="00443E17"/>
    <w:rsid w:val="00443E48"/>
    <w:rsid w:val="00444071"/>
    <w:rsid w:val="004444B2"/>
    <w:rsid w:val="00444E2D"/>
    <w:rsid w:val="00445770"/>
    <w:rsid w:val="00445883"/>
    <w:rsid w:val="00445ED0"/>
    <w:rsid w:val="00445F10"/>
    <w:rsid w:val="00446370"/>
    <w:rsid w:val="00446571"/>
    <w:rsid w:val="00446E93"/>
    <w:rsid w:val="00447276"/>
    <w:rsid w:val="004472D2"/>
    <w:rsid w:val="00447525"/>
    <w:rsid w:val="004477AB"/>
    <w:rsid w:val="00447947"/>
    <w:rsid w:val="00447A89"/>
    <w:rsid w:val="00447B7C"/>
    <w:rsid w:val="00450148"/>
    <w:rsid w:val="004501A4"/>
    <w:rsid w:val="004505FF"/>
    <w:rsid w:val="004506C8"/>
    <w:rsid w:val="0045073F"/>
    <w:rsid w:val="00451400"/>
    <w:rsid w:val="00451C39"/>
    <w:rsid w:val="00451CFD"/>
    <w:rsid w:val="00451D72"/>
    <w:rsid w:val="00451D9B"/>
    <w:rsid w:val="004520BE"/>
    <w:rsid w:val="0045232D"/>
    <w:rsid w:val="00452404"/>
    <w:rsid w:val="004525A3"/>
    <w:rsid w:val="004526EB"/>
    <w:rsid w:val="0045298E"/>
    <w:rsid w:val="004530FD"/>
    <w:rsid w:val="00453326"/>
    <w:rsid w:val="00453A0F"/>
    <w:rsid w:val="00453A81"/>
    <w:rsid w:val="00453D61"/>
    <w:rsid w:val="00453E44"/>
    <w:rsid w:val="00454092"/>
    <w:rsid w:val="004546D2"/>
    <w:rsid w:val="004548CD"/>
    <w:rsid w:val="004548F3"/>
    <w:rsid w:val="00454B61"/>
    <w:rsid w:val="00454CEC"/>
    <w:rsid w:val="00454D58"/>
    <w:rsid w:val="00454E1E"/>
    <w:rsid w:val="004559D8"/>
    <w:rsid w:val="00455D6D"/>
    <w:rsid w:val="00456115"/>
    <w:rsid w:val="00456156"/>
    <w:rsid w:val="004562B6"/>
    <w:rsid w:val="00456918"/>
    <w:rsid w:val="0045694A"/>
    <w:rsid w:val="00456A45"/>
    <w:rsid w:val="00456A62"/>
    <w:rsid w:val="00456BCB"/>
    <w:rsid w:val="00457264"/>
    <w:rsid w:val="00457294"/>
    <w:rsid w:val="00457587"/>
    <w:rsid w:val="004575B4"/>
    <w:rsid w:val="00457BBF"/>
    <w:rsid w:val="004603ED"/>
    <w:rsid w:val="004603F0"/>
    <w:rsid w:val="0046075B"/>
    <w:rsid w:val="004613F0"/>
    <w:rsid w:val="004613F2"/>
    <w:rsid w:val="004616D2"/>
    <w:rsid w:val="00461BEC"/>
    <w:rsid w:val="004620A3"/>
    <w:rsid w:val="004620A5"/>
    <w:rsid w:val="004622A6"/>
    <w:rsid w:val="00462372"/>
    <w:rsid w:val="004629CA"/>
    <w:rsid w:val="00463032"/>
    <w:rsid w:val="0046364C"/>
    <w:rsid w:val="004636C9"/>
    <w:rsid w:val="004639DA"/>
    <w:rsid w:val="00463A4D"/>
    <w:rsid w:val="00463AD9"/>
    <w:rsid w:val="004643F4"/>
    <w:rsid w:val="00464999"/>
    <w:rsid w:val="00464E14"/>
    <w:rsid w:val="00464F58"/>
    <w:rsid w:val="004652BE"/>
    <w:rsid w:val="0046552C"/>
    <w:rsid w:val="004655D4"/>
    <w:rsid w:val="004659EF"/>
    <w:rsid w:val="00465B1E"/>
    <w:rsid w:val="00466251"/>
    <w:rsid w:val="004662B9"/>
    <w:rsid w:val="004665A1"/>
    <w:rsid w:val="0046663D"/>
    <w:rsid w:val="00466654"/>
    <w:rsid w:val="00466765"/>
    <w:rsid w:val="0046694F"/>
    <w:rsid w:val="00466956"/>
    <w:rsid w:val="00466DDF"/>
    <w:rsid w:val="00466E0A"/>
    <w:rsid w:val="004675E9"/>
    <w:rsid w:val="004678FF"/>
    <w:rsid w:val="00467D49"/>
    <w:rsid w:val="00470225"/>
    <w:rsid w:val="00470600"/>
    <w:rsid w:val="00470626"/>
    <w:rsid w:val="0047085E"/>
    <w:rsid w:val="00470EF6"/>
    <w:rsid w:val="0047117D"/>
    <w:rsid w:val="00471208"/>
    <w:rsid w:val="004712D0"/>
    <w:rsid w:val="0047145D"/>
    <w:rsid w:val="004716A8"/>
    <w:rsid w:val="00471C2B"/>
    <w:rsid w:val="00471DFE"/>
    <w:rsid w:val="004720DA"/>
    <w:rsid w:val="0047241D"/>
    <w:rsid w:val="00472D06"/>
    <w:rsid w:val="00473427"/>
    <w:rsid w:val="00473489"/>
    <w:rsid w:val="00473738"/>
    <w:rsid w:val="00473A04"/>
    <w:rsid w:val="00473BFF"/>
    <w:rsid w:val="00473C1B"/>
    <w:rsid w:val="00473FE0"/>
    <w:rsid w:val="004742F1"/>
    <w:rsid w:val="00474524"/>
    <w:rsid w:val="0047458B"/>
    <w:rsid w:val="0047459D"/>
    <w:rsid w:val="00474778"/>
    <w:rsid w:val="00474793"/>
    <w:rsid w:val="00474CB5"/>
    <w:rsid w:val="004751DC"/>
    <w:rsid w:val="00475403"/>
    <w:rsid w:val="0047564E"/>
    <w:rsid w:val="004756D7"/>
    <w:rsid w:val="00475849"/>
    <w:rsid w:val="00475A09"/>
    <w:rsid w:val="00475ABD"/>
    <w:rsid w:val="00475D8C"/>
    <w:rsid w:val="00475FE0"/>
    <w:rsid w:val="0047640B"/>
    <w:rsid w:val="004768AC"/>
    <w:rsid w:val="00476CFF"/>
    <w:rsid w:val="00477081"/>
    <w:rsid w:val="00477505"/>
    <w:rsid w:val="004775DE"/>
    <w:rsid w:val="00477731"/>
    <w:rsid w:val="00477A6E"/>
    <w:rsid w:val="004802DF"/>
    <w:rsid w:val="004802FC"/>
    <w:rsid w:val="0048043B"/>
    <w:rsid w:val="00480572"/>
    <w:rsid w:val="004806A0"/>
    <w:rsid w:val="00480B6E"/>
    <w:rsid w:val="00480C72"/>
    <w:rsid w:val="00480DEF"/>
    <w:rsid w:val="0048162E"/>
    <w:rsid w:val="00481725"/>
    <w:rsid w:val="004817C9"/>
    <w:rsid w:val="00481B77"/>
    <w:rsid w:val="00481E35"/>
    <w:rsid w:val="0048220D"/>
    <w:rsid w:val="00482D56"/>
    <w:rsid w:val="00482F7D"/>
    <w:rsid w:val="00483005"/>
    <w:rsid w:val="004833F7"/>
    <w:rsid w:val="0048361E"/>
    <w:rsid w:val="00483721"/>
    <w:rsid w:val="004839AE"/>
    <w:rsid w:val="00483D87"/>
    <w:rsid w:val="00484026"/>
    <w:rsid w:val="004840B0"/>
    <w:rsid w:val="00484ADF"/>
    <w:rsid w:val="0048500D"/>
    <w:rsid w:val="004850BE"/>
    <w:rsid w:val="0048521B"/>
    <w:rsid w:val="004854D0"/>
    <w:rsid w:val="00485CD9"/>
    <w:rsid w:val="00485CF1"/>
    <w:rsid w:val="00485F82"/>
    <w:rsid w:val="004863A0"/>
    <w:rsid w:val="0048655D"/>
    <w:rsid w:val="004865AD"/>
    <w:rsid w:val="004867F0"/>
    <w:rsid w:val="004868A5"/>
    <w:rsid w:val="00487092"/>
    <w:rsid w:val="0048711A"/>
    <w:rsid w:val="00487480"/>
    <w:rsid w:val="00487AA2"/>
    <w:rsid w:val="00487C5A"/>
    <w:rsid w:val="00487D14"/>
    <w:rsid w:val="00490136"/>
    <w:rsid w:val="00490380"/>
    <w:rsid w:val="00490591"/>
    <w:rsid w:val="00490D32"/>
    <w:rsid w:val="0049108C"/>
    <w:rsid w:val="004911DF"/>
    <w:rsid w:val="004919C8"/>
    <w:rsid w:val="00491B10"/>
    <w:rsid w:val="00492257"/>
    <w:rsid w:val="004925DD"/>
    <w:rsid w:val="004926E1"/>
    <w:rsid w:val="00492B2D"/>
    <w:rsid w:val="00492EFA"/>
    <w:rsid w:val="004930B9"/>
    <w:rsid w:val="00493220"/>
    <w:rsid w:val="00493629"/>
    <w:rsid w:val="00493884"/>
    <w:rsid w:val="0049393B"/>
    <w:rsid w:val="00493D3C"/>
    <w:rsid w:val="00493E0E"/>
    <w:rsid w:val="00494677"/>
    <w:rsid w:val="00494A84"/>
    <w:rsid w:val="00494BAC"/>
    <w:rsid w:val="00494BFE"/>
    <w:rsid w:val="0049500B"/>
    <w:rsid w:val="004954B6"/>
    <w:rsid w:val="00495619"/>
    <w:rsid w:val="00495676"/>
    <w:rsid w:val="00495687"/>
    <w:rsid w:val="004956B9"/>
    <w:rsid w:val="004956D2"/>
    <w:rsid w:val="00495B27"/>
    <w:rsid w:val="00495B44"/>
    <w:rsid w:val="00495F72"/>
    <w:rsid w:val="00496070"/>
    <w:rsid w:val="004960A6"/>
    <w:rsid w:val="004962C5"/>
    <w:rsid w:val="004962F2"/>
    <w:rsid w:val="00496546"/>
    <w:rsid w:val="00496594"/>
    <w:rsid w:val="00496943"/>
    <w:rsid w:val="004969D4"/>
    <w:rsid w:val="00496B7D"/>
    <w:rsid w:val="00497075"/>
    <w:rsid w:val="00497239"/>
    <w:rsid w:val="00497448"/>
    <w:rsid w:val="00497967"/>
    <w:rsid w:val="0049797A"/>
    <w:rsid w:val="00497AA2"/>
    <w:rsid w:val="004A00FB"/>
    <w:rsid w:val="004A01DF"/>
    <w:rsid w:val="004A055B"/>
    <w:rsid w:val="004A06F2"/>
    <w:rsid w:val="004A0B23"/>
    <w:rsid w:val="004A0CD2"/>
    <w:rsid w:val="004A160F"/>
    <w:rsid w:val="004A17AE"/>
    <w:rsid w:val="004A1826"/>
    <w:rsid w:val="004A1835"/>
    <w:rsid w:val="004A1AA0"/>
    <w:rsid w:val="004A24D9"/>
    <w:rsid w:val="004A2729"/>
    <w:rsid w:val="004A2A32"/>
    <w:rsid w:val="004A2BD5"/>
    <w:rsid w:val="004A2E32"/>
    <w:rsid w:val="004A34EC"/>
    <w:rsid w:val="004A3658"/>
    <w:rsid w:val="004A3A8A"/>
    <w:rsid w:val="004A3B44"/>
    <w:rsid w:val="004A3C24"/>
    <w:rsid w:val="004A3D3F"/>
    <w:rsid w:val="004A3EA5"/>
    <w:rsid w:val="004A3F8A"/>
    <w:rsid w:val="004A4131"/>
    <w:rsid w:val="004A49E8"/>
    <w:rsid w:val="004A4D99"/>
    <w:rsid w:val="004A5ACC"/>
    <w:rsid w:val="004A6836"/>
    <w:rsid w:val="004A6E0C"/>
    <w:rsid w:val="004A7244"/>
    <w:rsid w:val="004A724C"/>
    <w:rsid w:val="004A757F"/>
    <w:rsid w:val="004A75FE"/>
    <w:rsid w:val="004A7759"/>
    <w:rsid w:val="004A7D75"/>
    <w:rsid w:val="004A7E99"/>
    <w:rsid w:val="004B01A4"/>
    <w:rsid w:val="004B087C"/>
    <w:rsid w:val="004B091F"/>
    <w:rsid w:val="004B0A3E"/>
    <w:rsid w:val="004B0A70"/>
    <w:rsid w:val="004B0DF0"/>
    <w:rsid w:val="004B13DC"/>
    <w:rsid w:val="004B15B6"/>
    <w:rsid w:val="004B21A5"/>
    <w:rsid w:val="004B2373"/>
    <w:rsid w:val="004B2991"/>
    <w:rsid w:val="004B2DB1"/>
    <w:rsid w:val="004B2E0E"/>
    <w:rsid w:val="004B3099"/>
    <w:rsid w:val="004B317A"/>
    <w:rsid w:val="004B3AF6"/>
    <w:rsid w:val="004B40E7"/>
    <w:rsid w:val="004B42FF"/>
    <w:rsid w:val="004B436E"/>
    <w:rsid w:val="004B444D"/>
    <w:rsid w:val="004B4671"/>
    <w:rsid w:val="004B471D"/>
    <w:rsid w:val="004B56C6"/>
    <w:rsid w:val="004B5976"/>
    <w:rsid w:val="004B5A41"/>
    <w:rsid w:val="004B5A69"/>
    <w:rsid w:val="004B5B03"/>
    <w:rsid w:val="004B5BDF"/>
    <w:rsid w:val="004B5C60"/>
    <w:rsid w:val="004B5DB7"/>
    <w:rsid w:val="004B5E5B"/>
    <w:rsid w:val="004B6096"/>
    <w:rsid w:val="004B611A"/>
    <w:rsid w:val="004B638C"/>
    <w:rsid w:val="004B6B48"/>
    <w:rsid w:val="004B6D07"/>
    <w:rsid w:val="004B7074"/>
    <w:rsid w:val="004B7385"/>
    <w:rsid w:val="004C0260"/>
    <w:rsid w:val="004C035F"/>
    <w:rsid w:val="004C06E6"/>
    <w:rsid w:val="004C096F"/>
    <w:rsid w:val="004C0A2D"/>
    <w:rsid w:val="004C0C76"/>
    <w:rsid w:val="004C0EC9"/>
    <w:rsid w:val="004C0F80"/>
    <w:rsid w:val="004C0F98"/>
    <w:rsid w:val="004C1244"/>
    <w:rsid w:val="004C1682"/>
    <w:rsid w:val="004C1BB3"/>
    <w:rsid w:val="004C1F6F"/>
    <w:rsid w:val="004C23F1"/>
    <w:rsid w:val="004C2406"/>
    <w:rsid w:val="004C2800"/>
    <w:rsid w:val="004C30C6"/>
    <w:rsid w:val="004C3991"/>
    <w:rsid w:val="004C39DB"/>
    <w:rsid w:val="004C3A7B"/>
    <w:rsid w:val="004C3EF3"/>
    <w:rsid w:val="004C4529"/>
    <w:rsid w:val="004C4CC0"/>
    <w:rsid w:val="004C4CC6"/>
    <w:rsid w:val="004C4EE5"/>
    <w:rsid w:val="004C5053"/>
    <w:rsid w:val="004C583E"/>
    <w:rsid w:val="004C5966"/>
    <w:rsid w:val="004C5CC8"/>
    <w:rsid w:val="004C60E7"/>
    <w:rsid w:val="004C60FB"/>
    <w:rsid w:val="004C6775"/>
    <w:rsid w:val="004C6C0B"/>
    <w:rsid w:val="004C7671"/>
    <w:rsid w:val="004C77E6"/>
    <w:rsid w:val="004D018A"/>
    <w:rsid w:val="004D02FB"/>
    <w:rsid w:val="004D0434"/>
    <w:rsid w:val="004D075F"/>
    <w:rsid w:val="004D081E"/>
    <w:rsid w:val="004D0A82"/>
    <w:rsid w:val="004D13C0"/>
    <w:rsid w:val="004D175C"/>
    <w:rsid w:val="004D186E"/>
    <w:rsid w:val="004D19EE"/>
    <w:rsid w:val="004D1CB0"/>
    <w:rsid w:val="004D1D7B"/>
    <w:rsid w:val="004D1F7D"/>
    <w:rsid w:val="004D2131"/>
    <w:rsid w:val="004D26EE"/>
    <w:rsid w:val="004D279F"/>
    <w:rsid w:val="004D2897"/>
    <w:rsid w:val="004D28DA"/>
    <w:rsid w:val="004D2BED"/>
    <w:rsid w:val="004D2CEE"/>
    <w:rsid w:val="004D2D2A"/>
    <w:rsid w:val="004D3344"/>
    <w:rsid w:val="004D359C"/>
    <w:rsid w:val="004D35DA"/>
    <w:rsid w:val="004D364B"/>
    <w:rsid w:val="004D37CD"/>
    <w:rsid w:val="004D3EC3"/>
    <w:rsid w:val="004D4188"/>
    <w:rsid w:val="004D44E4"/>
    <w:rsid w:val="004D45FC"/>
    <w:rsid w:val="004D497A"/>
    <w:rsid w:val="004D4F42"/>
    <w:rsid w:val="004D4F51"/>
    <w:rsid w:val="004D574F"/>
    <w:rsid w:val="004D61B0"/>
    <w:rsid w:val="004D6731"/>
    <w:rsid w:val="004D6858"/>
    <w:rsid w:val="004D68B2"/>
    <w:rsid w:val="004D7041"/>
    <w:rsid w:val="004D7346"/>
    <w:rsid w:val="004D7369"/>
    <w:rsid w:val="004D73E0"/>
    <w:rsid w:val="004D778C"/>
    <w:rsid w:val="004D7888"/>
    <w:rsid w:val="004D78D4"/>
    <w:rsid w:val="004D7AFF"/>
    <w:rsid w:val="004D7CE8"/>
    <w:rsid w:val="004D7FE3"/>
    <w:rsid w:val="004E01B6"/>
    <w:rsid w:val="004E0217"/>
    <w:rsid w:val="004E025A"/>
    <w:rsid w:val="004E0A8F"/>
    <w:rsid w:val="004E0F62"/>
    <w:rsid w:val="004E0FAA"/>
    <w:rsid w:val="004E0FF8"/>
    <w:rsid w:val="004E11AF"/>
    <w:rsid w:val="004E1323"/>
    <w:rsid w:val="004E1B40"/>
    <w:rsid w:val="004E1C64"/>
    <w:rsid w:val="004E1CCF"/>
    <w:rsid w:val="004E20BE"/>
    <w:rsid w:val="004E21D5"/>
    <w:rsid w:val="004E22E4"/>
    <w:rsid w:val="004E28FA"/>
    <w:rsid w:val="004E33FD"/>
    <w:rsid w:val="004E3C8E"/>
    <w:rsid w:val="004E4016"/>
    <w:rsid w:val="004E457C"/>
    <w:rsid w:val="004E4784"/>
    <w:rsid w:val="004E4AA4"/>
    <w:rsid w:val="004E4DC8"/>
    <w:rsid w:val="004E4FFD"/>
    <w:rsid w:val="004E5613"/>
    <w:rsid w:val="004E568C"/>
    <w:rsid w:val="004E5762"/>
    <w:rsid w:val="004E5CC5"/>
    <w:rsid w:val="004E5F38"/>
    <w:rsid w:val="004E6172"/>
    <w:rsid w:val="004E61E0"/>
    <w:rsid w:val="004E677D"/>
    <w:rsid w:val="004E6ADC"/>
    <w:rsid w:val="004E6CAE"/>
    <w:rsid w:val="004E6D8C"/>
    <w:rsid w:val="004E6DA6"/>
    <w:rsid w:val="004E6E25"/>
    <w:rsid w:val="004E6E94"/>
    <w:rsid w:val="004E7478"/>
    <w:rsid w:val="004E7643"/>
    <w:rsid w:val="004E777A"/>
    <w:rsid w:val="004E7AF0"/>
    <w:rsid w:val="004E7D72"/>
    <w:rsid w:val="004F0464"/>
    <w:rsid w:val="004F05EF"/>
    <w:rsid w:val="004F083C"/>
    <w:rsid w:val="004F0D94"/>
    <w:rsid w:val="004F0E13"/>
    <w:rsid w:val="004F0EAB"/>
    <w:rsid w:val="004F0F8A"/>
    <w:rsid w:val="004F1006"/>
    <w:rsid w:val="004F1269"/>
    <w:rsid w:val="004F13CE"/>
    <w:rsid w:val="004F14B6"/>
    <w:rsid w:val="004F2248"/>
    <w:rsid w:val="004F23C4"/>
    <w:rsid w:val="004F2FEB"/>
    <w:rsid w:val="004F30F0"/>
    <w:rsid w:val="004F3BC1"/>
    <w:rsid w:val="004F41FE"/>
    <w:rsid w:val="004F44C3"/>
    <w:rsid w:val="004F46AA"/>
    <w:rsid w:val="004F4897"/>
    <w:rsid w:val="004F514B"/>
    <w:rsid w:val="004F515E"/>
    <w:rsid w:val="004F5498"/>
    <w:rsid w:val="004F55FB"/>
    <w:rsid w:val="004F571C"/>
    <w:rsid w:val="004F5B4B"/>
    <w:rsid w:val="004F5D5B"/>
    <w:rsid w:val="004F5F69"/>
    <w:rsid w:val="004F5FDA"/>
    <w:rsid w:val="004F6358"/>
    <w:rsid w:val="004F68D5"/>
    <w:rsid w:val="004F6D35"/>
    <w:rsid w:val="004F72EC"/>
    <w:rsid w:val="004F7A8E"/>
    <w:rsid w:val="00500565"/>
    <w:rsid w:val="005006C2"/>
    <w:rsid w:val="00500A53"/>
    <w:rsid w:val="00500A7A"/>
    <w:rsid w:val="00500D2C"/>
    <w:rsid w:val="00501625"/>
    <w:rsid w:val="00501626"/>
    <w:rsid w:val="005018A3"/>
    <w:rsid w:val="00501A6D"/>
    <w:rsid w:val="00501C13"/>
    <w:rsid w:val="00502070"/>
    <w:rsid w:val="00502166"/>
    <w:rsid w:val="0050267F"/>
    <w:rsid w:val="00502E1B"/>
    <w:rsid w:val="00503404"/>
    <w:rsid w:val="0050340B"/>
    <w:rsid w:val="005034BC"/>
    <w:rsid w:val="00503677"/>
    <w:rsid w:val="005037C6"/>
    <w:rsid w:val="0050391D"/>
    <w:rsid w:val="00503AE4"/>
    <w:rsid w:val="00503D4D"/>
    <w:rsid w:val="00503E81"/>
    <w:rsid w:val="005042C2"/>
    <w:rsid w:val="005045E2"/>
    <w:rsid w:val="00504D50"/>
    <w:rsid w:val="00504DAF"/>
    <w:rsid w:val="00504EF1"/>
    <w:rsid w:val="00504F38"/>
    <w:rsid w:val="00505144"/>
    <w:rsid w:val="00505745"/>
    <w:rsid w:val="00505B4E"/>
    <w:rsid w:val="00505C39"/>
    <w:rsid w:val="00505C5B"/>
    <w:rsid w:val="005063C0"/>
    <w:rsid w:val="00506494"/>
    <w:rsid w:val="00506555"/>
    <w:rsid w:val="00507AE0"/>
    <w:rsid w:val="00507D26"/>
    <w:rsid w:val="00507DAF"/>
    <w:rsid w:val="005102A1"/>
    <w:rsid w:val="005106E3"/>
    <w:rsid w:val="005109B4"/>
    <w:rsid w:val="00510B83"/>
    <w:rsid w:val="00510BC6"/>
    <w:rsid w:val="00510CEB"/>
    <w:rsid w:val="00510DB5"/>
    <w:rsid w:val="0051107D"/>
    <w:rsid w:val="00511368"/>
    <w:rsid w:val="00511763"/>
    <w:rsid w:val="0051179C"/>
    <w:rsid w:val="00511F77"/>
    <w:rsid w:val="00511F9E"/>
    <w:rsid w:val="005123ED"/>
    <w:rsid w:val="00512530"/>
    <w:rsid w:val="0051253E"/>
    <w:rsid w:val="00512612"/>
    <w:rsid w:val="00513847"/>
    <w:rsid w:val="00513A28"/>
    <w:rsid w:val="00513C39"/>
    <w:rsid w:val="0051416C"/>
    <w:rsid w:val="00514255"/>
    <w:rsid w:val="005143CB"/>
    <w:rsid w:val="005145E2"/>
    <w:rsid w:val="0051556D"/>
    <w:rsid w:val="00515586"/>
    <w:rsid w:val="005156A2"/>
    <w:rsid w:val="00515747"/>
    <w:rsid w:val="005157CC"/>
    <w:rsid w:val="00515985"/>
    <w:rsid w:val="00515C7D"/>
    <w:rsid w:val="00515E90"/>
    <w:rsid w:val="00515EDB"/>
    <w:rsid w:val="00515EFA"/>
    <w:rsid w:val="00516760"/>
    <w:rsid w:val="005167F1"/>
    <w:rsid w:val="0051694F"/>
    <w:rsid w:val="00516A4D"/>
    <w:rsid w:val="00516AF9"/>
    <w:rsid w:val="00516E2F"/>
    <w:rsid w:val="00517263"/>
    <w:rsid w:val="005178BA"/>
    <w:rsid w:val="00517A51"/>
    <w:rsid w:val="00517FA8"/>
    <w:rsid w:val="0052035A"/>
    <w:rsid w:val="005204FA"/>
    <w:rsid w:val="00520819"/>
    <w:rsid w:val="00520955"/>
    <w:rsid w:val="005209FD"/>
    <w:rsid w:val="00520A29"/>
    <w:rsid w:val="00520BAC"/>
    <w:rsid w:val="00521567"/>
    <w:rsid w:val="00521A64"/>
    <w:rsid w:val="00521EC0"/>
    <w:rsid w:val="00521ED9"/>
    <w:rsid w:val="005220C0"/>
    <w:rsid w:val="005220D0"/>
    <w:rsid w:val="00522898"/>
    <w:rsid w:val="00522AB4"/>
    <w:rsid w:val="00522DAC"/>
    <w:rsid w:val="00523215"/>
    <w:rsid w:val="0052374D"/>
    <w:rsid w:val="0052396F"/>
    <w:rsid w:val="00523CB0"/>
    <w:rsid w:val="00524796"/>
    <w:rsid w:val="005247A4"/>
    <w:rsid w:val="0052490D"/>
    <w:rsid w:val="005250D4"/>
    <w:rsid w:val="005252B5"/>
    <w:rsid w:val="00525FFC"/>
    <w:rsid w:val="005260FE"/>
    <w:rsid w:val="005261D7"/>
    <w:rsid w:val="005262C1"/>
    <w:rsid w:val="005264D1"/>
    <w:rsid w:val="005269A1"/>
    <w:rsid w:val="00526A2F"/>
    <w:rsid w:val="00526AE7"/>
    <w:rsid w:val="00526B9D"/>
    <w:rsid w:val="00526BC3"/>
    <w:rsid w:val="00526DEA"/>
    <w:rsid w:val="00526E4F"/>
    <w:rsid w:val="00527077"/>
    <w:rsid w:val="0052713F"/>
    <w:rsid w:val="005271C5"/>
    <w:rsid w:val="0052749E"/>
    <w:rsid w:val="005274F9"/>
    <w:rsid w:val="00527549"/>
    <w:rsid w:val="0052763F"/>
    <w:rsid w:val="005278D2"/>
    <w:rsid w:val="00527A76"/>
    <w:rsid w:val="00527C0C"/>
    <w:rsid w:val="00527DE1"/>
    <w:rsid w:val="0053006F"/>
    <w:rsid w:val="005306D6"/>
    <w:rsid w:val="005306F8"/>
    <w:rsid w:val="005307EB"/>
    <w:rsid w:val="00530A14"/>
    <w:rsid w:val="00530AB7"/>
    <w:rsid w:val="00531137"/>
    <w:rsid w:val="0053117A"/>
    <w:rsid w:val="0053126A"/>
    <w:rsid w:val="005313A8"/>
    <w:rsid w:val="005318F7"/>
    <w:rsid w:val="00531B17"/>
    <w:rsid w:val="00531B5D"/>
    <w:rsid w:val="00531F4F"/>
    <w:rsid w:val="00532716"/>
    <w:rsid w:val="00532C11"/>
    <w:rsid w:val="005332F5"/>
    <w:rsid w:val="0053333B"/>
    <w:rsid w:val="005334FB"/>
    <w:rsid w:val="0053358A"/>
    <w:rsid w:val="00533BF7"/>
    <w:rsid w:val="00533DCA"/>
    <w:rsid w:val="00534087"/>
    <w:rsid w:val="005345A7"/>
    <w:rsid w:val="0053469C"/>
    <w:rsid w:val="00534B30"/>
    <w:rsid w:val="00535016"/>
    <w:rsid w:val="005351F4"/>
    <w:rsid w:val="005352DB"/>
    <w:rsid w:val="005356B9"/>
    <w:rsid w:val="0053583D"/>
    <w:rsid w:val="00535B5D"/>
    <w:rsid w:val="00535B86"/>
    <w:rsid w:val="00535D48"/>
    <w:rsid w:val="00535F36"/>
    <w:rsid w:val="005360FF"/>
    <w:rsid w:val="005361B0"/>
    <w:rsid w:val="00536564"/>
    <w:rsid w:val="0053680C"/>
    <w:rsid w:val="00536A64"/>
    <w:rsid w:val="00536D76"/>
    <w:rsid w:val="00536DD5"/>
    <w:rsid w:val="00536EC4"/>
    <w:rsid w:val="00537193"/>
    <w:rsid w:val="00537474"/>
    <w:rsid w:val="00537539"/>
    <w:rsid w:val="0053767A"/>
    <w:rsid w:val="0053767C"/>
    <w:rsid w:val="00537882"/>
    <w:rsid w:val="00537BA1"/>
    <w:rsid w:val="00537C8B"/>
    <w:rsid w:val="00537CC0"/>
    <w:rsid w:val="005406E4"/>
    <w:rsid w:val="0054076C"/>
    <w:rsid w:val="00540A02"/>
    <w:rsid w:val="00540A7E"/>
    <w:rsid w:val="00540B0F"/>
    <w:rsid w:val="00540F78"/>
    <w:rsid w:val="005412CF"/>
    <w:rsid w:val="00541607"/>
    <w:rsid w:val="00541897"/>
    <w:rsid w:val="00541971"/>
    <w:rsid w:val="00541F3B"/>
    <w:rsid w:val="00542404"/>
    <w:rsid w:val="0054281C"/>
    <w:rsid w:val="005429EC"/>
    <w:rsid w:val="00542CF2"/>
    <w:rsid w:val="00542E7D"/>
    <w:rsid w:val="00542EDA"/>
    <w:rsid w:val="00543472"/>
    <w:rsid w:val="00543581"/>
    <w:rsid w:val="00543821"/>
    <w:rsid w:val="00543FEF"/>
    <w:rsid w:val="005441CD"/>
    <w:rsid w:val="0054432C"/>
    <w:rsid w:val="00544448"/>
    <w:rsid w:val="00544469"/>
    <w:rsid w:val="005444E1"/>
    <w:rsid w:val="00544848"/>
    <w:rsid w:val="005448E5"/>
    <w:rsid w:val="00544966"/>
    <w:rsid w:val="00544AFB"/>
    <w:rsid w:val="00544BF9"/>
    <w:rsid w:val="00544CC3"/>
    <w:rsid w:val="00544EDA"/>
    <w:rsid w:val="00544F00"/>
    <w:rsid w:val="00544FBF"/>
    <w:rsid w:val="00545904"/>
    <w:rsid w:val="00546163"/>
    <w:rsid w:val="00546246"/>
    <w:rsid w:val="00546267"/>
    <w:rsid w:val="005462CE"/>
    <w:rsid w:val="005463E8"/>
    <w:rsid w:val="005463F0"/>
    <w:rsid w:val="00546BBB"/>
    <w:rsid w:val="00546C7A"/>
    <w:rsid w:val="00546ED9"/>
    <w:rsid w:val="0054711C"/>
    <w:rsid w:val="00547614"/>
    <w:rsid w:val="00547A4B"/>
    <w:rsid w:val="00550134"/>
    <w:rsid w:val="00550683"/>
    <w:rsid w:val="0055070B"/>
    <w:rsid w:val="0055097F"/>
    <w:rsid w:val="00550D41"/>
    <w:rsid w:val="00550FA2"/>
    <w:rsid w:val="00551B46"/>
    <w:rsid w:val="00551B4F"/>
    <w:rsid w:val="00551C73"/>
    <w:rsid w:val="00551D6D"/>
    <w:rsid w:val="00551F34"/>
    <w:rsid w:val="00551FE5"/>
    <w:rsid w:val="0055201D"/>
    <w:rsid w:val="005522C4"/>
    <w:rsid w:val="005524C8"/>
    <w:rsid w:val="005526AA"/>
    <w:rsid w:val="0055271D"/>
    <w:rsid w:val="00552A7F"/>
    <w:rsid w:val="00552E6A"/>
    <w:rsid w:val="00552FDF"/>
    <w:rsid w:val="0055307F"/>
    <w:rsid w:val="005533D5"/>
    <w:rsid w:val="005537D3"/>
    <w:rsid w:val="0055389A"/>
    <w:rsid w:val="005538AF"/>
    <w:rsid w:val="00553DD8"/>
    <w:rsid w:val="00553F20"/>
    <w:rsid w:val="0055408F"/>
    <w:rsid w:val="00554147"/>
    <w:rsid w:val="0055422A"/>
    <w:rsid w:val="005543EE"/>
    <w:rsid w:val="005546F4"/>
    <w:rsid w:val="005549C6"/>
    <w:rsid w:val="00554CCF"/>
    <w:rsid w:val="00554D9D"/>
    <w:rsid w:val="00555299"/>
    <w:rsid w:val="005559BD"/>
    <w:rsid w:val="00555E41"/>
    <w:rsid w:val="005560ED"/>
    <w:rsid w:val="005560F2"/>
    <w:rsid w:val="0055621F"/>
    <w:rsid w:val="00556255"/>
    <w:rsid w:val="00556517"/>
    <w:rsid w:val="005567E0"/>
    <w:rsid w:val="00556AFF"/>
    <w:rsid w:val="00556D41"/>
    <w:rsid w:val="00556EFD"/>
    <w:rsid w:val="0055752C"/>
    <w:rsid w:val="005575C9"/>
    <w:rsid w:val="0055794A"/>
    <w:rsid w:val="00557E1E"/>
    <w:rsid w:val="005603D5"/>
    <w:rsid w:val="005605CE"/>
    <w:rsid w:val="005605FD"/>
    <w:rsid w:val="00560641"/>
    <w:rsid w:val="00560E48"/>
    <w:rsid w:val="00560ED1"/>
    <w:rsid w:val="00560FD6"/>
    <w:rsid w:val="005617F0"/>
    <w:rsid w:val="00561838"/>
    <w:rsid w:val="00561974"/>
    <w:rsid w:val="00561A2C"/>
    <w:rsid w:val="00561AAD"/>
    <w:rsid w:val="00561D35"/>
    <w:rsid w:val="0056263B"/>
    <w:rsid w:val="00562719"/>
    <w:rsid w:val="0056278C"/>
    <w:rsid w:val="00562F1B"/>
    <w:rsid w:val="00563219"/>
    <w:rsid w:val="00563255"/>
    <w:rsid w:val="005632B4"/>
    <w:rsid w:val="005634B1"/>
    <w:rsid w:val="005635BF"/>
    <w:rsid w:val="0056362F"/>
    <w:rsid w:val="00563AFF"/>
    <w:rsid w:val="00563B18"/>
    <w:rsid w:val="00563B57"/>
    <w:rsid w:val="00563F77"/>
    <w:rsid w:val="005641D8"/>
    <w:rsid w:val="00564343"/>
    <w:rsid w:val="0056435B"/>
    <w:rsid w:val="00564473"/>
    <w:rsid w:val="005645A0"/>
    <w:rsid w:val="005646FC"/>
    <w:rsid w:val="005648A8"/>
    <w:rsid w:val="005648D0"/>
    <w:rsid w:val="00564CCB"/>
    <w:rsid w:val="00564F43"/>
    <w:rsid w:val="0056518A"/>
    <w:rsid w:val="00565242"/>
    <w:rsid w:val="0056562B"/>
    <w:rsid w:val="00565770"/>
    <w:rsid w:val="00565942"/>
    <w:rsid w:val="00565C1A"/>
    <w:rsid w:val="00565FFD"/>
    <w:rsid w:val="00566580"/>
    <w:rsid w:val="005665A2"/>
    <w:rsid w:val="005666BF"/>
    <w:rsid w:val="0056676E"/>
    <w:rsid w:val="00566879"/>
    <w:rsid w:val="00566E50"/>
    <w:rsid w:val="005675CF"/>
    <w:rsid w:val="00567987"/>
    <w:rsid w:val="00567E70"/>
    <w:rsid w:val="005700B7"/>
    <w:rsid w:val="005704B5"/>
    <w:rsid w:val="00570550"/>
    <w:rsid w:val="00570648"/>
    <w:rsid w:val="005708A4"/>
    <w:rsid w:val="0057124A"/>
    <w:rsid w:val="0057164C"/>
    <w:rsid w:val="00571AB3"/>
    <w:rsid w:val="00571AD7"/>
    <w:rsid w:val="00571B46"/>
    <w:rsid w:val="00571E1A"/>
    <w:rsid w:val="00571ED9"/>
    <w:rsid w:val="0057220F"/>
    <w:rsid w:val="00572322"/>
    <w:rsid w:val="00572544"/>
    <w:rsid w:val="005729E7"/>
    <w:rsid w:val="00572F56"/>
    <w:rsid w:val="00572F81"/>
    <w:rsid w:val="0057324C"/>
    <w:rsid w:val="00573386"/>
    <w:rsid w:val="005733D4"/>
    <w:rsid w:val="00573E73"/>
    <w:rsid w:val="00573F6D"/>
    <w:rsid w:val="005740AC"/>
    <w:rsid w:val="0057436D"/>
    <w:rsid w:val="00574606"/>
    <w:rsid w:val="0057474F"/>
    <w:rsid w:val="005751E8"/>
    <w:rsid w:val="00575992"/>
    <w:rsid w:val="00575B06"/>
    <w:rsid w:val="00575D9B"/>
    <w:rsid w:val="00575FF6"/>
    <w:rsid w:val="00575FFD"/>
    <w:rsid w:val="0057611E"/>
    <w:rsid w:val="005762D7"/>
    <w:rsid w:val="005767B8"/>
    <w:rsid w:val="00576B53"/>
    <w:rsid w:val="00576CA2"/>
    <w:rsid w:val="00576CEA"/>
    <w:rsid w:val="00576DF7"/>
    <w:rsid w:val="0057727F"/>
    <w:rsid w:val="0057730C"/>
    <w:rsid w:val="00577390"/>
    <w:rsid w:val="0057745D"/>
    <w:rsid w:val="005775F3"/>
    <w:rsid w:val="00577C3A"/>
    <w:rsid w:val="00577FDE"/>
    <w:rsid w:val="00577FF8"/>
    <w:rsid w:val="00580408"/>
    <w:rsid w:val="00580451"/>
    <w:rsid w:val="00580707"/>
    <w:rsid w:val="00580A13"/>
    <w:rsid w:val="00580CDD"/>
    <w:rsid w:val="00580DB7"/>
    <w:rsid w:val="005811D1"/>
    <w:rsid w:val="00581233"/>
    <w:rsid w:val="005814DB"/>
    <w:rsid w:val="00581603"/>
    <w:rsid w:val="005817F0"/>
    <w:rsid w:val="00581854"/>
    <w:rsid w:val="00581A8A"/>
    <w:rsid w:val="00581B8D"/>
    <w:rsid w:val="00581C29"/>
    <w:rsid w:val="00581CFD"/>
    <w:rsid w:val="00581ECF"/>
    <w:rsid w:val="00581EEB"/>
    <w:rsid w:val="005820CF"/>
    <w:rsid w:val="00582269"/>
    <w:rsid w:val="00582317"/>
    <w:rsid w:val="00582723"/>
    <w:rsid w:val="005827E4"/>
    <w:rsid w:val="00582885"/>
    <w:rsid w:val="005828EF"/>
    <w:rsid w:val="00583055"/>
    <w:rsid w:val="0058345F"/>
    <w:rsid w:val="005834DE"/>
    <w:rsid w:val="00583605"/>
    <w:rsid w:val="0058394A"/>
    <w:rsid w:val="00583AFE"/>
    <w:rsid w:val="0058409F"/>
    <w:rsid w:val="00584492"/>
    <w:rsid w:val="005844FB"/>
    <w:rsid w:val="005846B8"/>
    <w:rsid w:val="0058475F"/>
    <w:rsid w:val="00584795"/>
    <w:rsid w:val="005848EA"/>
    <w:rsid w:val="00584D02"/>
    <w:rsid w:val="00585305"/>
    <w:rsid w:val="005853A6"/>
    <w:rsid w:val="00585580"/>
    <w:rsid w:val="00585791"/>
    <w:rsid w:val="00585CAC"/>
    <w:rsid w:val="00585ED9"/>
    <w:rsid w:val="00586B96"/>
    <w:rsid w:val="00586D71"/>
    <w:rsid w:val="00586DA2"/>
    <w:rsid w:val="0058739D"/>
    <w:rsid w:val="00587A42"/>
    <w:rsid w:val="00587C35"/>
    <w:rsid w:val="00587E07"/>
    <w:rsid w:val="00587F12"/>
    <w:rsid w:val="00587FF6"/>
    <w:rsid w:val="00590320"/>
    <w:rsid w:val="00590506"/>
    <w:rsid w:val="0059062C"/>
    <w:rsid w:val="005906AD"/>
    <w:rsid w:val="00590852"/>
    <w:rsid w:val="00590894"/>
    <w:rsid w:val="00590989"/>
    <w:rsid w:val="00590DE1"/>
    <w:rsid w:val="005913E3"/>
    <w:rsid w:val="00591CC8"/>
    <w:rsid w:val="00591F91"/>
    <w:rsid w:val="00592839"/>
    <w:rsid w:val="00592877"/>
    <w:rsid w:val="005929D8"/>
    <w:rsid w:val="00592A0A"/>
    <w:rsid w:val="00592B41"/>
    <w:rsid w:val="00592B7D"/>
    <w:rsid w:val="00593487"/>
    <w:rsid w:val="005937CC"/>
    <w:rsid w:val="00593E5E"/>
    <w:rsid w:val="00594209"/>
    <w:rsid w:val="005942EE"/>
    <w:rsid w:val="00594627"/>
    <w:rsid w:val="00594714"/>
    <w:rsid w:val="0059482C"/>
    <w:rsid w:val="005948DF"/>
    <w:rsid w:val="0059492C"/>
    <w:rsid w:val="00594AB5"/>
    <w:rsid w:val="00594D7E"/>
    <w:rsid w:val="00594DA0"/>
    <w:rsid w:val="00594EBC"/>
    <w:rsid w:val="00595109"/>
    <w:rsid w:val="005951F9"/>
    <w:rsid w:val="0059530B"/>
    <w:rsid w:val="005953B2"/>
    <w:rsid w:val="005954E0"/>
    <w:rsid w:val="005955B2"/>
    <w:rsid w:val="00595E07"/>
    <w:rsid w:val="0059656A"/>
    <w:rsid w:val="00596584"/>
    <w:rsid w:val="0059686F"/>
    <w:rsid w:val="00596A83"/>
    <w:rsid w:val="005972C3"/>
    <w:rsid w:val="00597671"/>
    <w:rsid w:val="005977E9"/>
    <w:rsid w:val="00597CE7"/>
    <w:rsid w:val="00597CF3"/>
    <w:rsid w:val="00597DB5"/>
    <w:rsid w:val="00597DEE"/>
    <w:rsid w:val="005A04FA"/>
    <w:rsid w:val="005A05DB"/>
    <w:rsid w:val="005A0834"/>
    <w:rsid w:val="005A092B"/>
    <w:rsid w:val="005A0E65"/>
    <w:rsid w:val="005A11F0"/>
    <w:rsid w:val="005A166F"/>
    <w:rsid w:val="005A1753"/>
    <w:rsid w:val="005A18DE"/>
    <w:rsid w:val="005A2259"/>
    <w:rsid w:val="005A24CE"/>
    <w:rsid w:val="005A262E"/>
    <w:rsid w:val="005A2B8C"/>
    <w:rsid w:val="005A2E77"/>
    <w:rsid w:val="005A304C"/>
    <w:rsid w:val="005A326A"/>
    <w:rsid w:val="005A3778"/>
    <w:rsid w:val="005A4A81"/>
    <w:rsid w:val="005A4D49"/>
    <w:rsid w:val="005A4EE3"/>
    <w:rsid w:val="005A51A4"/>
    <w:rsid w:val="005A521F"/>
    <w:rsid w:val="005A5486"/>
    <w:rsid w:val="005A5613"/>
    <w:rsid w:val="005A5D4C"/>
    <w:rsid w:val="005A5E04"/>
    <w:rsid w:val="005A5EB2"/>
    <w:rsid w:val="005A68D6"/>
    <w:rsid w:val="005A6A0C"/>
    <w:rsid w:val="005A6BFB"/>
    <w:rsid w:val="005A6CA2"/>
    <w:rsid w:val="005A6E67"/>
    <w:rsid w:val="005A6F7E"/>
    <w:rsid w:val="005A71FB"/>
    <w:rsid w:val="005A73C8"/>
    <w:rsid w:val="005A759B"/>
    <w:rsid w:val="005A794F"/>
    <w:rsid w:val="005A7A0B"/>
    <w:rsid w:val="005A7BF0"/>
    <w:rsid w:val="005B03B4"/>
    <w:rsid w:val="005B0457"/>
    <w:rsid w:val="005B04B6"/>
    <w:rsid w:val="005B0623"/>
    <w:rsid w:val="005B06BB"/>
    <w:rsid w:val="005B0A82"/>
    <w:rsid w:val="005B0EBA"/>
    <w:rsid w:val="005B0F45"/>
    <w:rsid w:val="005B1011"/>
    <w:rsid w:val="005B1326"/>
    <w:rsid w:val="005B1542"/>
    <w:rsid w:val="005B15A1"/>
    <w:rsid w:val="005B174E"/>
    <w:rsid w:val="005B1E09"/>
    <w:rsid w:val="005B1F05"/>
    <w:rsid w:val="005B1F56"/>
    <w:rsid w:val="005B2376"/>
    <w:rsid w:val="005B275C"/>
    <w:rsid w:val="005B2864"/>
    <w:rsid w:val="005B292B"/>
    <w:rsid w:val="005B29B9"/>
    <w:rsid w:val="005B3103"/>
    <w:rsid w:val="005B38DD"/>
    <w:rsid w:val="005B3B68"/>
    <w:rsid w:val="005B3C44"/>
    <w:rsid w:val="005B3CA7"/>
    <w:rsid w:val="005B3DA5"/>
    <w:rsid w:val="005B42D7"/>
    <w:rsid w:val="005B44F3"/>
    <w:rsid w:val="005B48B9"/>
    <w:rsid w:val="005B4C84"/>
    <w:rsid w:val="005B4D58"/>
    <w:rsid w:val="005B540B"/>
    <w:rsid w:val="005B54D5"/>
    <w:rsid w:val="005B5EE3"/>
    <w:rsid w:val="005B66C5"/>
    <w:rsid w:val="005B6972"/>
    <w:rsid w:val="005B6C95"/>
    <w:rsid w:val="005B6F99"/>
    <w:rsid w:val="005B7586"/>
    <w:rsid w:val="005B76E8"/>
    <w:rsid w:val="005B7891"/>
    <w:rsid w:val="005C014D"/>
    <w:rsid w:val="005C063B"/>
    <w:rsid w:val="005C06E1"/>
    <w:rsid w:val="005C07AA"/>
    <w:rsid w:val="005C0875"/>
    <w:rsid w:val="005C09F2"/>
    <w:rsid w:val="005C0ACD"/>
    <w:rsid w:val="005C0C7A"/>
    <w:rsid w:val="005C0EA8"/>
    <w:rsid w:val="005C143F"/>
    <w:rsid w:val="005C1503"/>
    <w:rsid w:val="005C1839"/>
    <w:rsid w:val="005C25D3"/>
    <w:rsid w:val="005C260D"/>
    <w:rsid w:val="005C2656"/>
    <w:rsid w:val="005C276D"/>
    <w:rsid w:val="005C28A2"/>
    <w:rsid w:val="005C2AF5"/>
    <w:rsid w:val="005C3101"/>
    <w:rsid w:val="005C3C7F"/>
    <w:rsid w:val="005C3CDA"/>
    <w:rsid w:val="005C3CDF"/>
    <w:rsid w:val="005C5342"/>
    <w:rsid w:val="005C58B3"/>
    <w:rsid w:val="005C5B48"/>
    <w:rsid w:val="005C5D96"/>
    <w:rsid w:val="005C60DA"/>
    <w:rsid w:val="005C6583"/>
    <w:rsid w:val="005C6B14"/>
    <w:rsid w:val="005C6FA5"/>
    <w:rsid w:val="005C7063"/>
    <w:rsid w:val="005C74E1"/>
    <w:rsid w:val="005C7D47"/>
    <w:rsid w:val="005C7F48"/>
    <w:rsid w:val="005C7FF5"/>
    <w:rsid w:val="005D0547"/>
    <w:rsid w:val="005D07C5"/>
    <w:rsid w:val="005D09F5"/>
    <w:rsid w:val="005D0CBF"/>
    <w:rsid w:val="005D1259"/>
    <w:rsid w:val="005D1780"/>
    <w:rsid w:val="005D17ED"/>
    <w:rsid w:val="005D1B0C"/>
    <w:rsid w:val="005D1B7E"/>
    <w:rsid w:val="005D1C03"/>
    <w:rsid w:val="005D1C8F"/>
    <w:rsid w:val="005D1D09"/>
    <w:rsid w:val="005D1F7C"/>
    <w:rsid w:val="005D2410"/>
    <w:rsid w:val="005D25A1"/>
    <w:rsid w:val="005D28A6"/>
    <w:rsid w:val="005D2BEF"/>
    <w:rsid w:val="005D3361"/>
    <w:rsid w:val="005D3398"/>
    <w:rsid w:val="005D386E"/>
    <w:rsid w:val="005D3E6E"/>
    <w:rsid w:val="005D4212"/>
    <w:rsid w:val="005D4393"/>
    <w:rsid w:val="005D45E4"/>
    <w:rsid w:val="005D46F9"/>
    <w:rsid w:val="005D48AD"/>
    <w:rsid w:val="005D48B4"/>
    <w:rsid w:val="005D4D02"/>
    <w:rsid w:val="005D50D9"/>
    <w:rsid w:val="005D5165"/>
    <w:rsid w:val="005D5345"/>
    <w:rsid w:val="005D5672"/>
    <w:rsid w:val="005D5B24"/>
    <w:rsid w:val="005D5F10"/>
    <w:rsid w:val="005D5FE9"/>
    <w:rsid w:val="005D6400"/>
    <w:rsid w:val="005D6416"/>
    <w:rsid w:val="005D6450"/>
    <w:rsid w:val="005D6DE3"/>
    <w:rsid w:val="005D6FC6"/>
    <w:rsid w:val="005D7522"/>
    <w:rsid w:val="005D7572"/>
    <w:rsid w:val="005E0182"/>
    <w:rsid w:val="005E0184"/>
    <w:rsid w:val="005E03CF"/>
    <w:rsid w:val="005E0437"/>
    <w:rsid w:val="005E07F9"/>
    <w:rsid w:val="005E097A"/>
    <w:rsid w:val="005E09D1"/>
    <w:rsid w:val="005E0A31"/>
    <w:rsid w:val="005E0AA3"/>
    <w:rsid w:val="005E0D3D"/>
    <w:rsid w:val="005E0EA4"/>
    <w:rsid w:val="005E11A4"/>
    <w:rsid w:val="005E1243"/>
    <w:rsid w:val="005E12D7"/>
    <w:rsid w:val="005E15FA"/>
    <w:rsid w:val="005E1780"/>
    <w:rsid w:val="005E1A21"/>
    <w:rsid w:val="005E1ABA"/>
    <w:rsid w:val="005E1EC0"/>
    <w:rsid w:val="005E27A6"/>
    <w:rsid w:val="005E2A98"/>
    <w:rsid w:val="005E3011"/>
    <w:rsid w:val="005E3AA6"/>
    <w:rsid w:val="005E3E71"/>
    <w:rsid w:val="005E3FD4"/>
    <w:rsid w:val="005E4434"/>
    <w:rsid w:val="005E47CA"/>
    <w:rsid w:val="005E4CB4"/>
    <w:rsid w:val="005E4E46"/>
    <w:rsid w:val="005E50FF"/>
    <w:rsid w:val="005E5704"/>
    <w:rsid w:val="005E5A87"/>
    <w:rsid w:val="005E5B35"/>
    <w:rsid w:val="005E5DEF"/>
    <w:rsid w:val="005E5F3D"/>
    <w:rsid w:val="005E61CC"/>
    <w:rsid w:val="005E65A1"/>
    <w:rsid w:val="005E660E"/>
    <w:rsid w:val="005E6D65"/>
    <w:rsid w:val="005E6E75"/>
    <w:rsid w:val="005E7000"/>
    <w:rsid w:val="005E7590"/>
    <w:rsid w:val="005E76AA"/>
    <w:rsid w:val="005E79D2"/>
    <w:rsid w:val="005E7AAB"/>
    <w:rsid w:val="005E7C31"/>
    <w:rsid w:val="005E7C4A"/>
    <w:rsid w:val="005E7D72"/>
    <w:rsid w:val="005F06BA"/>
    <w:rsid w:val="005F0909"/>
    <w:rsid w:val="005F0C5A"/>
    <w:rsid w:val="005F10FF"/>
    <w:rsid w:val="005F1491"/>
    <w:rsid w:val="005F14AB"/>
    <w:rsid w:val="005F1736"/>
    <w:rsid w:val="005F18DD"/>
    <w:rsid w:val="005F192C"/>
    <w:rsid w:val="005F1B64"/>
    <w:rsid w:val="005F21B8"/>
    <w:rsid w:val="005F22FB"/>
    <w:rsid w:val="005F2826"/>
    <w:rsid w:val="005F2E35"/>
    <w:rsid w:val="005F39FB"/>
    <w:rsid w:val="005F3CC0"/>
    <w:rsid w:val="005F433F"/>
    <w:rsid w:val="005F45BC"/>
    <w:rsid w:val="005F4633"/>
    <w:rsid w:val="005F4ADF"/>
    <w:rsid w:val="005F4EEE"/>
    <w:rsid w:val="005F500B"/>
    <w:rsid w:val="005F51D8"/>
    <w:rsid w:val="005F5404"/>
    <w:rsid w:val="005F5965"/>
    <w:rsid w:val="005F5C9B"/>
    <w:rsid w:val="005F5D6A"/>
    <w:rsid w:val="005F61A9"/>
    <w:rsid w:val="005F6221"/>
    <w:rsid w:val="005F70EC"/>
    <w:rsid w:val="005F784D"/>
    <w:rsid w:val="005F7A44"/>
    <w:rsid w:val="005F7B91"/>
    <w:rsid w:val="005F7F69"/>
    <w:rsid w:val="00600555"/>
    <w:rsid w:val="00600767"/>
    <w:rsid w:val="0060084A"/>
    <w:rsid w:val="00600964"/>
    <w:rsid w:val="00600CC6"/>
    <w:rsid w:val="00600DC9"/>
    <w:rsid w:val="00600E82"/>
    <w:rsid w:val="00600F4C"/>
    <w:rsid w:val="0060125E"/>
    <w:rsid w:val="006014AA"/>
    <w:rsid w:val="00601521"/>
    <w:rsid w:val="0060180B"/>
    <w:rsid w:val="0060188C"/>
    <w:rsid w:val="00601FE8"/>
    <w:rsid w:val="006020AE"/>
    <w:rsid w:val="006022BA"/>
    <w:rsid w:val="006024EF"/>
    <w:rsid w:val="006027EE"/>
    <w:rsid w:val="0060314E"/>
    <w:rsid w:val="0060327C"/>
    <w:rsid w:val="00603319"/>
    <w:rsid w:val="00603506"/>
    <w:rsid w:val="006038B4"/>
    <w:rsid w:val="00603F8A"/>
    <w:rsid w:val="00604140"/>
    <w:rsid w:val="0060417A"/>
    <w:rsid w:val="00604785"/>
    <w:rsid w:val="00604AA2"/>
    <w:rsid w:val="00604E7D"/>
    <w:rsid w:val="00604F0A"/>
    <w:rsid w:val="00604F34"/>
    <w:rsid w:val="00605091"/>
    <w:rsid w:val="00605822"/>
    <w:rsid w:val="006058E9"/>
    <w:rsid w:val="00605C50"/>
    <w:rsid w:val="00605F0B"/>
    <w:rsid w:val="0060610F"/>
    <w:rsid w:val="00606407"/>
    <w:rsid w:val="006066C8"/>
    <w:rsid w:val="00606884"/>
    <w:rsid w:val="00606DB0"/>
    <w:rsid w:val="00606E92"/>
    <w:rsid w:val="00607011"/>
    <w:rsid w:val="0060726B"/>
    <w:rsid w:val="00607310"/>
    <w:rsid w:val="00607402"/>
    <w:rsid w:val="00607425"/>
    <w:rsid w:val="00607DF2"/>
    <w:rsid w:val="00607F29"/>
    <w:rsid w:val="00610169"/>
    <w:rsid w:val="006101BD"/>
    <w:rsid w:val="006108D1"/>
    <w:rsid w:val="00610CD3"/>
    <w:rsid w:val="00610CE2"/>
    <w:rsid w:val="00610FC4"/>
    <w:rsid w:val="006110AD"/>
    <w:rsid w:val="006111B8"/>
    <w:rsid w:val="006114BF"/>
    <w:rsid w:val="006114C2"/>
    <w:rsid w:val="0061184B"/>
    <w:rsid w:val="00611A64"/>
    <w:rsid w:val="00611C98"/>
    <w:rsid w:val="006120FA"/>
    <w:rsid w:val="00612109"/>
    <w:rsid w:val="00612135"/>
    <w:rsid w:val="00612413"/>
    <w:rsid w:val="00612483"/>
    <w:rsid w:val="0061274A"/>
    <w:rsid w:val="00612BEE"/>
    <w:rsid w:val="00612C40"/>
    <w:rsid w:val="00612E46"/>
    <w:rsid w:val="00613061"/>
    <w:rsid w:val="00613221"/>
    <w:rsid w:val="0061384B"/>
    <w:rsid w:val="0061398C"/>
    <w:rsid w:val="00613A05"/>
    <w:rsid w:val="00613B23"/>
    <w:rsid w:val="00613DBC"/>
    <w:rsid w:val="0061401C"/>
    <w:rsid w:val="00614297"/>
    <w:rsid w:val="006143E5"/>
    <w:rsid w:val="006147B1"/>
    <w:rsid w:val="00614938"/>
    <w:rsid w:val="00616014"/>
    <w:rsid w:val="0061657E"/>
    <w:rsid w:val="0061754D"/>
    <w:rsid w:val="006176D5"/>
    <w:rsid w:val="00617CEF"/>
    <w:rsid w:val="00620097"/>
    <w:rsid w:val="006206DC"/>
    <w:rsid w:val="006208D5"/>
    <w:rsid w:val="00620C13"/>
    <w:rsid w:val="00621308"/>
    <w:rsid w:val="00621585"/>
    <w:rsid w:val="00621B0C"/>
    <w:rsid w:val="00621B34"/>
    <w:rsid w:val="00621CA7"/>
    <w:rsid w:val="00621CCD"/>
    <w:rsid w:val="00621FC1"/>
    <w:rsid w:val="00622576"/>
    <w:rsid w:val="006226B8"/>
    <w:rsid w:val="00622E96"/>
    <w:rsid w:val="00622FA8"/>
    <w:rsid w:val="00623386"/>
    <w:rsid w:val="006234AA"/>
    <w:rsid w:val="00623A00"/>
    <w:rsid w:val="00623D29"/>
    <w:rsid w:val="00623ED7"/>
    <w:rsid w:val="0062449C"/>
    <w:rsid w:val="0062481C"/>
    <w:rsid w:val="00624A53"/>
    <w:rsid w:val="00624ECA"/>
    <w:rsid w:val="00625533"/>
    <w:rsid w:val="00625787"/>
    <w:rsid w:val="00625EC9"/>
    <w:rsid w:val="00625F94"/>
    <w:rsid w:val="00626042"/>
    <w:rsid w:val="006261AF"/>
    <w:rsid w:val="006265DD"/>
    <w:rsid w:val="006265FE"/>
    <w:rsid w:val="006268C5"/>
    <w:rsid w:val="00626C29"/>
    <w:rsid w:val="00626CC2"/>
    <w:rsid w:val="00626CE2"/>
    <w:rsid w:val="00626D64"/>
    <w:rsid w:val="00626E73"/>
    <w:rsid w:val="0062702B"/>
    <w:rsid w:val="0062717C"/>
    <w:rsid w:val="006276E0"/>
    <w:rsid w:val="00627793"/>
    <w:rsid w:val="00627ACD"/>
    <w:rsid w:val="00627CE2"/>
    <w:rsid w:val="00627CEA"/>
    <w:rsid w:val="00627D66"/>
    <w:rsid w:val="00627D74"/>
    <w:rsid w:val="00627DE2"/>
    <w:rsid w:val="00627E22"/>
    <w:rsid w:val="00630466"/>
    <w:rsid w:val="006309D5"/>
    <w:rsid w:val="00631103"/>
    <w:rsid w:val="0063111A"/>
    <w:rsid w:val="00631178"/>
    <w:rsid w:val="0063134C"/>
    <w:rsid w:val="0063134D"/>
    <w:rsid w:val="006313C0"/>
    <w:rsid w:val="0063174E"/>
    <w:rsid w:val="00631E11"/>
    <w:rsid w:val="00632135"/>
    <w:rsid w:val="00632253"/>
    <w:rsid w:val="006322C2"/>
    <w:rsid w:val="0063293A"/>
    <w:rsid w:val="00632B37"/>
    <w:rsid w:val="00632F88"/>
    <w:rsid w:val="00632FFD"/>
    <w:rsid w:val="006333CA"/>
    <w:rsid w:val="00633419"/>
    <w:rsid w:val="006338FA"/>
    <w:rsid w:val="00633992"/>
    <w:rsid w:val="00633AAE"/>
    <w:rsid w:val="00633D2C"/>
    <w:rsid w:val="00633FCF"/>
    <w:rsid w:val="00634125"/>
    <w:rsid w:val="0063427B"/>
    <w:rsid w:val="00634873"/>
    <w:rsid w:val="00634AF8"/>
    <w:rsid w:val="00634F92"/>
    <w:rsid w:val="0063502B"/>
    <w:rsid w:val="0063517F"/>
    <w:rsid w:val="006352D9"/>
    <w:rsid w:val="0063534D"/>
    <w:rsid w:val="00635555"/>
    <w:rsid w:val="006355F4"/>
    <w:rsid w:val="0063568C"/>
    <w:rsid w:val="00635D41"/>
    <w:rsid w:val="006365C1"/>
    <w:rsid w:val="00636771"/>
    <w:rsid w:val="00636ABB"/>
    <w:rsid w:val="00636F53"/>
    <w:rsid w:val="00637A92"/>
    <w:rsid w:val="006406B7"/>
    <w:rsid w:val="006406EF"/>
    <w:rsid w:val="006409F6"/>
    <w:rsid w:val="00640D15"/>
    <w:rsid w:val="00640DAA"/>
    <w:rsid w:val="00640EE2"/>
    <w:rsid w:val="006415D5"/>
    <w:rsid w:val="006416DE"/>
    <w:rsid w:val="00641CF6"/>
    <w:rsid w:val="006422A1"/>
    <w:rsid w:val="0064230A"/>
    <w:rsid w:val="006427D0"/>
    <w:rsid w:val="00642992"/>
    <w:rsid w:val="00642E27"/>
    <w:rsid w:val="00643170"/>
    <w:rsid w:val="00643440"/>
    <w:rsid w:val="006435F2"/>
    <w:rsid w:val="006439ED"/>
    <w:rsid w:val="00643ACE"/>
    <w:rsid w:val="00643CAB"/>
    <w:rsid w:val="0064455A"/>
    <w:rsid w:val="006446DE"/>
    <w:rsid w:val="00644880"/>
    <w:rsid w:val="00644979"/>
    <w:rsid w:val="00644B4C"/>
    <w:rsid w:val="00644F98"/>
    <w:rsid w:val="0064517D"/>
    <w:rsid w:val="006452A8"/>
    <w:rsid w:val="006453FA"/>
    <w:rsid w:val="0064575E"/>
    <w:rsid w:val="00645BBE"/>
    <w:rsid w:val="00645C41"/>
    <w:rsid w:val="00645C82"/>
    <w:rsid w:val="00645E43"/>
    <w:rsid w:val="00645E73"/>
    <w:rsid w:val="00645FB9"/>
    <w:rsid w:val="00646129"/>
    <w:rsid w:val="006461D1"/>
    <w:rsid w:val="006463E2"/>
    <w:rsid w:val="00646503"/>
    <w:rsid w:val="00646E42"/>
    <w:rsid w:val="0064798C"/>
    <w:rsid w:val="00647D1E"/>
    <w:rsid w:val="00647F24"/>
    <w:rsid w:val="00647FEB"/>
    <w:rsid w:val="006502E4"/>
    <w:rsid w:val="00650315"/>
    <w:rsid w:val="00650428"/>
    <w:rsid w:val="00650869"/>
    <w:rsid w:val="00650F33"/>
    <w:rsid w:val="006511B5"/>
    <w:rsid w:val="006514FD"/>
    <w:rsid w:val="00651703"/>
    <w:rsid w:val="00651754"/>
    <w:rsid w:val="006518EF"/>
    <w:rsid w:val="006519F7"/>
    <w:rsid w:val="00651A4D"/>
    <w:rsid w:val="00651B65"/>
    <w:rsid w:val="00651FF7"/>
    <w:rsid w:val="006522BF"/>
    <w:rsid w:val="00652342"/>
    <w:rsid w:val="006528BC"/>
    <w:rsid w:val="00652B65"/>
    <w:rsid w:val="00652C1C"/>
    <w:rsid w:val="00653037"/>
    <w:rsid w:val="006532EE"/>
    <w:rsid w:val="0065334C"/>
    <w:rsid w:val="00653A2F"/>
    <w:rsid w:val="00653AA6"/>
    <w:rsid w:val="006545B1"/>
    <w:rsid w:val="006549D6"/>
    <w:rsid w:val="00654DE5"/>
    <w:rsid w:val="006553B6"/>
    <w:rsid w:val="006555FA"/>
    <w:rsid w:val="006556AE"/>
    <w:rsid w:val="006558C1"/>
    <w:rsid w:val="00655F00"/>
    <w:rsid w:val="00655F07"/>
    <w:rsid w:val="00655FF8"/>
    <w:rsid w:val="0065608C"/>
    <w:rsid w:val="0065611F"/>
    <w:rsid w:val="0065617A"/>
    <w:rsid w:val="00656603"/>
    <w:rsid w:val="0065677E"/>
    <w:rsid w:val="00656B60"/>
    <w:rsid w:val="00656BA0"/>
    <w:rsid w:val="00657481"/>
    <w:rsid w:val="006574AC"/>
    <w:rsid w:val="00657650"/>
    <w:rsid w:val="006576C3"/>
    <w:rsid w:val="006577BE"/>
    <w:rsid w:val="00657A0E"/>
    <w:rsid w:val="00657CD8"/>
    <w:rsid w:val="00660004"/>
    <w:rsid w:val="00660057"/>
    <w:rsid w:val="00660206"/>
    <w:rsid w:val="0066058C"/>
    <w:rsid w:val="00660A42"/>
    <w:rsid w:val="00660D4D"/>
    <w:rsid w:val="00660E33"/>
    <w:rsid w:val="00660FDB"/>
    <w:rsid w:val="006612A6"/>
    <w:rsid w:val="006614ED"/>
    <w:rsid w:val="00661557"/>
    <w:rsid w:val="006618F6"/>
    <w:rsid w:val="00661907"/>
    <w:rsid w:val="00661CC9"/>
    <w:rsid w:val="00661F6C"/>
    <w:rsid w:val="0066224C"/>
    <w:rsid w:val="006627FB"/>
    <w:rsid w:val="00662A05"/>
    <w:rsid w:val="00662D3E"/>
    <w:rsid w:val="00663357"/>
    <w:rsid w:val="00663447"/>
    <w:rsid w:val="00663648"/>
    <w:rsid w:val="00663AB1"/>
    <w:rsid w:val="00663F2C"/>
    <w:rsid w:val="00663F8C"/>
    <w:rsid w:val="006640C1"/>
    <w:rsid w:val="0066425C"/>
    <w:rsid w:val="0066431C"/>
    <w:rsid w:val="006643ED"/>
    <w:rsid w:val="0066441D"/>
    <w:rsid w:val="006644EB"/>
    <w:rsid w:val="00664958"/>
    <w:rsid w:val="006649BD"/>
    <w:rsid w:val="00664E14"/>
    <w:rsid w:val="00664F58"/>
    <w:rsid w:val="00665225"/>
    <w:rsid w:val="006656AD"/>
    <w:rsid w:val="0066572F"/>
    <w:rsid w:val="00665808"/>
    <w:rsid w:val="0066588C"/>
    <w:rsid w:val="00665E14"/>
    <w:rsid w:val="00666330"/>
    <w:rsid w:val="00666985"/>
    <w:rsid w:val="00666FDE"/>
    <w:rsid w:val="00670750"/>
    <w:rsid w:val="00670CE3"/>
    <w:rsid w:val="00670D59"/>
    <w:rsid w:val="00671AB8"/>
    <w:rsid w:val="00671C58"/>
    <w:rsid w:val="00671E94"/>
    <w:rsid w:val="00671F1A"/>
    <w:rsid w:val="00671F7F"/>
    <w:rsid w:val="006721EF"/>
    <w:rsid w:val="0067252B"/>
    <w:rsid w:val="00672760"/>
    <w:rsid w:val="006727F2"/>
    <w:rsid w:val="00672860"/>
    <w:rsid w:val="00672AC6"/>
    <w:rsid w:val="00672BF8"/>
    <w:rsid w:val="00672CAE"/>
    <w:rsid w:val="00672CB6"/>
    <w:rsid w:val="00672DB8"/>
    <w:rsid w:val="0067308F"/>
    <w:rsid w:val="00673366"/>
    <w:rsid w:val="0067344F"/>
    <w:rsid w:val="00673468"/>
    <w:rsid w:val="00673529"/>
    <w:rsid w:val="00673C34"/>
    <w:rsid w:val="00673EB8"/>
    <w:rsid w:val="006740D7"/>
    <w:rsid w:val="0067415B"/>
    <w:rsid w:val="006741DC"/>
    <w:rsid w:val="00674465"/>
    <w:rsid w:val="00674771"/>
    <w:rsid w:val="00674BAD"/>
    <w:rsid w:val="00674BB9"/>
    <w:rsid w:val="00674CC8"/>
    <w:rsid w:val="00674E3A"/>
    <w:rsid w:val="00674F56"/>
    <w:rsid w:val="0067502A"/>
    <w:rsid w:val="00675298"/>
    <w:rsid w:val="0067581E"/>
    <w:rsid w:val="00675D43"/>
    <w:rsid w:val="00675D7A"/>
    <w:rsid w:val="00675E10"/>
    <w:rsid w:val="00676560"/>
    <w:rsid w:val="00676914"/>
    <w:rsid w:val="00676C0B"/>
    <w:rsid w:val="00676D4B"/>
    <w:rsid w:val="00676E50"/>
    <w:rsid w:val="00676E5C"/>
    <w:rsid w:val="00677320"/>
    <w:rsid w:val="0067748D"/>
    <w:rsid w:val="00677493"/>
    <w:rsid w:val="0067761A"/>
    <w:rsid w:val="00677A0C"/>
    <w:rsid w:val="00677D90"/>
    <w:rsid w:val="00677DB8"/>
    <w:rsid w:val="00680010"/>
    <w:rsid w:val="00680050"/>
    <w:rsid w:val="00680362"/>
    <w:rsid w:val="006804F7"/>
    <w:rsid w:val="00680625"/>
    <w:rsid w:val="00680B54"/>
    <w:rsid w:val="00680C53"/>
    <w:rsid w:val="00680C5C"/>
    <w:rsid w:val="00680CA0"/>
    <w:rsid w:val="00680F88"/>
    <w:rsid w:val="00681164"/>
    <w:rsid w:val="0068116C"/>
    <w:rsid w:val="00681202"/>
    <w:rsid w:val="006814F8"/>
    <w:rsid w:val="00681751"/>
    <w:rsid w:val="006818AE"/>
    <w:rsid w:val="00681B00"/>
    <w:rsid w:val="00681CBE"/>
    <w:rsid w:val="00681EC8"/>
    <w:rsid w:val="00681F31"/>
    <w:rsid w:val="0068200B"/>
    <w:rsid w:val="00682518"/>
    <w:rsid w:val="00682885"/>
    <w:rsid w:val="00682947"/>
    <w:rsid w:val="00682B0A"/>
    <w:rsid w:val="0068308D"/>
    <w:rsid w:val="00683331"/>
    <w:rsid w:val="006833B7"/>
    <w:rsid w:val="00683592"/>
    <w:rsid w:val="0068366E"/>
    <w:rsid w:val="006838B1"/>
    <w:rsid w:val="0068395B"/>
    <w:rsid w:val="00683BCC"/>
    <w:rsid w:val="00684113"/>
    <w:rsid w:val="00684184"/>
    <w:rsid w:val="006841C0"/>
    <w:rsid w:val="00684437"/>
    <w:rsid w:val="006844F2"/>
    <w:rsid w:val="006848D4"/>
    <w:rsid w:val="00684BAE"/>
    <w:rsid w:val="00685312"/>
    <w:rsid w:val="00685487"/>
    <w:rsid w:val="00685BD6"/>
    <w:rsid w:val="00685D6B"/>
    <w:rsid w:val="00685ECD"/>
    <w:rsid w:val="00686679"/>
    <w:rsid w:val="006868C3"/>
    <w:rsid w:val="006868EC"/>
    <w:rsid w:val="00686AA9"/>
    <w:rsid w:val="00686E59"/>
    <w:rsid w:val="00686ED6"/>
    <w:rsid w:val="006874E6"/>
    <w:rsid w:val="0068751A"/>
    <w:rsid w:val="00687655"/>
    <w:rsid w:val="006906B9"/>
    <w:rsid w:val="00690A70"/>
    <w:rsid w:val="00690BC8"/>
    <w:rsid w:val="00690CBE"/>
    <w:rsid w:val="00690E93"/>
    <w:rsid w:val="00691239"/>
    <w:rsid w:val="00691426"/>
    <w:rsid w:val="006917B8"/>
    <w:rsid w:val="0069201C"/>
    <w:rsid w:val="006920A4"/>
    <w:rsid w:val="0069272A"/>
    <w:rsid w:val="00692ACB"/>
    <w:rsid w:val="00692AE2"/>
    <w:rsid w:val="00692D93"/>
    <w:rsid w:val="0069366E"/>
    <w:rsid w:val="00693768"/>
    <w:rsid w:val="00693913"/>
    <w:rsid w:val="00693B9B"/>
    <w:rsid w:val="00693E81"/>
    <w:rsid w:val="00694095"/>
    <w:rsid w:val="006943D5"/>
    <w:rsid w:val="00694659"/>
    <w:rsid w:val="0069471F"/>
    <w:rsid w:val="00694768"/>
    <w:rsid w:val="00694BEA"/>
    <w:rsid w:val="0069510E"/>
    <w:rsid w:val="006951DD"/>
    <w:rsid w:val="006952C0"/>
    <w:rsid w:val="0069539A"/>
    <w:rsid w:val="00695E9A"/>
    <w:rsid w:val="00696026"/>
    <w:rsid w:val="00696BEF"/>
    <w:rsid w:val="00696D25"/>
    <w:rsid w:val="0069752C"/>
    <w:rsid w:val="006978A7"/>
    <w:rsid w:val="006979BC"/>
    <w:rsid w:val="006A0312"/>
    <w:rsid w:val="006A039C"/>
    <w:rsid w:val="006A0706"/>
    <w:rsid w:val="006A073B"/>
    <w:rsid w:val="006A080D"/>
    <w:rsid w:val="006A082C"/>
    <w:rsid w:val="006A0858"/>
    <w:rsid w:val="006A0859"/>
    <w:rsid w:val="006A0D8A"/>
    <w:rsid w:val="006A0EC0"/>
    <w:rsid w:val="006A1001"/>
    <w:rsid w:val="006A1104"/>
    <w:rsid w:val="006A1193"/>
    <w:rsid w:val="006A14B7"/>
    <w:rsid w:val="006A1CA2"/>
    <w:rsid w:val="006A1D17"/>
    <w:rsid w:val="006A1EC0"/>
    <w:rsid w:val="006A212A"/>
    <w:rsid w:val="006A2564"/>
    <w:rsid w:val="006A2715"/>
    <w:rsid w:val="006A2A19"/>
    <w:rsid w:val="006A3114"/>
    <w:rsid w:val="006A316B"/>
    <w:rsid w:val="006A3A42"/>
    <w:rsid w:val="006A3F2E"/>
    <w:rsid w:val="006A42FC"/>
    <w:rsid w:val="006A46DF"/>
    <w:rsid w:val="006A4FE0"/>
    <w:rsid w:val="006A5156"/>
    <w:rsid w:val="006A53F5"/>
    <w:rsid w:val="006A546D"/>
    <w:rsid w:val="006A54AA"/>
    <w:rsid w:val="006A5CC7"/>
    <w:rsid w:val="006A6018"/>
    <w:rsid w:val="006A6064"/>
    <w:rsid w:val="006A6679"/>
    <w:rsid w:val="006A695D"/>
    <w:rsid w:val="006A6D20"/>
    <w:rsid w:val="006A6F8B"/>
    <w:rsid w:val="006A7020"/>
    <w:rsid w:val="006A7119"/>
    <w:rsid w:val="006A72DC"/>
    <w:rsid w:val="006A7517"/>
    <w:rsid w:val="006A773B"/>
    <w:rsid w:val="006A7841"/>
    <w:rsid w:val="006A7925"/>
    <w:rsid w:val="006A7962"/>
    <w:rsid w:val="006B0033"/>
    <w:rsid w:val="006B0199"/>
    <w:rsid w:val="006B0398"/>
    <w:rsid w:val="006B049D"/>
    <w:rsid w:val="006B0669"/>
    <w:rsid w:val="006B06F2"/>
    <w:rsid w:val="006B077A"/>
    <w:rsid w:val="006B089C"/>
    <w:rsid w:val="006B0B3F"/>
    <w:rsid w:val="006B138B"/>
    <w:rsid w:val="006B1396"/>
    <w:rsid w:val="006B13E9"/>
    <w:rsid w:val="006B157C"/>
    <w:rsid w:val="006B1603"/>
    <w:rsid w:val="006B1917"/>
    <w:rsid w:val="006B1CEA"/>
    <w:rsid w:val="006B20EF"/>
    <w:rsid w:val="006B254E"/>
    <w:rsid w:val="006B2763"/>
    <w:rsid w:val="006B2991"/>
    <w:rsid w:val="006B2CDA"/>
    <w:rsid w:val="006B2D07"/>
    <w:rsid w:val="006B3371"/>
    <w:rsid w:val="006B33A2"/>
    <w:rsid w:val="006B3C73"/>
    <w:rsid w:val="006B41C6"/>
    <w:rsid w:val="006B41D5"/>
    <w:rsid w:val="006B41F1"/>
    <w:rsid w:val="006B41F5"/>
    <w:rsid w:val="006B4791"/>
    <w:rsid w:val="006B4A5E"/>
    <w:rsid w:val="006B4B7F"/>
    <w:rsid w:val="006B4C1B"/>
    <w:rsid w:val="006B5222"/>
    <w:rsid w:val="006B5408"/>
    <w:rsid w:val="006B5942"/>
    <w:rsid w:val="006B5C96"/>
    <w:rsid w:val="006B605C"/>
    <w:rsid w:val="006B629C"/>
    <w:rsid w:val="006B688D"/>
    <w:rsid w:val="006B69EF"/>
    <w:rsid w:val="006B6DB1"/>
    <w:rsid w:val="006B78AC"/>
    <w:rsid w:val="006B7B54"/>
    <w:rsid w:val="006B7CBF"/>
    <w:rsid w:val="006B7E91"/>
    <w:rsid w:val="006B7F8F"/>
    <w:rsid w:val="006C011E"/>
    <w:rsid w:val="006C02BF"/>
    <w:rsid w:val="006C0D92"/>
    <w:rsid w:val="006C1175"/>
    <w:rsid w:val="006C11C7"/>
    <w:rsid w:val="006C1B27"/>
    <w:rsid w:val="006C1DF8"/>
    <w:rsid w:val="006C1E4F"/>
    <w:rsid w:val="006C1F21"/>
    <w:rsid w:val="006C1F72"/>
    <w:rsid w:val="006C2784"/>
    <w:rsid w:val="006C2DCB"/>
    <w:rsid w:val="006C309C"/>
    <w:rsid w:val="006C3706"/>
    <w:rsid w:val="006C37A7"/>
    <w:rsid w:val="006C3C5F"/>
    <w:rsid w:val="006C3E07"/>
    <w:rsid w:val="006C42F5"/>
    <w:rsid w:val="006C4389"/>
    <w:rsid w:val="006C49F5"/>
    <w:rsid w:val="006C4DC5"/>
    <w:rsid w:val="006C54EC"/>
    <w:rsid w:val="006C59E7"/>
    <w:rsid w:val="006C6386"/>
    <w:rsid w:val="006C6559"/>
    <w:rsid w:val="006C6647"/>
    <w:rsid w:val="006C6849"/>
    <w:rsid w:val="006C6C72"/>
    <w:rsid w:val="006C6DED"/>
    <w:rsid w:val="006C6E0F"/>
    <w:rsid w:val="006C70D0"/>
    <w:rsid w:val="006C78A7"/>
    <w:rsid w:val="006C791E"/>
    <w:rsid w:val="006C7F06"/>
    <w:rsid w:val="006D01B0"/>
    <w:rsid w:val="006D0207"/>
    <w:rsid w:val="006D04E9"/>
    <w:rsid w:val="006D056E"/>
    <w:rsid w:val="006D0893"/>
    <w:rsid w:val="006D0A26"/>
    <w:rsid w:val="006D0AB2"/>
    <w:rsid w:val="006D0CAB"/>
    <w:rsid w:val="006D0F26"/>
    <w:rsid w:val="006D0F42"/>
    <w:rsid w:val="006D0FDF"/>
    <w:rsid w:val="006D1047"/>
    <w:rsid w:val="006D1199"/>
    <w:rsid w:val="006D193F"/>
    <w:rsid w:val="006D1BC8"/>
    <w:rsid w:val="006D1D6A"/>
    <w:rsid w:val="006D23C0"/>
    <w:rsid w:val="006D2755"/>
    <w:rsid w:val="006D28B3"/>
    <w:rsid w:val="006D2C02"/>
    <w:rsid w:val="006D2FA5"/>
    <w:rsid w:val="006D3010"/>
    <w:rsid w:val="006D31FC"/>
    <w:rsid w:val="006D373C"/>
    <w:rsid w:val="006D3F44"/>
    <w:rsid w:val="006D43A6"/>
    <w:rsid w:val="006D4B13"/>
    <w:rsid w:val="006D4CFC"/>
    <w:rsid w:val="006D5014"/>
    <w:rsid w:val="006D5214"/>
    <w:rsid w:val="006D52E8"/>
    <w:rsid w:val="006D5629"/>
    <w:rsid w:val="006D57E6"/>
    <w:rsid w:val="006D5918"/>
    <w:rsid w:val="006D5C1B"/>
    <w:rsid w:val="006D5DD1"/>
    <w:rsid w:val="006D5E2E"/>
    <w:rsid w:val="006D63CC"/>
    <w:rsid w:val="006D6569"/>
    <w:rsid w:val="006D662F"/>
    <w:rsid w:val="006D6750"/>
    <w:rsid w:val="006D7362"/>
    <w:rsid w:val="006D740A"/>
    <w:rsid w:val="006D7527"/>
    <w:rsid w:val="006D7CB7"/>
    <w:rsid w:val="006D7E89"/>
    <w:rsid w:val="006D7FC4"/>
    <w:rsid w:val="006E004C"/>
    <w:rsid w:val="006E02D5"/>
    <w:rsid w:val="006E030C"/>
    <w:rsid w:val="006E0555"/>
    <w:rsid w:val="006E0B34"/>
    <w:rsid w:val="006E0FD6"/>
    <w:rsid w:val="006E1667"/>
    <w:rsid w:val="006E18F3"/>
    <w:rsid w:val="006E1A9A"/>
    <w:rsid w:val="006E2313"/>
    <w:rsid w:val="006E248D"/>
    <w:rsid w:val="006E259D"/>
    <w:rsid w:val="006E264F"/>
    <w:rsid w:val="006E2D33"/>
    <w:rsid w:val="006E30DC"/>
    <w:rsid w:val="006E34FB"/>
    <w:rsid w:val="006E35E9"/>
    <w:rsid w:val="006E387C"/>
    <w:rsid w:val="006E398F"/>
    <w:rsid w:val="006E39CF"/>
    <w:rsid w:val="006E3AEF"/>
    <w:rsid w:val="006E3B3D"/>
    <w:rsid w:val="006E3D68"/>
    <w:rsid w:val="006E3DBF"/>
    <w:rsid w:val="006E3E0C"/>
    <w:rsid w:val="006E3F9D"/>
    <w:rsid w:val="006E428F"/>
    <w:rsid w:val="006E491D"/>
    <w:rsid w:val="006E4C1D"/>
    <w:rsid w:val="006E4D6D"/>
    <w:rsid w:val="006E4EA2"/>
    <w:rsid w:val="006E5495"/>
    <w:rsid w:val="006E55F3"/>
    <w:rsid w:val="006E5800"/>
    <w:rsid w:val="006E5B91"/>
    <w:rsid w:val="006E5D79"/>
    <w:rsid w:val="006E6119"/>
    <w:rsid w:val="006E61CB"/>
    <w:rsid w:val="006E63D8"/>
    <w:rsid w:val="006E65E0"/>
    <w:rsid w:val="006E6815"/>
    <w:rsid w:val="006E6F67"/>
    <w:rsid w:val="006E75C3"/>
    <w:rsid w:val="006E786F"/>
    <w:rsid w:val="006F006D"/>
    <w:rsid w:val="006F0091"/>
    <w:rsid w:val="006F0A51"/>
    <w:rsid w:val="006F0B31"/>
    <w:rsid w:val="006F0B5B"/>
    <w:rsid w:val="006F0BFF"/>
    <w:rsid w:val="006F0C52"/>
    <w:rsid w:val="006F12E2"/>
    <w:rsid w:val="006F15B9"/>
    <w:rsid w:val="006F1626"/>
    <w:rsid w:val="006F1A05"/>
    <w:rsid w:val="006F1A2F"/>
    <w:rsid w:val="006F1C65"/>
    <w:rsid w:val="006F23F8"/>
    <w:rsid w:val="006F2445"/>
    <w:rsid w:val="006F2448"/>
    <w:rsid w:val="006F2491"/>
    <w:rsid w:val="006F270C"/>
    <w:rsid w:val="006F27E2"/>
    <w:rsid w:val="006F299D"/>
    <w:rsid w:val="006F2A67"/>
    <w:rsid w:val="006F2B7B"/>
    <w:rsid w:val="006F2D3F"/>
    <w:rsid w:val="006F2F6C"/>
    <w:rsid w:val="006F303B"/>
    <w:rsid w:val="006F3382"/>
    <w:rsid w:val="006F33EE"/>
    <w:rsid w:val="006F34EB"/>
    <w:rsid w:val="006F3766"/>
    <w:rsid w:val="006F3DD7"/>
    <w:rsid w:val="006F3E33"/>
    <w:rsid w:val="006F423F"/>
    <w:rsid w:val="006F450D"/>
    <w:rsid w:val="006F452F"/>
    <w:rsid w:val="006F4582"/>
    <w:rsid w:val="006F49B8"/>
    <w:rsid w:val="006F4C9C"/>
    <w:rsid w:val="006F4F34"/>
    <w:rsid w:val="006F5296"/>
    <w:rsid w:val="006F546B"/>
    <w:rsid w:val="006F5649"/>
    <w:rsid w:val="006F5B88"/>
    <w:rsid w:val="006F5D5F"/>
    <w:rsid w:val="006F5F09"/>
    <w:rsid w:val="006F5F97"/>
    <w:rsid w:val="006F62CD"/>
    <w:rsid w:val="006F640B"/>
    <w:rsid w:val="006F6708"/>
    <w:rsid w:val="006F68F1"/>
    <w:rsid w:val="006F6E06"/>
    <w:rsid w:val="006F73E8"/>
    <w:rsid w:val="00700374"/>
    <w:rsid w:val="00700732"/>
    <w:rsid w:val="0070078B"/>
    <w:rsid w:val="00700A50"/>
    <w:rsid w:val="00700A63"/>
    <w:rsid w:val="00700E64"/>
    <w:rsid w:val="0070110F"/>
    <w:rsid w:val="007014C1"/>
    <w:rsid w:val="00701554"/>
    <w:rsid w:val="00701574"/>
    <w:rsid w:val="007018AD"/>
    <w:rsid w:val="00701C08"/>
    <w:rsid w:val="00701D68"/>
    <w:rsid w:val="00701F24"/>
    <w:rsid w:val="00702114"/>
    <w:rsid w:val="007024E5"/>
    <w:rsid w:val="0070267B"/>
    <w:rsid w:val="00702707"/>
    <w:rsid w:val="00702875"/>
    <w:rsid w:val="00702F58"/>
    <w:rsid w:val="00702FCD"/>
    <w:rsid w:val="00703044"/>
    <w:rsid w:val="0070329C"/>
    <w:rsid w:val="007032D2"/>
    <w:rsid w:val="007034CB"/>
    <w:rsid w:val="00703AB2"/>
    <w:rsid w:val="00703AD6"/>
    <w:rsid w:val="00703E20"/>
    <w:rsid w:val="00703EFE"/>
    <w:rsid w:val="00704196"/>
    <w:rsid w:val="007041B3"/>
    <w:rsid w:val="007042CB"/>
    <w:rsid w:val="00704672"/>
    <w:rsid w:val="00704C1C"/>
    <w:rsid w:val="00704C6A"/>
    <w:rsid w:val="00704EC9"/>
    <w:rsid w:val="00705127"/>
    <w:rsid w:val="00705216"/>
    <w:rsid w:val="007052EE"/>
    <w:rsid w:val="007053E1"/>
    <w:rsid w:val="00705415"/>
    <w:rsid w:val="007055D5"/>
    <w:rsid w:val="00705603"/>
    <w:rsid w:val="00705B5A"/>
    <w:rsid w:val="00705D83"/>
    <w:rsid w:val="00705E27"/>
    <w:rsid w:val="00705EF6"/>
    <w:rsid w:val="007061FC"/>
    <w:rsid w:val="00706288"/>
    <w:rsid w:val="0070658D"/>
    <w:rsid w:val="00706A53"/>
    <w:rsid w:val="00706DD2"/>
    <w:rsid w:val="0070739B"/>
    <w:rsid w:val="007073CF"/>
    <w:rsid w:val="0070794A"/>
    <w:rsid w:val="00707E1B"/>
    <w:rsid w:val="0071009D"/>
    <w:rsid w:val="007100CD"/>
    <w:rsid w:val="00710303"/>
    <w:rsid w:val="007108AD"/>
    <w:rsid w:val="00710A6C"/>
    <w:rsid w:val="00710B9C"/>
    <w:rsid w:val="00711009"/>
    <w:rsid w:val="00711923"/>
    <w:rsid w:val="00711AD0"/>
    <w:rsid w:val="00711CC1"/>
    <w:rsid w:val="00712140"/>
    <w:rsid w:val="00712145"/>
    <w:rsid w:val="00712330"/>
    <w:rsid w:val="007126DB"/>
    <w:rsid w:val="0071291C"/>
    <w:rsid w:val="0071291D"/>
    <w:rsid w:val="00712AF2"/>
    <w:rsid w:val="00713607"/>
    <w:rsid w:val="00713616"/>
    <w:rsid w:val="007137BD"/>
    <w:rsid w:val="00713BDE"/>
    <w:rsid w:val="00713CEF"/>
    <w:rsid w:val="00713E7B"/>
    <w:rsid w:val="00713F26"/>
    <w:rsid w:val="00713FFB"/>
    <w:rsid w:val="0071404E"/>
    <w:rsid w:val="007141D1"/>
    <w:rsid w:val="0071466E"/>
    <w:rsid w:val="0071490C"/>
    <w:rsid w:val="00714CA4"/>
    <w:rsid w:val="00714D46"/>
    <w:rsid w:val="00714E61"/>
    <w:rsid w:val="0071508B"/>
    <w:rsid w:val="007150EA"/>
    <w:rsid w:val="00715877"/>
    <w:rsid w:val="00715CC7"/>
    <w:rsid w:val="00716281"/>
    <w:rsid w:val="0071686E"/>
    <w:rsid w:val="00716F98"/>
    <w:rsid w:val="00716FD4"/>
    <w:rsid w:val="007173F7"/>
    <w:rsid w:val="00717A3B"/>
    <w:rsid w:val="00717DFD"/>
    <w:rsid w:val="00717FC7"/>
    <w:rsid w:val="00717FD2"/>
    <w:rsid w:val="0072018F"/>
    <w:rsid w:val="00720516"/>
    <w:rsid w:val="0072071C"/>
    <w:rsid w:val="00720838"/>
    <w:rsid w:val="00720C79"/>
    <w:rsid w:val="00720DD2"/>
    <w:rsid w:val="00720DEE"/>
    <w:rsid w:val="00720E1F"/>
    <w:rsid w:val="00721722"/>
    <w:rsid w:val="00721AD8"/>
    <w:rsid w:val="00721D62"/>
    <w:rsid w:val="00721EBE"/>
    <w:rsid w:val="00721FDB"/>
    <w:rsid w:val="0072220E"/>
    <w:rsid w:val="007222B3"/>
    <w:rsid w:val="00722431"/>
    <w:rsid w:val="0072291C"/>
    <w:rsid w:val="00722B51"/>
    <w:rsid w:val="00722C69"/>
    <w:rsid w:val="00722E2D"/>
    <w:rsid w:val="00723494"/>
    <w:rsid w:val="00723E7D"/>
    <w:rsid w:val="00724971"/>
    <w:rsid w:val="00724EAA"/>
    <w:rsid w:val="0072520A"/>
    <w:rsid w:val="0072554F"/>
    <w:rsid w:val="007255A3"/>
    <w:rsid w:val="00725BB6"/>
    <w:rsid w:val="00725BC6"/>
    <w:rsid w:val="00725F6E"/>
    <w:rsid w:val="00726089"/>
    <w:rsid w:val="007263E4"/>
    <w:rsid w:val="0072661F"/>
    <w:rsid w:val="0072697A"/>
    <w:rsid w:val="00726B63"/>
    <w:rsid w:val="00726BD8"/>
    <w:rsid w:val="00726D56"/>
    <w:rsid w:val="00727037"/>
    <w:rsid w:val="007272AA"/>
    <w:rsid w:val="00727404"/>
    <w:rsid w:val="00727549"/>
    <w:rsid w:val="007275C4"/>
    <w:rsid w:val="0072770C"/>
    <w:rsid w:val="00727AC4"/>
    <w:rsid w:val="00727B62"/>
    <w:rsid w:val="00727ED8"/>
    <w:rsid w:val="00730109"/>
    <w:rsid w:val="007302B8"/>
    <w:rsid w:val="0073075A"/>
    <w:rsid w:val="00730ABD"/>
    <w:rsid w:val="00730C63"/>
    <w:rsid w:val="00730CBF"/>
    <w:rsid w:val="00730E1D"/>
    <w:rsid w:val="00731460"/>
    <w:rsid w:val="00731705"/>
    <w:rsid w:val="007319F0"/>
    <w:rsid w:val="00731C02"/>
    <w:rsid w:val="00731CE9"/>
    <w:rsid w:val="00731FDB"/>
    <w:rsid w:val="00732BF5"/>
    <w:rsid w:val="00732ED0"/>
    <w:rsid w:val="00733161"/>
    <w:rsid w:val="007332FE"/>
    <w:rsid w:val="0073336D"/>
    <w:rsid w:val="0073391E"/>
    <w:rsid w:val="00733CF8"/>
    <w:rsid w:val="00733FD8"/>
    <w:rsid w:val="00733FF4"/>
    <w:rsid w:val="007343F2"/>
    <w:rsid w:val="007344BA"/>
    <w:rsid w:val="0073451C"/>
    <w:rsid w:val="00734678"/>
    <w:rsid w:val="00734754"/>
    <w:rsid w:val="00734773"/>
    <w:rsid w:val="00734A0F"/>
    <w:rsid w:val="00735262"/>
    <w:rsid w:val="007353C7"/>
    <w:rsid w:val="007355FD"/>
    <w:rsid w:val="00735AB7"/>
    <w:rsid w:val="00735C20"/>
    <w:rsid w:val="00735CE0"/>
    <w:rsid w:val="00735FE9"/>
    <w:rsid w:val="0073615E"/>
    <w:rsid w:val="0073616A"/>
    <w:rsid w:val="0073624B"/>
    <w:rsid w:val="007362D4"/>
    <w:rsid w:val="007363BD"/>
    <w:rsid w:val="00736512"/>
    <w:rsid w:val="007365FE"/>
    <w:rsid w:val="00736644"/>
    <w:rsid w:val="007366B8"/>
    <w:rsid w:val="00736CDB"/>
    <w:rsid w:val="007370B1"/>
    <w:rsid w:val="00737474"/>
    <w:rsid w:val="007376BE"/>
    <w:rsid w:val="00737715"/>
    <w:rsid w:val="00737C4E"/>
    <w:rsid w:val="00737D9A"/>
    <w:rsid w:val="00737ED2"/>
    <w:rsid w:val="0074009B"/>
    <w:rsid w:val="007404D5"/>
    <w:rsid w:val="0074062A"/>
    <w:rsid w:val="007406E6"/>
    <w:rsid w:val="00740A17"/>
    <w:rsid w:val="00740B40"/>
    <w:rsid w:val="00740BDD"/>
    <w:rsid w:val="00741498"/>
    <w:rsid w:val="00742511"/>
    <w:rsid w:val="00742529"/>
    <w:rsid w:val="00742765"/>
    <w:rsid w:val="007427B8"/>
    <w:rsid w:val="00742B57"/>
    <w:rsid w:val="00743282"/>
    <w:rsid w:val="007433BB"/>
    <w:rsid w:val="0074357E"/>
    <w:rsid w:val="00743588"/>
    <w:rsid w:val="00743628"/>
    <w:rsid w:val="00743C7A"/>
    <w:rsid w:val="007441FD"/>
    <w:rsid w:val="00744409"/>
    <w:rsid w:val="0074471B"/>
    <w:rsid w:val="0074478C"/>
    <w:rsid w:val="00744BBF"/>
    <w:rsid w:val="00744C1D"/>
    <w:rsid w:val="00744EAE"/>
    <w:rsid w:val="00744ED2"/>
    <w:rsid w:val="00744F82"/>
    <w:rsid w:val="00745DBE"/>
    <w:rsid w:val="007460EA"/>
    <w:rsid w:val="00746302"/>
    <w:rsid w:val="00746CB4"/>
    <w:rsid w:val="00746ED1"/>
    <w:rsid w:val="00747E94"/>
    <w:rsid w:val="00747EBD"/>
    <w:rsid w:val="00750498"/>
    <w:rsid w:val="00750816"/>
    <w:rsid w:val="00750B7D"/>
    <w:rsid w:val="00750FE9"/>
    <w:rsid w:val="007515FB"/>
    <w:rsid w:val="007516D9"/>
    <w:rsid w:val="00751A46"/>
    <w:rsid w:val="00751E96"/>
    <w:rsid w:val="00751EC5"/>
    <w:rsid w:val="007521D2"/>
    <w:rsid w:val="007523D4"/>
    <w:rsid w:val="0075252B"/>
    <w:rsid w:val="0075262B"/>
    <w:rsid w:val="00752941"/>
    <w:rsid w:val="00752CDC"/>
    <w:rsid w:val="007531B9"/>
    <w:rsid w:val="0075332D"/>
    <w:rsid w:val="0075376D"/>
    <w:rsid w:val="00754014"/>
    <w:rsid w:val="00754103"/>
    <w:rsid w:val="00754137"/>
    <w:rsid w:val="00754559"/>
    <w:rsid w:val="007545C5"/>
    <w:rsid w:val="007548D0"/>
    <w:rsid w:val="007553AB"/>
    <w:rsid w:val="00755AFE"/>
    <w:rsid w:val="00755C3E"/>
    <w:rsid w:val="00755DE0"/>
    <w:rsid w:val="00756446"/>
    <w:rsid w:val="00756B9C"/>
    <w:rsid w:val="007600FB"/>
    <w:rsid w:val="007602EA"/>
    <w:rsid w:val="00760568"/>
    <w:rsid w:val="00760571"/>
    <w:rsid w:val="007607D5"/>
    <w:rsid w:val="00760C12"/>
    <w:rsid w:val="00760DAD"/>
    <w:rsid w:val="0076104E"/>
    <w:rsid w:val="00761BD4"/>
    <w:rsid w:val="00761CE8"/>
    <w:rsid w:val="00761EE1"/>
    <w:rsid w:val="0076224C"/>
    <w:rsid w:val="00762306"/>
    <w:rsid w:val="007624CD"/>
    <w:rsid w:val="0076256E"/>
    <w:rsid w:val="007626D4"/>
    <w:rsid w:val="0076273B"/>
    <w:rsid w:val="00762E69"/>
    <w:rsid w:val="00762FF3"/>
    <w:rsid w:val="0076315D"/>
    <w:rsid w:val="00763B54"/>
    <w:rsid w:val="00763CC1"/>
    <w:rsid w:val="00764200"/>
    <w:rsid w:val="007645CC"/>
    <w:rsid w:val="007649A7"/>
    <w:rsid w:val="00764CDD"/>
    <w:rsid w:val="00764EA4"/>
    <w:rsid w:val="00765241"/>
    <w:rsid w:val="007656FF"/>
    <w:rsid w:val="007658B4"/>
    <w:rsid w:val="0076594E"/>
    <w:rsid w:val="00765A7E"/>
    <w:rsid w:val="00765F83"/>
    <w:rsid w:val="007660A5"/>
    <w:rsid w:val="00766911"/>
    <w:rsid w:val="00766ABB"/>
    <w:rsid w:val="00766BB1"/>
    <w:rsid w:val="00766BBD"/>
    <w:rsid w:val="007671EB"/>
    <w:rsid w:val="0076721A"/>
    <w:rsid w:val="00767539"/>
    <w:rsid w:val="00767695"/>
    <w:rsid w:val="00767808"/>
    <w:rsid w:val="00767B05"/>
    <w:rsid w:val="00770421"/>
    <w:rsid w:val="00770469"/>
    <w:rsid w:val="00770579"/>
    <w:rsid w:val="0077067B"/>
    <w:rsid w:val="00770762"/>
    <w:rsid w:val="00770833"/>
    <w:rsid w:val="007710A8"/>
    <w:rsid w:val="00771261"/>
    <w:rsid w:val="00771451"/>
    <w:rsid w:val="00771720"/>
    <w:rsid w:val="00771FA2"/>
    <w:rsid w:val="0077215F"/>
    <w:rsid w:val="00772390"/>
    <w:rsid w:val="00772447"/>
    <w:rsid w:val="00772936"/>
    <w:rsid w:val="00772AD3"/>
    <w:rsid w:val="00773362"/>
    <w:rsid w:val="007733DE"/>
    <w:rsid w:val="00773BE0"/>
    <w:rsid w:val="00773F2C"/>
    <w:rsid w:val="00774037"/>
    <w:rsid w:val="00774562"/>
    <w:rsid w:val="00774614"/>
    <w:rsid w:val="00774DFD"/>
    <w:rsid w:val="00775014"/>
    <w:rsid w:val="00775139"/>
    <w:rsid w:val="00775760"/>
    <w:rsid w:val="0077576A"/>
    <w:rsid w:val="00775E77"/>
    <w:rsid w:val="007767B1"/>
    <w:rsid w:val="007768C0"/>
    <w:rsid w:val="007769E2"/>
    <w:rsid w:val="00776AD3"/>
    <w:rsid w:val="00776B04"/>
    <w:rsid w:val="00776D6E"/>
    <w:rsid w:val="00776DA9"/>
    <w:rsid w:val="00776EE7"/>
    <w:rsid w:val="007770DD"/>
    <w:rsid w:val="0077753B"/>
    <w:rsid w:val="00777804"/>
    <w:rsid w:val="00777A90"/>
    <w:rsid w:val="00777C3B"/>
    <w:rsid w:val="00777FA1"/>
    <w:rsid w:val="00780054"/>
    <w:rsid w:val="00780276"/>
    <w:rsid w:val="007802F1"/>
    <w:rsid w:val="00780584"/>
    <w:rsid w:val="007806EE"/>
    <w:rsid w:val="00780874"/>
    <w:rsid w:val="0078114F"/>
    <w:rsid w:val="00781307"/>
    <w:rsid w:val="00781393"/>
    <w:rsid w:val="0078188D"/>
    <w:rsid w:val="0078191B"/>
    <w:rsid w:val="00782458"/>
    <w:rsid w:val="007827EE"/>
    <w:rsid w:val="007829F6"/>
    <w:rsid w:val="00782A13"/>
    <w:rsid w:val="00782C85"/>
    <w:rsid w:val="00782E33"/>
    <w:rsid w:val="00782FDF"/>
    <w:rsid w:val="0078303E"/>
    <w:rsid w:val="00783117"/>
    <w:rsid w:val="00783142"/>
    <w:rsid w:val="00783208"/>
    <w:rsid w:val="00783290"/>
    <w:rsid w:val="007832E7"/>
    <w:rsid w:val="007837B9"/>
    <w:rsid w:val="00783F90"/>
    <w:rsid w:val="0078400F"/>
    <w:rsid w:val="007849BF"/>
    <w:rsid w:val="007852C4"/>
    <w:rsid w:val="0078565B"/>
    <w:rsid w:val="00785865"/>
    <w:rsid w:val="00785B9D"/>
    <w:rsid w:val="00785DA5"/>
    <w:rsid w:val="00786195"/>
    <w:rsid w:val="007862AB"/>
    <w:rsid w:val="007863FF"/>
    <w:rsid w:val="00786D1D"/>
    <w:rsid w:val="00786FA0"/>
    <w:rsid w:val="0078748C"/>
    <w:rsid w:val="007875B0"/>
    <w:rsid w:val="007876C2"/>
    <w:rsid w:val="00787702"/>
    <w:rsid w:val="00787939"/>
    <w:rsid w:val="0078795E"/>
    <w:rsid w:val="00787CC6"/>
    <w:rsid w:val="00790108"/>
    <w:rsid w:val="00790139"/>
    <w:rsid w:val="00791025"/>
    <w:rsid w:val="0079129C"/>
    <w:rsid w:val="0079134C"/>
    <w:rsid w:val="00791399"/>
    <w:rsid w:val="00791B23"/>
    <w:rsid w:val="00791F32"/>
    <w:rsid w:val="00792224"/>
    <w:rsid w:val="0079234C"/>
    <w:rsid w:val="00792434"/>
    <w:rsid w:val="00792537"/>
    <w:rsid w:val="00792657"/>
    <w:rsid w:val="00792795"/>
    <w:rsid w:val="00792FF3"/>
    <w:rsid w:val="0079305E"/>
    <w:rsid w:val="007934FF"/>
    <w:rsid w:val="00793928"/>
    <w:rsid w:val="00794403"/>
    <w:rsid w:val="0079492C"/>
    <w:rsid w:val="00794A6E"/>
    <w:rsid w:val="00794BE2"/>
    <w:rsid w:val="00794C78"/>
    <w:rsid w:val="00794DE9"/>
    <w:rsid w:val="00794FFB"/>
    <w:rsid w:val="007951F3"/>
    <w:rsid w:val="007954D3"/>
    <w:rsid w:val="00795AA6"/>
    <w:rsid w:val="00795E45"/>
    <w:rsid w:val="00796092"/>
    <w:rsid w:val="00796317"/>
    <w:rsid w:val="007964A0"/>
    <w:rsid w:val="0079676B"/>
    <w:rsid w:val="00796808"/>
    <w:rsid w:val="00796BD8"/>
    <w:rsid w:val="00796C21"/>
    <w:rsid w:val="00796F5E"/>
    <w:rsid w:val="00796F61"/>
    <w:rsid w:val="00796F9B"/>
    <w:rsid w:val="00797430"/>
    <w:rsid w:val="00797666"/>
    <w:rsid w:val="007A02C9"/>
    <w:rsid w:val="007A08E4"/>
    <w:rsid w:val="007A0AA8"/>
    <w:rsid w:val="007A0CA2"/>
    <w:rsid w:val="007A0E68"/>
    <w:rsid w:val="007A1407"/>
    <w:rsid w:val="007A1D9F"/>
    <w:rsid w:val="007A1E56"/>
    <w:rsid w:val="007A20B3"/>
    <w:rsid w:val="007A265B"/>
    <w:rsid w:val="007A27C6"/>
    <w:rsid w:val="007A2CC6"/>
    <w:rsid w:val="007A3360"/>
    <w:rsid w:val="007A336F"/>
    <w:rsid w:val="007A3473"/>
    <w:rsid w:val="007A34A1"/>
    <w:rsid w:val="007A34CF"/>
    <w:rsid w:val="007A358C"/>
    <w:rsid w:val="007A35F3"/>
    <w:rsid w:val="007A3A8F"/>
    <w:rsid w:val="007A3BE1"/>
    <w:rsid w:val="007A3C49"/>
    <w:rsid w:val="007A3F8B"/>
    <w:rsid w:val="007A43F0"/>
    <w:rsid w:val="007A4BDC"/>
    <w:rsid w:val="007A4CBE"/>
    <w:rsid w:val="007A4FE8"/>
    <w:rsid w:val="007A5266"/>
    <w:rsid w:val="007A53B5"/>
    <w:rsid w:val="007A5574"/>
    <w:rsid w:val="007A569F"/>
    <w:rsid w:val="007A5B22"/>
    <w:rsid w:val="007A5C0B"/>
    <w:rsid w:val="007A5DD2"/>
    <w:rsid w:val="007A5FEE"/>
    <w:rsid w:val="007A609F"/>
    <w:rsid w:val="007A6134"/>
    <w:rsid w:val="007A614B"/>
    <w:rsid w:val="007A6A90"/>
    <w:rsid w:val="007A6D13"/>
    <w:rsid w:val="007A6FDC"/>
    <w:rsid w:val="007A7049"/>
    <w:rsid w:val="007A7148"/>
    <w:rsid w:val="007A7188"/>
    <w:rsid w:val="007A750B"/>
    <w:rsid w:val="007A778D"/>
    <w:rsid w:val="007A78D6"/>
    <w:rsid w:val="007A7A6B"/>
    <w:rsid w:val="007A7EF3"/>
    <w:rsid w:val="007B0288"/>
    <w:rsid w:val="007B03AF"/>
    <w:rsid w:val="007B047C"/>
    <w:rsid w:val="007B0676"/>
    <w:rsid w:val="007B082A"/>
    <w:rsid w:val="007B0AB9"/>
    <w:rsid w:val="007B0BB0"/>
    <w:rsid w:val="007B0E9F"/>
    <w:rsid w:val="007B1134"/>
    <w:rsid w:val="007B1B02"/>
    <w:rsid w:val="007B1BE5"/>
    <w:rsid w:val="007B1F3B"/>
    <w:rsid w:val="007B2079"/>
    <w:rsid w:val="007B245C"/>
    <w:rsid w:val="007B257D"/>
    <w:rsid w:val="007B2FBC"/>
    <w:rsid w:val="007B3B7D"/>
    <w:rsid w:val="007B3BDE"/>
    <w:rsid w:val="007B3C19"/>
    <w:rsid w:val="007B3D1C"/>
    <w:rsid w:val="007B4352"/>
    <w:rsid w:val="007B45EC"/>
    <w:rsid w:val="007B4613"/>
    <w:rsid w:val="007B4B83"/>
    <w:rsid w:val="007B4EF0"/>
    <w:rsid w:val="007B50E6"/>
    <w:rsid w:val="007B59B3"/>
    <w:rsid w:val="007B5C93"/>
    <w:rsid w:val="007B5D65"/>
    <w:rsid w:val="007B60E1"/>
    <w:rsid w:val="007B6210"/>
    <w:rsid w:val="007B621B"/>
    <w:rsid w:val="007B64C2"/>
    <w:rsid w:val="007B6974"/>
    <w:rsid w:val="007B6A2A"/>
    <w:rsid w:val="007B6CFD"/>
    <w:rsid w:val="007B7642"/>
    <w:rsid w:val="007B77C3"/>
    <w:rsid w:val="007B77FC"/>
    <w:rsid w:val="007B792D"/>
    <w:rsid w:val="007B7B51"/>
    <w:rsid w:val="007C031B"/>
    <w:rsid w:val="007C03D6"/>
    <w:rsid w:val="007C0818"/>
    <w:rsid w:val="007C097F"/>
    <w:rsid w:val="007C0E1D"/>
    <w:rsid w:val="007C0F5B"/>
    <w:rsid w:val="007C1052"/>
    <w:rsid w:val="007C1243"/>
    <w:rsid w:val="007C12CD"/>
    <w:rsid w:val="007C1825"/>
    <w:rsid w:val="007C1D04"/>
    <w:rsid w:val="007C1D82"/>
    <w:rsid w:val="007C2004"/>
    <w:rsid w:val="007C21FA"/>
    <w:rsid w:val="007C2345"/>
    <w:rsid w:val="007C2890"/>
    <w:rsid w:val="007C2CEB"/>
    <w:rsid w:val="007C3023"/>
    <w:rsid w:val="007C34A3"/>
    <w:rsid w:val="007C3914"/>
    <w:rsid w:val="007C3B9E"/>
    <w:rsid w:val="007C3C44"/>
    <w:rsid w:val="007C3EAB"/>
    <w:rsid w:val="007C4332"/>
    <w:rsid w:val="007C445C"/>
    <w:rsid w:val="007C44E8"/>
    <w:rsid w:val="007C4D92"/>
    <w:rsid w:val="007C4EB4"/>
    <w:rsid w:val="007C4F32"/>
    <w:rsid w:val="007C5382"/>
    <w:rsid w:val="007C57A8"/>
    <w:rsid w:val="007C58ED"/>
    <w:rsid w:val="007C5E5B"/>
    <w:rsid w:val="007C5F1B"/>
    <w:rsid w:val="007C66C9"/>
    <w:rsid w:val="007C68B4"/>
    <w:rsid w:val="007C6E10"/>
    <w:rsid w:val="007C72B5"/>
    <w:rsid w:val="007C7413"/>
    <w:rsid w:val="007C7592"/>
    <w:rsid w:val="007C7ABF"/>
    <w:rsid w:val="007C7BA4"/>
    <w:rsid w:val="007C7C14"/>
    <w:rsid w:val="007D00D5"/>
    <w:rsid w:val="007D018B"/>
    <w:rsid w:val="007D03D9"/>
    <w:rsid w:val="007D03F0"/>
    <w:rsid w:val="007D0489"/>
    <w:rsid w:val="007D04D4"/>
    <w:rsid w:val="007D0542"/>
    <w:rsid w:val="007D05EF"/>
    <w:rsid w:val="007D079C"/>
    <w:rsid w:val="007D09D2"/>
    <w:rsid w:val="007D0AAA"/>
    <w:rsid w:val="007D0CB8"/>
    <w:rsid w:val="007D0F33"/>
    <w:rsid w:val="007D11F6"/>
    <w:rsid w:val="007D1365"/>
    <w:rsid w:val="007D16BB"/>
    <w:rsid w:val="007D1815"/>
    <w:rsid w:val="007D18D2"/>
    <w:rsid w:val="007D1E06"/>
    <w:rsid w:val="007D2248"/>
    <w:rsid w:val="007D2742"/>
    <w:rsid w:val="007D279F"/>
    <w:rsid w:val="007D2E73"/>
    <w:rsid w:val="007D304C"/>
    <w:rsid w:val="007D35BC"/>
    <w:rsid w:val="007D3600"/>
    <w:rsid w:val="007D399E"/>
    <w:rsid w:val="007D3B67"/>
    <w:rsid w:val="007D4195"/>
    <w:rsid w:val="007D4465"/>
    <w:rsid w:val="007D4F16"/>
    <w:rsid w:val="007D4FFA"/>
    <w:rsid w:val="007D575E"/>
    <w:rsid w:val="007D5994"/>
    <w:rsid w:val="007D61E3"/>
    <w:rsid w:val="007D69E3"/>
    <w:rsid w:val="007D6AC5"/>
    <w:rsid w:val="007D6D64"/>
    <w:rsid w:val="007D6FA7"/>
    <w:rsid w:val="007D78BC"/>
    <w:rsid w:val="007D7932"/>
    <w:rsid w:val="007D7AE4"/>
    <w:rsid w:val="007D7C14"/>
    <w:rsid w:val="007D7ED5"/>
    <w:rsid w:val="007E0019"/>
    <w:rsid w:val="007E0683"/>
    <w:rsid w:val="007E0A5D"/>
    <w:rsid w:val="007E0DD2"/>
    <w:rsid w:val="007E0DE1"/>
    <w:rsid w:val="007E0E63"/>
    <w:rsid w:val="007E1249"/>
    <w:rsid w:val="007E134D"/>
    <w:rsid w:val="007E170A"/>
    <w:rsid w:val="007E1742"/>
    <w:rsid w:val="007E1AF0"/>
    <w:rsid w:val="007E1B57"/>
    <w:rsid w:val="007E1C55"/>
    <w:rsid w:val="007E1FA6"/>
    <w:rsid w:val="007E22C3"/>
    <w:rsid w:val="007E285E"/>
    <w:rsid w:val="007E2A44"/>
    <w:rsid w:val="007E2A90"/>
    <w:rsid w:val="007E2D45"/>
    <w:rsid w:val="007E39DE"/>
    <w:rsid w:val="007E3B42"/>
    <w:rsid w:val="007E3CDB"/>
    <w:rsid w:val="007E43BE"/>
    <w:rsid w:val="007E460A"/>
    <w:rsid w:val="007E4A3D"/>
    <w:rsid w:val="007E4E90"/>
    <w:rsid w:val="007E4F4C"/>
    <w:rsid w:val="007E5171"/>
    <w:rsid w:val="007E51D2"/>
    <w:rsid w:val="007E5300"/>
    <w:rsid w:val="007E5717"/>
    <w:rsid w:val="007E5822"/>
    <w:rsid w:val="007E5A56"/>
    <w:rsid w:val="007E5B8E"/>
    <w:rsid w:val="007E5C39"/>
    <w:rsid w:val="007E61C2"/>
    <w:rsid w:val="007E61CD"/>
    <w:rsid w:val="007E62E2"/>
    <w:rsid w:val="007E67E6"/>
    <w:rsid w:val="007E6A17"/>
    <w:rsid w:val="007E6AE9"/>
    <w:rsid w:val="007E6BAE"/>
    <w:rsid w:val="007E6CBC"/>
    <w:rsid w:val="007E70ED"/>
    <w:rsid w:val="007E721F"/>
    <w:rsid w:val="007E73C0"/>
    <w:rsid w:val="007E77FC"/>
    <w:rsid w:val="007E7870"/>
    <w:rsid w:val="007E7915"/>
    <w:rsid w:val="007E7E50"/>
    <w:rsid w:val="007F00D8"/>
    <w:rsid w:val="007F06D5"/>
    <w:rsid w:val="007F08A2"/>
    <w:rsid w:val="007F09AC"/>
    <w:rsid w:val="007F0A1D"/>
    <w:rsid w:val="007F0C51"/>
    <w:rsid w:val="007F0DD7"/>
    <w:rsid w:val="007F0DDD"/>
    <w:rsid w:val="007F1243"/>
    <w:rsid w:val="007F1B36"/>
    <w:rsid w:val="007F21A6"/>
    <w:rsid w:val="007F232D"/>
    <w:rsid w:val="007F2672"/>
    <w:rsid w:val="007F288A"/>
    <w:rsid w:val="007F2CD4"/>
    <w:rsid w:val="007F306D"/>
    <w:rsid w:val="007F30A5"/>
    <w:rsid w:val="007F3475"/>
    <w:rsid w:val="007F353D"/>
    <w:rsid w:val="007F35BE"/>
    <w:rsid w:val="007F374E"/>
    <w:rsid w:val="007F38A5"/>
    <w:rsid w:val="007F394B"/>
    <w:rsid w:val="007F3C10"/>
    <w:rsid w:val="007F4203"/>
    <w:rsid w:val="007F472E"/>
    <w:rsid w:val="007F49B0"/>
    <w:rsid w:val="007F4CA1"/>
    <w:rsid w:val="007F4DDE"/>
    <w:rsid w:val="007F5649"/>
    <w:rsid w:val="007F564A"/>
    <w:rsid w:val="007F572A"/>
    <w:rsid w:val="007F5A9C"/>
    <w:rsid w:val="007F5E8B"/>
    <w:rsid w:val="007F5F62"/>
    <w:rsid w:val="007F611F"/>
    <w:rsid w:val="007F624B"/>
    <w:rsid w:val="007F656E"/>
    <w:rsid w:val="007F663A"/>
    <w:rsid w:val="007F66EE"/>
    <w:rsid w:val="007F671F"/>
    <w:rsid w:val="007F68F5"/>
    <w:rsid w:val="007F76FF"/>
    <w:rsid w:val="007F7836"/>
    <w:rsid w:val="007F79BE"/>
    <w:rsid w:val="007F7D23"/>
    <w:rsid w:val="008005BE"/>
    <w:rsid w:val="00800893"/>
    <w:rsid w:val="008009F0"/>
    <w:rsid w:val="00800A36"/>
    <w:rsid w:val="00800B9C"/>
    <w:rsid w:val="00800E25"/>
    <w:rsid w:val="00800F84"/>
    <w:rsid w:val="00801096"/>
    <w:rsid w:val="00801137"/>
    <w:rsid w:val="008011CA"/>
    <w:rsid w:val="008018C6"/>
    <w:rsid w:val="008018FA"/>
    <w:rsid w:val="00801D89"/>
    <w:rsid w:val="0080212D"/>
    <w:rsid w:val="0080258D"/>
    <w:rsid w:val="0080271F"/>
    <w:rsid w:val="008027DA"/>
    <w:rsid w:val="00802A79"/>
    <w:rsid w:val="00802A9B"/>
    <w:rsid w:val="00802CB9"/>
    <w:rsid w:val="00802D16"/>
    <w:rsid w:val="00802DC9"/>
    <w:rsid w:val="008030E4"/>
    <w:rsid w:val="008031EC"/>
    <w:rsid w:val="00803739"/>
    <w:rsid w:val="008038B3"/>
    <w:rsid w:val="00803940"/>
    <w:rsid w:val="008039CA"/>
    <w:rsid w:val="00803EAB"/>
    <w:rsid w:val="00803F28"/>
    <w:rsid w:val="0080435C"/>
    <w:rsid w:val="00804522"/>
    <w:rsid w:val="008046B5"/>
    <w:rsid w:val="00804869"/>
    <w:rsid w:val="00804AD6"/>
    <w:rsid w:val="00804F2D"/>
    <w:rsid w:val="00805119"/>
    <w:rsid w:val="008053FB"/>
    <w:rsid w:val="008056B5"/>
    <w:rsid w:val="008057E8"/>
    <w:rsid w:val="00805A3C"/>
    <w:rsid w:val="00805B9B"/>
    <w:rsid w:val="00805D28"/>
    <w:rsid w:val="00805FB0"/>
    <w:rsid w:val="00806161"/>
    <w:rsid w:val="00806348"/>
    <w:rsid w:val="00806558"/>
    <w:rsid w:val="0080692A"/>
    <w:rsid w:val="00806C92"/>
    <w:rsid w:val="00806D64"/>
    <w:rsid w:val="00806E8F"/>
    <w:rsid w:val="0080715D"/>
    <w:rsid w:val="008072D6"/>
    <w:rsid w:val="00807482"/>
    <w:rsid w:val="0080790F"/>
    <w:rsid w:val="0080794E"/>
    <w:rsid w:val="00807CDC"/>
    <w:rsid w:val="00807E25"/>
    <w:rsid w:val="008102F7"/>
    <w:rsid w:val="00810672"/>
    <w:rsid w:val="00810872"/>
    <w:rsid w:val="008109D4"/>
    <w:rsid w:val="00810AD1"/>
    <w:rsid w:val="00810B51"/>
    <w:rsid w:val="008110A4"/>
    <w:rsid w:val="00811A05"/>
    <w:rsid w:val="00811A64"/>
    <w:rsid w:val="00811ACC"/>
    <w:rsid w:val="00811C1C"/>
    <w:rsid w:val="00811E47"/>
    <w:rsid w:val="008121AC"/>
    <w:rsid w:val="0081254C"/>
    <w:rsid w:val="0081258E"/>
    <w:rsid w:val="00812E84"/>
    <w:rsid w:val="008134CB"/>
    <w:rsid w:val="00813677"/>
    <w:rsid w:val="008137B0"/>
    <w:rsid w:val="008137E2"/>
    <w:rsid w:val="008138BE"/>
    <w:rsid w:val="00813E33"/>
    <w:rsid w:val="00813F1D"/>
    <w:rsid w:val="008140F3"/>
    <w:rsid w:val="00814265"/>
    <w:rsid w:val="00814472"/>
    <w:rsid w:val="008147D6"/>
    <w:rsid w:val="008148E6"/>
    <w:rsid w:val="00814A14"/>
    <w:rsid w:val="00814C51"/>
    <w:rsid w:val="00814D64"/>
    <w:rsid w:val="00814FAA"/>
    <w:rsid w:val="00815050"/>
    <w:rsid w:val="008154BD"/>
    <w:rsid w:val="008155A3"/>
    <w:rsid w:val="00815645"/>
    <w:rsid w:val="008157A2"/>
    <w:rsid w:val="00815C08"/>
    <w:rsid w:val="00815C35"/>
    <w:rsid w:val="00815E97"/>
    <w:rsid w:val="008161E2"/>
    <w:rsid w:val="008162A3"/>
    <w:rsid w:val="008168C4"/>
    <w:rsid w:val="0081694F"/>
    <w:rsid w:val="00816C34"/>
    <w:rsid w:val="00816DAD"/>
    <w:rsid w:val="00817606"/>
    <w:rsid w:val="008176D5"/>
    <w:rsid w:val="00817F19"/>
    <w:rsid w:val="008208AD"/>
    <w:rsid w:val="00820BFF"/>
    <w:rsid w:val="00820D7E"/>
    <w:rsid w:val="00820E53"/>
    <w:rsid w:val="00821182"/>
    <w:rsid w:val="00821EFE"/>
    <w:rsid w:val="00821FFC"/>
    <w:rsid w:val="00822020"/>
    <w:rsid w:val="00822415"/>
    <w:rsid w:val="0082288B"/>
    <w:rsid w:val="008229D7"/>
    <w:rsid w:val="00822CD5"/>
    <w:rsid w:val="00822E66"/>
    <w:rsid w:val="00822E80"/>
    <w:rsid w:val="00822EF9"/>
    <w:rsid w:val="00822F8D"/>
    <w:rsid w:val="00823954"/>
    <w:rsid w:val="00824058"/>
    <w:rsid w:val="00824610"/>
    <w:rsid w:val="00824864"/>
    <w:rsid w:val="00824885"/>
    <w:rsid w:val="00824CAB"/>
    <w:rsid w:val="00825180"/>
    <w:rsid w:val="0082527B"/>
    <w:rsid w:val="00825413"/>
    <w:rsid w:val="008254A7"/>
    <w:rsid w:val="00825826"/>
    <w:rsid w:val="00825AAC"/>
    <w:rsid w:val="00825D1C"/>
    <w:rsid w:val="00826D41"/>
    <w:rsid w:val="00826D7B"/>
    <w:rsid w:val="00826D9B"/>
    <w:rsid w:val="00826E4A"/>
    <w:rsid w:val="00826F9E"/>
    <w:rsid w:val="00827273"/>
    <w:rsid w:val="008276DE"/>
    <w:rsid w:val="00827750"/>
    <w:rsid w:val="00830203"/>
    <w:rsid w:val="00830320"/>
    <w:rsid w:val="00831247"/>
    <w:rsid w:val="008315DA"/>
    <w:rsid w:val="00831A10"/>
    <w:rsid w:val="00831A47"/>
    <w:rsid w:val="00831B24"/>
    <w:rsid w:val="00831C78"/>
    <w:rsid w:val="00831DC8"/>
    <w:rsid w:val="00831E69"/>
    <w:rsid w:val="0083203B"/>
    <w:rsid w:val="00832A3B"/>
    <w:rsid w:val="00832BE7"/>
    <w:rsid w:val="00832C3C"/>
    <w:rsid w:val="00832D64"/>
    <w:rsid w:val="00832D77"/>
    <w:rsid w:val="008332E0"/>
    <w:rsid w:val="00833365"/>
    <w:rsid w:val="00833554"/>
    <w:rsid w:val="008335E1"/>
    <w:rsid w:val="008336DD"/>
    <w:rsid w:val="00833994"/>
    <w:rsid w:val="00833DA8"/>
    <w:rsid w:val="00833F2B"/>
    <w:rsid w:val="008342E8"/>
    <w:rsid w:val="0083437D"/>
    <w:rsid w:val="0083443B"/>
    <w:rsid w:val="00834A73"/>
    <w:rsid w:val="00834BAA"/>
    <w:rsid w:val="00835110"/>
    <w:rsid w:val="0083540F"/>
    <w:rsid w:val="0083600C"/>
    <w:rsid w:val="00836250"/>
    <w:rsid w:val="0083683B"/>
    <w:rsid w:val="00836A1F"/>
    <w:rsid w:val="00836B8B"/>
    <w:rsid w:val="00836BC5"/>
    <w:rsid w:val="00836D38"/>
    <w:rsid w:val="0083716A"/>
    <w:rsid w:val="00837225"/>
    <w:rsid w:val="00837456"/>
    <w:rsid w:val="008374DB"/>
    <w:rsid w:val="008374EA"/>
    <w:rsid w:val="0083781F"/>
    <w:rsid w:val="0083786A"/>
    <w:rsid w:val="00837A85"/>
    <w:rsid w:val="00840205"/>
    <w:rsid w:val="008402CD"/>
    <w:rsid w:val="008403D3"/>
    <w:rsid w:val="008404B1"/>
    <w:rsid w:val="0084082B"/>
    <w:rsid w:val="00840995"/>
    <w:rsid w:val="00840AA8"/>
    <w:rsid w:val="00840B99"/>
    <w:rsid w:val="00840CAE"/>
    <w:rsid w:val="00840FE9"/>
    <w:rsid w:val="008412B1"/>
    <w:rsid w:val="008417BF"/>
    <w:rsid w:val="0084197D"/>
    <w:rsid w:val="00841A03"/>
    <w:rsid w:val="00841B88"/>
    <w:rsid w:val="00841C6A"/>
    <w:rsid w:val="00841F40"/>
    <w:rsid w:val="00842081"/>
    <w:rsid w:val="0084231A"/>
    <w:rsid w:val="008423CA"/>
    <w:rsid w:val="00842606"/>
    <w:rsid w:val="00842733"/>
    <w:rsid w:val="00842A37"/>
    <w:rsid w:val="00842B3E"/>
    <w:rsid w:val="00842BDE"/>
    <w:rsid w:val="00843173"/>
    <w:rsid w:val="00843441"/>
    <w:rsid w:val="00843667"/>
    <w:rsid w:val="00843819"/>
    <w:rsid w:val="00843AD1"/>
    <w:rsid w:val="00843C10"/>
    <w:rsid w:val="00843DD2"/>
    <w:rsid w:val="00843F56"/>
    <w:rsid w:val="008444D9"/>
    <w:rsid w:val="008446C2"/>
    <w:rsid w:val="00844C90"/>
    <w:rsid w:val="00844CA6"/>
    <w:rsid w:val="00844E06"/>
    <w:rsid w:val="00844FF7"/>
    <w:rsid w:val="00845182"/>
    <w:rsid w:val="00845535"/>
    <w:rsid w:val="008457AF"/>
    <w:rsid w:val="008459D5"/>
    <w:rsid w:val="008460AD"/>
    <w:rsid w:val="008464E1"/>
    <w:rsid w:val="00846A4A"/>
    <w:rsid w:val="00846C2F"/>
    <w:rsid w:val="00846E4F"/>
    <w:rsid w:val="00846F3A"/>
    <w:rsid w:val="008470BA"/>
    <w:rsid w:val="00850054"/>
    <w:rsid w:val="00850136"/>
    <w:rsid w:val="00850189"/>
    <w:rsid w:val="00850237"/>
    <w:rsid w:val="00850602"/>
    <w:rsid w:val="00850A64"/>
    <w:rsid w:val="00850D41"/>
    <w:rsid w:val="00850F79"/>
    <w:rsid w:val="0085115B"/>
    <w:rsid w:val="00851278"/>
    <w:rsid w:val="008516B4"/>
    <w:rsid w:val="00851742"/>
    <w:rsid w:val="00851A83"/>
    <w:rsid w:val="008524BD"/>
    <w:rsid w:val="00852A0A"/>
    <w:rsid w:val="00852FCF"/>
    <w:rsid w:val="00853247"/>
    <w:rsid w:val="00853678"/>
    <w:rsid w:val="00853695"/>
    <w:rsid w:val="0085375D"/>
    <w:rsid w:val="00853989"/>
    <w:rsid w:val="00853B87"/>
    <w:rsid w:val="00853C49"/>
    <w:rsid w:val="00853D9E"/>
    <w:rsid w:val="00853F04"/>
    <w:rsid w:val="00853F05"/>
    <w:rsid w:val="008541E8"/>
    <w:rsid w:val="008542F4"/>
    <w:rsid w:val="00854DF2"/>
    <w:rsid w:val="00855287"/>
    <w:rsid w:val="008552AF"/>
    <w:rsid w:val="008552EE"/>
    <w:rsid w:val="00855E0C"/>
    <w:rsid w:val="00855EA4"/>
    <w:rsid w:val="00855FE4"/>
    <w:rsid w:val="0085602F"/>
    <w:rsid w:val="0085673F"/>
    <w:rsid w:val="00856B95"/>
    <w:rsid w:val="00856ED4"/>
    <w:rsid w:val="00856FD7"/>
    <w:rsid w:val="0085707E"/>
    <w:rsid w:val="0085738B"/>
    <w:rsid w:val="0085748A"/>
    <w:rsid w:val="0085781A"/>
    <w:rsid w:val="00857945"/>
    <w:rsid w:val="00857B7E"/>
    <w:rsid w:val="00857DC1"/>
    <w:rsid w:val="00860207"/>
    <w:rsid w:val="00860208"/>
    <w:rsid w:val="00860B29"/>
    <w:rsid w:val="00860EFF"/>
    <w:rsid w:val="008611C8"/>
    <w:rsid w:val="008614FC"/>
    <w:rsid w:val="008618C7"/>
    <w:rsid w:val="0086196D"/>
    <w:rsid w:val="008619F1"/>
    <w:rsid w:val="00861A32"/>
    <w:rsid w:val="00861ABC"/>
    <w:rsid w:val="00861E69"/>
    <w:rsid w:val="00861EC7"/>
    <w:rsid w:val="008625BA"/>
    <w:rsid w:val="008626EA"/>
    <w:rsid w:val="00862799"/>
    <w:rsid w:val="0086288C"/>
    <w:rsid w:val="0086292A"/>
    <w:rsid w:val="00862A36"/>
    <w:rsid w:val="00862DA8"/>
    <w:rsid w:val="0086326D"/>
    <w:rsid w:val="008643B2"/>
    <w:rsid w:val="008646A6"/>
    <w:rsid w:val="0086489F"/>
    <w:rsid w:val="00864968"/>
    <w:rsid w:val="008649D7"/>
    <w:rsid w:val="00864C64"/>
    <w:rsid w:val="00865108"/>
    <w:rsid w:val="0086549F"/>
    <w:rsid w:val="00865657"/>
    <w:rsid w:val="008656E1"/>
    <w:rsid w:val="008658A1"/>
    <w:rsid w:val="00866225"/>
    <w:rsid w:val="00866388"/>
    <w:rsid w:val="008664F8"/>
    <w:rsid w:val="0086669D"/>
    <w:rsid w:val="008668E3"/>
    <w:rsid w:val="00866BFC"/>
    <w:rsid w:val="00866D5A"/>
    <w:rsid w:val="00866E94"/>
    <w:rsid w:val="0086712C"/>
    <w:rsid w:val="00867174"/>
    <w:rsid w:val="00867339"/>
    <w:rsid w:val="00867823"/>
    <w:rsid w:val="00867FDF"/>
    <w:rsid w:val="0087011C"/>
    <w:rsid w:val="00870129"/>
    <w:rsid w:val="0087048B"/>
    <w:rsid w:val="00870544"/>
    <w:rsid w:val="00870654"/>
    <w:rsid w:val="00870B35"/>
    <w:rsid w:val="00870B55"/>
    <w:rsid w:val="00870E0A"/>
    <w:rsid w:val="0087148D"/>
    <w:rsid w:val="00871BE8"/>
    <w:rsid w:val="00871DCF"/>
    <w:rsid w:val="008721FC"/>
    <w:rsid w:val="00872228"/>
    <w:rsid w:val="008726E2"/>
    <w:rsid w:val="008728A5"/>
    <w:rsid w:val="00872AE1"/>
    <w:rsid w:val="00872BC0"/>
    <w:rsid w:val="00872E94"/>
    <w:rsid w:val="00872FD0"/>
    <w:rsid w:val="008730F9"/>
    <w:rsid w:val="008737AB"/>
    <w:rsid w:val="0087383A"/>
    <w:rsid w:val="00873902"/>
    <w:rsid w:val="00873920"/>
    <w:rsid w:val="00873AB0"/>
    <w:rsid w:val="00873B51"/>
    <w:rsid w:val="00873C09"/>
    <w:rsid w:val="00874147"/>
    <w:rsid w:val="00874206"/>
    <w:rsid w:val="00874601"/>
    <w:rsid w:val="008746A6"/>
    <w:rsid w:val="008746EE"/>
    <w:rsid w:val="008747C4"/>
    <w:rsid w:val="00874995"/>
    <w:rsid w:val="00874C2B"/>
    <w:rsid w:val="0087504E"/>
    <w:rsid w:val="00875183"/>
    <w:rsid w:val="008753EE"/>
    <w:rsid w:val="008754E2"/>
    <w:rsid w:val="0087573A"/>
    <w:rsid w:val="00875BEE"/>
    <w:rsid w:val="00875CBB"/>
    <w:rsid w:val="00875F21"/>
    <w:rsid w:val="00875F38"/>
    <w:rsid w:val="0087679D"/>
    <w:rsid w:val="00877070"/>
    <w:rsid w:val="00877161"/>
    <w:rsid w:val="00877275"/>
    <w:rsid w:val="0087731A"/>
    <w:rsid w:val="008773FA"/>
    <w:rsid w:val="008778FF"/>
    <w:rsid w:val="00877AA4"/>
    <w:rsid w:val="0088003D"/>
    <w:rsid w:val="008804D7"/>
    <w:rsid w:val="00880611"/>
    <w:rsid w:val="0088083C"/>
    <w:rsid w:val="00880905"/>
    <w:rsid w:val="0088131A"/>
    <w:rsid w:val="00881395"/>
    <w:rsid w:val="008813EB"/>
    <w:rsid w:val="00881736"/>
    <w:rsid w:val="0088176A"/>
    <w:rsid w:val="00881B01"/>
    <w:rsid w:val="008821DC"/>
    <w:rsid w:val="0088244F"/>
    <w:rsid w:val="008827FC"/>
    <w:rsid w:val="0088299B"/>
    <w:rsid w:val="00882F53"/>
    <w:rsid w:val="0088325F"/>
    <w:rsid w:val="00883B41"/>
    <w:rsid w:val="00883E7D"/>
    <w:rsid w:val="00883FC6"/>
    <w:rsid w:val="00884028"/>
    <w:rsid w:val="0088438C"/>
    <w:rsid w:val="0088471A"/>
    <w:rsid w:val="0088497E"/>
    <w:rsid w:val="00884FAA"/>
    <w:rsid w:val="00885212"/>
    <w:rsid w:val="008856BC"/>
    <w:rsid w:val="0088582D"/>
    <w:rsid w:val="00886142"/>
    <w:rsid w:val="008861DC"/>
    <w:rsid w:val="00886282"/>
    <w:rsid w:val="008863F5"/>
    <w:rsid w:val="00886408"/>
    <w:rsid w:val="008864CD"/>
    <w:rsid w:val="00886A8F"/>
    <w:rsid w:val="0088719A"/>
    <w:rsid w:val="008871B7"/>
    <w:rsid w:val="008878B7"/>
    <w:rsid w:val="0088796F"/>
    <w:rsid w:val="008879FF"/>
    <w:rsid w:val="00887B4D"/>
    <w:rsid w:val="00887D58"/>
    <w:rsid w:val="00887FED"/>
    <w:rsid w:val="008905AF"/>
    <w:rsid w:val="008906AF"/>
    <w:rsid w:val="00890CCC"/>
    <w:rsid w:val="00891046"/>
    <w:rsid w:val="008911B2"/>
    <w:rsid w:val="008914EE"/>
    <w:rsid w:val="00891D87"/>
    <w:rsid w:val="00891E75"/>
    <w:rsid w:val="00891FB9"/>
    <w:rsid w:val="008921B2"/>
    <w:rsid w:val="008925C3"/>
    <w:rsid w:val="008927FD"/>
    <w:rsid w:val="0089282F"/>
    <w:rsid w:val="008928DD"/>
    <w:rsid w:val="00892B32"/>
    <w:rsid w:val="00893084"/>
    <w:rsid w:val="008933AE"/>
    <w:rsid w:val="00893490"/>
    <w:rsid w:val="008934B6"/>
    <w:rsid w:val="008935EA"/>
    <w:rsid w:val="0089372B"/>
    <w:rsid w:val="00893AA4"/>
    <w:rsid w:val="00893D44"/>
    <w:rsid w:val="00893F73"/>
    <w:rsid w:val="00894945"/>
    <w:rsid w:val="00894C42"/>
    <w:rsid w:val="00894F2A"/>
    <w:rsid w:val="00895383"/>
    <w:rsid w:val="00895392"/>
    <w:rsid w:val="0089541B"/>
    <w:rsid w:val="008957AF"/>
    <w:rsid w:val="00896630"/>
    <w:rsid w:val="008967E2"/>
    <w:rsid w:val="0089694E"/>
    <w:rsid w:val="008969AC"/>
    <w:rsid w:val="00897C98"/>
    <w:rsid w:val="00897DEB"/>
    <w:rsid w:val="008A0109"/>
    <w:rsid w:val="008A0131"/>
    <w:rsid w:val="008A091F"/>
    <w:rsid w:val="008A0CB0"/>
    <w:rsid w:val="008A150D"/>
    <w:rsid w:val="008A15E9"/>
    <w:rsid w:val="008A18E5"/>
    <w:rsid w:val="008A1A6D"/>
    <w:rsid w:val="008A1CF0"/>
    <w:rsid w:val="008A2001"/>
    <w:rsid w:val="008A2011"/>
    <w:rsid w:val="008A21C2"/>
    <w:rsid w:val="008A21F4"/>
    <w:rsid w:val="008A2967"/>
    <w:rsid w:val="008A2B3C"/>
    <w:rsid w:val="008A32AD"/>
    <w:rsid w:val="008A33E0"/>
    <w:rsid w:val="008A34B8"/>
    <w:rsid w:val="008A36A8"/>
    <w:rsid w:val="008A3BDB"/>
    <w:rsid w:val="008A3BE4"/>
    <w:rsid w:val="008A40E0"/>
    <w:rsid w:val="008A4326"/>
    <w:rsid w:val="008A4397"/>
    <w:rsid w:val="008A4F60"/>
    <w:rsid w:val="008A54DB"/>
    <w:rsid w:val="008A552C"/>
    <w:rsid w:val="008A555A"/>
    <w:rsid w:val="008A5876"/>
    <w:rsid w:val="008A5B7B"/>
    <w:rsid w:val="008A5C00"/>
    <w:rsid w:val="008A5FA8"/>
    <w:rsid w:val="008A627D"/>
    <w:rsid w:val="008A6B38"/>
    <w:rsid w:val="008A71E8"/>
    <w:rsid w:val="008A72DF"/>
    <w:rsid w:val="008A7406"/>
    <w:rsid w:val="008A77E4"/>
    <w:rsid w:val="008A78B4"/>
    <w:rsid w:val="008A7D72"/>
    <w:rsid w:val="008B009D"/>
    <w:rsid w:val="008B06CF"/>
    <w:rsid w:val="008B0754"/>
    <w:rsid w:val="008B08BA"/>
    <w:rsid w:val="008B0A28"/>
    <w:rsid w:val="008B0C18"/>
    <w:rsid w:val="008B0C1E"/>
    <w:rsid w:val="008B1086"/>
    <w:rsid w:val="008B19B2"/>
    <w:rsid w:val="008B27A0"/>
    <w:rsid w:val="008B30C5"/>
    <w:rsid w:val="008B31C5"/>
    <w:rsid w:val="008B3329"/>
    <w:rsid w:val="008B3395"/>
    <w:rsid w:val="008B3BC3"/>
    <w:rsid w:val="008B3D82"/>
    <w:rsid w:val="008B3E5A"/>
    <w:rsid w:val="008B401E"/>
    <w:rsid w:val="008B4251"/>
    <w:rsid w:val="008B4472"/>
    <w:rsid w:val="008B47CC"/>
    <w:rsid w:val="008B4816"/>
    <w:rsid w:val="008B4A5D"/>
    <w:rsid w:val="008B4AB1"/>
    <w:rsid w:val="008B4B19"/>
    <w:rsid w:val="008B52B1"/>
    <w:rsid w:val="008B5366"/>
    <w:rsid w:val="008B5688"/>
    <w:rsid w:val="008B57AA"/>
    <w:rsid w:val="008B57E6"/>
    <w:rsid w:val="008B5AA1"/>
    <w:rsid w:val="008B5B8B"/>
    <w:rsid w:val="008B6163"/>
    <w:rsid w:val="008B6491"/>
    <w:rsid w:val="008B682C"/>
    <w:rsid w:val="008B69EB"/>
    <w:rsid w:val="008B6FF5"/>
    <w:rsid w:val="008B7552"/>
    <w:rsid w:val="008B764C"/>
    <w:rsid w:val="008B7811"/>
    <w:rsid w:val="008B7A13"/>
    <w:rsid w:val="008B7D0A"/>
    <w:rsid w:val="008B7EC4"/>
    <w:rsid w:val="008C0527"/>
    <w:rsid w:val="008C061C"/>
    <w:rsid w:val="008C0A31"/>
    <w:rsid w:val="008C0B12"/>
    <w:rsid w:val="008C0CAA"/>
    <w:rsid w:val="008C0FD2"/>
    <w:rsid w:val="008C1397"/>
    <w:rsid w:val="008C17EA"/>
    <w:rsid w:val="008C196D"/>
    <w:rsid w:val="008C1A33"/>
    <w:rsid w:val="008C1C0B"/>
    <w:rsid w:val="008C20AA"/>
    <w:rsid w:val="008C224D"/>
    <w:rsid w:val="008C26FD"/>
    <w:rsid w:val="008C2B66"/>
    <w:rsid w:val="008C2ED5"/>
    <w:rsid w:val="008C308E"/>
    <w:rsid w:val="008C3C4B"/>
    <w:rsid w:val="008C3CD4"/>
    <w:rsid w:val="008C4584"/>
    <w:rsid w:val="008C4696"/>
    <w:rsid w:val="008C4AE9"/>
    <w:rsid w:val="008C4D31"/>
    <w:rsid w:val="008C520E"/>
    <w:rsid w:val="008C5250"/>
    <w:rsid w:val="008C556C"/>
    <w:rsid w:val="008C5AF1"/>
    <w:rsid w:val="008C5C2A"/>
    <w:rsid w:val="008C5D11"/>
    <w:rsid w:val="008C6966"/>
    <w:rsid w:val="008C6A6C"/>
    <w:rsid w:val="008C6AA9"/>
    <w:rsid w:val="008C6E21"/>
    <w:rsid w:val="008C74E3"/>
    <w:rsid w:val="008C779E"/>
    <w:rsid w:val="008C7A0B"/>
    <w:rsid w:val="008C7A55"/>
    <w:rsid w:val="008C7D92"/>
    <w:rsid w:val="008D023D"/>
    <w:rsid w:val="008D0494"/>
    <w:rsid w:val="008D0A90"/>
    <w:rsid w:val="008D0E54"/>
    <w:rsid w:val="008D1053"/>
    <w:rsid w:val="008D123D"/>
    <w:rsid w:val="008D1272"/>
    <w:rsid w:val="008D127D"/>
    <w:rsid w:val="008D196B"/>
    <w:rsid w:val="008D1A5B"/>
    <w:rsid w:val="008D1EF7"/>
    <w:rsid w:val="008D206A"/>
    <w:rsid w:val="008D206F"/>
    <w:rsid w:val="008D2153"/>
    <w:rsid w:val="008D23CC"/>
    <w:rsid w:val="008D25F3"/>
    <w:rsid w:val="008D283D"/>
    <w:rsid w:val="008D2DFB"/>
    <w:rsid w:val="008D31B3"/>
    <w:rsid w:val="008D327B"/>
    <w:rsid w:val="008D35FB"/>
    <w:rsid w:val="008D35FE"/>
    <w:rsid w:val="008D36A6"/>
    <w:rsid w:val="008D39A8"/>
    <w:rsid w:val="008D3C4F"/>
    <w:rsid w:val="008D3DAE"/>
    <w:rsid w:val="008D4262"/>
    <w:rsid w:val="008D47E6"/>
    <w:rsid w:val="008D4848"/>
    <w:rsid w:val="008D4962"/>
    <w:rsid w:val="008D49E9"/>
    <w:rsid w:val="008D4E66"/>
    <w:rsid w:val="008D4EA2"/>
    <w:rsid w:val="008D4F7A"/>
    <w:rsid w:val="008D50F7"/>
    <w:rsid w:val="008D51A7"/>
    <w:rsid w:val="008D53C5"/>
    <w:rsid w:val="008D57B3"/>
    <w:rsid w:val="008D58A4"/>
    <w:rsid w:val="008D5929"/>
    <w:rsid w:val="008D596D"/>
    <w:rsid w:val="008D5A0E"/>
    <w:rsid w:val="008D5BAB"/>
    <w:rsid w:val="008D5BDE"/>
    <w:rsid w:val="008D5EF1"/>
    <w:rsid w:val="008D61B9"/>
    <w:rsid w:val="008D61D0"/>
    <w:rsid w:val="008D641C"/>
    <w:rsid w:val="008D644E"/>
    <w:rsid w:val="008D6B66"/>
    <w:rsid w:val="008D73DC"/>
    <w:rsid w:val="008D7B3C"/>
    <w:rsid w:val="008E0009"/>
    <w:rsid w:val="008E0557"/>
    <w:rsid w:val="008E099D"/>
    <w:rsid w:val="008E0BBB"/>
    <w:rsid w:val="008E0C41"/>
    <w:rsid w:val="008E0F4E"/>
    <w:rsid w:val="008E1019"/>
    <w:rsid w:val="008E1D24"/>
    <w:rsid w:val="008E1E93"/>
    <w:rsid w:val="008E2A26"/>
    <w:rsid w:val="008E2D3D"/>
    <w:rsid w:val="008E3202"/>
    <w:rsid w:val="008E3875"/>
    <w:rsid w:val="008E397D"/>
    <w:rsid w:val="008E39E6"/>
    <w:rsid w:val="008E3BD0"/>
    <w:rsid w:val="008E5295"/>
    <w:rsid w:val="008E5735"/>
    <w:rsid w:val="008E5759"/>
    <w:rsid w:val="008E5C11"/>
    <w:rsid w:val="008E6435"/>
    <w:rsid w:val="008E6440"/>
    <w:rsid w:val="008E657B"/>
    <w:rsid w:val="008E6616"/>
    <w:rsid w:val="008E6617"/>
    <w:rsid w:val="008E6619"/>
    <w:rsid w:val="008E6731"/>
    <w:rsid w:val="008E6E53"/>
    <w:rsid w:val="008E6FEE"/>
    <w:rsid w:val="008E7368"/>
    <w:rsid w:val="008E743F"/>
    <w:rsid w:val="008E7572"/>
    <w:rsid w:val="008E7584"/>
    <w:rsid w:val="008E7927"/>
    <w:rsid w:val="008E7B19"/>
    <w:rsid w:val="008F0149"/>
    <w:rsid w:val="008F026F"/>
    <w:rsid w:val="008F05B3"/>
    <w:rsid w:val="008F088E"/>
    <w:rsid w:val="008F09AB"/>
    <w:rsid w:val="008F10B6"/>
    <w:rsid w:val="008F17CA"/>
    <w:rsid w:val="008F1D42"/>
    <w:rsid w:val="008F238C"/>
    <w:rsid w:val="008F2C1C"/>
    <w:rsid w:val="008F2C81"/>
    <w:rsid w:val="008F3376"/>
    <w:rsid w:val="008F3C27"/>
    <w:rsid w:val="008F3F6E"/>
    <w:rsid w:val="008F4C54"/>
    <w:rsid w:val="008F4D81"/>
    <w:rsid w:val="008F5490"/>
    <w:rsid w:val="008F5A7C"/>
    <w:rsid w:val="008F5CDF"/>
    <w:rsid w:val="008F5D73"/>
    <w:rsid w:val="008F60EA"/>
    <w:rsid w:val="008F60F9"/>
    <w:rsid w:val="008F65BC"/>
    <w:rsid w:val="008F6609"/>
    <w:rsid w:val="008F6655"/>
    <w:rsid w:val="008F6771"/>
    <w:rsid w:val="008F6C53"/>
    <w:rsid w:val="008F6CA0"/>
    <w:rsid w:val="008F6FA8"/>
    <w:rsid w:val="008F727E"/>
    <w:rsid w:val="008F7ADA"/>
    <w:rsid w:val="008F7EB6"/>
    <w:rsid w:val="00900131"/>
    <w:rsid w:val="0090071C"/>
    <w:rsid w:val="00900721"/>
    <w:rsid w:val="009007CE"/>
    <w:rsid w:val="00900C40"/>
    <w:rsid w:val="00900C55"/>
    <w:rsid w:val="009010B1"/>
    <w:rsid w:val="00901166"/>
    <w:rsid w:val="009019CD"/>
    <w:rsid w:val="00901E89"/>
    <w:rsid w:val="0090229C"/>
    <w:rsid w:val="0090309D"/>
    <w:rsid w:val="00903226"/>
    <w:rsid w:val="00903258"/>
    <w:rsid w:val="0090422A"/>
    <w:rsid w:val="0090447D"/>
    <w:rsid w:val="009046A3"/>
    <w:rsid w:val="0090480D"/>
    <w:rsid w:val="009048B4"/>
    <w:rsid w:val="009048CA"/>
    <w:rsid w:val="00904A7C"/>
    <w:rsid w:val="00904DED"/>
    <w:rsid w:val="00904E16"/>
    <w:rsid w:val="00904F59"/>
    <w:rsid w:val="009050DF"/>
    <w:rsid w:val="0090565C"/>
    <w:rsid w:val="00905663"/>
    <w:rsid w:val="00906258"/>
    <w:rsid w:val="00906287"/>
    <w:rsid w:val="0090628E"/>
    <w:rsid w:val="00906491"/>
    <w:rsid w:val="00906FD9"/>
    <w:rsid w:val="00907133"/>
    <w:rsid w:val="009071A0"/>
    <w:rsid w:val="00907651"/>
    <w:rsid w:val="00907BE9"/>
    <w:rsid w:val="00907E83"/>
    <w:rsid w:val="00907FB7"/>
    <w:rsid w:val="00910052"/>
    <w:rsid w:val="009101DA"/>
    <w:rsid w:val="0091024C"/>
    <w:rsid w:val="009103A7"/>
    <w:rsid w:val="009104F3"/>
    <w:rsid w:val="00910602"/>
    <w:rsid w:val="0091060F"/>
    <w:rsid w:val="0091068F"/>
    <w:rsid w:val="0091091C"/>
    <w:rsid w:val="009109C9"/>
    <w:rsid w:val="00910AAC"/>
    <w:rsid w:val="00910B46"/>
    <w:rsid w:val="00910BA8"/>
    <w:rsid w:val="00910CEB"/>
    <w:rsid w:val="00910F83"/>
    <w:rsid w:val="00910FCF"/>
    <w:rsid w:val="00911258"/>
    <w:rsid w:val="009114E2"/>
    <w:rsid w:val="00911624"/>
    <w:rsid w:val="00911813"/>
    <w:rsid w:val="00911884"/>
    <w:rsid w:val="0091190C"/>
    <w:rsid w:val="00911F51"/>
    <w:rsid w:val="009120B8"/>
    <w:rsid w:val="00912361"/>
    <w:rsid w:val="009123B1"/>
    <w:rsid w:val="009127E3"/>
    <w:rsid w:val="00912D95"/>
    <w:rsid w:val="00912ECE"/>
    <w:rsid w:val="0091337C"/>
    <w:rsid w:val="00913466"/>
    <w:rsid w:val="009136ED"/>
    <w:rsid w:val="00913992"/>
    <w:rsid w:val="00913D69"/>
    <w:rsid w:val="00913DC9"/>
    <w:rsid w:val="00913DE9"/>
    <w:rsid w:val="00913EDF"/>
    <w:rsid w:val="00914413"/>
    <w:rsid w:val="009144AA"/>
    <w:rsid w:val="00914821"/>
    <w:rsid w:val="00914B60"/>
    <w:rsid w:val="00914D6E"/>
    <w:rsid w:val="00914EEF"/>
    <w:rsid w:val="009153E7"/>
    <w:rsid w:val="00915C87"/>
    <w:rsid w:val="00915D35"/>
    <w:rsid w:val="00915EAD"/>
    <w:rsid w:val="009160BD"/>
    <w:rsid w:val="009161AF"/>
    <w:rsid w:val="00916AAB"/>
    <w:rsid w:val="00916F23"/>
    <w:rsid w:val="00916FC6"/>
    <w:rsid w:val="00917015"/>
    <w:rsid w:val="00917075"/>
    <w:rsid w:val="0091757D"/>
    <w:rsid w:val="00917788"/>
    <w:rsid w:val="00917847"/>
    <w:rsid w:val="00917D3F"/>
    <w:rsid w:val="009207A2"/>
    <w:rsid w:val="00920AB5"/>
    <w:rsid w:val="00920CC8"/>
    <w:rsid w:val="00920D89"/>
    <w:rsid w:val="0092111A"/>
    <w:rsid w:val="009213C6"/>
    <w:rsid w:val="009213F5"/>
    <w:rsid w:val="0092148E"/>
    <w:rsid w:val="0092170C"/>
    <w:rsid w:val="009222F3"/>
    <w:rsid w:val="00922448"/>
    <w:rsid w:val="0092265B"/>
    <w:rsid w:val="00922761"/>
    <w:rsid w:val="009229E2"/>
    <w:rsid w:val="00922ADC"/>
    <w:rsid w:val="00922EAD"/>
    <w:rsid w:val="00923072"/>
    <w:rsid w:val="00923137"/>
    <w:rsid w:val="009231CE"/>
    <w:rsid w:val="009234B9"/>
    <w:rsid w:val="00923709"/>
    <w:rsid w:val="00924271"/>
    <w:rsid w:val="009242A6"/>
    <w:rsid w:val="0092446C"/>
    <w:rsid w:val="00924497"/>
    <w:rsid w:val="009247AF"/>
    <w:rsid w:val="009249DD"/>
    <w:rsid w:val="00924DD9"/>
    <w:rsid w:val="00925135"/>
    <w:rsid w:val="009251E9"/>
    <w:rsid w:val="00925474"/>
    <w:rsid w:val="00925667"/>
    <w:rsid w:val="009258E1"/>
    <w:rsid w:val="00925937"/>
    <w:rsid w:val="00925996"/>
    <w:rsid w:val="00925AA9"/>
    <w:rsid w:val="009262F8"/>
    <w:rsid w:val="009263AA"/>
    <w:rsid w:val="00926858"/>
    <w:rsid w:val="00926B53"/>
    <w:rsid w:val="00926DB2"/>
    <w:rsid w:val="00926EAE"/>
    <w:rsid w:val="009273D9"/>
    <w:rsid w:val="00927448"/>
    <w:rsid w:val="00927460"/>
    <w:rsid w:val="009275CB"/>
    <w:rsid w:val="009278D6"/>
    <w:rsid w:val="009279AD"/>
    <w:rsid w:val="009279C6"/>
    <w:rsid w:val="009279FE"/>
    <w:rsid w:val="00927AD4"/>
    <w:rsid w:val="009301CD"/>
    <w:rsid w:val="009309B3"/>
    <w:rsid w:val="00930BB8"/>
    <w:rsid w:val="00930C80"/>
    <w:rsid w:val="00930E97"/>
    <w:rsid w:val="00931119"/>
    <w:rsid w:val="0093145E"/>
    <w:rsid w:val="0093170D"/>
    <w:rsid w:val="009331F9"/>
    <w:rsid w:val="009333D0"/>
    <w:rsid w:val="009335EA"/>
    <w:rsid w:val="0093380C"/>
    <w:rsid w:val="00933B5D"/>
    <w:rsid w:val="00933F23"/>
    <w:rsid w:val="00934218"/>
    <w:rsid w:val="00934234"/>
    <w:rsid w:val="0093436F"/>
    <w:rsid w:val="00934461"/>
    <w:rsid w:val="00934AA7"/>
    <w:rsid w:val="00935198"/>
    <w:rsid w:val="00935606"/>
    <w:rsid w:val="009359F6"/>
    <w:rsid w:val="00935EDD"/>
    <w:rsid w:val="00936147"/>
    <w:rsid w:val="00936499"/>
    <w:rsid w:val="009367E5"/>
    <w:rsid w:val="009368E4"/>
    <w:rsid w:val="00936B21"/>
    <w:rsid w:val="00936D8F"/>
    <w:rsid w:val="00936ED8"/>
    <w:rsid w:val="00936FA0"/>
    <w:rsid w:val="009377FD"/>
    <w:rsid w:val="00937A19"/>
    <w:rsid w:val="00937ADA"/>
    <w:rsid w:val="00937CD3"/>
    <w:rsid w:val="00937D3B"/>
    <w:rsid w:val="0094056D"/>
    <w:rsid w:val="00940989"/>
    <w:rsid w:val="00940994"/>
    <w:rsid w:val="00940A44"/>
    <w:rsid w:val="00940A49"/>
    <w:rsid w:val="00940DD8"/>
    <w:rsid w:val="00940FA8"/>
    <w:rsid w:val="009413A3"/>
    <w:rsid w:val="00941407"/>
    <w:rsid w:val="00941FC0"/>
    <w:rsid w:val="0094203E"/>
    <w:rsid w:val="009423C9"/>
    <w:rsid w:val="009428AA"/>
    <w:rsid w:val="00942E17"/>
    <w:rsid w:val="009432D0"/>
    <w:rsid w:val="0094389F"/>
    <w:rsid w:val="009440CD"/>
    <w:rsid w:val="009443E0"/>
    <w:rsid w:val="009444CB"/>
    <w:rsid w:val="00944E9A"/>
    <w:rsid w:val="0094535B"/>
    <w:rsid w:val="009457EC"/>
    <w:rsid w:val="00945F18"/>
    <w:rsid w:val="00945F4B"/>
    <w:rsid w:val="009460D9"/>
    <w:rsid w:val="0094628F"/>
    <w:rsid w:val="0094645C"/>
    <w:rsid w:val="00946476"/>
    <w:rsid w:val="0094658A"/>
    <w:rsid w:val="00946844"/>
    <w:rsid w:val="00946AB3"/>
    <w:rsid w:val="00946C7C"/>
    <w:rsid w:val="00946CEA"/>
    <w:rsid w:val="00946D5B"/>
    <w:rsid w:val="00946E0C"/>
    <w:rsid w:val="00946F21"/>
    <w:rsid w:val="0094762D"/>
    <w:rsid w:val="009478A6"/>
    <w:rsid w:val="00950013"/>
    <w:rsid w:val="00950485"/>
    <w:rsid w:val="00950878"/>
    <w:rsid w:val="00950AD2"/>
    <w:rsid w:val="00950C13"/>
    <w:rsid w:val="00951214"/>
    <w:rsid w:val="00951480"/>
    <w:rsid w:val="0095183B"/>
    <w:rsid w:val="00951840"/>
    <w:rsid w:val="00951877"/>
    <w:rsid w:val="00951E3B"/>
    <w:rsid w:val="0095201E"/>
    <w:rsid w:val="009523BE"/>
    <w:rsid w:val="0095293F"/>
    <w:rsid w:val="00952AEE"/>
    <w:rsid w:val="00952BC6"/>
    <w:rsid w:val="00952BDB"/>
    <w:rsid w:val="00952C0A"/>
    <w:rsid w:val="00952C58"/>
    <w:rsid w:val="00952EA2"/>
    <w:rsid w:val="0095376B"/>
    <w:rsid w:val="00953788"/>
    <w:rsid w:val="00953AD6"/>
    <w:rsid w:val="00953C31"/>
    <w:rsid w:val="009541B8"/>
    <w:rsid w:val="009543F1"/>
    <w:rsid w:val="009544C8"/>
    <w:rsid w:val="00954683"/>
    <w:rsid w:val="0095483A"/>
    <w:rsid w:val="00954E7C"/>
    <w:rsid w:val="00955081"/>
    <w:rsid w:val="009551B6"/>
    <w:rsid w:val="00955254"/>
    <w:rsid w:val="009552D1"/>
    <w:rsid w:val="0095551A"/>
    <w:rsid w:val="009555E0"/>
    <w:rsid w:val="009555E4"/>
    <w:rsid w:val="00955713"/>
    <w:rsid w:val="00955778"/>
    <w:rsid w:val="00955A8A"/>
    <w:rsid w:val="00955CF8"/>
    <w:rsid w:val="00955F22"/>
    <w:rsid w:val="00955FAC"/>
    <w:rsid w:val="009560BA"/>
    <w:rsid w:val="00956407"/>
    <w:rsid w:val="00956704"/>
    <w:rsid w:val="00956E9A"/>
    <w:rsid w:val="00957227"/>
    <w:rsid w:val="009572E3"/>
    <w:rsid w:val="009574DC"/>
    <w:rsid w:val="00957C72"/>
    <w:rsid w:val="00957DA1"/>
    <w:rsid w:val="00960068"/>
    <w:rsid w:val="009602D0"/>
    <w:rsid w:val="0096033A"/>
    <w:rsid w:val="00960494"/>
    <w:rsid w:val="00960AF9"/>
    <w:rsid w:val="00960BB3"/>
    <w:rsid w:val="009610B9"/>
    <w:rsid w:val="009615B1"/>
    <w:rsid w:val="009615E7"/>
    <w:rsid w:val="00961A4B"/>
    <w:rsid w:val="00962391"/>
    <w:rsid w:val="009623B0"/>
    <w:rsid w:val="009623C9"/>
    <w:rsid w:val="009624A0"/>
    <w:rsid w:val="009625CF"/>
    <w:rsid w:val="00962A9D"/>
    <w:rsid w:val="00962AC2"/>
    <w:rsid w:val="00962D08"/>
    <w:rsid w:val="0096300C"/>
    <w:rsid w:val="0096309E"/>
    <w:rsid w:val="00963282"/>
    <w:rsid w:val="009632DE"/>
    <w:rsid w:val="00963755"/>
    <w:rsid w:val="009639C9"/>
    <w:rsid w:val="00963BA6"/>
    <w:rsid w:val="00963CD1"/>
    <w:rsid w:val="00963D1B"/>
    <w:rsid w:val="009640EF"/>
    <w:rsid w:val="00964462"/>
    <w:rsid w:val="009648B3"/>
    <w:rsid w:val="00964970"/>
    <w:rsid w:val="009649F1"/>
    <w:rsid w:val="00964A72"/>
    <w:rsid w:val="00964AD9"/>
    <w:rsid w:val="00965014"/>
    <w:rsid w:val="009651C1"/>
    <w:rsid w:val="0096520A"/>
    <w:rsid w:val="0096580F"/>
    <w:rsid w:val="00965957"/>
    <w:rsid w:val="009659F9"/>
    <w:rsid w:val="00965BF6"/>
    <w:rsid w:val="00965FFC"/>
    <w:rsid w:val="00966231"/>
    <w:rsid w:val="009665B8"/>
    <w:rsid w:val="009668ED"/>
    <w:rsid w:val="00966B8D"/>
    <w:rsid w:val="00967066"/>
    <w:rsid w:val="0096708F"/>
    <w:rsid w:val="009679E3"/>
    <w:rsid w:val="00967FEE"/>
    <w:rsid w:val="0097032E"/>
    <w:rsid w:val="00970423"/>
    <w:rsid w:val="0097043B"/>
    <w:rsid w:val="0097062F"/>
    <w:rsid w:val="009707A7"/>
    <w:rsid w:val="00971110"/>
    <w:rsid w:val="0097114F"/>
    <w:rsid w:val="009712A8"/>
    <w:rsid w:val="00971377"/>
    <w:rsid w:val="00971AB9"/>
    <w:rsid w:val="00971C56"/>
    <w:rsid w:val="00971CE0"/>
    <w:rsid w:val="00971E74"/>
    <w:rsid w:val="009722B0"/>
    <w:rsid w:val="00972313"/>
    <w:rsid w:val="00972684"/>
    <w:rsid w:val="00972D9D"/>
    <w:rsid w:val="0097310A"/>
    <w:rsid w:val="00973780"/>
    <w:rsid w:val="00973851"/>
    <w:rsid w:val="00973854"/>
    <w:rsid w:val="009739CB"/>
    <w:rsid w:val="00973E1A"/>
    <w:rsid w:val="009744A6"/>
    <w:rsid w:val="009744B5"/>
    <w:rsid w:val="00974823"/>
    <w:rsid w:val="00974A47"/>
    <w:rsid w:val="00974A6A"/>
    <w:rsid w:val="00974B22"/>
    <w:rsid w:val="00974B5F"/>
    <w:rsid w:val="00974CB3"/>
    <w:rsid w:val="00974D21"/>
    <w:rsid w:val="00974EB9"/>
    <w:rsid w:val="00974F2E"/>
    <w:rsid w:val="00975048"/>
    <w:rsid w:val="009754E5"/>
    <w:rsid w:val="00975B1E"/>
    <w:rsid w:val="00976354"/>
    <w:rsid w:val="009763FA"/>
    <w:rsid w:val="009768CA"/>
    <w:rsid w:val="00976963"/>
    <w:rsid w:val="00976DAF"/>
    <w:rsid w:val="00976DCD"/>
    <w:rsid w:val="009770E2"/>
    <w:rsid w:val="00977732"/>
    <w:rsid w:val="009777B8"/>
    <w:rsid w:val="009777EA"/>
    <w:rsid w:val="009778E3"/>
    <w:rsid w:val="0098034B"/>
    <w:rsid w:val="009803A9"/>
    <w:rsid w:val="009803AA"/>
    <w:rsid w:val="009805E9"/>
    <w:rsid w:val="00980994"/>
    <w:rsid w:val="00980A7F"/>
    <w:rsid w:val="00980CB9"/>
    <w:rsid w:val="00980D92"/>
    <w:rsid w:val="00980DA7"/>
    <w:rsid w:val="00980ECD"/>
    <w:rsid w:val="00981707"/>
    <w:rsid w:val="00981854"/>
    <w:rsid w:val="00981B09"/>
    <w:rsid w:val="00981CAC"/>
    <w:rsid w:val="00981D38"/>
    <w:rsid w:val="00981D7C"/>
    <w:rsid w:val="0098218F"/>
    <w:rsid w:val="009825B7"/>
    <w:rsid w:val="0098296C"/>
    <w:rsid w:val="009829A1"/>
    <w:rsid w:val="00982B33"/>
    <w:rsid w:val="00982EA7"/>
    <w:rsid w:val="009831BA"/>
    <w:rsid w:val="00983373"/>
    <w:rsid w:val="0098379D"/>
    <w:rsid w:val="009841CB"/>
    <w:rsid w:val="009845FE"/>
    <w:rsid w:val="0098508F"/>
    <w:rsid w:val="00985092"/>
    <w:rsid w:val="0098513C"/>
    <w:rsid w:val="00985509"/>
    <w:rsid w:val="009855A0"/>
    <w:rsid w:val="00985696"/>
    <w:rsid w:val="00985964"/>
    <w:rsid w:val="00985B62"/>
    <w:rsid w:val="00985C49"/>
    <w:rsid w:val="00985C8A"/>
    <w:rsid w:val="0098619A"/>
    <w:rsid w:val="00986228"/>
    <w:rsid w:val="009867EC"/>
    <w:rsid w:val="00986C68"/>
    <w:rsid w:val="00986CEE"/>
    <w:rsid w:val="0098707D"/>
    <w:rsid w:val="009871BD"/>
    <w:rsid w:val="00987258"/>
    <w:rsid w:val="00987263"/>
    <w:rsid w:val="00987369"/>
    <w:rsid w:val="009875DC"/>
    <w:rsid w:val="00987918"/>
    <w:rsid w:val="00987A91"/>
    <w:rsid w:val="00987D77"/>
    <w:rsid w:val="00987DC7"/>
    <w:rsid w:val="0099012A"/>
    <w:rsid w:val="009901A6"/>
    <w:rsid w:val="009901F0"/>
    <w:rsid w:val="0099035F"/>
    <w:rsid w:val="0099081E"/>
    <w:rsid w:val="00990820"/>
    <w:rsid w:val="00991446"/>
    <w:rsid w:val="00991B57"/>
    <w:rsid w:val="0099200F"/>
    <w:rsid w:val="00992276"/>
    <w:rsid w:val="0099227A"/>
    <w:rsid w:val="0099285F"/>
    <w:rsid w:val="00992958"/>
    <w:rsid w:val="009929C8"/>
    <w:rsid w:val="00992C93"/>
    <w:rsid w:val="00992CE3"/>
    <w:rsid w:val="00993348"/>
    <w:rsid w:val="009934B6"/>
    <w:rsid w:val="00993657"/>
    <w:rsid w:val="00993F71"/>
    <w:rsid w:val="0099451B"/>
    <w:rsid w:val="0099470B"/>
    <w:rsid w:val="00994C86"/>
    <w:rsid w:val="00994DFA"/>
    <w:rsid w:val="00994EFD"/>
    <w:rsid w:val="00994F1B"/>
    <w:rsid w:val="0099542F"/>
    <w:rsid w:val="00995456"/>
    <w:rsid w:val="00995624"/>
    <w:rsid w:val="009956C3"/>
    <w:rsid w:val="00995734"/>
    <w:rsid w:val="00995E2D"/>
    <w:rsid w:val="00995EE7"/>
    <w:rsid w:val="00995F44"/>
    <w:rsid w:val="0099616A"/>
    <w:rsid w:val="009961FE"/>
    <w:rsid w:val="0099644F"/>
    <w:rsid w:val="00996632"/>
    <w:rsid w:val="009971AD"/>
    <w:rsid w:val="00997829"/>
    <w:rsid w:val="00997D1E"/>
    <w:rsid w:val="00997DDE"/>
    <w:rsid w:val="00997F32"/>
    <w:rsid w:val="00997F54"/>
    <w:rsid w:val="009A00B6"/>
    <w:rsid w:val="009A0278"/>
    <w:rsid w:val="009A02F0"/>
    <w:rsid w:val="009A040A"/>
    <w:rsid w:val="009A05A3"/>
    <w:rsid w:val="009A05D1"/>
    <w:rsid w:val="009A0920"/>
    <w:rsid w:val="009A0B2B"/>
    <w:rsid w:val="009A0B4F"/>
    <w:rsid w:val="009A0D8E"/>
    <w:rsid w:val="009A0DA8"/>
    <w:rsid w:val="009A0F13"/>
    <w:rsid w:val="009A13FC"/>
    <w:rsid w:val="009A18ED"/>
    <w:rsid w:val="009A2766"/>
    <w:rsid w:val="009A2837"/>
    <w:rsid w:val="009A28B5"/>
    <w:rsid w:val="009A297B"/>
    <w:rsid w:val="009A2D6E"/>
    <w:rsid w:val="009A326C"/>
    <w:rsid w:val="009A32A6"/>
    <w:rsid w:val="009A35C4"/>
    <w:rsid w:val="009A3609"/>
    <w:rsid w:val="009A377D"/>
    <w:rsid w:val="009A3A54"/>
    <w:rsid w:val="009A3B38"/>
    <w:rsid w:val="009A4209"/>
    <w:rsid w:val="009A4255"/>
    <w:rsid w:val="009A4325"/>
    <w:rsid w:val="009A439A"/>
    <w:rsid w:val="009A440C"/>
    <w:rsid w:val="009A44FA"/>
    <w:rsid w:val="009A4DCF"/>
    <w:rsid w:val="009A4DFB"/>
    <w:rsid w:val="009A4FE5"/>
    <w:rsid w:val="009A518D"/>
    <w:rsid w:val="009A5253"/>
    <w:rsid w:val="009A5750"/>
    <w:rsid w:val="009A5ADB"/>
    <w:rsid w:val="009A5D7A"/>
    <w:rsid w:val="009A5FE7"/>
    <w:rsid w:val="009A603C"/>
    <w:rsid w:val="009A67C9"/>
    <w:rsid w:val="009A68A2"/>
    <w:rsid w:val="009A68CF"/>
    <w:rsid w:val="009A6CD2"/>
    <w:rsid w:val="009A6D8C"/>
    <w:rsid w:val="009A6EF3"/>
    <w:rsid w:val="009A7AB3"/>
    <w:rsid w:val="009A7C8D"/>
    <w:rsid w:val="009B02CF"/>
    <w:rsid w:val="009B06AF"/>
    <w:rsid w:val="009B0A3C"/>
    <w:rsid w:val="009B1153"/>
    <w:rsid w:val="009B124E"/>
    <w:rsid w:val="009B1498"/>
    <w:rsid w:val="009B15CD"/>
    <w:rsid w:val="009B1640"/>
    <w:rsid w:val="009B1843"/>
    <w:rsid w:val="009B19A2"/>
    <w:rsid w:val="009B19F9"/>
    <w:rsid w:val="009B1A13"/>
    <w:rsid w:val="009B1AC1"/>
    <w:rsid w:val="009B1B04"/>
    <w:rsid w:val="009B23B8"/>
    <w:rsid w:val="009B249C"/>
    <w:rsid w:val="009B26D2"/>
    <w:rsid w:val="009B27EC"/>
    <w:rsid w:val="009B27F8"/>
    <w:rsid w:val="009B2D50"/>
    <w:rsid w:val="009B3169"/>
    <w:rsid w:val="009B337F"/>
    <w:rsid w:val="009B33F7"/>
    <w:rsid w:val="009B36D4"/>
    <w:rsid w:val="009B3ACD"/>
    <w:rsid w:val="009B3E4B"/>
    <w:rsid w:val="009B40DA"/>
    <w:rsid w:val="009B44BB"/>
    <w:rsid w:val="009B479A"/>
    <w:rsid w:val="009B4827"/>
    <w:rsid w:val="009B488B"/>
    <w:rsid w:val="009B4C78"/>
    <w:rsid w:val="009B5562"/>
    <w:rsid w:val="009B55A4"/>
    <w:rsid w:val="009B5770"/>
    <w:rsid w:val="009B5CD9"/>
    <w:rsid w:val="009B5D37"/>
    <w:rsid w:val="009B5D5E"/>
    <w:rsid w:val="009B5DCB"/>
    <w:rsid w:val="009B5EBF"/>
    <w:rsid w:val="009B5EC8"/>
    <w:rsid w:val="009B605F"/>
    <w:rsid w:val="009B629F"/>
    <w:rsid w:val="009B6465"/>
    <w:rsid w:val="009B67DD"/>
    <w:rsid w:val="009B70F6"/>
    <w:rsid w:val="009B7310"/>
    <w:rsid w:val="009B7672"/>
    <w:rsid w:val="009B7B88"/>
    <w:rsid w:val="009C006E"/>
    <w:rsid w:val="009C01DE"/>
    <w:rsid w:val="009C055B"/>
    <w:rsid w:val="009C07CC"/>
    <w:rsid w:val="009C0C50"/>
    <w:rsid w:val="009C1223"/>
    <w:rsid w:val="009C1A78"/>
    <w:rsid w:val="009C1E46"/>
    <w:rsid w:val="009C236D"/>
    <w:rsid w:val="009C2937"/>
    <w:rsid w:val="009C2CE8"/>
    <w:rsid w:val="009C2D88"/>
    <w:rsid w:val="009C2E3B"/>
    <w:rsid w:val="009C3003"/>
    <w:rsid w:val="009C32A6"/>
    <w:rsid w:val="009C3398"/>
    <w:rsid w:val="009C3623"/>
    <w:rsid w:val="009C3655"/>
    <w:rsid w:val="009C3A3B"/>
    <w:rsid w:val="009C40A3"/>
    <w:rsid w:val="009C428B"/>
    <w:rsid w:val="009C4352"/>
    <w:rsid w:val="009C47F8"/>
    <w:rsid w:val="009C4C6D"/>
    <w:rsid w:val="009C4DE9"/>
    <w:rsid w:val="009C4EC8"/>
    <w:rsid w:val="009C52D4"/>
    <w:rsid w:val="009C5436"/>
    <w:rsid w:val="009C587E"/>
    <w:rsid w:val="009C5942"/>
    <w:rsid w:val="009C6001"/>
    <w:rsid w:val="009C6152"/>
    <w:rsid w:val="009C6326"/>
    <w:rsid w:val="009C63B2"/>
    <w:rsid w:val="009C651F"/>
    <w:rsid w:val="009C6DFF"/>
    <w:rsid w:val="009C6F87"/>
    <w:rsid w:val="009C75DB"/>
    <w:rsid w:val="009C7919"/>
    <w:rsid w:val="009C7ACB"/>
    <w:rsid w:val="009D00AC"/>
    <w:rsid w:val="009D06FA"/>
    <w:rsid w:val="009D0777"/>
    <w:rsid w:val="009D0827"/>
    <w:rsid w:val="009D0FA9"/>
    <w:rsid w:val="009D11DB"/>
    <w:rsid w:val="009D1387"/>
    <w:rsid w:val="009D18A4"/>
    <w:rsid w:val="009D19AC"/>
    <w:rsid w:val="009D1B1D"/>
    <w:rsid w:val="009D1B38"/>
    <w:rsid w:val="009D1B8B"/>
    <w:rsid w:val="009D1C96"/>
    <w:rsid w:val="009D1DA8"/>
    <w:rsid w:val="009D1FA4"/>
    <w:rsid w:val="009D230E"/>
    <w:rsid w:val="009D2315"/>
    <w:rsid w:val="009D2503"/>
    <w:rsid w:val="009D252D"/>
    <w:rsid w:val="009D2B88"/>
    <w:rsid w:val="009D2DB0"/>
    <w:rsid w:val="009D35B1"/>
    <w:rsid w:val="009D3833"/>
    <w:rsid w:val="009D3D0B"/>
    <w:rsid w:val="009D3F0D"/>
    <w:rsid w:val="009D3F76"/>
    <w:rsid w:val="009D496D"/>
    <w:rsid w:val="009D4A07"/>
    <w:rsid w:val="009D4C61"/>
    <w:rsid w:val="009D596B"/>
    <w:rsid w:val="009D5CD2"/>
    <w:rsid w:val="009D5E16"/>
    <w:rsid w:val="009D6205"/>
    <w:rsid w:val="009D64D6"/>
    <w:rsid w:val="009D67E6"/>
    <w:rsid w:val="009D6A32"/>
    <w:rsid w:val="009D6E01"/>
    <w:rsid w:val="009D6F63"/>
    <w:rsid w:val="009D7303"/>
    <w:rsid w:val="009D78AE"/>
    <w:rsid w:val="009D7EB4"/>
    <w:rsid w:val="009E045B"/>
    <w:rsid w:val="009E050E"/>
    <w:rsid w:val="009E077C"/>
    <w:rsid w:val="009E0A42"/>
    <w:rsid w:val="009E0BAD"/>
    <w:rsid w:val="009E0BD9"/>
    <w:rsid w:val="009E0F45"/>
    <w:rsid w:val="009E10ED"/>
    <w:rsid w:val="009E126B"/>
    <w:rsid w:val="009E1501"/>
    <w:rsid w:val="009E1A4B"/>
    <w:rsid w:val="009E1C88"/>
    <w:rsid w:val="009E1F1D"/>
    <w:rsid w:val="009E1F2D"/>
    <w:rsid w:val="009E2085"/>
    <w:rsid w:val="009E23FD"/>
    <w:rsid w:val="009E24B3"/>
    <w:rsid w:val="009E2C56"/>
    <w:rsid w:val="009E2F88"/>
    <w:rsid w:val="009E3414"/>
    <w:rsid w:val="009E3649"/>
    <w:rsid w:val="009E3B80"/>
    <w:rsid w:val="009E3DF3"/>
    <w:rsid w:val="009E4226"/>
    <w:rsid w:val="009E44FB"/>
    <w:rsid w:val="009E48E4"/>
    <w:rsid w:val="009E4C77"/>
    <w:rsid w:val="009E4E46"/>
    <w:rsid w:val="009E4F01"/>
    <w:rsid w:val="009E5388"/>
    <w:rsid w:val="009E54F6"/>
    <w:rsid w:val="009E5500"/>
    <w:rsid w:val="009E5697"/>
    <w:rsid w:val="009E5B6E"/>
    <w:rsid w:val="009E5D08"/>
    <w:rsid w:val="009E63DC"/>
    <w:rsid w:val="009E673D"/>
    <w:rsid w:val="009E6993"/>
    <w:rsid w:val="009E6A38"/>
    <w:rsid w:val="009E6C39"/>
    <w:rsid w:val="009E6CB0"/>
    <w:rsid w:val="009E6E9A"/>
    <w:rsid w:val="009E73DC"/>
    <w:rsid w:val="009E75B3"/>
    <w:rsid w:val="009E7614"/>
    <w:rsid w:val="009E7767"/>
    <w:rsid w:val="009E77D0"/>
    <w:rsid w:val="009E7975"/>
    <w:rsid w:val="009E7AEC"/>
    <w:rsid w:val="009E7B2C"/>
    <w:rsid w:val="009E7BF5"/>
    <w:rsid w:val="009E7C41"/>
    <w:rsid w:val="009E7DD6"/>
    <w:rsid w:val="009F0043"/>
    <w:rsid w:val="009F01F6"/>
    <w:rsid w:val="009F038C"/>
    <w:rsid w:val="009F079E"/>
    <w:rsid w:val="009F111A"/>
    <w:rsid w:val="009F115F"/>
    <w:rsid w:val="009F1533"/>
    <w:rsid w:val="009F1623"/>
    <w:rsid w:val="009F1729"/>
    <w:rsid w:val="009F1A71"/>
    <w:rsid w:val="009F1BB9"/>
    <w:rsid w:val="009F1CFA"/>
    <w:rsid w:val="009F2289"/>
    <w:rsid w:val="009F22EF"/>
    <w:rsid w:val="009F299F"/>
    <w:rsid w:val="009F29E6"/>
    <w:rsid w:val="009F2A59"/>
    <w:rsid w:val="009F2DFE"/>
    <w:rsid w:val="009F2E12"/>
    <w:rsid w:val="009F2E79"/>
    <w:rsid w:val="009F2F4B"/>
    <w:rsid w:val="009F3017"/>
    <w:rsid w:val="009F3368"/>
    <w:rsid w:val="009F33E6"/>
    <w:rsid w:val="009F33F4"/>
    <w:rsid w:val="009F3423"/>
    <w:rsid w:val="009F3648"/>
    <w:rsid w:val="009F36A9"/>
    <w:rsid w:val="009F385B"/>
    <w:rsid w:val="009F393B"/>
    <w:rsid w:val="009F3C05"/>
    <w:rsid w:val="009F3E5E"/>
    <w:rsid w:val="009F4007"/>
    <w:rsid w:val="009F40F9"/>
    <w:rsid w:val="009F45D6"/>
    <w:rsid w:val="009F4A5A"/>
    <w:rsid w:val="009F4DBE"/>
    <w:rsid w:val="009F4E60"/>
    <w:rsid w:val="009F51EA"/>
    <w:rsid w:val="009F547B"/>
    <w:rsid w:val="009F5967"/>
    <w:rsid w:val="009F5A90"/>
    <w:rsid w:val="009F5BBD"/>
    <w:rsid w:val="009F5DE8"/>
    <w:rsid w:val="009F622F"/>
    <w:rsid w:val="009F6803"/>
    <w:rsid w:val="009F6FE0"/>
    <w:rsid w:val="009F7C5E"/>
    <w:rsid w:val="00A00812"/>
    <w:rsid w:val="00A00B7F"/>
    <w:rsid w:val="00A00C1F"/>
    <w:rsid w:val="00A00E71"/>
    <w:rsid w:val="00A0158D"/>
    <w:rsid w:val="00A01A40"/>
    <w:rsid w:val="00A02083"/>
    <w:rsid w:val="00A02242"/>
    <w:rsid w:val="00A026FA"/>
    <w:rsid w:val="00A02777"/>
    <w:rsid w:val="00A02802"/>
    <w:rsid w:val="00A02A48"/>
    <w:rsid w:val="00A02B48"/>
    <w:rsid w:val="00A02E13"/>
    <w:rsid w:val="00A02EF5"/>
    <w:rsid w:val="00A02F86"/>
    <w:rsid w:val="00A0305F"/>
    <w:rsid w:val="00A03777"/>
    <w:rsid w:val="00A03B34"/>
    <w:rsid w:val="00A044B3"/>
    <w:rsid w:val="00A0450F"/>
    <w:rsid w:val="00A04B03"/>
    <w:rsid w:val="00A04FD5"/>
    <w:rsid w:val="00A054B7"/>
    <w:rsid w:val="00A05B05"/>
    <w:rsid w:val="00A05B54"/>
    <w:rsid w:val="00A05C0A"/>
    <w:rsid w:val="00A05EF4"/>
    <w:rsid w:val="00A05FD4"/>
    <w:rsid w:val="00A0609A"/>
    <w:rsid w:val="00A067DF"/>
    <w:rsid w:val="00A06985"/>
    <w:rsid w:val="00A069E9"/>
    <w:rsid w:val="00A06C64"/>
    <w:rsid w:val="00A06EF9"/>
    <w:rsid w:val="00A07149"/>
    <w:rsid w:val="00A07448"/>
    <w:rsid w:val="00A07A8A"/>
    <w:rsid w:val="00A07BA0"/>
    <w:rsid w:val="00A1044B"/>
    <w:rsid w:val="00A10715"/>
    <w:rsid w:val="00A10A3A"/>
    <w:rsid w:val="00A10E24"/>
    <w:rsid w:val="00A11052"/>
    <w:rsid w:val="00A11189"/>
    <w:rsid w:val="00A11563"/>
    <w:rsid w:val="00A1194A"/>
    <w:rsid w:val="00A11BC9"/>
    <w:rsid w:val="00A126A7"/>
    <w:rsid w:val="00A12779"/>
    <w:rsid w:val="00A12A9D"/>
    <w:rsid w:val="00A12B24"/>
    <w:rsid w:val="00A12C27"/>
    <w:rsid w:val="00A12E1C"/>
    <w:rsid w:val="00A13093"/>
    <w:rsid w:val="00A13131"/>
    <w:rsid w:val="00A13299"/>
    <w:rsid w:val="00A1347E"/>
    <w:rsid w:val="00A1350E"/>
    <w:rsid w:val="00A136E5"/>
    <w:rsid w:val="00A13A35"/>
    <w:rsid w:val="00A13A8E"/>
    <w:rsid w:val="00A13F56"/>
    <w:rsid w:val="00A14049"/>
    <w:rsid w:val="00A14061"/>
    <w:rsid w:val="00A142D4"/>
    <w:rsid w:val="00A14360"/>
    <w:rsid w:val="00A14BC6"/>
    <w:rsid w:val="00A14E27"/>
    <w:rsid w:val="00A14FA5"/>
    <w:rsid w:val="00A1521F"/>
    <w:rsid w:val="00A15709"/>
    <w:rsid w:val="00A1592E"/>
    <w:rsid w:val="00A15D0E"/>
    <w:rsid w:val="00A15D5F"/>
    <w:rsid w:val="00A160F8"/>
    <w:rsid w:val="00A170AC"/>
    <w:rsid w:val="00A172A0"/>
    <w:rsid w:val="00A1744D"/>
    <w:rsid w:val="00A174A1"/>
    <w:rsid w:val="00A179B7"/>
    <w:rsid w:val="00A17A8D"/>
    <w:rsid w:val="00A17BAD"/>
    <w:rsid w:val="00A200A0"/>
    <w:rsid w:val="00A20162"/>
    <w:rsid w:val="00A2066E"/>
    <w:rsid w:val="00A2074B"/>
    <w:rsid w:val="00A20CB3"/>
    <w:rsid w:val="00A210C3"/>
    <w:rsid w:val="00A21244"/>
    <w:rsid w:val="00A216C3"/>
    <w:rsid w:val="00A21852"/>
    <w:rsid w:val="00A218F6"/>
    <w:rsid w:val="00A219B8"/>
    <w:rsid w:val="00A21B4D"/>
    <w:rsid w:val="00A21DDD"/>
    <w:rsid w:val="00A21FFC"/>
    <w:rsid w:val="00A2289E"/>
    <w:rsid w:val="00A22962"/>
    <w:rsid w:val="00A22DE1"/>
    <w:rsid w:val="00A23348"/>
    <w:rsid w:val="00A2341B"/>
    <w:rsid w:val="00A23908"/>
    <w:rsid w:val="00A23A07"/>
    <w:rsid w:val="00A23C48"/>
    <w:rsid w:val="00A23F9B"/>
    <w:rsid w:val="00A241D5"/>
    <w:rsid w:val="00A24348"/>
    <w:rsid w:val="00A248A2"/>
    <w:rsid w:val="00A25105"/>
    <w:rsid w:val="00A2517A"/>
    <w:rsid w:val="00A2533D"/>
    <w:rsid w:val="00A25565"/>
    <w:rsid w:val="00A259C3"/>
    <w:rsid w:val="00A26465"/>
    <w:rsid w:val="00A264BF"/>
    <w:rsid w:val="00A26BF1"/>
    <w:rsid w:val="00A2706E"/>
    <w:rsid w:val="00A2779B"/>
    <w:rsid w:val="00A278C6"/>
    <w:rsid w:val="00A27973"/>
    <w:rsid w:val="00A27C78"/>
    <w:rsid w:val="00A27D10"/>
    <w:rsid w:val="00A27F63"/>
    <w:rsid w:val="00A30022"/>
    <w:rsid w:val="00A302BA"/>
    <w:rsid w:val="00A3033B"/>
    <w:rsid w:val="00A30734"/>
    <w:rsid w:val="00A307EB"/>
    <w:rsid w:val="00A3085E"/>
    <w:rsid w:val="00A308CE"/>
    <w:rsid w:val="00A30B5C"/>
    <w:rsid w:val="00A30E0E"/>
    <w:rsid w:val="00A30FD9"/>
    <w:rsid w:val="00A31026"/>
    <w:rsid w:val="00A313F0"/>
    <w:rsid w:val="00A315F0"/>
    <w:rsid w:val="00A317D1"/>
    <w:rsid w:val="00A31A65"/>
    <w:rsid w:val="00A322A4"/>
    <w:rsid w:val="00A3250D"/>
    <w:rsid w:val="00A32704"/>
    <w:rsid w:val="00A32DE4"/>
    <w:rsid w:val="00A32DED"/>
    <w:rsid w:val="00A32F54"/>
    <w:rsid w:val="00A330A5"/>
    <w:rsid w:val="00A33170"/>
    <w:rsid w:val="00A331DA"/>
    <w:rsid w:val="00A33443"/>
    <w:rsid w:val="00A3375B"/>
    <w:rsid w:val="00A337D0"/>
    <w:rsid w:val="00A339AA"/>
    <w:rsid w:val="00A33A87"/>
    <w:rsid w:val="00A33C42"/>
    <w:rsid w:val="00A33FEA"/>
    <w:rsid w:val="00A34314"/>
    <w:rsid w:val="00A343A9"/>
    <w:rsid w:val="00A34698"/>
    <w:rsid w:val="00A34DC6"/>
    <w:rsid w:val="00A34E62"/>
    <w:rsid w:val="00A350E1"/>
    <w:rsid w:val="00A35109"/>
    <w:rsid w:val="00A35427"/>
    <w:rsid w:val="00A355E6"/>
    <w:rsid w:val="00A35ED4"/>
    <w:rsid w:val="00A36127"/>
    <w:rsid w:val="00A36128"/>
    <w:rsid w:val="00A362EF"/>
    <w:rsid w:val="00A3639A"/>
    <w:rsid w:val="00A366FD"/>
    <w:rsid w:val="00A36F16"/>
    <w:rsid w:val="00A37379"/>
    <w:rsid w:val="00A37651"/>
    <w:rsid w:val="00A376D1"/>
    <w:rsid w:val="00A37733"/>
    <w:rsid w:val="00A37852"/>
    <w:rsid w:val="00A3793D"/>
    <w:rsid w:val="00A37999"/>
    <w:rsid w:val="00A37ABA"/>
    <w:rsid w:val="00A37D30"/>
    <w:rsid w:val="00A37E70"/>
    <w:rsid w:val="00A40248"/>
    <w:rsid w:val="00A40538"/>
    <w:rsid w:val="00A407D3"/>
    <w:rsid w:val="00A40851"/>
    <w:rsid w:val="00A40967"/>
    <w:rsid w:val="00A40D36"/>
    <w:rsid w:val="00A40F6D"/>
    <w:rsid w:val="00A411CF"/>
    <w:rsid w:val="00A41592"/>
    <w:rsid w:val="00A415D1"/>
    <w:rsid w:val="00A417CD"/>
    <w:rsid w:val="00A41828"/>
    <w:rsid w:val="00A41AB2"/>
    <w:rsid w:val="00A41C14"/>
    <w:rsid w:val="00A41D0B"/>
    <w:rsid w:val="00A41D82"/>
    <w:rsid w:val="00A41DB6"/>
    <w:rsid w:val="00A41FB1"/>
    <w:rsid w:val="00A42021"/>
    <w:rsid w:val="00A422A0"/>
    <w:rsid w:val="00A424A7"/>
    <w:rsid w:val="00A42998"/>
    <w:rsid w:val="00A42D6F"/>
    <w:rsid w:val="00A42EE5"/>
    <w:rsid w:val="00A4313C"/>
    <w:rsid w:val="00A433A3"/>
    <w:rsid w:val="00A433AF"/>
    <w:rsid w:val="00A43444"/>
    <w:rsid w:val="00A43918"/>
    <w:rsid w:val="00A43926"/>
    <w:rsid w:val="00A43E40"/>
    <w:rsid w:val="00A440B6"/>
    <w:rsid w:val="00A442C3"/>
    <w:rsid w:val="00A443A6"/>
    <w:rsid w:val="00A44650"/>
    <w:rsid w:val="00A4472E"/>
    <w:rsid w:val="00A44762"/>
    <w:rsid w:val="00A447AC"/>
    <w:rsid w:val="00A4488D"/>
    <w:rsid w:val="00A44A78"/>
    <w:rsid w:val="00A44B62"/>
    <w:rsid w:val="00A44CA1"/>
    <w:rsid w:val="00A45133"/>
    <w:rsid w:val="00A45242"/>
    <w:rsid w:val="00A4535C"/>
    <w:rsid w:val="00A4541B"/>
    <w:rsid w:val="00A456BE"/>
    <w:rsid w:val="00A45780"/>
    <w:rsid w:val="00A458C7"/>
    <w:rsid w:val="00A46341"/>
    <w:rsid w:val="00A4665C"/>
    <w:rsid w:val="00A4678A"/>
    <w:rsid w:val="00A46802"/>
    <w:rsid w:val="00A46D38"/>
    <w:rsid w:val="00A46F67"/>
    <w:rsid w:val="00A472C1"/>
    <w:rsid w:val="00A47914"/>
    <w:rsid w:val="00A5016B"/>
    <w:rsid w:val="00A501C4"/>
    <w:rsid w:val="00A501D1"/>
    <w:rsid w:val="00A504DC"/>
    <w:rsid w:val="00A505AC"/>
    <w:rsid w:val="00A511F2"/>
    <w:rsid w:val="00A51286"/>
    <w:rsid w:val="00A516B5"/>
    <w:rsid w:val="00A5171D"/>
    <w:rsid w:val="00A5183D"/>
    <w:rsid w:val="00A51CA7"/>
    <w:rsid w:val="00A51EF0"/>
    <w:rsid w:val="00A520F4"/>
    <w:rsid w:val="00A521E2"/>
    <w:rsid w:val="00A521F0"/>
    <w:rsid w:val="00A5223E"/>
    <w:rsid w:val="00A52355"/>
    <w:rsid w:val="00A52467"/>
    <w:rsid w:val="00A52921"/>
    <w:rsid w:val="00A52935"/>
    <w:rsid w:val="00A52D0C"/>
    <w:rsid w:val="00A530EA"/>
    <w:rsid w:val="00A53167"/>
    <w:rsid w:val="00A539B0"/>
    <w:rsid w:val="00A539F3"/>
    <w:rsid w:val="00A53EBD"/>
    <w:rsid w:val="00A5432E"/>
    <w:rsid w:val="00A54620"/>
    <w:rsid w:val="00A5472F"/>
    <w:rsid w:val="00A54752"/>
    <w:rsid w:val="00A54794"/>
    <w:rsid w:val="00A54971"/>
    <w:rsid w:val="00A54D1A"/>
    <w:rsid w:val="00A5502E"/>
    <w:rsid w:val="00A55241"/>
    <w:rsid w:val="00A55288"/>
    <w:rsid w:val="00A55848"/>
    <w:rsid w:val="00A55852"/>
    <w:rsid w:val="00A558EC"/>
    <w:rsid w:val="00A55A9E"/>
    <w:rsid w:val="00A55DFF"/>
    <w:rsid w:val="00A5601E"/>
    <w:rsid w:val="00A563BF"/>
    <w:rsid w:val="00A5644B"/>
    <w:rsid w:val="00A566A5"/>
    <w:rsid w:val="00A5686C"/>
    <w:rsid w:val="00A56976"/>
    <w:rsid w:val="00A56A31"/>
    <w:rsid w:val="00A56CA5"/>
    <w:rsid w:val="00A56FE0"/>
    <w:rsid w:val="00A573D6"/>
    <w:rsid w:val="00A574D8"/>
    <w:rsid w:val="00A57871"/>
    <w:rsid w:val="00A57951"/>
    <w:rsid w:val="00A57AA1"/>
    <w:rsid w:val="00A57E24"/>
    <w:rsid w:val="00A60021"/>
    <w:rsid w:val="00A60A31"/>
    <w:rsid w:val="00A60E57"/>
    <w:rsid w:val="00A60ECB"/>
    <w:rsid w:val="00A610DF"/>
    <w:rsid w:val="00A61183"/>
    <w:rsid w:val="00A61601"/>
    <w:rsid w:val="00A61628"/>
    <w:rsid w:val="00A619CC"/>
    <w:rsid w:val="00A61B95"/>
    <w:rsid w:val="00A61DC1"/>
    <w:rsid w:val="00A61EA8"/>
    <w:rsid w:val="00A62686"/>
    <w:rsid w:val="00A62EF7"/>
    <w:rsid w:val="00A62F41"/>
    <w:rsid w:val="00A63400"/>
    <w:rsid w:val="00A636E7"/>
    <w:rsid w:val="00A6391F"/>
    <w:rsid w:val="00A63C54"/>
    <w:rsid w:val="00A63DC9"/>
    <w:rsid w:val="00A63F60"/>
    <w:rsid w:val="00A6497F"/>
    <w:rsid w:val="00A64B5B"/>
    <w:rsid w:val="00A64DF6"/>
    <w:rsid w:val="00A65450"/>
    <w:rsid w:val="00A655A0"/>
    <w:rsid w:val="00A6627C"/>
    <w:rsid w:val="00A6663C"/>
    <w:rsid w:val="00A66C87"/>
    <w:rsid w:val="00A67113"/>
    <w:rsid w:val="00A6712E"/>
    <w:rsid w:val="00A673E7"/>
    <w:rsid w:val="00A67507"/>
    <w:rsid w:val="00A67A6F"/>
    <w:rsid w:val="00A67F15"/>
    <w:rsid w:val="00A67FB5"/>
    <w:rsid w:val="00A70085"/>
    <w:rsid w:val="00A70281"/>
    <w:rsid w:val="00A709C6"/>
    <w:rsid w:val="00A70B48"/>
    <w:rsid w:val="00A70CBF"/>
    <w:rsid w:val="00A70D4A"/>
    <w:rsid w:val="00A70E78"/>
    <w:rsid w:val="00A70F45"/>
    <w:rsid w:val="00A71135"/>
    <w:rsid w:val="00A712C0"/>
    <w:rsid w:val="00A71349"/>
    <w:rsid w:val="00A716BD"/>
    <w:rsid w:val="00A716ED"/>
    <w:rsid w:val="00A7190E"/>
    <w:rsid w:val="00A71A86"/>
    <w:rsid w:val="00A72268"/>
    <w:rsid w:val="00A72812"/>
    <w:rsid w:val="00A7283C"/>
    <w:rsid w:val="00A7294F"/>
    <w:rsid w:val="00A72D3C"/>
    <w:rsid w:val="00A72DC6"/>
    <w:rsid w:val="00A73280"/>
    <w:rsid w:val="00A7383D"/>
    <w:rsid w:val="00A73889"/>
    <w:rsid w:val="00A738FE"/>
    <w:rsid w:val="00A73936"/>
    <w:rsid w:val="00A73A43"/>
    <w:rsid w:val="00A740A2"/>
    <w:rsid w:val="00A7516E"/>
    <w:rsid w:val="00A751A1"/>
    <w:rsid w:val="00A754D6"/>
    <w:rsid w:val="00A7588D"/>
    <w:rsid w:val="00A75980"/>
    <w:rsid w:val="00A75B9D"/>
    <w:rsid w:val="00A75C52"/>
    <w:rsid w:val="00A75D15"/>
    <w:rsid w:val="00A75E90"/>
    <w:rsid w:val="00A7638A"/>
    <w:rsid w:val="00A765A3"/>
    <w:rsid w:val="00A767EF"/>
    <w:rsid w:val="00A76A09"/>
    <w:rsid w:val="00A76AB2"/>
    <w:rsid w:val="00A76C65"/>
    <w:rsid w:val="00A76D0E"/>
    <w:rsid w:val="00A7721C"/>
    <w:rsid w:val="00A7750A"/>
    <w:rsid w:val="00A7771A"/>
    <w:rsid w:val="00A777F9"/>
    <w:rsid w:val="00A778F8"/>
    <w:rsid w:val="00A7799F"/>
    <w:rsid w:val="00A77A0F"/>
    <w:rsid w:val="00A77F43"/>
    <w:rsid w:val="00A80021"/>
    <w:rsid w:val="00A80331"/>
    <w:rsid w:val="00A8035C"/>
    <w:rsid w:val="00A80A0D"/>
    <w:rsid w:val="00A80E69"/>
    <w:rsid w:val="00A80F36"/>
    <w:rsid w:val="00A810BD"/>
    <w:rsid w:val="00A8125D"/>
    <w:rsid w:val="00A8155E"/>
    <w:rsid w:val="00A81729"/>
    <w:rsid w:val="00A817AE"/>
    <w:rsid w:val="00A81B76"/>
    <w:rsid w:val="00A81BC9"/>
    <w:rsid w:val="00A822C6"/>
    <w:rsid w:val="00A826B5"/>
    <w:rsid w:val="00A82811"/>
    <w:rsid w:val="00A83194"/>
    <w:rsid w:val="00A8320B"/>
    <w:rsid w:val="00A83782"/>
    <w:rsid w:val="00A837D2"/>
    <w:rsid w:val="00A83D8D"/>
    <w:rsid w:val="00A84328"/>
    <w:rsid w:val="00A84ADD"/>
    <w:rsid w:val="00A84C1A"/>
    <w:rsid w:val="00A84F3F"/>
    <w:rsid w:val="00A84FE7"/>
    <w:rsid w:val="00A8540F"/>
    <w:rsid w:val="00A85B10"/>
    <w:rsid w:val="00A85E1A"/>
    <w:rsid w:val="00A867BB"/>
    <w:rsid w:val="00A869DC"/>
    <w:rsid w:val="00A86ED5"/>
    <w:rsid w:val="00A86F7B"/>
    <w:rsid w:val="00A86FE6"/>
    <w:rsid w:val="00A87169"/>
    <w:rsid w:val="00A871BD"/>
    <w:rsid w:val="00A87221"/>
    <w:rsid w:val="00A8733B"/>
    <w:rsid w:val="00A87882"/>
    <w:rsid w:val="00A87C7D"/>
    <w:rsid w:val="00A87CFA"/>
    <w:rsid w:val="00A87F22"/>
    <w:rsid w:val="00A90480"/>
    <w:rsid w:val="00A90561"/>
    <w:rsid w:val="00A9070D"/>
    <w:rsid w:val="00A90790"/>
    <w:rsid w:val="00A907D9"/>
    <w:rsid w:val="00A9095F"/>
    <w:rsid w:val="00A909A9"/>
    <w:rsid w:val="00A90AAB"/>
    <w:rsid w:val="00A90CB5"/>
    <w:rsid w:val="00A90CCD"/>
    <w:rsid w:val="00A90EC4"/>
    <w:rsid w:val="00A9102A"/>
    <w:rsid w:val="00A910BE"/>
    <w:rsid w:val="00A91381"/>
    <w:rsid w:val="00A91C5E"/>
    <w:rsid w:val="00A91D23"/>
    <w:rsid w:val="00A92174"/>
    <w:rsid w:val="00A92381"/>
    <w:rsid w:val="00A92440"/>
    <w:rsid w:val="00A92472"/>
    <w:rsid w:val="00A926B6"/>
    <w:rsid w:val="00A92BD5"/>
    <w:rsid w:val="00A92DDB"/>
    <w:rsid w:val="00A92E46"/>
    <w:rsid w:val="00A92FA2"/>
    <w:rsid w:val="00A93251"/>
    <w:rsid w:val="00A9331A"/>
    <w:rsid w:val="00A934A1"/>
    <w:rsid w:val="00A9375F"/>
    <w:rsid w:val="00A937DF"/>
    <w:rsid w:val="00A938F7"/>
    <w:rsid w:val="00A93C54"/>
    <w:rsid w:val="00A940D5"/>
    <w:rsid w:val="00A947CC"/>
    <w:rsid w:val="00A947D3"/>
    <w:rsid w:val="00A949F1"/>
    <w:rsid w:val="00A94BB0"/>
    <w:rsid w:val="00A94EFA"/>
    <w:rsid w:val="00A95217"/>
    <w:rsid w:val="00A952CF"/>
    <w:rsid w:val="00A95577"/>
    <w:rsid w:val="00A9564E"/>
    <w:rsid w:val="00A9568B"/>
    <w:rsid w:val="00A95E75"/>
    <w:rsid w:val="00A9616D"/>
    <w:rsid w:val="00A96447"/>
    <w:rsid w:val="00A964C4"/>
    <w:rsid w:val="00A967CB"/>
    <w:rsid w:val="00A96839"/>
    <w:rsid w:val="00A96A69"/>
    <w:rsid w:val="00A96C03"/>
    <w:rsid w:val="00A96C37"/>
    <w:rsid w:val="00A97040"/>
    <w:rsid w:val="00A97166"/>
    <w:rsid w:val="00A97167"/>
    <w:rsid w:val="00A973E7"/>
    <w:rsid w:val="00A978D9"/>
    <w:rsid w:val="00A979C5"/>
    <w:rsid w:val="00A97B0F"/>
    <w:rsid w:val="00A97DA5"/>
    <w:rsid w:val="00A97FDB"/>
    <w:rsid w:val="00A97FFA"/>
    <w:rsid w:val="00AA0087"/>
    <w:rsid w:val="00AA06C4"/>
    <w:rsid w:val="00AA0906"/>
    <w:rsid w:val="00AA0B2B"/>
    <w:rsid w:val="00AA0E2B"/>
    <w:rsid w:val="00AA107F"/>
    <w:rsid w:val="00AA122E"/>
    <w:rsid w:val="00AA1420"/>
    <w:rsid w:val="00AA15C8"/>
    <w:rsid w:val="00AA168E"/>
    <w:rsid w:val="00AA174E"/>
    <w:rsid w:val="00AA1BE8"/>
    <w:rsid w:val="00AA1C43"/>
    <w:rsid w:val="00AA20C0"/>
    <w:rsid w:val="00AA20C1"/>
    <w:rsid w:val="00AA20F7"/>
    <w:rsid w:val="00AA23D5"/>
    <w:rsid w:val="00AA2E34"/>
    <w:rsid w:val="00AA2F66"/>
    <w:rsid w:val="00AA30D0"/>
    <w:rsid w:val="00AA370D"/>
    <w:rsid w:val="00AA396E"/>
    <w:rsid w:val="00AA3A3A"/>
    <w:rsid w:val="00AA3C24"/>
    <w:rsid w:val="00AA3F19"/>
    <w:rsid w:val="00AA42F4"/>
    <w:rsid w:val="00AA4EA3"/>
    <w:rsid w:val="00AA520F"/>
    <w:rsid w:val="00AA52DA"/>
    <w:rsid w:val="00AA5343"/>
    <w:rsid w:val="00AA54BB"/>
    <w:rsid w:val="00AA5602"/>
    <w:rsid w:val="00AA5606"/>
    <w:rsid w:val="00AA5B60"/>
    <w:rsid w:val="00AA6052"/>
    <w:rsid w:val="00AA63D9"/>
    <w:rsid w:val="00AA653A"/>
    <w:rsid w:val="00AA68F5"/>
    <w:rsid w:val="00AA6ABC"/>
    <w:rsid w:val="00AA6CC7"/>
    <w:rsid w:val="00AA7269"/>
    <w:rsid w:val="00AA72AE"/>
    <w:rsid w:val="00AA7301"/>
    <w:rsid w:val="00AA75D4"/>
    <w:rsid w:val="00AA788D"/>
    <w:rsid w:val="00AA791B"/>
    <w:rsid w:val="00AA79B3"/>
    <w:rsid w:val="00AB0168"/>
    <w:rsid w:val="00AB041E"/>
    <w:rsid w:val="00AB0423"/>
    <w:rsid w:val="00AB05B0"/>
    <w:rsid w:val="00AB06EB"/>
    <w:rsid w:val="00AB0FB3"/>
    <w:rsid w:val="00AB1411"/>
    <w:rsid w:val="00AB15AC"/>
    <w:rsid w:val="00AB1A58"/>
    <w:rsid w:val="00AB203B"/>
    <w:rsid w:val="00AB2242"/>
    <w:rsid w:val="00AB253E"/>
    <w:rsid w:val="00AB2574"/>
    <w:rsid w:val="00AB28A1"/>
    <w:rsid w:val="00AB2A7D"/>
    <w:rsid w:val="00AB2AD4"/>
    <w:rsid w:val="00AB2BC5"/>
    <w:rsid w:val="00AB2D3F"/>
    <w:rsid w:val="00AB2E5B"/>
    <w:rsid w:val="00AB2EC3"/>
    <w:rsid w:val="00AB334F"/>
    <w:rsid w:val="00AB3615"/>
    <w:rsid w:val="00AB3633"/>
    <w:rsid w:val="00AB365B"/>
    <w:rsid w:val="00AB37DB"/>
    <w:rsid w:val="00AB3B74"/>
    <w:rsid w:val="00AB3DB1"/>
    <w:rsid w:val="00AB3E10"/>
    <w:rsid w:val="00AB3E97"/>
    <w:rsid w:val="00AB3EC1"/>
    <w:rsid w:val="00AB3FF8"/>
    <w:rsid w:val="00AB41D6"/>
    <w:rsid w:val="00AB450D"/>
    <w:rsid w:val="00AB4738"/>
    <w:rsid w:val="00AB4CE2"/>
    <w:rsid w:val="00AB4DB4"/>
    <w:rsid w:val="00AB5896"/>
    <w:rsid w:val="00AB5915"/>
    <w:rsid w:val="00AB65BC"/>
    <w:rsid w:val="00AB69CC"/>
    <w:rsid w:val="00AB6A39"/>
    <w:rsid w:val="00AB6DAE"/>
    <w:rsid w:val="00AB6DD1"/>
    <w:rsid w:val="00AB6F97"/>
    <w:rsid w:val="00AB79DD"/>
    <w:rsid w:val="00AB79E6"/>
    <w:rsid w:val="00AB7A0D"/>
    <w:rsid w:val="00AB7DF3"/>
    <w:rsid w:val="00AC06EE"/>
    <w:rsid w:val="00AC0C66"/>
    <w:rsid w:val="00AC0EBF"/>
    <w:rsid w:val="00AC11C0"/>
    <w:rsid w:val="00AC14D9"/>
    <w:rsid w:val="00AC16CF"/>
    <w:rsid w:val="00AC1D3F"/>
    <w:rsid w:val="00AC1DF6"/>
    <w:rsid w:val="00AC1F56"/>
    <w:rsid w:val="00AC24A3"/>
    <w:rsid w:val="00AC253A"/>
    <w:rsid w:val="00AC2925"/>
    <w:rsid w:val="00AC2ABE"/>
    <w:rsid w:val="00AC2BFE"/>
    <w:rsid w:val="00AC2C95"/>
    <w:rsid w:val="00AC2D73"/>
    <w:rsid w:val="00AC2E5C"/>
    <w:rsid w:val="00AC32CA"/>
    <w:rsid w:val="00AC3667"/>
    <w:rsid w:val="00AC3724"/>
    <w:rsid w:val="00AC436E"/>
    <w:rsid w:val="00AC469A"/>
    <w:rsid w:val="00AC481B"/>
    <w:rsid w:val="00AC494B"/>
    <w:rsid w:val="00AC5A71"/>
    <w:rsid w:val="00AC5E16"/>
    <w:rsid w:val="00AC5F24"/>
    <w:rsid w:val="00AC6944"/>
    <w:rsid w:val="00AC6B43"/>
    <w:rsid w:val="00AC6E7D"/>
    <w:rsid w:val="00AC6FA6"/>
    <w:rsid w:val="00AC7321"/>
    <w:rsid w:val="00AC7915"/>
    <w:rsid w:val="00AC79E4"/>
    <w:rsid w:val="00AC7A5D"/>
    <w:rsid w:val="00AC7BC6"/>
    <w:rsid w:val="00AC7BEA"/>
    <w:rsid w:val="00AC7DB4"/>
    <w:rsid w:val="00AD0581"/>
    <w:rsid w:val="00AD08B8"/>
    <w:rsid w:val="00AD0918"/>
    <w:rsid w:val="00AD0E08"/>
    <w:rsid w:val="00AD189D"/>
    <w:rsid w:val="00AD19CE"/>
    <w:rsid w:val="00AD1C4E"/>
    <w:rsid w:val="00AD1D8A"/>
    <w:rsid w:val="00AD22BF"/>
    <w:rsid w:val="00AD257E"/>
    <w:rsid w:val="00AD2C95"/>
    <w:rsid w:val="00AD2E7A"/>
    <w:rsid w:val="00AD2F35"/>
    <w:rsid w:val="00AD32F3"/>
    <w:rsid w:val="00AD337C"/>
    <w:rsid w:val="00AD36EC"/>
    <w:rsid w:val="00AD38F9"/>
    <w:rsid w:val="00AD3A63"/>
    <w:rsid w:val="00AD3B33"/>
    <w:rsid w:val="00AD3BDD"/>
    <w:rsid w:val="00AD4752"/>
    <w:rsid w:val="00AD4794"/>
    <w:rsid w:val="00AD47EC"/>
    <w:rsid w:val="00AD4A89"/>
    <w:rsid w:val="00AD4B21"/>
    <w:rsid w:val="00AD4D1A"/>
    <w:rsid w:val="00AD4E27"/>
    <w:rsid w:val="00AD54A5"/>
    <w:rsid w:val="00AD5D71"/>
    <w:rsid w:val="00AD60A8"/>
    <w:rsid w:val="00AD6540"/>
    <w:rsid w:val="00AD67B5"/>
    <w:rsid w:val="00AD705B"/>
    <w:rsid w:val="00AD73AA"/>
    <w:rsid w:val="00AD785D"/>
    <w:rsid w:val="00AD7E20"/>
    <w:rsid w:val="00AD7FD8"/>
    <w:rsid w:val="00AE0AE3"/>
    <w:rsid w:val="00AE0CE9"/>
    <w:rsid w:val="00AE0DBC"/>
    <w:rsid w:val="00AE0F71"/>
    <w:rsid w:val="00AE1584"/>
    <w:rsid w:val="00AE15F0"/>
    <w:rsid w:val="00AE18A7"/>
    <w:rsid w:val="00AE193D"/>
    <w:rsid w:val="00AE2048"/>
    <w:rsid w:val="00AE260A"/>
    <w:rsid w:val="00AE2815"/>
    <w:rsid w:val="00AE2CC5"/>
    <w:rsid w:val="00AE2DBA"/>
    <w:rsid w:val="00AE2ED3"/>
    <w:rsid w:val="00AE2F10"/>
    <w:rsid w:val="00AE2F73"/>
    <w:rsid w:val="00AE3263"/>
    <w:rsid w:val="00AE33C9"/>
    <w:rsid w:val="00AE463E"/>
    <w:rsid w:val="00AE4BFA"/>
    <w:rsid w:val="00AE4D53"/>
    <w:rsid w:val="00AE5022"/>
    <w:rsid w:val="00AE5117"/>
    <w:rsid w:val="00AE5252"/>
    <w:rsid w:val="00AE579D"/>
    <w:rsid w:val="00AE5EB8"/>
    <w:rsid w:val="00AE641E"/>
    <w:rsid w:val="00AE6451"/>
    <w:rsid w:val="00AE6457"/>
    <w:rsid w:val="00AE64B9"/>
    <w:rsid w:val="00AE6BB1"/>
    <w:rsid w:val="00AE720B"/>
    <w:rsid w:val="00AE722A"/>
    <w:rsid w:val="00AE7528"/>
    <w:rsid w:val="00AE7603"/>
    <w:rsid w:val="00AF015C"/>
    <w:rsid w:val="00AF05D0"/>
    <w:rsid w:val="00AF0872"/>
    <w:rsid w:val="00AF09CD"/>
    <w:rsid w:val="00AF0A4D"/>
    <w:rsid w:val="00AF0CEF"/>
    <w:rsid w:val="00AF114E"/>
    <w:rsid w:val="00AF13E6"/>
    <w:rsid w:val="00AF1DD8"/>
    <w:rsid w:val="00AF1ECC"/>
    <w:rsid w:val="00AF1ED2"/>
    <w:rsid w:val="00AF2026"/>
    <w:rsid w:val="00AF2048"/>
    <w:rsid w:val="00AF2139"/>
    <w:rsid w:val="00AF21A4"/>
    <w:rsid w:val="00AF2381"/>
    <w:rsid w:val="00AF24DD"/>
    <w:rsid w:val="00AF2736"/>
    <w:rsid w:val="00AF2BA1"/>
    <w:rsid w:val="00AF2C6A"/>
    <w:rsid w:val="00AF2F99"/>
    <w:rsid w:val="00AF3593"/>
    <w:rsid w:val="00AF3691"/>
    <w:rsid w:val="00AF3870"/>
    <w:rsid w:val="00AF38D6"/>
    <w:rsid w:val="00AF39B4"/>
    <w:rsid w:val="00AF3D3D"/>
    <w:rsid w:val="00AF3D82"/>
    <w:rsid w:val="00AF3D8D"/>
    <w:rsid w:val="00AF401A"/>
    <w:rsid w:val="00AF4205"/>
    <w:rsid w:val="00AF459E"/>
    <w:rsid w:val="00AF49AC"/>
    <w:rsid w:val="00AF51F9"/>
    <w:rsid w:val="00AF53AE"/>
    <w:rsid w:val="00AF550C"/>
    <w:rsid w:val="00AF5528"/>
    <w:rsid w:val="00AF58BD"/>
    <w:rsid w:val="00AF6522"/>
    <w:rsid w:val="00AF6545"/>
    <w:rsid w:val="00AF6637"/>
    <w:rsid w:val="00AF67D0"/>
    <w:rsid w:val="00AF68A7"/>
    <w:rsid w:val="00AF6B48"/>
    <w:rsid w:val="00AF6F1B"/>
    <w:rsid w:val="00AF7170"/>
    <w:rsid w:val="00AF7469"/>
    <w:rsid w:val="00AF74C0"/>
    <w:rsid w:val="00AF751F"/>
    <w:rsid w:val="00AF7531"/>
    <w:rsid w:val="00AF78A4"/>
    <w:rsid w:val="00AF796C"/>
    <w:rsid w:val="00AF7AE8"/>
    <w:rsid w:val="00AF7CA3"/>
    <w:rsid w:val="00AF7D96"/>
    <w:rsid w:val="00AF7E6E"/>
    <w:rsid w:val="00B00489"/>
    <w:rsid w:val="00B0050F"/>
    <w:rsid w:val="00B01274"/>
    <w:rsid w:val="00B0180A"/>
    <w:rsid w:val="00B019EE"/>
    <w:rsid w:val="00B01A29"/>
    <w:rsid w:val="00B022BB"/>
    <w:rsid w:val="00B02DDB"/>
    <w:rsid w:val="00B02EAD"/>
    <w:rsid w:val="00B03B6D"/>
    <w:rsid w:val="00B03E9D"/>
    <w:rsid w:val="00B03F24"/>
    <w:rsid w:val="00B04352"/>
    <w:rsid w:val="00B043AD"/>
    <w:rsid w:val="00B04626"/>
    <w:rsid w:val="00B047F3"/>
    <w:rsid w:val="00B04DD6"/>
    <w:rsid w:val="00B04DE5"/>
    <w:rsid w:val="00B04E5F"/>
    <w:rsid w:val="00B04F69"/>
    <w:rsid w:val="00B0517F"/>
    <w:rsid w:val="00B051AF"/>
    <w:rsid w:val="00B05388"/>
    <w:rsid w:val="00B055BB"/>
    <w:rsid w:val="00B0562C"/>
    <w:rsid w:val="00B05D87"/>
    <w:rsid w:val="00B05F23"/>
    <w:rsid w:val="00B05F5C"/>
    <w:rsid w:val="00B0621A"/>
    <w:rsid w:val="00B062A3"/>
    <w:rsid w:val="00B066F9"/>
    <w:rsid w:val="00B06825"/>
    <w:rsid w:val="00B06AED"/>
    <w:rsid w:val="00B06F17"/>
    <w:rsid w:val="00B0708B"/>
    <w:rsid w:val="00B075C3"/>
    <w:rsid w:val="00B076B6"/>
    <w:rsid w:val="00B0783D"/>
    <w:rsid w:val="00B07886"/>
    <w:rsid w:val="00B078E9"/>
    <w:rsid w:val="00B07B06"/>
    <w:rsid w:val="00B07B53"/>
    <w:rsid w:val="00B103B5"/>
    <w:rsid w:val="00B10470"/>
    <w:rsid w:val="00B10585"/>
    <w:rsid w:val="00B1061E"/>
    <w:rsid w:val="00B10977"/>
    <w:rsid w:val="00B109BA"/>
    <w:rsid w:val="00B1166D"/>
    <w:rsid w:val="00B117CB"/>
    <w:rsid w:val="00B1225E"/>
    <w:rsid w:val="00B122CD"/>
    <w:rsid w:val="00B12872"/>
    <w:rsid w:val="00B1296B"/>
    <w:rsid w:val="00B12F8C"/>
    <w:rsid w:val="00B1318B"/>
    <w:rsid w:val="00B1323F"/>
    <w:rsid w:val="00B133C2"/>
    <w:rsid w:val="00B13BBB"/>
    <w:rsid w:val="00B13F11"/>
    <w:rsid w:val="00B13F5C"/>
    <w:rsid w:val="00B14060"/>
    <w:rsid w:val="00B140BC"/>
    <w:rsid w:val="00B141BA"/>
    <w:rsid w:val="00B14453"/>
    <w:rsid w:val="00B144C1"/>
    <w:rsid w:val="00B14589"/>
    <w:rsid w:val="00B14625"/>
    <w:rsid w:val="00B14726"/>
    <w:rsid w:val="00B14884"/>
    <w:rsid w:val="00B14AEB"/>
    <w:rsid w:val="00B14D10"/>
    <w:rsid w:val="00B14F6E"/>
    <w:rsid w:val="00B15232"/>
    <w:rsid w:val="00B15B01"/>
    <w:rsid w:val="00B15D4E"/>
    <w:rsid w:val="00B160CF"/>
    <w:rsid w:val="00B16683"/>
    <w:rsid w:val="00B167C2"/>
    <w:rsid w:val="00B16875"/>
    <w:rsid w:val="00B16F08"/>
    <w:rsid w:val="00B171EF"/>
    <w:rsid w:val="00B17726"/>
    <w:rsid w:val="00B1784F"/>
    <w:rsid w:val="00B17870"/>
    <w:rsid w:val="00B17DC5"/>
    <w:rsid w:val="00B17E26"/>
    <w:rsid w:val="00B17FA7"/>
    <w:rsid w:val="00B20646"/>
    <w:rsid w:val="00B209BD"/>
    <w:rsid w:val="00B20AFC"/>
    <w:rsid w:val="00B21099"/>
    <w:rsid w:val="00B21492"/>
    <w:rsid w:val="00B217C0"/>
    <w:rsid w:val="00B217F1"/>
    <w:rsid w:val="00B21B27"/>
    <w:rsid w:val="00B21BF2"/>
    <w:rsid w:val="00B2252D"/>
    <w:rsid w:val="00B22962"/>
    <w:rsid w:val="00B22C53"/>
    <w:rsid w:val="00B22CDB"/>
    <w:rsid w:val="00B22E67"/>
    <w:rsid w:val="00B22EAD"/>
    <w:rsid w:val="00B2335C"/>
    <w:rsid w:val="00B238C6"/>
    <w:rsid w:val="00B23C5B"/>
    <w:rsid w:val="00B23C6D"/>
    <w:rsid w:val="00B23EC8"/>
    <w:rsid w:val="00B23FF5"/>
    <w:rsid w:val="00B2411E"/>
    <w:rsid w:val="00B24C81"/>
    <w:rsid w:val="00B24CE3"/>
    <w:rsid w:val="00B24D5E"/>
    <w:rsid w:val="00B24E45"/>
    <w:rsid w:val="00B250CA"/>
    <w:rsid w:val="00B2514B"/>
    <w:rsid w:val="00B25165"/>
    <w:rsid w:val="00B253F7"/>
    <w:rsid w:val="00B254ED"/>
    <w:rsid w:val="00B25DE0"/>
    <w:rsid w:val="00B26083"/>
    <w:rsid w:val="00B26188"/>
    <w:rsid w:val="00B26C60"/>
    <w:rsid w:val="00B26DC4"/>
    <w:rsid w:val="00B270E9"/>
    <w:rsid w:val="00B271C9"/>
    <w:rsid w:val="00B27498"/>
    <w:rsid w:val="00B27C1F"/>
    <w:rsid w:val="00B302B2"/>
    <w:rsid w:val="00B305C5"/>
    <w:rsid w:val="00B30B8E"/>
    <w:rsid w:val="00B30CC9"/>
    <w:rsid w:val="00B30D6B"/>
    <w:rsid w:val="00B30E72"/>
    <w:rsid w:val="00B317AF"/>
    <w:rsid w:val="00B318B3"/>
    <w:rsid w:val="00B31BB4"/>
    <w:rsid w:val="00B31ED1"/>
    <w:rsid w:val="00B322BC"/>
    <w:rsid w:val="00B32E19"/>
    <w:rsid w:val="00B33D94"/>
    <w:rsid w:val="00B33DED"/>
    <w:rsid w:val="00B33EE4"/>
    <w:rsid w:val="00B346F8"/>
    <w:rsid w:val="00B34785"/>
    <w:rsid w:val="00B34A3C"/>
    <w:rsid w:val="00B34C69"/>
    <w:rsid w:val="00B353C3"/>
    <w:rsid w:val="00B3569D"/>
    <w:rsid w:val="00B35709"/>
    <w:rsid w:val="00B35D8D"/>
    <w:rsid w:val="00B35EA5"/>
    <w:rsid w:val="00B35F01"/>
    <w:rsid w:val="00B35FB5"/>
    <w:rsid w:val="00B36510"/>
    <w:rsid w:val="00B36578"/>
    <w:rsid w:val="00B365B2"/>
    <w:rsid w:val="00B366FF"/>
    <w:rsid w:val="00B3692A"/>
    <w:rsid w:val="00B369EC"/>
    <w:rsid w:val="00B36F0C"/>
    <w:rsid w:val="00B370D6"/>
    <w:rsid w:val="00B37593"/>
    <w:rsid w:val="00B377CE"/>
    <w:rsid w:val="00B378E9"/>
    <w:rsid w:val="00B379F8"/>
    <w:rsid w:val="00B40106"/>
    <w:rsid w:val="00B402A0"/>
    <w:rsid w:val="00B402F3"/>
    <w:rsid w:val="00B40583"/>
    <w:rsid w:val="00B40925"/>
    <w:rsid w:val="00B40E30"/>
    <w:rsid w:val="00B412C7"/>
    <w:rsid w:val="00B4146A"/>
    <w:rsid w:val="00B41878"/>
    <w:rsid w:val="00B41CBD"/>
    <w:rsid w:val="00B42100"/>
    <w:rsid w:val="00B42173"/>
    <w:rsid w:val="00B4227E"/>
    <w:rsid w:val="00B42579"/>
    <w:rsid w:val="00B42726"/>
    <w:rsid w:val="00B435D4"/>
    <w:rsid w:val="00B442E5"/>
    <w:rsid w:val="00B44563"/>
    <w:rsid w:val="00B44955"/>
    <w:rsid w:val="00B44A9F"/>
    <w:rsid w:val="00B44B01"/>
    <w:rsid w:val="00B44B05"/>
    <w:rsid w:val="00B44BAC"/>
    <w:rsid w:val="00B44BCF"/>
    <w:rsid w:val="00B44D4C"/>
    <w:rsid w:val="00B45138"/>
    <w:rsid w:val="00B45928"/>
    <w:rsid w:val="00B459A4"/>
    <w:rsid w:val="00B4620A"/>
    <w:rsid w:val="00B463CD"/>
    <w:rsid w:val="00B4691B"/>
    <w:rsid w:val="00B46F6E"/>
    <w:rsid w:val="00B47758"/>
    <w:rsid w:val="00B5020E"/>
    <w:rsid w:val="00B50490"/>
    <w:rsid w:val="00B504E0"/>
    <w:rsid w:val="00B50B8A"/>
    <w:rsid w:val="00B50E7E"/>
    <w:rsid w:val="00B5109F"/>
    <w:rsid w:val="00B510D4"/>
    <w:rsid w:val="00B51254"/>
    <w:rsid w:val="00B51295"/>
    <w:rsid w:val="00B51410"/>
    <w:rsid w:val="00B51441"/>
    <w:rsid w:val="00B516E5"/>
    <w:rsid w:val="00B517F2"/>
    <w:rsid w:val="00B519FD"/>
    <w:rsid w:val="00B522ED"/>
    <w:rsid w:val="00B52653"/>
    <w:rsid w:val="00B527EA"/>
    <w:rsid w:val="00B5291E"/>
    <w:rsid w:val="00B5398A"/>
    <w:rsid w:val="00B53AF9"/>
    <w:rsid w:val="00B53CCF"/>
    <w:rsid w:val="00B53FBA"/>
    <w:rsid w:val="00B53FE3"/>
    <w:rsid w:val="00B540F4"/>
    <w:rsid w:val="00B5438F"/>
    <w:rsid w:val="00B54DF4"/>
    <w:rsid w:val="00B55134"/>
    <w:rsid w:val="00B55329"/>
    <w:rsid w:val="00B553BC"/>
    <w:rsid w:val="00B55732"/>
    <w:rsid w:val="00B55B4A"/>
    <w:rsid w:val="00B55E31"/>
    <w:rsid w:val="00B55F9E"/>
    <w:rsid w:val="00B56066"/>
    <w:rsid w:val="00B560E8"/>
    <w:rsid w:val="00B56581"/>
    <w:rsid w:val="00B5677C"/>
    <w:rsid w:val="00B5692D"/>
    <w:rsid w:val="00B56AAB"/>
    <w:rsid w:val="00B56C04"/>
    <w:rsid w:val="00B56CA0"/>
    <w:rsid w:val="00B56DAC"/>
    <w:rsid w:val="00B56EB9"/>
    <w:rsid w:val="00B56F6E"/>
    <w:rsid w:val="00B57100"/>
    <w:rsid w:val="00B574A9"/>
    <w:rsid w:val="00B57B2E"/>
    <w:rsid w:val="00B57E12"/>
    <w:rsid w:val="00B6000A"/>
    <w:rsid w:val="00B6066B"/>
    <w:rsid w:val="00B60743"/>
    <w:rsid w:val="00B608A5"/>
    <w:rsid w:val="00B60AB9"/>
    <w:rsid w:val="00B60C48"/>
    <w:rsid w:val="00B60D29"/>
    <w:rsid w:val="00B60DE2"/>
    <w:rsid w:val="00B60F0A"/>
    <w:rsid w:val="00B61422"/>
    <w:rsid w:val="00B617C1"/>
    <w:rsid w:val="00B61ACB"/>
    <w:rsid w:val="00B61E5D"/>
    <w:rsid w:val="00B6207B"/>
    <w:rsid w:val="00B620B6"/>
    <w:rsid w:val="00B622AB"/>
    <w:rsid w:val="00B623C0"/>
    <w:rsid w:val="00B626D6"/>
    <w:rsid w:val="00B62AA0"/>
    <w:rsid w:val="00B62D3A"/>
    <w:rsid w:val="00B62D62"/>
    <w:rsid w:val="00B62F29"/>
    <w:rsid w:val="00B6307D"/>
    <w:rsid w:val="00B63260"/>
    <w:rsid w:val="00B63573"/>
    <w:rsid w:val="00B63640"/>
    <w:rsid w:val="00B637FB"/>
    <w:rsid w:val="00B63BA0"/>
    <w:rsid w:val="00B63F72"/>
    <w:rsid w:val="00B6405A"/>
    <w:rsid w:val="00B643BC"/>
    <w:rsid w:val="00B647B6"/>
    <w:rsid w:val="00B64AC7"/>
    <w:rsid w:val="00B64B9E"/>
    <w:rsid w:val="00B64E9B"/>
    <w:rsid w:val="00B64FB1"/>
    <w:rsid w:val="00B6510A"/>
    <w:rsid w:val="00B6533B"/>
    <w:rsid w:val="00B65372"/>
    <w:rsid w:val="00B653B8"/>
    <w:rsid w:val="00B653E8"/>
    <w:rsid w:val="00B65709"/>
    <w:rsid w:val="00B65D86"/>
    <w:rsid w:val="00B66009"/>
    <w:rsid w:val="00B661E4"/>
    <w:rsid w:val="00B66230"/>
    <w:rsid w:val="00B667E9"/>
    <w:rsid w:val="00B66B7E"/>
    <w:rsid w:val="00B66C40"/>
    <w:rsid w:val="00B66DCD"/>
    <w:rsid w:val="00B67243"/>
    <w:rsid w:val="00B67432"/>
    <w:rsid w:val="00B67518"/>
    <w:rsid w:val="00B677FB"/>
    <w:rsid w:val="00B67D25"/>
    <w:rsid w:val="00B67DA2"/>
    <w:rsid w:val="00B67FA5"/>
    <w:rsid w:val="00B701A3"/>
    <w:rsid w:val="00B7054D"/>
    <w:rsid w:val="00B70643"/>
    <w:rsid w:val="00B7066D"/>
    <w:rsid w:val="00B71223"/>
    <w:rsid w:val="00B71584"/>
    <w:rsid w:val="00B715F7"/>
    <w:rsid w:val="00B71A6C"/>
    <w:rsid w:val="00B71C5F"/>
    <w:rsid w:val="00B71CD6"/>
    <w:rsid w:val="00B71F9B"/>
    <w:rsid w:val="00B72143"/>
    <w:rsid w:val="00B72245"/>
    <w:rsid w:val="00B722A0"/>
    <w:rsid w:val="00B722CE"/>
    <w:rsid w:val="00B7253C"/>
    <w:rsid w:val="00B72566"/>
    <w:rsid w:val="00B72771"/>
    <w:rsid w:val="00B72985"/>
    <w:rsid w:val="00B72A4E"/>
    <w:rsid w:val="00B72FC1"/>
    <w:rsid w:val="00B72FCC"/>
    <w:rsid w:val="00B730CE"/>
    <w:rsid w:val="00B73406"/>
    <w:rsid w:val="00B7348A"/>
    <w:rsid w:val="00B73746"/>
    <w:rsid w:val="00B73AF2"/>
    <w:rsid w:val="00B7424E"/>
    <w:rsid w:val="00B74474"/>
    <w:rsid w:val="00B74A65"/>
    <w:rsid w:val="00B74C92"/>
    <w:rsid w:val="00B74CDE"/>
    <w:rsid w:val="00B74E6E"/>
    <w:rsid w:val="00B74F35"/>
    <w:rsid w:val="00B74FDF"/>
    <w:rsid w:val="00B7538D"/>
    <w:rsid w:val="00B75FC1"/>
    <w:rsid w:val="00B76221"/>
    <w:rsid w:val="00B765D4"/>
    <w:rsid w:val="00B76B00"/>
    <w:rsid w:val="00B76C27"/>
    <w:rsid w:val="00B770F0"/>
    <w:rsid w:val="00B7724B"/>
    <w:rsid w:val="00B77519"/>
    <w:rsid w:val="00B7767A"/>
    <w:rsid w:val="00B777F4"/>
    <w:rsid w:val="00B77972"/>
    <w:rsid w:val="00B77BA7"/>
    <w:rsid w:val="00B77CE3"/>
    <w:rsid w:val="00B77E63"/>
    <w:rsid w:val="00B8079D"/>
    <w:rsid w:val="00B80AC0"/>
    <w:rsid w:val="00B80B31"/>
    <w:rsid w:val="00B80BAC"/>
    <w:rsid w:val="00B80E9E"/>
    <w:rsid w:val="00B812E3"/>
    <w:rsid w:val="00B818F6"/>
    <w:rsid w:val="00B81D87"/>
    <w:rsid w:val="00B81EAD"/>
    <w:rsid w:val="00B81F51"/>
    <w:rsid w:val="00B82396"/>
    <w:rsid w:val="00B8255B"/>
    <w:rsid w:val="00B82909"/>
    <w:rsid w:val="00B833CB"/>
    <w:rsid w:val="00B8363C"/>
    <w:rsid w:val="00B8377E"/>
    <w:rsid w:val="00B83FF7"/>
    <w:rsid w:val="00B841A0"/>
    <w:rsid w:val="00B84635"/>
    <w:rsid w:val="00B84682"/>
    <w:rsid w:val="00B8484C"/>
    <w:rsid w:val="00B85000"/>
    <w:rsid w:val="00B851EE"/>
    <w:rsid w:val="00B858D1"/>
    <w:rsid w:val="00B85A77"/>
    <w:rsid w:val="00B85C90"/>
    <w:rsid w:val="00B85C98"/>
    <w:rsid w:val="00B85D11"/>
    <w:rsid w:val="00B85D69"/>
    <w:rsid w:val="00B85F0C"/>
    <w:rsid w:val="00B85FD8"/>
    <w:rsid w:val="00B862BA"/>
    <w:rsid w:val="00B86493"/>
    <w:rsid w:val="00B86551"/>
    <w:rsid w:val="00B87163"/>
    <w:rsid w:val="00B87234"/>
    <w:rsid w:val="00B8724E"/>
    <w:rsid w:val="00B8750E"/>
    <w:rsid w:val="00B87602"/>
    <w:rsid w:val="00B8774B"/>
    <w:rsid w:val="00B87859"/>
    <w:rsid w:val="00B87927"/>
    <w:rsid w:val="00B87BB8"/>
    <w:rsid w:val="00B87EF3"/>
    <w:rsid w:val="00B87F0F"/>
    <w:rsid w:val="00B900DF"/>
    <w:rsid w:val="00B9021A"/>
    <w:rsid w:val="00B9024B"/>
    <w:rsid w:val="00B90270"/>
    <w:rsid w:val="00B90401"/>
    <w:rsid w:val="00B907D2"/>
    <w:rsid w:val="00B909A4"/>
    <w:rsid w:val="00B90A55"/>
    <w:rsid w:val="00B91D0B"/>
    <w:rsid w:val="00B91DD2"/>
    <w:rsid w:val="00B91FF6"/>
    <w:rsid w:val="00B929A4"/>
    <w:rsid w:val="00B929FB"/>
    <w:rsid w:val="00B92D1C"/>
    <w:rsid w:val="00B92DF4"/>
    <w:rsid w:val="00B92EB3"/>
    <w:rsid w:val="00B935F3"/>
    <w:rsid w:val="00B9370D"/>
    <w:rsid w:val="00B9386C"/>
    <w:rsid w:val="00B93877"/>
    <w:rsid w:val="00B938CC"/>
    <w:rsid w:val="00B939B1"/>
    <w:rsid w:val="00B93C3E"/>
    <w:rsid w:val="00B93DD6"/>
    <w:rsid w:val="00B93EB5"/>
    <w:rsid w:val="00B94A90"/>
    <w:rsid w:val="00B94C5D"/>
    <w:rsid w:val="00B95FB0"/>
    <w:rsid w:val="00B96069"/>
    <w:rsid w:val="00B9606E"/>
    <w:rsid w:val="00B960DB"/>
    <w:rsid w:val="00B96216"/>
    <w:rsid w:val="00B96734"/>
    <w:rsid w:val="00B96FBA"/>
    <w:rsid w:val="00B9733F"/>
    <w:rsid w:val="00B97587"/>
    <w:rsid w:val="00B978A8"/>
    <w:rsid w:val="00B97979"/>
    <w:rsid w:val="00B97C09"/>
    <w:rsid w:val="00BA02A0"/>
    <w:rsid w:val="00BA02A5"/>
    <w:rsid w:val="00BA02EE"/>
    <w:rsid w:val="00BA04E2"/>
    <w:rsid w:val="00BA0A4F"/>
    <w:rsid w:val="00BA1036"/>
    <w:rsid w:val="00BA103C"/>
    <w:rsid w:val="00BA1113"/>
    <w:rsid w:val="00BA1707"/>
    <w:rsid w:val="00BA1793"/>
    <w:rsid w:val="00BA18B7"/>
    <w:rsid w:val="00BA191C"/>
    <w:rsid w:val="00BA1A53"/>
    <w:rsid w:val="00BA1D8D"/>
    <w:rsid w:val="00BA1F16"/>
    <w:rsid w:val="00BA25DD"/>
    <w:rsid w:val="00BA271A"/>
    <w:rsid w:val="00BA27B5"/>
    <w:rsid w:val="00BA2848"/>
    <w:rsid w:val="00BA291D"/>
    <w:rsid w:val="00BA2B56"/>
    <w:rsid w:val="00BA2D29"/>
    <w:rsid w:val="00BA30B5"/>
    <w:rsid w:val="00BA3BC0"/>
    <w:rsid w:val="00BA3F7B"/>
    <w:rsid w:val="00BA47DB"/>
    <w:rsid w:val="00BA4FC1"/>
    <w:rsid w:val="00BA503D"/>
    <w:rsid w:val="00BA5305"/>
    <w:rsid w:val="00BA5376"/>
    <w:rsid w:val="00BA5B4D"/>
    <w:rsid w:val="00BA6025"/>
    <w:rsid w:val="00BA627D"/>
    <w:rsid w:val="00BA658C"/>
    <w:rsid w:val="00BA6960"/>
    <w:rsid w:val="00BA6A48"/>
    <w:rsid w:val="00BA6D75"/>
    <w:rsid w:val="00BA7466"/>
    <w:rsid w:val="00BA796D"/>
    <w:rsid w:val="00BA7995"/>
    <w:rsid w:val="00BA799E"/>
    <w:rsid w:val="00BA7B40"/>
    <w:rsid w:val="00BB0469"/>
    <w:rsid w:val="00BB0653"/>
    <w:rsid w:val="00BB08D5"/>
    <w:rsid w:val="00BB0F55"/>
    <w:rsid w:val="00BB14CB"/>
    <w:rsid w:val="00BB1593"/>
    <w:rsid w:val="00BB1AC2"/>
    <w:rsid w:val="00BB1FE9"/>
    <w:rsid w:val="00BB23CF"/>
    <w:rsid w:val="00BB2C13"/>
    <w:rsid w:val="00BB3085"/>
    <w:rsid w:val="00BB31B3"/>
    <w:rsid w:val="00BB3232"/>
    <w:rsid w:val="00BB3565"/>
    <w:rsid w:val="00BB35B0"/>
    <w:rsid w:val="00BB3A1C"/>
    <w:rsid w:val="00BB3BE2"/>
    <w:rsid w:val="00BB3CCE"/>
    <w:rsid w:val="00BB4400"/>
    <w:rsid w:val="00BB4880"/>
    <w:rsid w:val="00BB490C"/>
    <w:rsid w:val="00BB4C12"/>
    <w:rsid w:val="00BB4D75"/>
    <w:rsid w:val="00BB50FB"/>
    <w:rsid w:val="00BB5104"/>
    <w:rsid w:val="00BB5410"/>
    <w:rsid w:val="00BB56FA"/>
    <w:rsid w:val="00BB5D54"/>
    <w:rsid w:val="00BB6447"/>
    <w:rsid w:val="00BB647A"/>
    <w:rsid w:val="00BB663B"/>
    <w:rsid w:val="00BB6685"/>
    <w:rsid w:val="00BB6969"/>
    <w:rsid w:val="00BB6C49"/>
    <w:rsid w:val="00BB6F54"/>
    <w:rsid w:val="00BB6FDB"/>
    <w:rsid w:val="00BB725E"/>
    <w:rsid w:val="00BB7594"/>
    <w:rsid w:val="00BB77A8"/>
    <w:rsid w:val="00BB7B06"/>
    <w:rsid w:val="00BC00D2"/>
    <w:rsid w:val="00BC014B"/>
    <w:rsid w:val="00BC022F"/>
    <w:rsid w:val="00BC0290"/>
    <w:rsid w:val="00BC03BD"/>
    <w:rsid w:val="00BC0A2E"/>
    <w:rsid w:val="00BC0A99"/>
    <w:rsid w:val="00BC0B33"/>
    <w:rsid w:val="00BC0DFB"/>
    <w:rsid w:val="00BC0E19"/>
    <w:rsid w:val="00BC0F6E"/>
    <w:rsid w:val="00BC0F9A"/>
    <w:rsid w:val="00BC10D9"/>
    <w:rsid w:val="00BC12DB"/>
    <w:rsid w:val="00BC1395"/>
    <w:rsid w:val="00BC13E4"/>
    <w:rsid w:val="00BC17AE"/>
    <w:rsid w:val="00BC1E76"/>
    <w:rsid w:val="00BC1FEA"/>
    <w:rsid w:val="00BC2264"/>
    <w:rsid w:val="00BC226C"/>
    <w:rsid w:val="00BC294E"/>
    <w:rsid w:val="00BC2DA9"/>
    <w:rsid w:val="00BC3066"/>
    <w:rsid w:val="00BC31BC"/>
    <w:rsid w:val="00BC3692"/>
    <w:rsid w:val="00BC36E2"/>
    <w:rsid w:val="00BC3708"/>
    <w:rsid w:val="00BC3C4F"/>
    <w:rsid w:val="00BC3DDB"/>
    <w:rsid w:val="00BC3EFE"/>
    <w:rsid w:val="00BC40E4"/>
    <w:rsid w:val="00BC4A4C"/>
    <w:rsid w:val="00BC4DCC"/>
    <w:rsid w:val="00BC53E4"/>
    <w:rsid w:val="00BC56E5"/>
    <w:rsid w:val="00BC5A87"/>
    <w:rsid w:val="00BC5B27"/>
    <w:rsid w:val="00BC5ED1"/>
    <w:rsid w:val="00BC6093"/>
    <w:rsid w:val="00BC66C3"/>
    <w:rsid w:val="00BC69DC"/>
    <w:rsid w:val="00BC6A82"/>
    <w:rsid w:val="00BC6DB9"/>
    <w:rsid w:val="00BC6F0C"/>
    <w:rsid w:val="00BC751E"/>
    <w:rsid w:val="00BC77FE"/>
    <w:rsid w:val="00BC79FB"/>
    <w:rsid w:val="00BC7B48"/>
    <w:rsid w:val="00BC7B63"/>
    <w:rsid w:val="00BC7CFF"/>
    <w:rsid w:val="00BC7D4C"/>
    <w:rsid w:val="00BC7FBA"/>
    <w:rsid w:val="00BD0336"/>
    <w:rsid w:val="00BD0727"/>
    <w:rsid w:val="00BD0933"/>
    <w:rsid w:val="00BD0C50"/>
    <w:rsid w:val="00BD0D17"/>
    <w:rsid w:val="00BD1342"/>
    <w:rsid w:val="00BD1706"/>
    <w:rsid w:val="00BD18C8"/>
    <w:rsid w:val="00BD1FCD"/>
    <w:rsid w:val="00BD22A5"/>
    <w:rsid w:val="00BD29FA"/>
    <w:rsid w:val="00BD2A3B"/>
    <w:rsid w:val="00BD2A81"/>
    <w:rsid w:val="00BD2D94"/>
    <w:rsid w:val="00BD366A"/>
    <w:rsid w:val="00BD37CF"/>
    <w:rsid w:val="00BD38ED"/>
    <w:rsid w:val="00BD3941"/>
    <w:rsid w:val="00BD3A46"/>
    <w:rsid w:val="00BD40CB"/>
    <w:rsid w:val="00BD4200"/>
    <w:rsid w:val="00BD450C"/>
    <w:rsid w:val="00BD45C0"/>
    <w:rsid w:val="00BD476E"/>
    <w:rsid w:val="00BD4858"/>
    <w:rsid w:val="00BD487B"/>
    <w:rsid w:val="00BD4A32"/>
    <w:rsid w:val="00BD4AA5"/>
    <w:rsid w:val="00BD4C84"/>
    <w:rsid w:val="00BD4DEB"/>
    <w:rsid w:val="00BD4FB7"/>
    <w:rsid w:val="00BD5136"/>
    <w:rsid w:val="00BD5890"/>
    <w:rsid w:val="00BD5F57"/>
    <w:rsid w:val="00BD6A89"/>
    <w:rsid w:val="00BD6CA3"/>
    <w:rsid w:val="00BD6D4F"/>
    <w:rsid w:val="00BD704C"/>
    <w:rsid w:val="00BD76DC"/>
    <w:rsid w:val="00BD7952"/>
    <w:rsid w:val="00BD7AB7"/>
    <w:rsid w:val="00BE06C5"/>
    <w:rsid w:val="00BE0993"/>
    <w:rsid w:val="00BE0F8A"/>
    <w:rsid w:val="00BE1171"/>
    <w:rsid w:val="00BE1184"/>
    <w:rsid w:val="00BE1352"/>
    <w:rsid w:val="00BE17FF"/>
    <w:rsid w:val="00BE1ADB"/>
    <w:rsid w:val="00BE1BDC"/>
    <w:rsid w:val="00BE217F"/>
    <w:rsid w:val="00BE2316"/>
    <w:rsid w:val="00BE286B"/>
    <w:rsid w:val="00BE291F"/>
    <w:rsid w:val="00BE2A39"/>
    <w:rsid w:val="00BE2BC7"/>
    <w:rsid w:val="00BE345C"/>
    <w:rsid w:val="00BE372B"/>
    <w:rsid w:val="00BE377E"/>
    <w:rsid w:val="00BE3891"/>
    <w:rsid w:val="00BE3BD8"/>
    <w:rsid w:val="00BE3E30"/>
    <w:rsid w:val="00BE4104"/>
    <w:rsid w:val="00BE4892"/>
    <w:rsid w:val="00BE4CFF"/>
    <w:rsid w:val="00BE4DAC"/>
    <w:rsid w:val="00BE5279"/>
    <w:rsid w:val="00BE53D9"/>
    <w:rsid w:val="00BE5592"/>
    <w:rsid w:val="00BE55CE"/>
    <w:rsid w:val="00BE57FD"/>
    <w:rsid w:val="00BE5CD0"/>
    <w:rsid w:val="00BE6157"/>
    <w:rsid w:val="00BE621A"/>
    <w:rsid w:val="00BE64DD"/>
    <w:rsid w:val="00BE6533"/>
    <w:rsid w:val="00BE6D1B"/>
    <w:rsid w:val="00BE6F78"/>
    <w:rsid w:val="00BE70B4"/>
    <w:rsid w:val="00BE7184"/>
    <w:rsid w:val="00BE727D"/>
    <w:rsid w:val="00BE73CC"/>
    <w:rsid w:val="00BE7483"/>
    <w:rsid w:val="00BE7A2B"/>
    <w:rsid w:val="00BE7A71"/>
    <w:rsid w:val="00BE7B2C"/>
    <w:rsid w:val="00BF00A8"/>
    <w:rsid w:val="00BF020C"/>
    <w:rsid w:val="00BF0403"/>
    <w:rsid w:val="00BF04D4"/>
    <w:rsid w:val="00BF0D88"/>
    <w:rsid w:val="00BF0DAB"/>
    <w:rsid w:val="00BF1312"/>
    <w:rsid w:val="00BF1601"/>
    <w:rsid w:val="00BF1644"/>
    <w:rsid w:val="00BF1BD5"/>
    <w:rsid w:val="00BF1EC4"/>
    <w:rsid w:val="00BF1EFE"/>
    <w:rsid w:val="00BF1FEB"/>
    <w:rsid w:val="00BF20BA"/>
    <w:rsid w:val="00BF21C6"/>
    <w:rsid w:val="00BF24FD"/>
    <w:rsid w:val="00BF250F"/>
    <w:rsid w:val="00BF28DF"/>
    <w:rsid w:val="00BF3260"/>
    <w:rsid w:val="00BF343B"/>
    <w:rsid w:val="00BF3826"/>
    <w:rsid w:val="00BF383F"/>
    <w:rsid w:val="00BF38DB"/>
    <w:rsid w:val="00BF3FA3"/>
    <w:rsid w:val="00BF5329"/>
    <w:rsid w:val="00BF595D"/>
    <w:rsid w:val="00BF5D0C"/>
    <w:rsid w:val="00BF60D6"/>
    <w:rsid w:val="00BF670A"/>
    <w:rsid w:val="00BF688F"/>
    <w:rsid w:val="00BF6B8A"/>
    <w:rsid w:val="00BF6C93"/>
    <w:rsid w:val="00BF705B"/>
    <w:rsid w:val="00BF7B9E"/>
    <w:rsid w:val="00BF7C0E"/>
    <w:rsid w:val="00C001E9"/>
    <w:rsid w:val="00C0032B"/>
    <w:rsid w:val="00C0093B"/>
    <w:rsid w:val="00C00AC6"/>
    <w:rsid w:val="00C00D7C"/>
    <w:rsid w:val="00C00F16"/>
    <w:rsid w:val="00C01114"/>
    <w:rsid w:val="00C01296"/>
    <w:rsid w:val="00C014B2"/>
    <w:rsid w:val="00C0171C"/>
    <w:rsid w:val="00C017BB"/>
    <w:rsid w:val="00C01849"/>
    <w:rsid w:val="00C0190F"/>
    <w:rsid w:val="00C01B03"/>
    <w:rsid w:val="00C01C8F"/>
    <w:rsid w:val="00C01D7D"/>
    <w:rsid w:val="00C025F9"/>
    <w:rsid w:val="00C028B3"/>
    <w:rsid w:val="00C02C94"/>
    <w:rsid w:val="00C02DD2"/>
    <w:rsid w:val="00C03869"/>
    <w:rsid w:val="00C03A81"/>
    <w:rsid w:val="00C03B96"/>
    <w:rsid w:val="00C03D27"/>
    <w:rsid w:val="00C03D6D"/>
    <w:rsid w:val="00C03FCD"/>
    <w:rsid w:val="00C04012"/>
    <w:rsid w:val="00C0459A"/>
    <w:rsid w:val="00C047E5"/>
    <w:rsid w:val="00C04A46"/>
    <w:rsid w:val="00C04D43"/>
    <w:rsid w:val="00C04E7C"/>
    <w:rsid w:val="00C04FA9"/>
    <w:rsid w:val="00C05B8F"/>
    <w:rsid w:val="00C05C08"/>
    <w:rsid w:val="00C05D67"/>
    <w:rsid w:val="00C05E5F"/>
    <w:rsid w:val="00C05E69"/>
    <w:rsid w:val="00C061B6"/>
    <w:rsid w:val="00C06700"/>
    <w:rsid w:val="00C06873"/>
    <w:rsid w:val="00C06A85"/>
    <w:rsid w:val="00C06C21"/>
    <w:rsid w:val="00C07268"/>
    <w:rsid w:val="00C0754B"/>
    <w:rsid w:val="00C0755C"/>
    <w:rsid w:val="00C07651"/>
    <w:rsid w:val="00C077AC"/>
    <w:rsid w:val="00C10070"/>
    <w:rsid w:val="00C109D1"/>
    <w:rsid w:val="00C10C69"/>
    <w:rsid w:val="00C10D19"/>
    <w:rsid w:val="00C11214"/>
    <w:rsid w:val="00C11435"/>
    <w:rsid w:val="00C11575"/>
    <w:rsid w:val="00C1162E"/>
    <w:rsid w:val="00C119FE"/>
    <w:rsid w:val="00C11C8B"/>
    <w:rsid w:val="00C11D91"/>
    <w:rsid w:val="00C11FC4"/>
    <w:rsid w:val="00C1246D"/>
    <w:rsid w:val="00C125BF"/>
    <w:rsid w:val="00C12C1D"/>
    <w:rsid w:val="00C13058"/>
    <w:rsid w:val="00C131C7"/>
    <w:rsid w:val="00C13368"/>
    <w:rsid w:val="00C139D2"/>
    <w:rsid w:val="00C13FEB"/>
    <w:rsid w:val="00C14155"/>
    <w:rsid w:val="00C146E4"/>
    <w:rsid w:val="00C148AB"/>
    <w:rsid w:val="00C14E28"/>
    <w:rsid w:val="00C150A0"/>
    <w:rsid w:val="00C150EF"/>
    <w:rsid w:val="00C1512A"/>
    <w:rsid w:val="00C151D8"/>
    <w:rsid w:val="00C15546"/>
    <w:rsid w:val="00C15906"/>
    <w:rsid w:val="00C15C10"/>
    <w:rsid w:val="00C15FB3"/>
    <w:rsid w:val="00C1613D"/>
    <w:rsid w:val="00C16725"/>
    <w:rsid w:val="00C167D3"/>
    <w:rsid w:val="00C16AF0"/>
    <w:rsid w:val="00C16E56"/>
    <w:rsid w:val="00C170E5"/>
    <w:rsid w:val="00C17152"/>
    <w:rsid w:val="00C1794C"/>
    <w:rsid w:val="00C1795D"/>
    <w:rsid w:val="00C17A26"/>
    <w:rsid w:val="00C17A4D"/>
    <w:rsid w:val="00C17C8B"/>
    <w:rsid w:val="00C17EA8"/>
    <w:rsid w:val="00C17EAE"/>
    <w:rsid w:val="00C17F34"/>
    <w:rsid w:val="00C17F98"/>
    <w:rsid w:val="00C20298"/>
    <w:rsid w:val="00C2040C"/>
    <w:rsid w:val="00C20729"/>
    <w:rsid w:val="00C21409"/>
    <w:rsid w:val="00C2171E"/>
    <w:rsid w:val="00C2193B"/>
    <w:rsid w:val="00C21AFE"/>
    <w:rsid w:val="00C21C3C"/>
    <w:rsid w:val="00C21E24"/>
    <w:rsid w:val="00C21EE3"/>
    <w:rsid w:val="00C22438"/>
    <w:rsid w:val="00C2269E"/>
    <w:rsid w:val="00C22874"/>
    <w:rsid w:val="00C22A77"/>
    <w:rsid w:val="00C22B52"/>
    <w:rsid w:val="00C22B9F"/>
    <w:rsid w:val="00C22CC5"/>
    <w:rsid w:val="00C2319C"/>
    <w:rsid w:val="00C23405"/>
    <w:rsid w:val="00C234AF"/>
    <w:rsid w:val="00C2365E"/>
    <w:rsid w:val="00C23913"/>
    <w:rsid w:val="00C23A6C"/>
    <w:rsid w:val="00C23AE0"/>
    <w:rsid w:val="00C23AFF"/>
    <w:rsid w:val="00C23C08"/>
    <w:rsid w:val="00C23C65"/>
    <w:rsid w:val="00C23F8C"/>
    <w:rsid w:val="00C23FBD"/>
    <w:rsid w:val="00C24A80"/>
    <w:rsid w:val="00C24C3F"/>
    <w:rsid w:val="00C24D08"/>
    <w:rsid w:val="00C24D5C"/>
    <w:rsid w:val="00C25238"/>
    <w:rsid w:val="00C25679"/>
    <w:rsid w:val="00C2581D"/>
    <w:rsid w:val="00C25B55"/>
    <w:rsid w:val="00C2615B"/>
    <w:rsid w:val="00C2632A"/>
    <w:rsid w:val="00C2675F"/>
    <w:rsid w:val="00C267D1"/>
    <w:rsid w:val="00C267F5"/>
    <w:rsid w:val="00C26CDA"/>
    <w:rsid w:val="00C27264"/>
    <w:rsid w:val="00C273A3"/>
    <w:rsid w:val="00C27502"/>
    <w:rsid w:val="00C27775"/>
    <w:rsid w:val="00C27B2B"/>
    <w:rsid w:val="00C300E4"/>
    <w:rsid w:val="00C30223"/>
    <w:rsid w:val="00C302B6"/>
    <w:rsid w:val="00C30FF6"/>
    <w:rsid w:val="00C311E4"/>
    <w:rsid w:val="00C31246"/>
    <w:rsid w:val="00C3158F"/>
    <w:rsid w:val="00C3197F"/>
    <w:rsid w:val="00C31CBD"/>
    <w:rsid w:val="00C31DCB"/>
    <w:rsid w:val="00C321DE"/>
    <w:rsid w:val="00C323EF"/>
    <w:rsid w:val="00C323F6"/>
    <w:rsid w:val="00C32A92"/>
    <w:rsid w:val="00C331A1"/>
    <w:rsid w:val="00C3335A"/>
    <w:rsid w:val="00C3347B"/>
    <w:rsid w:val="00C33594"/>
    <w:rsid w:val="00C338B9"/>
    <w:rsid w:val="00C338EC"/>
    <w:rsid w:val="00C33A9C"/>
    <w:rsid w:val="00C33B27"/>
    <w:rsid w:val="00C33BCF"/>
    <w:rsid w:val="00C33EE6"/>
    <w:rsid w:val="00C33FB6"/>
    <w:rsid w:val="00C340AD"/>
    <w:rsid w:val="00C3444A"/>
    <w:rsid w:val="00C34888"/>
    <w:rsid w:val="00C34CF0"/>
    <w:rsid w:val="00C35453"/>
    <w:rsid w:val="00C35B1C"/>
    <w:rsid w:val="00C35EE3"/>
    <w:rsid w:val="00C35F9F"/>
    <w:rsid w:val="00C36856"/>
    <w:rsid w:val="00C36B55"/>
    <w:rsid w:val="00C36E4B"/>
    <w:rsid w:val="00C37305"/>
    <w:rsid w:val="00C3734F"/>
    <w:rsid w:val="00C37B83"/>
    <w:rsid w:val="00C40111"/>
    <w:rsid w:val="00C40508"/>
    <w:rsid w:val="00C412D3"/>
    <w:rsid w:val="00C41536"/>
    <w:rsid w:val="00C415A2"/>
    <w:rsid w:val="00C41626"/>
    <w:rsid w:val="00C4182C"/>
    <w:rsid w:val="00C41A0D"/>
    <w:rsid w:val="00C41AC5"/>
    <w:rsid w:val="00C41EAF"/>
    <w:rsid w:val="00C42066"/>
    <w:rsid w:val="00C42226"/>
    <w:rsid w:val="00C42581"/>
    <w:rsid w:val="00C426BF"/>
    <w:rsid w:val="00C429FA"/>
    <w:rsid w:val="00C42D5C"/>
    <w:rsid w:val="00C42E47"/>
    <w:rsid w:val="00C42EDB"/>
    <w:rsid w:val="00C4343F"/>
    <w:rsid w:val="00C437F2"/>
    <w:rsid w:val="00C438FE"/>
    <w:rsid w:val="00C43A35"/>
    <w:rsid w:val="00C43C00"/>
    <w:rsid w:val="00C43C60"/>
    <w:rsid w:val="00C44342"/>
    <w:rsid w:val="00C44513"/>
    <w:rsid w:val="00C44B18"/>
    <w:rsid w:val="00C44C1D"/>
    <w:rsid w:val="00C44E1C"/>
    <w:rsid w:val="00C44FF4"/>
    <w:rsid w:val="00C45274"/>
    <w:rsid w:val="00C45F5E"/>
    <w:rsid w:val="00C46112"/>
    <w:rsid w:val="00C46884"/>
    <w:rsid w:val="00C46A12"/>
    <w:rsid w:val="00C46B2A"/>
    <w:rsid w:val="00C471F6"/>
    <w:rsid w:val="00C47321"/>
    <w:rsid w:val="00C4784C"/>
    <w:rsid w:val="00C478DA"/>
    <w:rsid w:val="00C47AF6"/>
    <w:rsid w:val="00C47D2B"/>
    <w:rsid w:val="00C47D34"/>
    <w:rsid w:val="00C5013B"/>
    <w:rsid w:val="00C5059E"/>
    <w:rsid w:val="00C505E1"/>
    <w:rsid w:val="00C508E5"/>
    <w:rsid w:val="00C50AD1"/>
    <w:rsid w:val="00C515BA"/>
    <w:rsid w:val="00C51A09"/>
    <w:rsid w:val="00C523AE"/>
    <w:rsid w:val="00C524A2"/>
    <w:rsid w:val="00C52AC7"/>
    <w:rsid w:val="00C52DD7"/>
    <w:rsid w:val="00C52E10"/>
    <w:rsid w:val="00C531E8"/>
    <w:rsid w:val="00C535C3"/>
    <w:rsid w:val="00C536AF"/>
    <w:rsid w:val="00C53709"/>
    <w:rsid w:val="00C5388E"/>
    <w:rsid w:val="00C539B2"/>
    <w:rsid w:val="00C53A39"/>
    <w:rsid w:val="00C53A4A"/>
    <w:rsid w:val="00C547C9"/>
    <w:rsid w:val="00C54912"/>
    <w:rsid w:val="00C54F9F"/>
    <w:rsid w:val="00C551E0"/>
    <w:rsid w:val="00C55310"/>
    <w:rsid w:val="00C5574D"/>
    <w:rsid w:val="00C55B23"/>
    <w:rsid w:val="00C56204"/>
    <w:rsid w:val="00C563AD"/>
    <w:rsid w:val="00C563D1"/>
    <w:rsid w:val="00C563DE"/>
    <w:rsid w:val="00C5646C"/>
    <w:rsid w:val="00C565DA"/>
    <w:rsid w:val="00C565E5"/>
    <w:rsid w:val="00C569D5"/>
    <w:rsid w:val="00C56B8A"/>
    <w:rsid w:val="00C56C31"/>
    <w:rsid w:val="00C56D91"/>
    <w:rsid w:val="00C56DBA"/>
    <w:rsid w:val="00C573B0"/>
    <w:rsid w:val="00C57B6D"/>
    <w:rsid w:val="00C57ED8"/>
    <w:rsid w:val="00C6015F"/>
    <w:rsid w:val="00C602B6"/>
    <w:rsid w:val="00C602DB"/>
    <w:rsid w:val="00C60432"/>
    <w:rsid w:val="00C60516"/>
    <w:rsid w:val="00C60876"/>
    <w:rsid w:val="00C60939"/>
    <w:rsid w:val="00C60C4C"/>
    <w:rsid w:val="00C60DD5"/>
    <w:rsid w:val="00C60E82"/>
    <w:rsid w:val="00C60F24"/>
    <w:rsid w:val="00C61229"/>
    <w:rsid w:val="00C61374"/>
    <w:rsid w:val="00C6157D"/>
    <w:rsid w:val="00C618AB"/>
    <w:rsid w:val="00C6192F"/>
    <w:rsid w:val="00C61A53"/>
    <w:rsid w:val="00C61FFA"/>
    <w:rsid w:val="00C621F1"/>
    <w:rsid w:val="00C62207"/>
    <w:rsid w:val="00C624F4"/>
    <w:rsid w:val="00C627D7"/>
    <w:rsid w:val="00C62DF9"/>
    <w:rsid w:val="00C62E1C"/>
    <w:rsid w:val="00C63239"/>
    <w:rsid w:val="00C6333B"/>
    <w:rsid w:val="00C633E5"/>
    <w:rsid w:val="00C633F6"/>
    <w:rsid w:val="00C6390B"/>
    <w:rsid w:val="00C63967"/>
    <w:rsid w:val="00C63A64"/>
    <w:rsid w:val="00C63D65"/>
    <w:rsid w:val="00C63D80"/>
    <w:rsid w:val="00C644C5"/>
    <w:rsid w:val="00C64564"/>
    <w:rsid w:val="00C64687"/>
    <w:rsid w:val="00C648DA"/>
    <w:rsid w:val="00C6498A"/>
    <w:rsid w:val="00C6628C"/>
    <w:rsid w:val="00C66295"/>
    <w:rsid w:val="00C6650A"/>
    <w:rsid w:val="00C66548"/>
    <w:rsid w:val="00C665C1"/>
    <w:rsid w:val="00C667C8"/>
    <w:rsid w:val="00C66A8E"/>
    <w:rsid w:val="00C66B9A"/>
    <w:rsid w:val="00C66F96"/>
    <w:rsid w:val="00C6734B"/>
    <w:rsid w:val="00C67AEC"/>
    <w:rsid w:val="00C67C45"/>
    <w:rsid w:val="00C67E3D"/>
    <w:rsid w:val="00C67EB2"/>
    <w:rsid w:val="00C67F97"/>
    <w:rsid w:val="00C70032"/>
    <w:rsid w:val="00C70620"/>
    <w:rsid w:val="00C70781"/>
    <w:rsid w:val="00C70B5D"/>
    <w:rsid w:val="00C70C20"/>
    <w:rsid w:val="00C70D5E"/>
    <w:rsid w:val="00C70F90"/>
    <w:rsid w:val="00C710A0"/>
    <w:rsid w:val="00C715F9"/>
    <w:rsid w:val="00C71630"/>
    <w:rsid w:val="00C717C2"/>
    <w:rsid w:val="00C71D3A"/>
    <w:rsid w:val="00C71D99"/>
    <w:rsid w:val="00C724DF"/>
    <w:rsid w:val="00C72889"/>
    <w:rsid w:val="00C72A9C"/>
    <w:rsid w:val="00C72E0E"/>
    <w:rsid w:val="00C73016"/>
    <w:rsid w:val="00C734E0"/>
    <w:rsid w:val="00C73524"/>
    <w:rsid w:val="00C73599"/>
    <w:rsid w:val="00C736AF"/>
    <w:rsid w:val="00C73B0A"/>
    <w:rsid w:val="00C73F85"/>
    <w:rsid w:val="00C742F3"/>
    <w:rsid w:val="00C74529"/>
    <w:rsid w:val="00C746F1"/>
    <w:rsid w:val="00C748CD"/>
    <w:rsid w:val="00C74A10"/>
    <w:rsid w:val="00C74B67"/>
    <w:rsid w:val="00C74BCC"/>
    <w:rsid w:val="00C74CE0"/>
    <w:rsid w:val="00C74D1E"/>
    <w:rsid w:val="00C751DE"/>
    <w:rsid w:val="00C753BD"/>
    <w:rsid w:val="00C756E5"/>
    <w:rsid w:val="00C757DC"/>
    <w:rsid w:val="00C75E4D"/>
    <w:rsid w:val="00C76470"/>
    <w:rsid w:val="00C764CD"/>
    <w:rsid w:val="00C765DA"/>
    <w:rsid w:val="00C7695A"/>
    <w:rsid w:val="00C76A4D"/>
    <w:rsid w:val="00C76AD4"/>
    <w:rsid w:val="00C76B45"/>
    <w:rsid w:val="00C76CE5"/>
    <w:rsid w:val="00C76EDC"/>
    <w:rsid w:val="00C773F6"/>
    <w:rsid w:val="00C7757A"/>
    <w:rsid w:val="00C77A39"/>
    <w:rsid w:val="00C77BB1"/>
    <w:rsid w:val="00C77D2B"/>
    <w:rsid w:val="00C77F8F"/>
    <w:rsid w:val="00C8069F"/>
    <w:rsid w:val="00C80ECF"/>
    <w:rsid w:val="00C81010"/>
    <w:rsid w:val="00C81252"/>
    <w:rsid w:val="00C81254"/>
    <w:rsid w:val="00C8134F"/>
    <w:rsid w:val="00C8189F"/>
    <w:rsid w:val="00C818E6"/>
    <w:rsid w:val="00C82350"/>
    <w:rsid w:val="00C82B94"/>
    <w:rsid w:val="00C83029"/>
    <w:rsid w:val="00C83532"/>
    <w:rsid w:val="00C8373F"/>
    <w:rsid w:val="00C837CF"/>
    <w:rsid w:val="00C83C74"/>
    <w:rsid w:val="00C83DAF"/>
    <w:rsid w:val="00C83FA3"/>
    <w:rsid w:val="00C840B3"/>
    <w:rsid w:val="00C84285"/>
    <w:rsid w:val="00C843A6"/>
    <w:rsid w:val="00C84521"/>
    <w:rsid w:val="00C84739"/>
    <w:rsid w:val="00C847BD"/>
    <w:rsid w:val="00C8531D"/>
    <w:rsid w:val="00C85885"/>
    <w:rsid w:val="00C859CC"/>
    <w:rsid w:val="00C85CCC"/>
    <w:rsid w:val="00C86095"/>
    <w:rsid w:val="00C86269"/>
    <w:rsid w:val="00C86718"/>
    <w:rsid w:val="00C86832"/>
    <w:rsid w:val="00C8696F"/>
    <w:rsid w:val="00C86AC8"/>
    <w:rsid w:val="00C86B3C"/>
    <w:rsid w:val="00C86C68"/>
    <w:rsid w:val="00C86F84"/>
    <w:rsid w:val="00C86F87"/>
    <w:rsid w:val="00C87267"/>
    <w:rsid w:val="00C87543"/>
    <w:rsid w:val="00C87B97"/>
    <w:rsid w:val="00C9022B"/>
    <w:rsid w:val="00C90769"/>
    <w:rsid w:val="00C90866"/>
    <w:rsid w:val="00C90A1E"/>
    <w:rsid w:val="00C90F38"/>
    <w:rsid w:val="00C911D4"/>
    <w:rsid w:val="00C911EF"/>
    <w:rsid w:val="00C91259"/>
    <w:rsid w:val="00C912B0"/>
    <w:rsid w:val="00C914BD"/>
    <w:rsid w:val="00C914E2"/>
    <w:rsid w:val="00C91AB3"/>
    <w:rsid w:val="00C91D9B"/>
    <w:rsid w:val="00C92344"/>
    <w:rsid w:val="00C924FE"/>
    <w:rsid w:val="00C92568"/>
    <w:rsid w:val="00C9285F"/>
    <w:rsid w:val="00C92E4E"/>
    <w:rsid w:val="00C92F2B"/>
    <w:rsid w:val="00C92FAC"/>
    <w:rsid w:val="00C93655"/>
    <w:rsid w:val="00C93DD3"/>
    <w:rsid w:val="00C93F7E"/>
    <w:rsid w:val="00C9434A"/>
    <w:rsid w:val="00C94369"/>
    <w:rsid w:val="00C94F89"/>
    <w:rsid w:val="00C95163"/>
    <w:rsid w:val="00C952F0"/>
    <w:rsid w:val="00C95324"/>
    <w:rsid w:val="00C958CA"/>
    <w:rsid w:val="00C95CF9"/>
    <w:rsid w:val="00C96844"/>
    <w:rsid w:val="00C96B0F"/>
    <w:rsid w:val="00C96C43"/>
    <w:rsid w:val="00C96E67"/>
    <w:rsid w:val="00C970BA"/>
    <w:rsid w:val="00C970EC"/>
    <w:rsid w:val="00C97292"/>
    <w:rsid w:val="00C97950"/>
    <w:rsid w:val="00C97A47"/>
    <w:rsid w:val="00C97FF5"/>
    <w:rsid w:val="00CA0264"/>
    <w:rsid w:val="00CA02F5"/>
    <w:rsid w:val="00CA0DEC"/>
    <w:rsid w:val="00CA0E58"/>
    <w:rsid w:val="00CA0FE6"/>
    <w:rsid w:val="00CA13CA"/>
    <w:rsid w:val="00CA13CF"/>
    <w:rsid w:val="00CA13F0"/>
    <w:rsid w:val="00CA1652"/>
    <w:rsid w:val="00CA18DB"/>
    <w:rsid w:val="00CA1B8C"/>
    <w:rsid w:val="00CA20EA"/>
    <w:rsid w:val="00CA2E41"/>
    <w:rsid w:val="00CA2E5B"/>
    <w:rsid w:val="00CA2FF3"/>
    <w:rsid w:val="00CA311D"/>
    <w:rsid w:val="00CA32C2"/>
    <w:rsid w:val="00CA3B78"/>
    <w:rsid w:val="00CA41D7"/>
    <w:rsid w:val="00CA46A3"/>
    <w:rsid w:val="00CA47C3"/>
    <w:rsid w:val="00CA4801"/>
    <w:rsid w:val="00CA4958"/>
    <w:rsid w:val="00CA4ED9"/>
    <w:rsid w:val="00CA4F66"/>
    <w:rsid w:val="00CA53A3"/>
    <w:rsid w:val="00CA578A"/>
    <w:rsid w:val="00CA5900"/>
    <w:rsid w:val="00CA5AE2"/>
    <w:rsid w:val="00CA5CBB"/>
    <w:rsid w:val="00CA5D96"/>
    <w:rsid w:val="00CA613C"/>
    <w:rsid w:val="00CA649E"/>
    <w:rsid w:val="00CA6A71"/>
    <w:rsid w:val="00CA6A78"/>
    <w:rsid w:val="00CA6DE0"/>
    <w:rsid w:val="00CA6DF5"/>
    <w:rsid w:val="00CA7376"/>
    <w:rsid w:val="00CA7627"/>
    <w:rsid w:val="00CA7978"/>
    <w:rsid w:val="00CB000B"/>
    <w:rsid w:val="00CB007C"/>
    <w:rsid w:val="00CB0CC3"/>
    <w:rsid w:val="00CB1039"/>
    <w:rsid w:val="00CB10D6"/>
    <w:rsid w:val="00CB117A"/>
    <w:rsid w:val="00CB1202"/>
    <w:rsid w:val="00CB1206"/>
    <w:rsid w:val="00CB13D7"/>
    <w:rsid w:val="00CB1584"/>
    <w:rsid w:val="00CB171A"/>
    <w:rsid w:val="00CB19F0"/>
    <w:rsid w:val="00CB1C84"/>
    <w:rsid w:val="00CB1E92"/>
    <w:rsid w:val="00CB1FE8"/>
    <w:rsid w:val="00CB211F"/>
    <w:rsid w:val="00CB2124"/>
    <w:rsid w:val="00CB2247"/>
    <w:rsid w:val="00CB2342"/>
    <w:rsid w:val="00CB2405"/>
    <w:rsid w:val="00CB2A05"/>
    <w:rsid w:val="00CB2CB0"/>
    <w:rsid w:val="00CB2F9A"/>
    <w:rsid w:val="00CB2FB5"/>
    <w:rsid w:val="00CB3161"/>
    <w:rsid w:val="00CB3238"/>
    <w:rsid w:val="00CB36D3"/>
    <w:rsid w:val="00CB38D9"/>
    <w:rsid w:val="00CB3B27"/>
    <w:rsid w:val="00CB3B81"/>
    <w:rsid w:val="00CB3ECD"/>
    <w:rsid w:val="00CB3F2A"/>
    <w:rsid w:val="00CB48B1"/>
    <w:rsid w:val="00CB4AB7"/>
    <w:rsid w:val="00CB50CB"/>
    <w:rsid w:val="00CB5448"/>
    <w:rsid w:val="00CB546F"/>
    <w:rsid w:val="00CB55AD"/>
    <w:rsid w:val="00CB55DD"/>
    <w:rsid w:val="00CB5B2C"/>
    <w:rsid w:val="00CB5D4B"/>
    <w:rsid w:val="00CB6305"/>
    <w:rsid w:val="00CB65F1"/>
    <w:rsid w:val="00CB664E"/>
    <w:rsid w:val="00CB6768"/>
    <w:rsid w:val="00CB6842"/>
    <w:rsid w:val="00CB695A"/>
    <w:rsid w:val="00CB69B5"/>
    <w:rsid w:val="00CB70B2"/>
    <w:rsid w:val="00CB70CC"/>
    <w:rsid w:val="00CB712A"/>
    <w:rsid w:val="00CB7158"/>
    <w:rsid w:val="00CB7225"/>
    <w:rsid w:val="00CB7676"/>
    <w:rsid w:val="00CB78C3"/>
    <w:rsid w:val="00CB79F4"/>
    <w:rsid w:val="00CB7C71"/>
    <w:rsid w:val="00CB7EFA"/>
    <w:rsid w:val="00CC0B59"/>
    <w:rsid w:val="00CC151F"/>
    <w:rsid w:val="00CC15F7"/>
    <w:rsid w:val="00CC1A32"/>
    <w:rsid w:val="00CC1A8F"/>
    <w:rsid w:val="00CC1B3A"/>
    <w:rsid w:val="00CC1E2D"/>
    <w:rsid w:val="00CC1F8F"/>
    <w:rsid w:val="00CC21A9"/>
    <w:rsid w:val="00CC2251"/>
    <w:rsid w:val="00CC2352"/>
    <w:rsid w:val="00CC25CC"/>
    <w:rsid w:val="00CC25EE"/>
    <w:rsid w:val="00CC298C"/>
    <w:rsid w:val="00CC2997"/>
    <w:rsid w:val="00CC29DB"/>
    <w:rsid w:val="00CC2D01"/>
    <w:rsid w:val="00CC2E6E"/>
    <w:rsid w:val="00CC2F04"/>
    <w:rsid w:val="00CC3092"/>
    <w:rsid w:val="00CC386E"/>
    <w:rsid w:val="00CC398D"/>
    <w:rsid w:val="00CC3B56"/>
    <w:rsid w:val="00CC3C60"/>
    <w:rsid w:val="00CC42F5"/>
    <w:rsid w:val="00CC4333"/>
    <w:rsid w:val="00CC43CC"/>
    <w:rsid w:val="00CC4439"/>
    <w:rsid w:val="00CC47EA"/>
    <w:rsid w:val="00CC4A0C"/>
    <w:rsid w:val="00CC4BEF"/>
    <w:rsid w:val="00CC4E97"/>
    <w:rsid w:val="00CC505D"/>
    <w:rsid w:val="00CC50BF"/>
    <w:rsid w:val="00CC52B6"/>
    <w:rsid w:val="00CC5706"/>
    <w:rsid w:val="00CC5C30"/>
    <w:rsid w:val="00CC5EFD"/>
    <w:rsid w:val="00CC5FDA"/>
    <w:rsid w:val="00CC6021"/>
    <w:rsid w:val="00CC6305"/>
    <w:rsid w:val="00CC634F"/>
    <w:rsid w:val="00CC6462"/>
    <w:rsid w:val="00CC674B"/>
    <w:rsid w:val="00CC6B22"/>
    <w:rsid w:val="00CC7455"/>
    <w:rsid w:val="00CC7723"/>
    <w:rsid w:val="00CC7AC3"/>
    <w:rsid w:val="00CC7C58"/>
    <w:rsid w:val="00CC7CFD"/>
    <w:rsid w:val="00CC7F76"/>
    <w:rsid w:val="00CD032F"/>
    <w:rsid w:val="00CD0811"/>
    <w:rsid w:val="00CD0865"/>
    <w:rsid w:val="00CD1103"/>
    <w:rsid w:val="00CD1435"/>
    <w:rsid w:val="00CD176C"/>
    <w:rsid w:val="00CD1A58"/>
    <w:rsid w:val="00CD1BFF"/>
    <w:rsid w:val="00CD1C2A"/>
    <w:rsid w:val="00CD20AE"/>
    <w:rsid w:val="00CD219F"/>
    <w:rsid w:val="00CD2535"/>
    <w:rsid w:val="00CD27AB"/>
    <w:rsid w:val="00CD2A9E"/>
    <w:rsid w:val="00CD2CF6"/>
    <w:rsid w:val="00CD2D43"/>
    <w:rsid w:val="00CD2E39"/>
    <w:rsid w:val="00CD310A"/>
    <w:rsid w:val="00CD315C"/>
    <w:rsid w:val="00CD3223"/>
    <w:rsid w:val="00CD33C1"/>
    <w:rsid w:val="00CD3770"/>
    <w:rsid w:val="00CD3DC6"/>
    <w:rsid w:val="00CD3F14"/>
    <w:rsid w:val="00CD4147"/>
    <w:rsid w:val="00CD4317"/>
    <w:rsid w:val="00CD4466"/>
    <w:rsid w:val="00CD4548"/>
    <w:rsid w:val="00CD4B52"/>
    <w:rsid w:val="00CD516B"/>
    <w:rsid w:val="00CD52D7"/>
    <w:rsid w:val="00CD5B5D"/>
    <w:rsid w:val="00CD5B6A"/>
    <w:rsid w:val="00CD5EB2"/>
    <w:rsid w:val="00CD6358"/>
    <w:rsid w:val="00CD6563"/>
    <w:rsid w:val="00CD69F3"/>
    <w:rsid w:val="00CD7039"/>
    <w:rsid w:val="00CD788A"/>
    <w:rsid w:val="00CD78E2"/>
    <w:rsid w:val="00CE0094"/>
    <w:rsid w:val="00CE0307"/>
    <w:rsid w:val="00CE039E"/>
    <w:rsid w:val="00CE0487"/>
    <w:rsid w:val="00CE0AEA"/>
    <w:rsid w:val="00CE0C0C"/>
    <w:rsid w:val="00CE0D9A"/>
    <w:rsid w:val="00CE1229"/>
    <w:rsid w:val="00CE1282"/>
    <w:rsid w:val="00CE1354"/>
    <w:rsid w:val="00CE137F"/>
    <w:rsid w:val="00CE1892"/>
    <w:rsid w:val="00CE1A0E"/>
    <w:rsid w:val="00CE1A30"/>
    <w:rsid w:val="00CE1C3D"/>
    <w:rsid w:val="00CE1C94"/>
    <w:rsid w:val="00CE2506"/>
    <w:rsid w:val="00CE2819"/>
    <w:rsid w:val="00CE2AEF"/>
    <w:rsid w:val="00CE2B59"/>
    <w:rsid w:val="00CE2BDF"/>
    <w:rsid w:val="00CE3274"/>
    <w:rsid w:val="00CE38E4"/>
    <w:rsid w:val="00CE3AEB"/>
    <w:rsid w:val="00CE3DC0"/>
    <w:rsid w:val="00CE427E"/>
    <w:rsid w:val="00CE42E6"/>
    <w:rsid w:val="00CE454B"/>
    <w:rsid w:val="00CE4C31"/>
    <w:rsid w:val="00CE4CF2"/>
    <w:rsid w:val="00CE5254"/>
    <w:rsid w:val="00CE5539"/>
    <w:rsid w:val="00CE556D"/>
    <w:rsid w:val="00CE5ADB"/>
    <w:rsid w:val="00CE5E1F"/>
    <w:rsid w:val="00CE5F61"/>
    <w:rsid w:val="00CE6000"/>
    <w:rsid w:val="00CE6723"/>
    <w:rsid w:val="00CE6919"/>
    <w:rsid w:val="00CE6F76"/>
    <w:rsid w:val="00CE7440"/>
    <w:rsid w:val="00CE770C"/>
    <w:rsid w:val="00CE7748"/>
    <w:rsid w:val="00CE7A4A"/>
    <w:rsid w:val="00CF0033"/>
    <w:rsid w:val="00CF03F4"/>
    <w:rsid w:val="00CF05A9"/>
    <w:rsid w:val="00CF07CB"/>
    <w:rsid w:val="00CF080E"/>
    <w:rsid w:val="00CF09B5"/>
    <w:rsid w:val="00CF0BCC"/>
    <w:rsid w:val="00CF0FE4"/>
    <w:rsid w:val="00CF10CA"/>
    <w:rsid w:val="00CF121C"/>
    <w:rsid w:val="00CF1247"/>
    <w:rsid w:val="00CF1305"/>
    <w:rsid w:val="00CF1710"/>
    <w:rsid w:val="00CF1740"/>
    <w:rsid w:val="00CF1957"/>
    <w:rsid w:val="00CF1A44"/>
    <w:rsid w:val="00CF1CBD"/>
    <w:rsid w:val="00CF23EF"/>
    <w:rsid w:val="00CF276A"/>
    <w:rsid w:val="00CF37D2"/>
    <w:rsid w:val="00CF38A7"/>
    <w:rsid w:val="00CF3AF2"/>
    <w:rsid w:val="00CF3B96"/>
    <w:rsid w:val="00CF3E88"/>
    <w:rsid w:val="00CF42A6"/>
    <w:rsid w:val="00CF42FD"/>
    <w:rsid w:val="00CF4F9B"/>
    <w:rsid w:val="00CF5150"/>
    <w:rsid w:val="00CF5178"/>
    <w:rsid w:val="00CF560F"/>
    <w:rsid w:val="00CF57D3"/>
    <w:rsid w:val="00CF59C5"/>
    <w:rsid w:val="00CF5ED2"/>
    <w:rsid w:val="00CF6457"/>
    <w:rsid w:val="00CF64C5"/>
    <w:rsid w:val="00CF669A"/>
    <w:rsid w:val="00CF66B8"/>
    <w:rsid w:val="00CF6C1A"/>
    <w:rsid w:val="00CF70C1"/>
    <w:rsid w:val="00CF7395"/>
    <w:rsid w:val="00CF7856"/>
    <w:rsid w:val="00CF7871"/>
    <w:rsid w:val="00CF7AC7"/>
    <w:rsid w:val="00CF7B22"/>
    <w:rsid w:val="00CF7C8A"/>
    <w:rsid w:val="00CF7CBE"/>
    <w:rsid w:val="00D00123"/>
    <w:rsid w:val="00D00398"/>
    <w:rsid w:val="00D00458"/>
    <w:rsid w:val="00D0064F"/>
    <w:rsid w:val="00D008D4"/>
    <w:rsid w:val="00D00903"/>
    <w:rsid w:val="00D00B64"/>
    <w:rsid w:val="00D01034"/>
    <w:rsid w:val="00D0136D"/>
    <w:rsid w:val="00D017B0"/>
    <w:rsid w:val="00D01CA6"/>
    <w:rsid w:val="00D01FBF"/>
    <w:rsid w:val="00D021B0"/>
    <w:rsid w:val="00D02482"/>
    <w:rsid w:val="00D02521"/>
    <w:rsid w:val="00D02568"/>
    <w:rsid w:val="00D02647"/>
    <w:rsid w:val="00D0280E"/>
    <w:rsid w:val="00D036ED"/>
    <w:rsid w:val="00D03826"/>
    <w:rsid w:val="00D03A4E"/>
    <w:rsid w:val="00D04092"/>
    <w:rsid w:val="00D040EE"/>
    <w:rsid w:val="00D04446"/>
    <w:rsid w:val="00D04711"/>
    <w:rsid w:val="00D04D24"/>
    <w:rsid w:val="00D04DCA"/>
    <w:rsid w:val="00D051A4"/>
    <w:rsid w:val="00D054B7"/>
    <w:rsid w:val="00D055A8"/>
    <w:rsid w:val="00D055AD"/>
    <w:rsid w:val="00D05617"/>
    <w:rsid w:val="00D0578E"/>
    <w:rsid w:val="00D0596D"/>
    <w:rsid w:val="00D05B58"/>
    <w:rsid w:val="00D05CD5"/>
    <w:rsid w:val="00D05E1C"/>
    <w:rsid w:val="00D05E64"/>
    <w:rsid w:val="00D05F46"/>
    <w:rsid w:val="00D05F49"/>
    <w:rsid w:val="00D05F63"/>
    <w:rsid w:val="00D0613F"/>
    <w:rsid w:val="00D06141"/>
    <w:rsid w:val="00D06366"/>
    <w:rsid w:val="00D06A18"/>
    <w:rsid w:val="00D06BF0"/>
    <w:rsid w:val="00D06CF7"/>
    <w:rsid w:val="00D06EA2"/>
    <w:rsid w:val="00D0704E"/>
    <w:rsid w:val="00D0724C"/>
    <w:rsid w:val="00D074D9"/>
    <w:rsid w:val="00D076E9"/>
    <w:rsid w:val="00D07771"/>
    <w:rsid w:val="00D07AE0"/>
    <w:rsid w:val="00D07C49"/>
    <w:rsid w:val="00D07D0F"/>
    <w:rsid w:val="00D07E08"/>
    <w:rsid w:val="00D10625"/>
    <w:rsid w:val="00D108F3"/>
    <w:rsid w:val="00D10F1E"/>
    <w:rsid w:val="00D114A4"/>
    <w:rsid w:val="00D11532"/>
    <w:rsid w:val="00D1177D"/>
    <w:rsid w:val="00D11879"/>
    <w:rsid w:val="00D11C2D"/>
    <w:rsid w:val="00D11CF7"/>
    <w:rsid w:val="00D11D17"/>
    <w:rsid w:val="00D12313"/>
    <w:rsid w:val="00D12344"/>
    <w:rsid w:val="00D12644"/>
    <w:rsid w:val="00D12ACB"/>
    <w:rsid w:val="00D12D2A"/>
    <w:rsid w:val="00D12E2C"/>
    <w:rsid w:val="00D13522"/>
    <w:rsid w:val="00D13D0C"/>
    <w:rsid w:val="00D13D1F"/>
    <w:rsid w:val="00D13E89"/>
    <w:rsid w:val="00D13F92"/>
    <w:rsid w:val="00D13FDD"/>
    <w:rsid w:val="00D140D4"/>
    <w:rsid w:val="00D14120"/>
    <w:rsid w:val="00D141B7"/>
    <w:rsid w:val="00D1447C"/>
    <w:rsid w:val="00D144F1"/>
    <w:rsid w:val="00D14FC6"/>
    <w:rsid w:val="00D15074"/>
    <w:rsid w:val="00D152D4"/>
    <w:rsid w:val="00D15342"/>
    <w:rsid w:val="00D153F9"/>
    <w:rsid w:val="00D1547C"/>
    <w:rsid w:val="00D154AA"/>
    <w:rsid w:val="00D1584C"/>
    <w:rsid w:val="00D158BC"/>
    <w:rsid w:val="00D1592A"/>
    <w:rsid w:val="00D1595C"/>
    <w:rsid w:val="00D15DAA"/>
    <w:rsid w:val="00D15F32"/>
    <w:rsid w:val="00D16167"/>
    <w:rsid w:val="00D16316"/>
    <w:rsid w:val="00D16486"/>
    <w:rsid w:val="00D166D3"/>
    <w:rsid w:val="00D168B6"/>
    <w:rsid w:val="00D16C1E"/>
    <w:rsid w:val="00D16C72"/>
    <w:rsid w:val="00D1708E"/>
    <w:rsid w:val="00D17330"/>
    <w:rsid w:val="00D176F4"/>
    <w:rsid w:val="00D17A62"/>
    <w:rsid w:val="00D17C33"/>
    <w:rsid w:val="00D2009D"/>
    <w:rsid w:val="00D208CD"/>
    <w:rsid w:val="00D20A1A"/>
    <w:rsid w:val="00D20D29"/>
    <w:rsid w:val="00D20F3C"/>
    <w:rsid w:val="00D21081"/>
    <w:rsid w:val="00D211C4"/>
    <w:rsid w:val="00D21A98"/>
    <w:rsid w:val="00D21B93"/>
    <w:rsid w:val="00D21C3B"/>
    <w:rsid w:val="00D21C4D"/>
    <w:rsid w:val="00D21E84"/>
    <w:rsid w:val="00D21EE3"/>
    <w:rsid w:val="00D2207E"/>
    <w:rsid w:val="00D221C6"/>
    <w:rsid w:val="00D222FE"/>
    <w:rsid w:val="00D22561"/>
    <w:rsid w:val="00D22855"/>
    <w:rsid w:val="00D22D64"/>
    <w:rsid w:val="00D23564"/>
    <w:rsid w:val="00D23A69"/>
    <w:rsid w:val="00D23AB2"/>
    <w:rsid w:val="00D24245"/>
    <w:rsid w:val="00D24738"/>
    <w:rsid w:val="00D24AC3"/>
    <w:rsid w:val="00D24CBC"/>
    <w:rsid w:val="00D250C9"/>
    <w:rsid w:val="00D250D1"/>
    <w:rsid w:val="00D252DE"/>
    <w:rsid w:val="00D254E8"/>
    <w:rsid w:val="00D2560C"/>
    <w:rsid w:val="00D2591F"/>
    <w:rsid w:val="00D25A08"/>
    <w:rsid w:val="00D25A62"/>
    <w:rsid w:val="00D25DF5"/>
    <w:rsid w:val="00D25FE1"/>
    <w:rsid w:val="00D26169"/>
    <w:rsid w:val="00D26550"/>
    <w:rsid w:val="00D26836"/>
    <w:rsid w:val="00D26A09"/>
    <w:rsid w:val="00D26A48"/>
    <w:rsid w:val="00D26D65"/>
    <w:rsid w:val="00D27040"/>
    <w:rsid w:val="00D2722A"/>
    <w:rsid w:val="00D27336"/>
    <w:rsid w:val="00D273D4"/>
    <w:rsid w:val="00D27529"/>
    <w:rsid w:val="00D275D8"/>
    <w:rsid w:val="00D27EED"/>
    <w:rsid w:val="00D30224"/>
    <w:rsid w:val="00D30791"/>
    <w:rsid w:val="00D3085E"/>
    <w:rsid w:val="00D309B9"/>
    <w:rsid w:val="00D310A2"/>
    <w:rsid w:val="00D31386"/>
    <w:rsid w:val="00D315F9"/>
    <w:rsid w:val="00D31BC3"/>
    <w:rsid w:val="00D31D1B"/>
    <w:rsid w:val="00D3272F"/>
    <w:rsid w:val="00D327C7"/>
    <w:rsid w:val="00D3293B"/>
    <w:rsid w:val="00D32C3F"/>
    <w:rsid w:val="00D32CBE"/>
    <w:rsid w:val="00D33054"/>
    <w:rsid w:val="00D33235"/>
    <w:rsid w:val="00D3329C"/>
    <w:rsid w:val="00D33549"/>
    <w:rsid w:val="00D3381F"/>
    <w:rsid w:val="00D339E7"/>
    <w:rsid w:val="00D33DEE"/>
    <w:rsid w:val="00D33E01"/>
    <w:rsid w:val="00D34018"/>
    <w:rsid w:val="00D34020"/>
    <w:rsid w:val="00D34118"/>
    <w:rsid w:val="00D34F16"/>
    <w:rsid w:val="00D35A72"/>
    <w:rsid w:val="00D35E4F"/>
    <w:rsid w:val="00D35FF9"/>
    <w:rsid w:val="00D363EC"/>
    <w:rsid w:val="00D368EB"/>
    <w:rsid w:val="00D36AD3"/>
    <w:rsid w:val="00D36FEA"/>
    <w:rsid w:val="00D370A1"/>
    <w:rsid w:val="00D37514"/>
    <w:rsid w:val="00D3753D"/>
    <w:rsid w:val="00D3786E"/>
    <w:rsid w:val="00D40684"/>
    <w:rsid w:val="00D40A19"/>
    <w:rsid w:val="00D40D2C"/>
    <w:rsid w:val="00D41068"/>
    <w:rsid w:val="00D41557"/>
    <w:rsid w:val="00D41716"/>
    <w:rsid w:val="00D41C98"/>
    <w:rsid w:val="00D41D7B"/>
    <w:rsid w:val="00D41EEC"/>
    <w:rsid w:val="00D42262"/>
    <w:rsid w:val="00D4235B"/>
    <w:rsid w:val="00D4238B"/>
    <w:rsid w:val="00D425C4"/>
    <w:rsid w:val="00D42949"/>
    <w:rsid w:val="00D42A6D"/>
    <w:rsid w:val="00D42EBE"/>
    <w:rsid w:val="00D432C0"/>
    <w:rsid w:val="00D434B7"/>
    <w:rsid w:val="00D43761"/>
    <w:rsid w:val="00D43876"/>
    <w:rsid w:val="00D43AC1"/>
    <w:rsid w:val="00D43AF2"/>
    <w:rsid w:val="00D44175"/>
    <w:rsid w:val="00D44516"/>
    <w:rsid w:val="00D445B5"/>
    <w:rsid w:val="00D449DC"/>
    <w:rsid w:val="00D44E00"/>
    <w:rsid w:val="00D458B6"/>
    <w:rsid w:val="00D45C62"/>
    <w:rsid w:val="00D463BB"/>
    <w:rsid w:val="00D464D1"/>
    <w:rsid w:val="00D4689E"/>
    <w:rsid w:val="00D46A3E"/>
    <w:rsid w:val="00D46AA4"/>
    <w:rsid w:val="00D46C90"/>
    <w:rsid w:val="00D46E1B"/>
    <w:rsid w:val="00D46F48"/>
    <w:rsid w:val="00D47176"/>
    <w:rsid w:val="00D47AC8"/>
    <w:rsid w:val="00D47B01"/>
    <w:rsid w:val="00D47BF8"/>
    <w:rsid w:val="00D5005D"/>
    <w:rsid w:val="00D500CB"/>
    <w:rsid w:val="00D5032A"/>
    <w:rsid w:val="00D50406"/>
    <w:rsid w:val="00D5083B"/>
    <w:rsid w:val="00D50F6D"/>
    <w:rsid w:val="00D5119B"/>
    <w:rsid w:val="00D514B3"/>
    <w:rsid w:val="00D51568"/>
    <w:rsid w:val="00D5173E"/>
    <w:rsid w:val="00D51923"/>
    <w:rsid w:val="00D519BC"/>
    <w:rsid w:val="00D51A62"/>
    <w:rsid w:val="00D51C42"/>
    <w:rsid w:val="00D51D4C"/>
    <w:rsid w:val="00D52086"/>
    <w:rsid w:val="00D52320"/>
    <w:rsid w:val="00D53126"/>
    <w:rsid w:val="00D53258"/>
    <w:rsid w:val="00D53408"/>
    <w:rsid w:val="00D53902"/>
    <w:rsid w:val="00D53BA1"/>
    <w:rsid w:val="00D53C9A"/>
    <w:rsid w:val="00D53DB6"/>
    <w:rsid w:val="00D543B8"/>
    <w:rsid w:val="00D54948"/>
    <w:rsid w:val="00D54B97"/>
    <w:rsid w:val="00D54C17"/>
    <w:rsid w:val="00D5506C"/>
    <w:rsid w:val="00D55232"/>
    <w:rsid w:val="00D55403"/>
    <w:rsid w:val="00D55787"/>
    <w:rsid w:val="00D557D5"/>
    <w:rsid w:val="00D557F1"/>
    <w:rsid w:val="00D55E5F"/>
    <w:rsid w:val="00D55EAE"/>
    <w:rsid w:val="00D562BE"/>
    <w:rsid w:val="00D56337"/>
    <w:rsid w:val="00D566BB"/>
    <w:rsid w:val="00D56841"/>
    <w:rsid w:val="00D56999"/>
    <w:rsid w:val="00D56CC4"/>
    <w:rsid w:val="00D5727D"/>
    <w:rsid w:val="00D57369"/>
    <w:rsid w:val="00D5737E"/>
    <w:rsid w:val="00D576BA"/>
    <w:rsid w:val="00D579EB"/>
    <w:rsid w:val="00D57D6E"/>
    <w:rsid w:val="00D57E39"/>
    <w:rsid w:val="00D603D4"/>
    <w:rsid w:val="00D60552"/>
    <w:rsid w:val="00D60742"/>
    <w:rsid w:val="00D60A85"/>
    <w:rsid w:val="00D61556"/>
    <w:rsid w:val="00D61B10"/>
    <w:rsid w:val="00D61B46"/>
    <w:rsid w:val="00D61C35"/>
    <w:rsid w:val="00D623C8"/>
    <w:rsid w:val="00D629BB"/>
    <w:rsid w:val="00D62A57"/>
    <w:rsid w:val="00D62CFC"/>
    <w:rsid w:val="00D62FC7"/>
    <w:rsid w:val="00D63202"/>
    <w:rsid w:val="00D633B8"/>
    <w:rsid w:val="00D63891"/>
    <w:rsid w:val="00D6401C"/>
    <w:rsid w:val="00D640ED"/>
    <w:rsid w:val="00D643DC"/>
    <w:rsid w:val="00D64AC5"/>
    <w:rsid w:val="00D64B84"/>
    <w:rsid w:val="00D64C66"/>
    <w:rsid w:val="00D65206"/>
    <w:rsid w:val="00D6523B"/>
    <w:rsid w:val="00D653C4"/>
    <w:rsid w:val="00D657CC"/>
    <w:rsid w:val="00D65C0E"/>
    <w:rsid w:val="00D65E14"/>
    <w:rsid w:val="00D65E2F"/>
    <w:rsid w:val="00D65F99"/>
    <w:rsid w:val="00D66990"/>
    <w:rsid w:val="00D66A55"/>
    <w:rsid w:val="00D66B99"/>
    <w:rsid w:val="00D66CBC"/>
    <w:rsid w:val="00D671CC"/>
    <w:rsid w:val="00D6723C"/>
    <w:rsid w:val="00D67E65"/>
    <w:rsid w:val="00D70260"/>
    <w:rsid w:val="00D70E37"/>
    <w:rsid w:val="00D712EB"/>
    <w:rsid w:val="00D7151A"/>
    <w:rsid w:val="00D717AD"/>
    <w:rsid w:val="00D7198D"/>
    <w:rsid w:val="00D71998"/>
    <w:rsid w:val="00D71B3C"/>
    <w:rsid w:val="00D71C47"/>
    <w:rsid w:val="00D72189"/>
    <w:rsid w:val="00D7226E"/>
    <w:rsid w:val="00D7231F"/>
    <w:rsid w:val="00D724CD"/>
    <w:rsid w:val="00D72BFE"/>
    <w:rsid w:val="00D72C56"/>
    <w:rsid w:val="00D72C8E"/>
    <w:rsid w:val="00D72DD2"/>
    <w:rsid w:val="00D72E1D"/>
    <w:rsid w:val="00D7302E"/>
    <w:rsid w:val="00D7303A"/>
    <w:rsid w:val="00D73423"/>
    <w:rsid w:val="00D73AED"/>
    <w:rsid w:val="00D73BD5"/>
    <w:rsid w:val="00D73F28"/>
    <w:rsid w:val="00D73F63"/>
    <w:rsid w:val="00D74152"/>
    <w:rsid w:val="00D74B41"/>
    <w:rsid w:val="00D74F1A"/>
    <w:rsid w:val="00D753A3"/>
    <w:rsid w:val="00D75881"/>
    <w:rsid w:val="00D75A7D"/>
    <w:rsid w:val="00D75E46"/>
    <w:rsid w:val="00D75FD7"/>
    <w:rsid w:val="00D766D6"/>
    <w:rsid w:val="00D76785"/>
    <w:rsid w:val="00D767B7"/>
    <w:rsid w:val="00D76893"/>
    <w:rsid w:val="00D76C58"/>
    <w:rsid w:val="00D76CCF"/>
    <w:rsid w:val="00D76E8F"/>
    <w:rsid w:val="00D76FF0"/>
    <w:rsid w:val="00D7701A"/>
    <w:rsid w:val="00D77133"/>
    <w:rsid w:val="00D77494"/>
    <w:rsid w:val="00D77688"/>
    <w:rsid w:val="00D7782C"/>
    <w:rsid w:val="00D77DFC"/>
    <w:rsid w:val="00D808AF"/>
    <w:rsid w:val="00D809AE"/>
    <w:rsid w:val="00D80E65"/>
    <w:rsid w:val="00D81155"/>
    <w:rsid w:val="00D81965"/>
    <w:rsid w:val="00D81C7A"/>
    <w:rsid w:val="00D81DFF"/>
    <w:rsid w:val="00D82479"/>
    <w:rsid w:val="00D82575"/>
    <w:rsid w:val="00D8271C"/>
    <w:rsid w:val="00D827BA"/>
    <w:rsid w:val="00D82809"/>
    <w:rsid w:val="00D82816"/>
    <w:rsid w:val="00D831D7"/>
    <w:rsid w:val="00D8367D"/>
    <w:rsid w:val="00D83850"/>
    <w:rsid w:val="00D83A48"/>
    <w:rsid w:val="00D83C21"/>
    <w:rsid w:val="00D83CD4"/>
    <w:rsid w:val="00D83FCA"/>
    <w:rsid w:val="00D83FEF"/>
    <w:rsid w:val="00D843FE"/>
    <w:rsid w:val="00D846BE"/>
    <w:rsid w:val="00D84797"/>
    <w:rsid w:val="00D847AF"/>
    <w:rsid w:val="00D84D15"/>
    <w:rsid w:val="00D84F55"/>
    <w:rsid w:val="00D84F97"/>
    <w:rsid w:val="00D853A1"/>
    <w:rsid w:val="00D857DA"/>
    <w:rsid w:val="00D85B06"/>
    <w:rsid w:val="00D8618E"/>
    <w:rsid w:val="00D86315"/>
    <w:rsid w:val="00D869D8"/>
    <w:rsid w:val="00D86C99"/>
    <w:rsid w:val="00D876B9"/>
    <w:rsid w:val="00D876C6"/>
    <w:rsid w:val="00D8793F"/>
    <w:rsid w:val="00D87E47"/>
    <w:rsid w:val="00D87F35"/>
    <w:rsid w:val="00D902EA"/>
    <w:rsid w:val="00D90425"/>
    <w:rsid w:val="00D904A3"/>
    <w:rsid w:val="00D904B2"/>
    <w:rsid w:val="00D904C1"/>
    <w:rsid w:val="00D90638"/>
    <w:rsid w:val="00D90713"/>
    <w:rsid w:val="00D90755"/>
    <w:rsid w:val="00D907B4"/>
    <w:rsid w:val="00D90D54"/>
    <w:rsid w:val="00D9101E"/>
    <w:rsid w:val="00D91309"/>
    <w:rsid w:val="00D914B5"/>
    <w:rsid w:val="00D91573"/>
    <w:rsid w:val="00D91BCF"/>
    <w:rsid w:val="00D91D54"/>
    <w:rsid w:val="00D91F46"/>
    <w:rsid w:val="00D91FC8"/>
    <w:rsid w:val="00D92112"/>
    <w:rsid w:val="00D921D8"/>
    <w:rsid w:val="00D92340"/>
    <w:rsid w:val="00D925FD"/>
    <w:rsid w:val="00D92694"/>
    <w:rsid w:val="00D92712"/>
    <w:rsid w:val="00D92E7A"/>
    <w:rsid w:val="00D92F5E"/>
    <w:rsid w:val="00D9324F"/>
    <w:rsid w:val="00D935B8"/>
    <w:rsid w:val="00D93739"/>
    <w:rsid w:val="00D93DA9"/>
    <w:rsid w:val="00D93DEB"/>
    <w:rsid w:val="00D93E18"/>
    <w:rsid w:val="00D93F26"/>
    <w:rsid w:val="00D94160"/>
    <w:rsid w:val="00D942DC"/>
    <w:rsid w:val="00D9449A"/>
    <w:rsid w:val="00D9494C"/>
    <w:rsid w:val="00D94B18"/>
    <w:rsid w:val="00D94C35"/>
    <w:rsid w:val="00D94F7F"/>
    <w:rsid w:val="00D95BD4"/>
    <w:rsid w:val="00D95DEE"/>
    <w:rsid w:val="00D9606F"/>
    <w:rsid w:val="00D96086"/>
    <w:rsid w:val="00D964E7"/>
    <w:rsid w:val="00D96634"/>
    <w:rsid w:val="00D966E6"/>
    <w:rsid w:val="00D96A54"/>
    <w:rsid w:val="00D96ABD"/>
    <w:rsid w:val="00D97025"/>
    <w:rsid w:val="00D97582"/>
    <w:rsid w:val="00D9790B"/>
    <w:rsid w:val="00D97CE0"/>
    <w:rsid w:val="00DA00E5"/>
    <w:rsid w:val="00DA034F"/>
    <w:rsid w:val="00DA052B"/>
    <w:rsid w:val="00DA0724"/>
    <w:rsid w:val="00DA07C8"/>
    <w:rsid w:val="00DA091D"/>
    <w:rsid w:val="00DA1502"/>
    <w:rsid w:val="00DA1642"/>
    <w:rsid w:val="00DA1680"/>
    <w:rsid w:val="00DA17AA"/>
    <w:rsid w:val="00DA1D79"/>
    <w:rsid w:val="00DA1E4F"/>
    <w:rsid w:val="00DA1F63"/>
    <w:rsid w:val="00DA1FD4"/>
    <w:rsid w:val="00DA2241"/>
    <w:rsid w:val="00DA273D"/>
    <w:rsid w:val="00DA2F03"/>
    <w:rsid w:val="00DA3255"/>
    <w:rsid w:val="00DA3259"/>
    <w:rsid w:val="00DA32F3"/>
    <w:rsid w:val="00DA3C8E"/>
    <w:rsid w:val="00DA3D4D"/>
    <w:rsid w:val="00DA3D59"/>
    <w:rsid w:val="00DA3F49"/>
    <w:rsid w:val="00DA43A9"/>
    <w:rsid w:val="00DA4498"/>
    <w:rsid w:val="00DA4748"/>
    <w:rsid w:val="00DA48BC"/>
    <w:rsid w:val="00DA4B5A"/>
    <w:rsid w:val="00DA4BEE"/>
    <w:rsid w:val="00DA4C55"/>
    <w:rsid w:val="00DA4D4B"/>
    <w:rsid w:val="00DA503B"/>
    <w:rsid w:val="00DA593F"/>
    <w:rsid w:val="00DA5E37"/>
    <w:rsid w:val="00DA5EA1"/>
    <w:rsid w:val="00DA629A"/>
    <w:rsid w:val="00DA681A"/>
    <w:rsid w:val="00DA68C1"/>
    <w:rsid w:val="00DA6A59"/>
    <w:rsid w:val="00DA6B11"/>
    <w:rsid w:val="00DA6C80"/>
    <w:rsid w:val="00DA6CD8"/>
    <w:rsid w:val="00DA6F91"/>
    <w:rsid w:val="00DA7055"/>
    <w:rsid w:val="00DA7568"/>
    <w:rsid w:val="00DA7675"/>
    <w:rsid w:val="00DA7774"/>
    <w:rsid w:val="00DA7C08"/>
    <w:rsid w:val="00DA7D85"/>
    <w:rsid w:val="00DA7E2F"/>
    <w:rsid w:val="00DB0144"/>
    <w:rsid w:val="00DB025E"/>
    <w:rsid w:val="00DB02DE"/>
    <w:rsid w:val="00DB0311"/>
    <w:rsid w:val="00DB07D4"/>
    <w:rsid w:val="00DB1006"/>
    <w:rsid w:val="00DB12B5"/>
    <w:rsid w:val="00DB1776"/>
    <w:rsid w:val="00DB17F9"/>
    <w:rsid w:val="00DB1D8B"/>
    <w:rsid w:val="00DB1EDB"/>
    <w:rsid w:val="00DB2C0D"/>
    <w:rsid w:val="00DB2E2E"/>
    <w:rsid w:val="00DB2FDC"/>
    <w:rsid w:val="00DB307D"/>
    <w:rsid w:val="00DB3093"/>
    <w:rsid w:val="00DB3485"/>
    <w:rsid w:val="00DB3523"/>
    <w:rsid w:val="00DB357E"/>
    <w:rsid w:val="00DB38F0"/>
    <w:rsid w:val="00DB3A84"/>
    <w:rsid w:val="00DB3CBB"/>
    <w:rsid w:val="00DB3D81"/>
    <w:rsid w:val="00DB3E71"/>
    <w:rsid w:val="00DB3FCC"/>
    <w:rsid w:val="00DB4A50"/>
    <w:rsid w:val="00DB4AC5"/>
    <w:rsid w:val="00DB5203"/>
    <w:rsid w:val="00DB58A6"/>
    <w:rsid w:val="00DB5BB4"/>
    <w:rsid w:val="00DB60C0"/>
    <w:rsid w:val="00DB6827"/>
    <w:rsid w:val="00DB684C"/>
    <w:rsid w:val="00DB6889"/>
    <w:rsid w:val="00DB74FB"/>
    <w:rsid w:val="00DB75AB"/>
    <w:rsid w:val="00DB7D1C"/>
    <w:rsid w:val="00DC0095"/>
    <w:rsid w:val="00DC0212"/>
    <w:rsid w:val="00DC027B"/>
    <w:rsid w:val="00DC08AE"/>
    <w:rsid w:val="00DC0ABE"/>
    <w:rsid w:val="00DC0F06"/>
    <w:rsid w:val="00DC0F56"/>
    <w:rsid w:val="00DC1350"/>
    <w:rsid w:val="00DC15DB"/>
    <w:rsid w:val="00DC16E1"/>
    <w:rsid w:val="00DC1752"/>
    <w:rsid w:val="00DC2D0E"/>
    <w:rsid w:val="00DC309B"/>
    <w:rsid w:val="00DC30B2"/>
    <w:rsid w:val="00DC33EA"/>
    <w:rsid w:val="00DC3426"/>
    <w:rsid w:val="00DC3826"/>
    <w:rsid w:val="00DC3941"/>
    <w:rsid w:val="00DC3D60"/>
    <w:rsid w:val="00DC4713"/>
    <w:rsid w:val="00DC4CAF"/>
    <w:rsid w:val="00DC5527"/>
    <w:rsid w:val="00DC55A8"/>
    <w:rsid w:val="00DC55DB"/>
    <w:rsid w:val="00DC55F3"/>
    <w:rsid w:val="00DC62FF"/>
    <w:rsid w:val="00DC643B"/>
    <w:rsid w:val="00DC6531"/>
    <w:rsid w:val="00DC6A13"/>
    <w:rsid w:val="00DC6A40"/>
    <w:rsid w:val="00DC6C4A"/>
    <w:rsid w:val="00DC7103"/>
    <w:rsid w:val="00DC7306"/>
    <w:rsid w:val="00DC7581"/>
    <w:rsid w:val="00DC75A8"/>
    <w:rsid w:val="00DC7609"/>
    <w:rsid w:val="00DC7E52"/>
    <w:rsid w:val="00DD0199"/>
    <w:rsid w:val="00DD031E"/>
    <w:rsid w:val="00DD04EE"/>
    <w:rsid w:val="00DD096D"/>
    <w:rsid w:val="00DD0B1E"/>
    <w:rsid w:val="00DD0BC1"/>
    <w:rsid w:val="00DD0BF6"/>
    <w:rsid w:val="00DD0E42"/>
    <w:rsid w:val="00DD0E8D"/>
    <w:rsid w:val="00DD0F1D"/>
    <w:rsid w:val="00DD0FA4"/>
    <w:rsid w:val="00DD1053"/>
    <w:rsid w:val="00DD105C"/>
    <w:rsid w:val="00DD143A"/>
    <w:rsid w:val="00DD145B"/>
    <w:rsid w:val="00DD197F"/>
    <w:rsid w:val="00DD19E7"/>
    <w:rsid w:val="00DD2CAA"/>
    <w:rsid w:val="00DD2D53"/>
    <w:rsid w:val="00DD2E12"/>
    <w:rsid w:val="00DD339D"/>
    <w:rsid w:val="00DD3A93"/>
    <w:rsid w:val="00DD3F4A"/>
    <w:rsid w:val="00DD4341"/>
    <w:rsid w:val="00DD45EB"/>
    <w:rsid w:val="00DD488C"/>
    <w:rsid w:val="00DD4BA2"/>
    <w:rsid w:val="00DD500D"/>
    <w:rsid w:val="00DD52DC"/>
    <w:rsid w:val="00DD56BC"/>
    <w:rsid w:val="00DD57C6"/>
    <w:rsid w:val="00DD5B93"/>
    <w:rsid w:val="00DD5FA8"/>
    <w:rsid w:val="00DD5FED"/>
    <w:rsid w:val="00DD6094"/>
    <w:rsid w:val="00DD61C1"/>
    <w:rsid w:val="00DD62BF"/>
    <w:rsid w:val="00DD631F"/>
    <w:rsid w:val="00DD63A1"/>
    <w:rsid w:val="00DD6485"/>
    <w:rsid w:val="00DD66AD"/>
    <w:rsid w:val="00DD69A3"/>
    <w:rsid w:val="00DD69C2"/>
    <w:rsid w:val="00DD7059"/>
    <w:rsid w:val="00DD74D2"/>
    <w:rsid w:val="00DD76F5"/>
    <w:rsid w:val="00DD7983"/>
    <w:rsid w:val="00DD7988"/>
    <w:rsid w:val="00DD79F9"/>
    <w:rsid w:val="00DD7BF9"/>
    <w:rsid w:val="00DD7CB9"/>
    <w:rsid w:val="00DE04C2"/>
    <w:rsid w:val="00DE04C9"/>
    <w:rsid w:val="00DE06EA"/>
    <w:rsid w:val="00DE11A8"/>
    <w:rsid w:val="00DE1502"/>
    <w:rsid w:val="00DE1C08"/>
    <w:rsid w:val="00DE1CAC"/>
    <w:rsid w:val="00DE1DDA"/>
    <w:rsid w:val="00DE1F77"/>
    <w:rsid w:val="00DE20D6"/>
    <w:rsid w:val="00DE21C7"/>
    <w:rsid w:val="00DE2242"/>
    <w:rsid w:val="00DE25DD"/>
    <w:rsid w:val="00DE2640"/>
    <w:rsid w:val="00DE2974"/>
    <w:rsid w:val="00DE2A3A"/>
    <w:rsid w:val="00DE2FFE"/>
    <w:rsid w:val="00DE3895"/>
    <w:rsid w:val="00DE3982"/>
    <w:rsid w:val="00DE3D3D"/>
    <w:rsid w:val="00DE4116"/>
    <w:rsid w:val="00DE437D"/>
    <w:rsid w:val="00DE43DB"/>
    <w:rsid w:val="00DE452A"/>
    <w:rsid w:val="00DE46E4"/>
    <w:rsid w:val="00DE4B0B"/>
    <w:rsid w:val="00DE4D31"/>
    <w:rsid w:val="00DE4DCA"/>
    <w:rsid w:val="00DE51BC"/>
    <w:rsid w:val="00DE545C"/>
    <w:rsid w:val="00DE5C1A"/>
    <w:rsid w:val="00DE605D"/>
    <w:rsid w:val="00DE617D"/>
    <w:rsid w:val="00DE61CF"/>
    <w:rsid w:val="00DE61E3"/>
    <w:rsid w:val="00DE626C"/>
    <w:rsid w:val="00DE6292"/>
    <w:rsid w:val="00DE6328"/>
    <w:rsid w:val="00DE657A"/>
    <w:rsid w:val="00DE6862"/>
    <w:rsid w:val="00DE6D30"/>
    <w:rsid w:val="00DE6E8A"/>
    <w:rsid w:val="00DE728C"/>
    <w:rsid w:val="00DE72F7"/>
    <w:rsid w:val="00DE7548"/>
    <w:rsid w:val="00DE7806"/>
    <w:rsid w:val="00DE7F0F"/>
    <w:rsid w:val="00DF07D7"/>
    <w:rsid w:val="00DF07E5"/>
    <w:rsid w:val="00DF08A3"/>
    <w:rsid w:val="00DF0E28"/>
    <w:rsid w:val="00DF10CB"/>
    <w:rsid w:val="00DF123D"/>
    <w:rsid w:val="00DF17DA"/>
    <w:rsid w:val="00DF1912"/>
    <w:rsid w:val="00DF19AF"/>
    <w:rsid w:val="00DF2144"/>
    <w:rsid w:val="00DF2262"/>
    <w:rsid w:val="00DF2518"/>
    <w:rsid w:val="00DF268B"/>
    <w:rsid w:val="00DF2CE1"/>
    <w:rsid w:val="00DF2D82"/>
    <w:rsid w:val="00DF36F2"/>
    <w:rsid w:val="00DF3762"/>
    <w:rsid w:val="00DF3860"/>
    <w:rsid w:val="00DF3883"/>
    <w:rsid w:val="00DF3988"/>
    <w:rsid w:val="00DF4203"/>
    <w:rsid w:val="00DF429C"/>
    <w:rsid w:val="00DF4788"/>
    <w:rsid w:val="00DF48B4"/>
    <w:rsid w:val="00DF4AF8"/>
    <w:rsid w:val="00DF4B94"/>
    <w:rsid w:val="00DF4D38"/>
    <w:rsid w:val="00DF4E16"/>
    <w:rsid w:val="00DF5140"/>
    <w:rsid w:val="00DF5A7C"/>
    <w:rsid w:val="00DF5AE6"/>
    <w:rsid w:val="00DF5C1B"/>
    <w:rsid w:val="00DF5CE7"/>
    <w:rsid w:val="00DF5DE1"/>
    <w:rsid w:val="00DF5E3B"/>
    <w:rsid w:val="00DF5F88"/>
    <w:rsid w:val="00DF6027"/>
    <w:rsid w:val="00DF60D8"/>
    <w:rsid w:val="00DF6381"/>
    <w:rsid w:val="00DF657E"/>
    <w:rsid w:val="00DF674D"/>
    <w:rsid w:val="00DF6ADA"/>
    <w:rsid w:val="00DF6C49"/>
    <w:rsid w:val="00DF6E70"/>
    <w:rsid w:val="00DF6F45"/>
    <w:rsid w:val="00DF6F69"/>
    <w:rsid w:val="00DF72AB"/>
    <w:rsid w:val="00DF7560"/>
    <w:rsid w:val="00DF768E"/>
    <w:rsid w:val="00DF7953"/>
    <w:rsid w:val="00DF796A"/>
    <w:rsid w:val="00DF7CE5"/>
    <w:rsid w:val="00E00025"/>
    <w:rsid w:val="00E00081"/>
    <w:rsid w:val="00E0008E"/>
    <w:rsid w:val="00E004A0"/>
    <w:rsid w:val="00E005D3"/>
    <w:rsid w:val="00E006BA"/>
    <w:rsid w:val="00E00C6F"/>
    <w:rsid w:val="00E011B9"/>
    <w:rsid w:val="00E014B5"/>
    <w:rsid w:val="00E019D6"/>
    <w:rsid w:val="00E01F4E"/>
    <w:rsid w:val="00E0201B"/>
    <w:rsid w:val="00E026A6"/>
    <w:rsid w:val="00E026D0"/>
    <w:rsid w:val="00E02B19"/>
    <w:rsid w:val="00E02CFE"/>
    <w:rsid w:val="00E02F06"/>
    <w:rsid w:val="00E02F15"/>
    <w:rsid w:val="00E031FD"/>
    <w:rsid w:val="00E03AB7"/>
    <w:rsid w:val="00E03AF2"/>
    <w:rsid w:val="00E03D7D"/>
    <w:rsid w:val="00E04157"/>
    <w:rsid w:val="00E04540"/>
    <w:rsid w:val="00E04AE5"/>
    <w:rsid w:val="00E04DD8"/>
    <w:rsid w:val="00E05206"/>
    <w:rsid w:val="00E05BAF"/>
    <w:rsid w:val="00E05C34"/>
    <w:rsid w:val="00E05C98"/>
    <w:rsid w:val="00E05DB5"/>
    <w:rsid w:val="00E05E88"/>
    <w:rsid w:val="00E05FBB"/>
    <w:rsid w:val="00E06800"/>
    <w:rsid w:val="00E06FC6"/>
    <w:rsid w:val="00E0709D"/>
    <w:rsid w:val="00E07236"/>
    <w:rsid w:val="00E0725B"/>
    <w:rsid w:val="00E073DD"/>
    <w:rsid w:val="00E0752F"/>
    <w:rsid w:val="00E07578"/>
    <w:rsid w:val="00E07778"/>
    <w:rsid w:val="00E077D9"/>
    <w:rsid w:val="00E07A5E"/>
    <w:rsid w:val="00E07A74"/>
    <w:rsid w:val="00E07B78"/>
    <w:rsid w:val="00E10473"/>
    <w:rsid w:val="00E104C6"/>
    <w:rsid w:val="00E1088A"/>
    <w:rsid w:val="00E10BF4"/>
    <w:rsid w:val="00E10DBA"/>
    <w:rsid w:val="00E10EF6"/>
    <w:rsid w:val="00E10F56"/>
    <w:rsid w:val="00E11B64"/>
    <w:rsid w:val="00E1244D"/>
    <w:rsid w:val="00E125AA"/>
    <w:rsid w:val="00E12889"/>
    <w:rsid w:val="00E12898"/>
    <w:rsid w:val="00E12F31"/>
    <w:rsid w:val="00E12F5F"/>
    <w:rsid w:val="00E12FE2"/>
    <w:rsid w:val="00E137FD"/>
    <w:rsid w:val="00E13F03"/>
    <w:rsid w:val="00E14282"/>
    <w:rsid w:val="00E1436F"/>
    <w:rsid w:val="00E14624"/>
    <w:rsid w:val="00E14625"/>
    <w:rsid w:val="00E14708"/>
    <w:rsid w:val="00E147B1"/>
    <w:rsid w:val="00E1505F"/>
    <w:rsid w:val="00E154AD"/>
    <w:rsid w:val="00E15C57"/>
    <w:rsid w:val="00E15CCB"/>
    <w:rsid w:val="00E15E00"/>
    <w:rsid w:val="00E15E03"/>
    <w:rsid w:val="00E16811"/>
    <w:rsid w:val="00E1689E"/>
    <w:rsid w:val="00E16CC9"/>
    <w:rsid w:val="00E16DD1"/>
    <w:rsid w:val="00E16F4A"/>
    <w:rsid w:val="00E171DA"/>
    <w:rsid w:val="00E172B9"/>
    <w:rsid w:val="00E17886"/>
    <w:rsid w:val="00E17C97"/>
    <w:rsid w:val="00E17D37"/>
    <w:rsid w:val="00E20290"/>
    <w:rsid w:val="00E20AC6"/>
    <w:rsid w:val="00E20CBC"/>
    <w:rsid w:val="00E20F54"/>
    <w:rsid w:val="00E21936"/>
    <w:rsid w:val="00E21A6B"/>
    <w:rsid w:val="00E21C96"/>
    <w:rsid w:val="00E21EE1"/>
    <w:rsid w:val="00E21FA5"/>
    <w:rsid w:val="00E22272"/>
    <w:rsid w:val="00E22337"/>
    <w:rsid w:val="00E224EF"/>
    <w:rsid w:val="00E22951"/>
    <w:rsid w:val="00E22CA1"/>
    <w:rsid w:val="00E2366B"/>
    <w:rsid w:val="00E23770"/>
    <w:rsid w:val="00E237A0"/>
    <w:rsid w:val="00E23B93"/>
    <w:rsid w:val="00E23E23"/>
    <w:rsid w:val="00E2413C"/>
    <w:rsid w:val="00E242E2"/>
    <w:rsid w:val="00E24540"/>
    <w:rsid w:val="00E24DF7"/>
    <w:rsid w:val="00E253AE"/>
    <w:rsid w:val="00E2551A"/>
    <w:rsid w:val="00E255C0"/>
    <w:rsid w:val="00E259B8"/>
    <w:rsid w:val="00E259C0"/>
    <w:rsid w:val="00E25C5B"/>
    <w:rsid w:val="00E25E42"/>
    <w:rsid w:val="00E2616D"/>
    <w:rsid w:val="00E2624F"/>
    <w:rsid w:val="00E2643C"/>
    <w:rsid w:val="00E26504"/>
    <w:rsid w:val="00E26953"/>
    <w:rsid w:val="00E26D44"/>
    <w:rsid w:val="00E26D59"/>
    <w:rsid w:val="00E26FCD"/>
    <w:rsid w:val="00E27649"/>
    <w:rsid w:val="00E277DF"/>
    <w:rsid w:val="00E30033"/>
    <w:rsid w:val="00E30098"/>
    <w:rsid w:val="00E304A8"/>
    <w:rsid w:val="00E309C9"/>
    <w:rsid w:val="00E30B84"/>
    <w:rsid w:val="00E30CAA"/>
    <w:rsid w:val="00E30D47"/>
    <w:rsid w:val="00E31244"/>
    <w:rsid w:val="00E31397"/>
    <w:rsid w:val="00E31476"/>
    <w:rsid w:val="00E31483"/>
    <w:rsid w:val="00E31815"/>
    <w:rsid w:val="00E31BF5"/>
    <w:rsid w:val="00E31C3D"/>
    <w:rsid w:val="00E31DFF"/>
    <w:rsid w:val="00E32225"/>
    <w:rsid w:val="00E32799"/>
    <w:rsid w:val="00E32873"/>
    <w:rsid w:val="00E32958"/>
    <w:rsid w:val="00E32A43"/>
    <w:rsid w:val="00E32D01"/>
    <w:rsid w:val="00E32D24"/>
    <w:rsid w:val="00E32F75"/>
    <w:rsid w:val="00E33571"/>
    <w:rsid w:val="00E3358F"/>
    <w:rsid w:val="00E33A35"/>
    <w:rsid w:val="00E33B76"/>
    <w:rsid w:val="00E33C38"/>
    <w:rsid w:val="00E33E60"/>
    <w:rsid w:val="00E33F19"/>
    <w:rsid w:val="00E34037"/>
    <w:rsid w:val="00E34165"/>
    <w:rsid w:val="00E34795"/>
    <w:rsid w:val="00E34A23"/>
    <w:rsid w:val="00E34AC3"/>
    <w:rsid w:val="00E34DCC"/>
    <w:rsid w:val="00E350FD"/>
    <w:rsid w:val="00E35B03"/>
    <w:rsid w:val="00E35D04"/>
    <w:rsid w:val="00E35D59"/>
    <w:rsid w:val="00E35DE8"/>
    <w:rsid w:val="00E36052"/>
    <w:rsid w:val="00E364E5"/>
    <w:rsid w:val="00E367F1"/>
    <w:rsid w:val="00E36A7F"/>
    <w:rsid w:val="00E36DBC"/>
    <w:rsid w:val="00E36F4F"/>
    <w:rsid w:val="00E372B2"/>
    <w:rsid w:val="00E37385"/>
    <w:rsid w:val="00E3763A"/>
    <w:rsid w:val="00E378D0"/>
    <w:rsid w:val="00E37EFF"/>
    <w:rsid w:val="00E4005B"/>
    <w:rsid w:val="00E4049C"/>
    <w:rsid w:val="00E405B7"/>
    <w:rsid w:val="00E4091D"/>
    <w:rsid w:val="00E40ACF"/>
    <w:rsid w:val="00E40CA7"/>
    <w:rsid w:val="00E411DF"/>
    <w:rsid w:val="00E4149F"/>
    <w:rsid w:val="00E415C4"/>
    <w:rsid w:val="00E41E6B"/>
    <w:rsid w:val="00E41EFF"/>
    <w:rsid w:val="00E4263C"/>
    <w:rsid w:val="00E427D4"/>
    <w:rsid w:val="00E431BF"/>
    <w:rsid w:val="00E4328B"/>
    <w:rsid w:val="00E43305"/>
    <w:rsid w:val="00E43406"/>
    <w:rsid w:val="00E43A66"/>
    <w:rsid w:val="00E43DA6"/>
    <w:rsid w:val="00E43E5A"/>
    <w:rsid w:val="00E43F59"/>
    <w:rsid w:val="00E43FF4"/>
    <w:rsid w:val="00E44051"/>
    <w:rsid w:val="00E44096"/>
    <w:rsid w:val="00E44384"/>
    <w:rsid w:val="00E44881"/>
    <w:rsid w:val="00E448E9"/>
    <w:rsid w:val="00E44C0F"/>
    <w:rsid w:val="00E44E5F"/>
    <w:rsid w:val="00E450B6"/>
    <w:rsid w:val="00E45AF0"/>
    <w:rsid w:val="00E46415"/>
    <w:rsid w:val="00E464CB"/>
    <w:rsid w:val="00E46538"/>
    <w:rsid w:val="00E46691"/>
    <w:rsid w:val="00E46703"/>
    <w:rsid w:val="00E46848"/>
    <w:rsid w:val="00E46924"/>
    <w:rsid w:val="00E46B47"/>
    <w:rsid w:val="00E46D53"/>
    <w:rsid w:val="00E46DD2"/>
    <w:rsid w:val="00E46F9D"/>
    <w:rsid w:val="00E4700B"/>
    <w:rsid w:val="00E47432"/>
    <w:rsid w:val="00E47AAC"/>
    <w:rsid w:val="00E47BF6"/>
    <w:rsid w:val="00E47C2B"/>
    <w:rsid w:val="00E5001A"/>
    <w:rsid w:val="00E501E8"/>
    <w:rsid w:val="00E50429"/>
    <w:rsid w:val="00E5046C"/>
    <w:rsid w:val="00E50898"/>
    <w:rsid w:val="00E509CA"/>
    <w:rsid w:val="00E50AB7"/>
    <w:rsid w:val="00E50C45"/>
    <w:rsid w:val="00E50C50"/>
    <w:rsid w:val="00E50DA7"/>
    <w:rsid w:val="00E513D3"/>
    <w:rsid w:val="00E51424"/>
    <w:rsid w:val="00E51968"/>
    <w:rsid w:val="00E51C95"/>
    <w:rsid w:val="00E51CB9"/>
    <w:rsid w:val="00E51F2E"/>
    <w:rsid w:val="00E523F8"/>
    <w:rsid w:val="00E52BD9"/>
    <w:rsid w:val="00E530F9"/>
    <w:rsid w:val="00E53647"/>
    <w:rsid w:val="00E5368B"/>
    <w:rsid w:val="00E53763"/>
    <w:rsid w:val="00E5449F"/>
    <w:rsid w:val="00E548CD"/>
    <w:rsid w:val="00E549F0"/>
    <w:rsid w:val="00E54C8B"/>
    <w:rsid w:val="00E54D33"/>
    <w:rsid w:val="00E54D8D"/>
    <w:rsid w:val="00E54DFD"/>
    <w:rsid w:val="00E54EC8"/>
    <w:rsid w:val="00E55729"/>
    <w:rsid w:val="00E557BC"/>
    <w:rsid w:val="00E55B81"/>
    <w:rsid w:val="00E55E21"/>
    <w:rsid w:val="00E55F18"/>
    <w:rsid w:val="00E56049"/>
    <w:rsid w:val="00E56769"/>
    <w:rsid w:val="00E56942"/>
    <w:rsid w:val="00E56EE8"/>
    <w:rsid w:val="00E57126"/>
    <w:rsid w:val="00E573E9"/>
    <w:rsid w:val="00E5744E"/>
    <w:rsid w:val="00E5764D"/>
    <w:rsid w:val="00E57A88"/>
    <w:rsid w:val="00E57CC0"/>
    <w:rsid w:val="00E57E71"/>
    <w:rsid w:val="00E6003D"/>
    <w:rsid w:val="00E6007B"/>
    <w:rsid w:val="00E61389"/>
    <w:rsid w:val="00E61621"/>
    <w:rsid w:val="00E6194C"/>
    <w:rsid w:val="00E61CDC"/>
    <w:rsid w:val="00E61DE0"/>
    <w:rsid w:val="00E61E59"/>
    <w:rsid w:val="00E61EDC"/>
    <w:rsid w:val="00E62496"/>
    <w:rsid w:val="00E624F3"/>
    <w:rsid w:val="00E6255E"/>
    <w:rsid w:val="00E62604"/>
    <w:rsid w:val="00E62AF9"/>
    <w:rsid w:val="00E62EBD"/>
    <w:rsid w:val="00E6304D"/>
    <w:rsid w:val="00E635E1"/>
    <w:rsid w:val="00E6382A"/>
    <w:rsid w:val="00E63872"/>
    <w:rsid w:val="00E63D92"/>
    <w:rsid w:val="00E63E11"/>
    <w:rsid w:val="00E63EAD"/>
    <w:rsid w:val="00E64302"/>
    <w:rsid w:val="00E648E1"/>
    <w:rsid w:val="00E64CA8"/>
    <w:rsid w:val="00E64F40"/>
    <w:rsid w:val="00E65074"/>
    <w:rsid w:val="00E6535B"/>
    <w:rsid w:val="00E65384"/>
    <w:rsid w:val="00E654E6"/>
    <w:rsid w:val="00E65567"/>
    <w:rsid w:val="00E6579C"/>
    <w:rsid w:val="00E65C6C"/>
    <w:rsid w:val="00E65E64"/>
    <w:rsid w:val="00E65F8D"/>
    <w:rsid w:val="00E66195"/>
    <w:rsid w:val="00E6634A"/>
    <w:rsid w:val="00E6691D"/>
    <w:rsid w:val="00E66A62"/>
    <w:rsid w:val="00E66EB6"/>
    <w:rsid w:val="00E673B9"/>
    <w:rsid w:val="00E6757F"/>
    <w:rsid w:val="00E67643"/>
    <w:rsid w:val="00E67754"/>
    <w:rsid w:val="00E67CEF"/>
    <w:rsid w:val="00E67DE3"/>
    <w:rsid w:val="00E67E44"/>
    <w:rsid w:val="00E67F37"/>
    <w:rsid w:val="00E7038F"/>
    <w:rsid w:val="00E70AA9"/>
    <w:rsid w:val="00E70CC7"/>
    <w:rsid w:val="00E71142"/>
    <w:rsid w:val="00E712FC"/>
    <w:rsid w:val="00E71867"/>
    <w:rsid w:val="00E718F0"/>
    <w:rsid w:val="00E7197D"/>
    <w:rsid w:val="00E71DBA"/>
    <w:rsid w:val="00E7222F"/>
    <w:rsid w:val="00E72A10"/>
    <w:rsid w:val="00E72D74"/>
    <w:rsid w:val="00E72EC5"/>
    <w:rsid w:val="00E73113"/>
    <w:rsid w:val="00E73124"/>
    <w:rsid w:val="00E73134"/>
    <w:rsid w:val="00E73302"/>
    <w:rsid w:val="00E734BB"/>
    <w:rsid w:val="00E7357D"/>
    <w:rsid w:val="00E735F8"/>
    <w:rsid w:val="00E7380D"/>
    <w:rsid w:val="00E739BC"/>
    <w:rsid w:val="00E73E41"/>
    <w:rsid w:val="00E7406E"/>
    <w:rsid w:val="00E74097"/>
    <w:rsid w:val="00E74112"/>
    <w:rsid w:val="00E74120"/>
    <w:rsid w:val="00E7417F"/>
    <w:rsid w:val="00E74691"/>
    <w:rsid w:val="00E74912"/>
    <w:rsid w:val="00E74A4B"/>
    <w:rsid w:val="00E74B3C"/>
    <w:rsid w:val="00E74BA2"/>
    <w:rsid w:val="00E74DE0"/>
    <w:rsid w:val="00E74FF0"/>
    <w:rsid w:val="00E75055"/>
    <w:rsid w:val="00E7546F"/>
    <w:rsid w:val="00E7550E"/>
    <w:rsid w:val="00E7574A"/>
    <w:rsid w:val="00E75A5B"/>
    <w:rsid w:val="00E75B43"/>
    <w:rsid w:val="00E75B92"/>
    <w:rsid w:val="00E75C41"/>
    <w:rsid w:val="00E75DA8"/>
    <w:rsid w:val="00E7639B"/>
    <w:rsid w:val="00E763FF"/>
    <w:rsid w:val="00E766FA"/>
    <w:rsid w:val="00E76808"/>
    <w:rsid w:val="00E76EF5"/>
    <w:rsid w:val="00E77380"/>
    <w:rsid w:val="00E80160"/>
    <w:rsid w:val="00E80299"/>
    <w:rsid w:val="00E80533"/>
    <w:rsid w:val="00E80B36"/>
    <w:rsid w:val="00E80C2A"/>
    <w:rsid w:val="00E8168B"/>
    <w:rsid w:val="00E8179D"/>
    <w:rsid w:val="00E81845"/>
    <w:rsid w:val="00E81940"/>
    <w:rsid w:val="00E81B44"/>
    <w:rsid w:val="00E81C2F"/>
    <w:rsid w:val="00E82052"/>
    <w:rsid w:val="00E824D3"/>
    <w:rsid w:val="00E82851"/>
    <w:rsid w:val="00E82AC6"/>
    <w:rsid w:val="00E8301C"/>
    <w:rsid w:val="00E8337E"/>
    <w:rsid w:val="00E83540"/>
    <w:rsid w:val="00E837B5"/>
    <w:rsid w:val="00E83D3B"/>
    <w:rsid w:val="00E83E5E"/>
    <w:rsid w:val="00E83F80"/>
    <w:rsid w:val="00E84033"/>
    <w:rsid w:val="00E840C3"/>
    <w:rsid w:val="00E8425A"/>
    <w:rsid w:val="00E84293"/>
    <w:rsid w:val="00E842B3"/>
    <w:rsid w:val="00E84841"/>
    <w:rsid w:val="00E848E3"/>
    <w:rsid w:val="00E848F9"/>
    <w:rsid w:val="00E8503B"/>
    <w:rsid w:val="00E859FD"/>
    <w:rsid w:val="00E85CB1"/>
    <w:rsid w:val="00E867C9"/>
    <w:rsid w:val="00E867D5"/>
    <w:rsid w:val="00E86BFF"/>
    <w:rsid w:val="00E87168"/>
    <w:rsid w:val="00E872A3"/>
    <w:rsid w:val="00E872DB"/>
    <w:rsid w:val="00E873FC"/>
    <w:rsid w:val="00E87CE2"/>
    <w:rsid w:val="00E87EB8"/>
    <w:rsid w:val="00E90623"/>
    <w:rsid w:val="00E90995"/>
    <w:rsid w:val="00E90AB7"/>
    <w:rsid w:val="00E90C61"/>
    <w:rsid w:val="00E91439"/>
    <w:rsid w:val="00E91699"/>
    <w:rsid w:val="00E917D9"/>
    <w:rsid w:val="00E9191A"/>
    <w:rsid w:val="00E91A4D"/>
    <w:rsid w:val="00E91D57"/>
    <w:rsid w:val="00E91D63"/>
    <w:rsid w:val="00E91EE1"/>
    <w:rsid w:val="00E91EED"/>
    <w:rsid w:val="00E92054"/>
    <w:rsid w:val="00E9208E"/>
    <w:rsid w:val="00E923A8"/>
    <w:rsid w:val="00E92779"/>
    <w:rsid w:val="00E92890"/>
    <w:rsid w:val="00E9294B"/>
    <w:rsid w:val="00E929A9"/>
    <w:rsid w:val="00E92CE3"/>
    <w:rsid w:val="00E934FC"/>
    <w:rsid w:val="00E936FE"/>
    <w:rsid w:val="00E93B0C"/>
    <w:rsid w:val="00E94190"/>
    <w:rsid w:val="00E943D8"/>
    <w:rsid w:val="00E94677"/>
    <w:rsid w:val="00E94A0C"/>
    <w:rsid w:val="00E954F1"/>
    <w:rsid w:val="00E95A71"/>
    <w:rsid w:val="00E95AB9"/>
    <w:rsid w:val="00E95C4B"/>
    <w:rsid w:val="00E9603A"/>
    <w:rsid w:val="00E9610B"/>
    <w:rsid w:val="00E963B3"/>
    <w:rsid w:val="00E965ED"/>
    <w:rsid w:val="00E96A89"/>
    <w:rsid w:val="00E96BBB"/>
    <w:rsid w:val="00E9721A"/>
    <w:rsid w:val="00E973E3"/>
    <w:rsid w:val="00E97800"/>
    <w:rsid w:val="00E97A69"/>
    <w:rsid w:val="00E97F2C"/>
    <w:rsid w:val="00EA0291"/>
    <w:rsid w:val="00EA09B0"/>
    <w:rsid w:val="00EA0A13"/>
    <w:rsid w:val="00EA0BA4"/>
    <w:rsid w:val="00EA0E21"/>
    <w:rsid w:val="00EA1352"/>
    <w:rsid w:val="00EA185E"/>
    <w:rsid w:val="00EA1A24"/>
    <w:rsid w:val="00EA28D1"/>
    <w:rsid w:val="00EA294E"/>
    <w:rsid w:val="00EA2B1B"/>
    <w:rsid w:val="00EA2BFD"/>
    <w:rsid w:val="00EA358D"/>
    <w:rsid w:val="00EA38FB"/>
    <w:rsid w:val="00EA39A7"/>
    <w:rsid w:val="00EA3B8E"/>
    <w:rsid w:val="00EA3BCE"/>
    <w:rsid w:val="00EA3CC5"/>
    <w:rsid w:val="00EA4142"/>
    <w:rsid w:val="00EA44C0"/>
    <w:rsid w:val="00EA459C"/>
    <w:rsid w:val="00EA492B"/>
    <w:rsid w:val="00EA4B99"/>
    <w:rsid w:val="00EA4BC0"/>
    <w:rsid w:val="00EA4E1A"/>
    <w:rsid w:val="00EA4E71"/>
    <w:rsid w:val="00EA4EA8"/>
    <w:rsid w:val="00EA4F19"/>
    <w:rsid w:val="00EA5323"/>
    <w:rsid w:val="00EA53F1"/>
    <w:rsid w:val="00EA60AC"/>
    <w:rsid w:val="00EA629E"/>
    <w:rsid w:val="00EA64CF"/>
    <w:rsid w:val="00EA688B"/>
    <w:rsid w:val="00EA6C5C"/>
    <w:rsid w:val="00EA6D35"/>
    <w:rsid w:val="00EA6D52"/>
    <w:rsid w:val="00EA6DBD"/>
    <w:rsid w:val="00EA7124"/>
    <w:rsid w:val="00EA7460"/>
    <w:rsid w:val="00EA7884"/>
    <w:rsid w:val="00EA79B1"/>
    <w:rsid w:val="00EA79C6"/>
    <w:rsid w:val="00EA7AB2"/>
    <w:rsid w:val="00EA7AFD"/>
    <w:rsid w:val="00EA7C4C"/>
    <w:rsid w:val="00EA7D3C"/>
    <w:rsid w:val="00EA7DFD"/>
    <w:rsid w:val="00EB0440"/>
    <w:rsid w:val="00EB073B"/>
    <w:rsid w:val="00EB0D8C"/>
    <w:rsid w:val="00EB1B1A"/>
    <w:rsid w:val="00EB1BFA"/>
    <w:rsid w:val="00EB1C02"/>
    <w:rsid w:val="00EB1C0F"/>
    <w:rsid w:val="00EB2110"/>
    <w:rsid w:val="00EB26FF"/>
    <w:rsid w:val="00EB287D"/>
    <w:rsid w:val="00EB2894"/>
    <w:rsid w:val="00EB2B84"/>
    <w:rsid w:val="00EB354F"/>
    <w:rsid w:val="00EB3728"/>
    <w:rsid w:val="00EB3869"/>
    <w:rsid w:val="00EB39E1"/>
    <w:rsid w:val="00EB3BC9"/>
    <w:rsid w:val="00EB3C47"/>
    <w:rsid w:val="00EB3C8F"/>
    <w:rsid w:val="00EB4062"/>
    <w:rsid w:val="00EB4855"/>
    <w:rsid w:val="00EB4866"/>
    <w:rsid w:val="00EB4B93"/>
    <w:rsid w:val="00EB4BD7"/>
    <w:rsid w:val="00EB4E92"/>
    <w:rsid w:val="00EB4F4E"/>
    <w:rsid w:val="00EB4F99"/>
    <w:rsid w:val="00EB5115"/>
    <w:rsid w:val="00EB53A0"/>
    <w:rsid w:val="00EB54F0"/>
    <w:rsid w:val="00EB56E4"/>
    <w:rsid w:val="00EB5B88"/>
    <w:rsid w:val="00EB5C4C"/>
    <w:rsid w:val="00EB62A5"/>
    <w:rsid w:val="00EB62AC"/>
    <w:rsid w:val="00EB67D2"/>
    <w:rsid w:val="00EB69DB"/>
    <w:rsid w:val="00EB69E3"/>
    <w:rsid w:val="00EB6DCA"/>
    <w:rsid w:val="00EB75B3"/>
    <w:rsid w:val="00EB7660"/>
    <w:rsid w:val="00EB7883"/>
    <w:rsid w:val="00EB78FD"/>
    <w:rsid w:val="00EB7CFE"/>
    <w:rsid w:val="00EB7E80"/>
    <w:rsid w:val="00EB7ECE"/>
    <w:rsid w:val="00EB7FC1"/>
    <w:rsid w:val="00EC00DE"/>
    <w:rsid w:val="00EC0357"/>
    <w:rsid w:val="00EC0732"/>
    <w:rsid w:val="00EC0DA9"/>
    <w:rsid w:val="00EC0F7C"/>
    <w:rsid w:val="00EC11FD"/>
    <w:rsid w:val="00EC18FB"/>
    <w:rsid w:val="00EC19FD"/>
    <w:rsid w:val="00EC1E00"/>
    <w:rsid w:val="00EC23EB"/>
    <w:rsid w:val="00EC266F"/>
    <w:rsid w:val="00EC26E7"/>
    <w:rsid w:val="00EC273C"/>
    <w:rsid w:val="00EC2798"/>
    <w:rsid w:val="00EC2874"/>
    <w:rsid w:val="00EC29D4"/>
    <w:rsid w:val="00EC32A2"/>
    <w:rsid w:val="00EC34D7"/>
    <w:rsid w:val="00EC38B6"/>
    <w:rsid w:val="00EC3B77"/>
    <w:rsid w:val="00EC4013"/>
    <w:rsid w:val="00EC4263"/>
    <w:rsid w:val="00EC4385"/>
    <w:rsid w:val="00EC4480"/>
    <w:rsid w:val="00EC44FF"/>
    <w:rsid w:val="00EC4E2C"/>
    <w:rsid w:val="00EC4F47"/>
    <w:rsid w:val="00EC53F7"/>
    <w:rsid w:val="00EC58EA"/>
    <w:rsid w:val="00EC59CF"/>
    <w:rsid w:val="00EC5BC1"/>
    <w:rsid w:val="00EC5D63"/>
    <w:rsid w:val="00EC6222"/>
    <w:rsid w:val="00EC63B7"/>
    <w:rsid w:val="00EC652F"/>
    <w:rsid w:val="00EC6CDE"/>
    <w:rsid w:val="00EC6E36"/>
    <w:rsid w:val="00EC73A4"/>
    <w:rsid w:val="00EC7448"/>
    <w:rsid w:val="00EC77D9"/>
    <w:rsid w:val="00EC7A0A"/>
    <w:rsid w:val="00EC7D6D"/>
    <w:rsid w:val="00ED019E"/>
    <w:rsid w:val="00ED01D7"/>
    <w:rsid w:val="00ED01E7"/>
    <w:rsid w:val="00ED0599"/>
    <w:rsid w:val="00ED0729"/>
    <w:rsid w:val="00ED0D65"/>
    <w:rsid w:val="00ED0F31"/>
    <w:rsid w:val="00ED14F6"/>
    <w:rsid w:val="00ED1721"/>
    <w:rsid w:val="00ED1A5B"/>
    <w:rsid w:val="00ED1E57"/>
    <w:rsid w:val="00ED24F2"/>
    <w:rsid w:val="00ED2B71"/>
    <w:rsid w:val="00ED2F6D"/>
    <w:rsid w:val="00ED30AE"/>
    <w:rsid w:val="00ED31DC"/>
    <w:rsid w:val="00ED321E"/>
    <w:rsid w:val="00ED356D"/>
    <w:rsid w:val="00ED3B01"/>
    <w:rsid w:val="00ED3C64"/>
    <w:rsid w:val="00ED3E62"/>
    <w:rsid w:val="00ED40DC"/>
    <w:rsid w:val="00ED4636"/>
    <w:rsid w:val="00ED48D5"/>
    <w:rsid w:val="00ED4B59"/>
    <w:rsid w:val="00ED4D5C"/>
    <w:rsid w:val="00ED56B9"/>
    <w:rsid w:val="00ED5901"/>
    <w:rsid w:val="00ED59E9"/>
    <w:rsid w:val="00ED5CA6"/>
    <w:rsid w:val="00ED6182"/>
    <w:rsid w:val="00ED6D1A"/>
    <w:rsid w:val="00ED76AB"/>
    <w:rsid w:val="00ED77D3"/>
    <w:rsid w:val="00ED7963"/>
    <w:rsid w:val="00ED7CB5"/>
    <w:rsid w:val="00ED7DAD"/>
    <w:rsid w:val="00EE011E"/>
    <w:rsid w:val="00EE0159"/>
    <w:rsid w:val="00EE018B"/>
    <w:rsid w:val="00EE021C"/>
    <w:rsid w:val="00EE0C21"/>
    <w:rsid w:val="00EE124F"/>
    <w:rsid w:val="00EE12DE"/>
    <w:rsid w:val="00EE1342"/>
    <w:rsid w:val="00EE14F7"/>
    <w:rsid w:val="00EE15FB"/>
    <w:rsid w:val="00EE1740"/>
    <w:rsid w:val="00EE1877"/>
    <w:rsid w:val="00EE19B5"/>
    <w:rsid w:val="00EE1FF3"/>
    <w:rsid w:val="00EE215D"/>
    <w:rsid w:val="00EE229B"/>
    <w:rsid w:val="00EE24C5"/>
    <w:rsid w:val="00EE2AB7"/>
    <w:rsid w:val="00EE2DFE"/>
    <w:rsid w:val="00EE2E61"/>
    <w:rsid w:val="00EE31F2"/>
    <w:rsid w:val="00EE3940"/>
    <w:rsid w:val="00EE3B0E"/>
    <w:rsid w:val="00EE3CCE"/>
    <w:rsid w:val="00EE3D81"/>
    <w:rsid w:val="00EE3DA7"/>
    <w:rsid w:val="00EE4278"/>
    <w:rsid w:val="00EE44E8"/>
    <w:rsid w:val="00EE481F"/>
    <w:rsid w:val="00EE489A"/>
    <w:rsid w:val="00EE504B"/>
    <w:rsid w:val="00EE50B9"/>
    <w:rsid w:val="00EE5416"/>
    <w:rsid w:val="00EE547A"/>
    <w:rsid w:val="00EE564D"/>
    <w:rsid w:val="00EE5E00"/>
    <w:rsid w:val="00EE61A0"/>
    <w:rsid w:val="00EE63D3"/>
    <w:rsid w:val="00EE662A"/>
    <w:rsid w:val="00EE6906"/>
    <w:rsid w:val="00EE6B04"/>
    <w:rsid w:val="00EE7813"/>
    <w:rsid w:val="00EE7854"/>
    <w:rsid w:val="00EE78DB"/>
    <w:rsid w:val="00EE7947"/>
    <w:rsid w:val="00EE7E35"/>
    <w:rsid w:val="00EF0166"/>
    <w:rsid w:val="00EF02A4"/>
    <w:rsid w:val="00EF0562"/>
    <w:rsid w:val="00EF05A9"/>
    <w:rsid w:val="00EF0730"/>
    <w:rsid w:val="00EF0BD3"/>
    <w:rsid w:val="00EF0BEF"/>
    <w:rsid w:val="00EF0D18"/>
    <w:rsid w:val="00EF1353"/>
    <w:rsid w:val="00EF142C"/>
    <w:rsid w:val="00EF146D"/>
    <w:rsid w:val="00EF1591"/>
    <w:rsid w:val="00EF1666"/>
    <w:rsid w:val="00EF1B2E"/>
    <w:rsid w:val="00EF1F11"/>
    <w:rsid w:val="00EF1FF9"/>
    <w:rsid w:val="00EF2022"/>
    <w:rsid w:val="00EF21F8"/>
    <w:rsid w:val="00EF2324"/>
    <w:rsid w:val="00EF27C0"/>
    <w:rsid w:val="00EF334F"/>
    <w:rsid w:val="00EF3637"/>
    <w:rsid w:val="00EF39F4"/>
    <w:rsid w:val="00EF3B9E"/>
    <w:rsid w:val="00EF3C61"/>
    <w:rsid w:val="00EF3F5F"/>
    <w:rsid w:val="00EF4363"/>
    <w:rsid w:val="00EF4469"/>
    <w:rsid w:val="00EF4767"/>
    <w:rsid w:val="00EF4DD3"/>
    <w:rsid w:val="00EF4EF7"/>
    <w:rsid w:val="00EF51A7"/>
    <w:rsid w:val="00EF52C1"/>
    <w:rsid w:val="00EF545A"/>
    <w:rsid w:val="00EF55E8"/>
    <w:rsid w:val="00EF56B7"/>
    <w:rsid w:val="00EF5C03"/>
    <w:rsid w:val="00EF653F"/>
    <w:rsid w:val="00EF6705"/>
    <w:rsid w:val="00EF6952"/>
    <w:rsid w:val="00EF6FD7"/>
    <w:rsid w:val="00EF70A5"/>
    <w:rsid w:val="00EF728B"/>
    <w:rsid w:val="00EF73DA"/>
    <w:rsid w:val="00EF7573"/>
    <w:rsid w:val="00EF77F9"/>
    <w:rsid w:val="00EF7A43"/>
    <w:rsid w:val="00F000DA"/>
    <w:rsid w:val="00F0013F"/>
    <w:rsid w:val="00F006D5"/>
    <w:rsid w:val="00F00C54"/>
    <w:rsid w:val="00F00D81"/>
    <w:rsid w:val="00F00D85"/>
    <w:rsid w:val="00F0102B"/>
    <w:rsid w:val="00F0112F"/>
    <w:rsid w:val="00F01489"/>
    <w:rsid w:val="00F01D09"/>
    <w:rsid w:val="00F02191"/>
    <w:rsid w:val="00F0248D"/>
    <w:rsid w:val="00F0251A"/>
    <w:rsid w:val="00F025A7"/>
    <w:rsid w:val="00F0265D"/>
    <w:rsid w:val="00F02999"/>
    <w:rsid w:val="00F02AB8"/>
    <w:rsid w:val="00F02BDF"/>
    <w:rsid w:val="00F02EF9"/>
    <w:rsid w:val="00F03115"/>
    <w:rsid w:val="00F034E6"/>
    <w:rsid w:val="00F03944"/>
    <w:rsid w:val="00F03BE0"/>
    <w:rsid w:val="00F03E67"/>
    <w:rsid w:val="00F04221"/>
    <w:rsid w:val="00F046F6"/>
    <w:rsid w:val="00F04725"/>
    <w:rsid w:val="00F049CD"/>
    <w:rsid w:val="00F049FD"/>
    <w:rsid w:val="00F04FE3"/>
    <w:rsid w:val="00F0502B"/>
    <w:rsid w:val="00F051C4"/>
    <w:rsid w:val="00F05240"/>
    <w:rsid w:val="00F055CC"/>
    <w:rsid w:val="00F058F7"/>
    <w:rsid w:val="00F05A04"/>
    <w:rsid w:val="00F05C8D"/>
    <w:rsid w:val="00F05D09"/>
    <w:rsid w:val="00F05DA9"/>
    <w:rsid w:val="00F05DCF"/>
    <w:rsid w:val="00F05F38"/>
    <w:rsid w:val="00F05FDE"/>
    <w:rsid w:val="00F06232"/>
    <w:rsid w:val="00F066B6"/>
    <w:rsid w:val="00F067D7"/>
    <w:rsid w:val="00F06E70"/>
    <w:rsid w:val="00F06E9C"/>
    <w:rsid w:val="00F06F49"/>
    <w:rsid w:val="00F07043"/>
    <w:rsid w:val="00F07462"/>
    <w:rsid w:val="00F079CC"/>
    <w:rsid w:val="00F07CFF"/>
    <w:rsid w:val="00F07E2F"/>
    <w:rsid w:val="00F1009D"/>
    <w:rsid w:val="00F10201"/>
    <w:rsid w:val="00F105B5"/>
    <w:rsid w:val="00F108A7"/>
    <w:rsid w:val="00F10AC3"/>
    <w:rsid w:val="00F10CE9"/>
    <w:rsid w:val="00F10D00"/>
    <w:rsid w:val="00F10E73"/>
    <w:rsid w:val="00F11144"/>
    <w:rsid w:val="00F116DA"/>
    <w:rsid w:val="00F11CA3"/>
    <w:rsid w:val="00F123E5"/>
    <w:rsid w:val="00F129C2"/>
    <w:rsid w:val="00F12B79"/>
    <w:rsid w:val="00F12CA1"/>
    <w:rsid w:val="00F12E7A"/>
    <w:rsid w:val="00F13025"/>
    <w:rsid w:val="00F1372C"/>
    <w:rsid w:val="00F138E6"/>
    <w:rsid w:val="00F1398D"/>
    <w:rsid w:val="00F13A20"/>
    <w:rsid w:val="00F13E66"/>
    <w:rsid w:val="00F1408E"/>
    <w:rsid w:val="00F143EF"/>
    <w:rsid w:val="00F14509"/>
    <w:rsid w:val="00F145EF"/>
    <w:rsid w:val="00F148B7"/>
    <w:rsid w:val="00F14C20"/>
    <w:rsid w:val="00F152A3"/>
    <w:rsid w:val="00F158C9"/>
    <w:rsid w:val="00F15EF0"/>
    <w:rsid w:val="00F15FA1"/>
    <w:rsid w:val="00F1610F"/>
    <w:rsid w:val="00F16219"/>
    <w:rsid w:val="00F16334"/>
    <w:rsid w:val="00F166DE"/>
    <w:rsid w:val="00F16854"/>
    <w:rsid w:val="00F170C2"/>
    <w:rsid w:val="00F17236"/>
    <w:rsid w:val="00F1724C"/>
    <w:rsid w:val="00F1727B"/>
    <w:rsid w:val="00F177B3"/>
    <w:rsid w:val="00F1786E"/>
    <w:rsid w:val="00F17992"/>
    <w:rsid w:val="00F17DBE"/>
    <w:rsid w:val="00F17F63"/>
    <w:rsid w:val="00F20385"/>
    <w:rsid w:val="00F20C7B"/>
    <w:rsid w:val="00F20F23"/>
    <w:rsid w:val="00F20FE7"/>
    <w:rsid w:val="00F21043"/>
    <w:rsid w:val="00F213A1"/>
    <w:rsid w:val="00F2184F"/>
    <w:rsid w:val="00F21F81"/>
    <w:rsid w:val="00F2244B"/>
    <w:rsid w:val="00F22454"/>
    <w:rsid w:val="00F22551"/>
    <w:rsid w:val="00F22A50"/>
    <w:rsid w:val="00F22A96"/>
    <w:rsid w:val="00F22B9B"/>
    <w:rsid w:val="00F22C00"/>
    <w:rsid w:val="00F22F77"/>
    <w:rsid w:val="00F2324F"/>
    <w:rsid w:val="00F235FD"/>
    <w:rsid w:val="00F236BB"/>
    <w:rsid w:val="00F236F0"/>
    <w:rsid w:val="00F239C2"/>
    <w:rsid w:val="00F24338"/>
    <w:rsid w:val="00F248E2"/>
    <w:rsid w:val="00F24AFB"/>
    <w:rsid w:val="00F24CBF"/>
    <w:rsid w:val="00F25412"/>
    <w:rsid w:val="00F25B56"/>
    <w:rsid w:val="00F25C5B"/>
    <w:rsid w:val="00F25EA9"/>
    <w:rsid w:val="00F25EEC"/>
    <w:rsid w:val="00F25FA9"/>
    <w:rsid w:val="00F26237"/>
    <w:rsid w:val="00F264FE"/>
    <w:rsid w:val="00F269ED"/>
    <w:rsid w:val="00F26CBE"/>
    <w:rsid w:val="00F26DB9"/>
    <w:rsid w:val="00F26DF1"/>
    <w:rsid w:val="00F27068"/>
    <w:rsid w:val="00F273A4"/>
    <w:rsid w:val="00F27512"/>
    <w:rsid w:val="00F27800"/>
    <w:rsid w:val="00F27AD2"/>
    <w:rsid w:val="00F27AD3"/>
    <w:rsid w:val="00F27CFB"/>
    <w:rsid w:val="00F3030A"/>
    <w:rsid w:val="00F305A2"/>
    <w:rsid w:val="00F306F1"/>
    <w:rsid w:val="00F3087B"/>
    <w:rsid w:val="00F30926"/>
    <w:rsid w:val="00F30A24"/>
    <w:rsid w:val="00F30AA6"/>
    <w:rsid w:val="00F30C4A"/>
    <w:rsid w:val="00F315C4"/>
    <w:rsid w:val="00F32058"/>
    <w:rsid w:val="00F320FF"/>
    <w:rsid w:val="00F32170"/>
    <w:rsid w:val="00F32245"/>
    <w:rsid w:val="00F3236D"/>
    <w:rsid w:val="00F325B0"/>
    <w:rsid w:val="00F32635"/>
    <w:rsid w:val="00F329C1"/>
    <w:rsid w:val="00F32A4E"/>
    <w:rsid w:val="00F32F8F"/>
    <w:rsid w:val="00F3316A"/>
    <w:rsid w:val="00F331F5"/>
    <w:rsid w:val="00F33239"/>
    <w:rsid w:val="00F3374E"/>
    <w:rsid w:val="00F33E83"/>
    <w:rsid w:val="00F34391"/>
    <w:rsid w:val="00F345C8"/>
    <w:rsid w:val="00F34848"/>
    <w:rsid w:val="00F349E8"/>
    <w:rsid w:val="00F34A1C"/>
    <w:rsid w:val="00F34C32"/>
    <w:rsid w:val="00F34EAA"/>
    <w:rsid w:val="00F34FB8"/>
    <w:rsid w:val="00F350D0"/>
    <w:rsid w:val="00F352EF"/>
    <w:rsid w:val="00F3530B"/>
    <w:rsid w:val="00F35738"/>
    <w:rsid w:val="00F35772"/>
    <w:rsid w:val="00F359F9"/>
    <w:rsid w:val="00F35AE2"/>
    <w:rsid w:val="00F35B3B"/>
    <w:rsid w:val="00F35F56"/>
    <w:rsid w:val="00F36439"/>
    <w:rsid w:val="00F36712"/>
    <w:rsid w:val="00F3683F"/>
    <w:rsid w:val="00F36874"/>
    <w:rsid w:val="00F369D7"/>
    <w:rsid w:val="00F36A6A"/>
    <w:rsid w:val="00F36A79"/>
    <w:rsid w:val="00F36AB5"/>
    <w:rsid w:val="00F36AFC"/>
    <w:rsid w:val="00F36BA8"/>
    <w:rsid w:val="00F36D30"/>
    <w:rsid w:val="00F37006"/>
    <w:rsid w:val="00F370E5"/>
    <w:rsid w:val="00F370F4"/>
    <w:rsid w:val="00F3734E"/>
    <w:rsid w:val="00F37449"/>
    <w:rsid w:val="00F374DA"/>
    <w:rsid w:val="00F37738"/>
    <w:rsid w:val="00F37952"/>
    <w:rsid w:val="00F37CEC"/>
    <w:rsid w:val="00F37E9A"/>
    <w:rsid w:val="00F400F4"/>
    <w:rsid w:val="00F4021B"/>
    <w:rsid w:val="00F40495"/>
    <w:rsid w:val="00F40B8C"/>
    <w:rsid w:val="00F40E3A"/>
    <w:rsid w:val="00F40FE5"/>
    <w:rsid w:val="00F41211"/>
    <w:rsid w:val="00F41348"/>
    <w:rsid w:val="00F4163C"/>
    <w:rsid w:val="00F41785"/>
    <w:rsid w:val="00F418B6"/>
    <w:rsid w:val="00F41EEC"/>
    <w:rsid w:val="00F420D3"/>
    <w:rsid w:val="00F4226B"/>
    <w:rsid w:val="00F4292D"/>
    <w:rsid w:val="00F42A07"/>
    <w:rsid w:val="00F42BD4"/>
    <w:rsid w:val="00F42F6B"/>
    <w:rsid w:val="00F430A0"/>
    <w:rsid w:val="00F430CA"/>
    <w:rsid w:val="00F43207"/>
    <w:rsid w:val="00F4363B"/>
    <w:rsid w:val="00F439F6"/>
    <w:rsid w:val="00F43A51"/>
    <w:rsid w:val="00F43C03"/>
    <w:rsid w:val="00F43D29"/>
    <w:rsid w:val="00F43E36"/>
    <w:rsid w:val="00F443D5"/>
    <w:rsid w:val="00F443EE"/>
    <w:rsid w:val="00F4457C"/>
    <w:rsid w:val="00F449D7"/>
    <w:rsid w:val="00F44B06"/>
    <w:rsid w:val="00F44BBD"/>
    <w:rsid w:val="00F44D7E"/>
    <w:rsid w:val="00F44FBA"/>
    <w:rsid w:val="00F4537A"/>
    <w:rsid w:val="00F4570F"/>
    <w:rsid w:val="00F45EF3"/>
    <w:rsid w:val="00F46230"/>
    <w:rsid w:val="00F46C1F"/>
    <w:rsid w:val="00F472AC"/>
    <w:rsid w:val="00F477D7"/>
    <w:rsid w:val="00F47A3B"/>
    <w:rsid w:val="00F505E8"/>
    <w:rsid w:val="00F50674"/>
    <w:rsid w:val="00F50828"/>
    <w:rsid w:val="00F50BA0"/>
    <w:rsid w:val="00F50D2E"/>
    <w:rsid w:val="00F50EE2"/>
    <w:rsid w:val="00F511B4"/>
    <w:rsid w:val="00F5156A"/>
    <w:rsid w:val="00F5188D"/>
    <w:rsid w:val="00F51CB6"/>
    <w:rsid w:val="00F51F21"/>
    <w:rsid w:val="00F52161"/>
    <w:rsid w:val="00F522B2"/>
    <w:rsid w:val="00F5248F"/>
    <w:rsid w:val="00F52697"/>
    <w:rsid w:val="00F526B3"/>
    <w:rsid w:val="00F528FA"/>
    <w:rsid w:val="00F52BCB"/>
    <w:rsid w:val="00F531C2"/>
    <w:rsid w:val="00F533CB"/>
    <w:rsid w:val="00F5342F"/>
    <w:rsid w:val="00F535E1"/>
    <w:rsid w:val="00F5386E"/>
    <w:rsid w:val="00F5394C"/>
    <w:rsid w:val="00F53AAE"/>
    <w:rsid w:val="00F53C88"/>
    <w:rsid w:val="00F53D0A"/>
    <w:rsid w:val="00F53E71"/>
    <w:rsid w:val="00F53FEE"/>
    <w:rsid w:val="00F5420F"/>
    <w:rsid w:val="00F54336"/>
    <w:rsid w:val="00F5477D"/>
    <w:rsid w:val="00F54B54"/>
    <w:rsid w:val="00F5519E"/>
    <w:rsid w:val="00F5554B"/>
    <w:rsid w:val="00F556ED"/>
    <w:rsid w:val="00F55861"/>
    <w:rsid w:val="00F55E5D"/>
    <w:rsid w:val="00F564C3"/>
    <w:rsid w:val="00F568EF"/>
    <w:rsid w:val="00F56DDA"/>
    <w:rsid w:val="00F57150"/>
    <w:rsid w:val="00F5731E"/>
    <w:rsid w:val="00F5732D"/>
    <w:rsid w:val="00F57526"/>
    <w:rsid w:val="00F577C9"/>
    <w:rsid w:val="00F57841"/>
    <w:rsid w:val="00F57AD0"/>
    <w:rsid w:val="00F57B6A"/>
    <w:rsid w:val="00F57C8C"/>
    <w:rsid w:val="00F57E89"/>
    <w:rsid w:val="00F57FE9"/>
    <w:rsid w:val="00F60275"/>
    <w:rsid w:val="00F602B5"/>
    <w:rsid w:val="00F60526"/>
    <w:rsid w:val="00F60708"/>
    <w:rsid w:val="00F60A77"/>
    <w:rsid w:val="00F60AAE"/>
    <w:rsid w:val="00F60BD0"/>
    <w:rsid w:val="00F60C26"/>
    <w:rsid w:val="00F60D09"/>
    <w:rsid w:val="00F60D98"/>
    <w:rsid w:val="00F60DA4"/>
    <w:rsid w:val="00F60E40"/>
    <w:rsid w:val="00F61026"/>
    <w:rsid w:val="00F61089"/>
    <w:rsid w:val="00F61129"/>
    <w:rsid w:val="00F613AB"/>
    <w:rsid w:val="00F617EF"/>
    <w:rsid w:val="00F61A00"/>
    <w:rsid w:val="00F61A99"/>
    <w:rsid w:val="00F61CBC"/>
    <w:rsid w:val="00F620E1"/>
    <w:rsid w:val="00F621BF"/>
    <w:rsid w:val="00F625FF"/>
    <w:rsid w:val="00F6267B"/>
    <w:rsid w:val="00F62A05"/>
    <w:rsid w:val="00F62DAE"/>
    <w:rsid w:val="00F62DCB"/>
    <w:rsid w:val="00F638A8"/>
    <w:rsid w:val="00F63B8B"/>
    <w:rsid w:val="00F63D75"/>
    <w:rsid w:val="00F63EE9"/>
    <w:rsid w:val="00F6445F"/>
    <w:rsid w:val="00F64605"/>
    <w:rsid w:val="00F64875"/>
    <w:rsid w:val="00F649B1"/>
    <w:rsid w:val="00F64A41"/>
    <w:rsid w:val="00F64B34"/>
    <w:rsid w:val="00F64D54"/>
    <w:rsid w:val="00F64DCA"/>
    <w:rsid w:val="00F65245"/>
    <w:rsid w:val="00F65612"/>
    <w:rsid w:val="00F65BBC"/>
    <w:rsid w:val="00F65DF3"/>
    <w:rsid w:val="00F65FF9"/>
    <w:rsid w:val="00F663F3"/>
    <w:rsid w:val="00F66556"/>
    <w:rsid w:val="00F66B7E"/>
    <w:rsid w:val="00F66E06"/>
    <w:rsid w:val="00F67A57"/>
    <w:rsid w:val="00F67BFD"/>
    <w:rsid w:val="00F67CA3"/>
    <w:rsid w:val="00F7014A"/>
    <w:rsid w:val="00F70766"/>
    <w:rsid w:val="00F70BD5"/>
    <w:rsid w:val="00F70DC5"/>
    <w:rsid w:val="00F70FCA"/>
    <w:rsid w:val="00F7117E"/>
    <w:rsid w:val="00F71273"/>
    <w:rsid w:val="00F71F16"/>
    <w:rsid w:val="00F721F4"/>
    <w:rsid w:val="00F7220F"/>
    <w:rsid w:val="00F72762"/>
    <w:rsid w:val="00F736E0"/>
    <w:rsid w:val="00F738BA"/>
    <w:rsid w:val="00F73EFE"/>
    <w:rsid w:val="00F744D3"/>
    <w:rsid w:val="00F74625"/>
    <w:rsid w:val="00F7470F"/>
    <w:rsid w:val="00F74EE2"/>
    <w:rsid w:val="00F75411"/>
    <w:rsid w:val="00F755A8"/>
    <w:rsid w:val="00F75A59"/>
    <w:rsid w:val="00F75D73"/>
    <w:rsid w:val="00F75F65"/>
    <w:rsid w:val="00F762B4"/>
    <w:rsid w:val="00F76A48"/>
    <w:rsid w:val="00F7705D"/>
    <w:rsid w:val="00F770F2"/>
    <w:rsid w:val="00F77196"/>
    <w:rsid w:val="00F771E4"/>
    <w:rsid w:val="00F77231"/>
    <w:rsid w:val="00F7734C"/>
    <w:rsid w:val="00F77724"/>
    <w:rsid w:val="00F77757"/>
    <w:rsid w:val="00F7791E"/>
    <w:rsid w:val="00F77981"/>
    <w:rsid w:val="00F77AC5"/>
    <w:rsid w:val="00F77E7F"/>
    <w:rsid w:val="00F809FC"/>
    <w:rsid w:val="00F80DD3"/>
    <w:rsid w:val="00F80DEC"/>
    <w:rsid w:val="00F80F79"/>
    <w:rsid w:val="00F81218"/>
    <w:rsid w:val="00F8121E"/>
    <w:rsid w:val="00F81248"/>
    <w:rsid w:val="00F8206A"/>
    <w:rsid w:val="00F82191"/>
    <w:rsid w:val="00F82203"/>
    <w:rsid w:val="00F82316"/>
    <w:rsid w:val="00F824D8"/>
    <w:rsid w:val="00F827A8"/>
    <w:rsid w:val="00F82D05"/>
    <w:rsid w:val="00F82D1E"/>
    <w:rsid w:val="00F82D84"/>
    <w:rsid w:val="00F82FD0"/>
    <w:rsid w:val="00F82FDF"/>
    <w:rsid w:val="00F8353B"/>
    <w:rsid w:val="00F837F3"/>
    <w:rsid w:val="00F8380D"/>
    <w:rsid w:val="00F8384A"/>
    <w:rsid w:val="00F8398D"/>
    <w:rsid w:val="00F83EBE"/>
    <w:rsid w:val="00F840F7"/>
    <w:rsid w:val="00F84775"/>
    <w:rsid w:val="00F8478F"/>
    <w:rsid w:val="00F848E7"/>
    <w:rsid w:val="00F84A90"/>
    <w:rsid w:val="00F84CD5"/>
    <w:rsid w:val="00F852B2"/>
    <w:rsid w:val="00F853AD"/>
    <w:rsid w:val="00F85596"/>
    <w:rsid w:val="00F85667"/>
    <w:rsid w:val="00F85AF3"/>
    <w:rsid w:val="00F85C0C"/>
    <w:rsid w:val="00F86342"/>
    <w:rsid w:val="00F865C4"/>
    <w:rsid w:val="00F86736"/>
    <w:rsid w:val="00F86762"/>
    <w:rsid w:val="00F86894"/>
    <w:rsid w:val="00F86D36"/>
    <w:rsid w:val="00F87108"/>
    <w:rsid w:val="00F871E2"/>
    <w:rsid w:val="00F8741A"/>
    <w:rsid w:val="00F8779A"/>
    <w:rsid w:val="00F878A7"/>
    <w:rsid w:val="00F87D1C"/>
    <w:rsid w:val="00F90518"/>
    <w:rsid w:val="00F909C0"/>
    <w:rsid w:val="00F90CD4"/>
    <w:rsid w:val="00F90F27"/>
    <w:rsid w:val="00F90FF3"/>
    <w:rsid w:val="00F92083"/>
    <w:rsid w:val="00F9210E"/>
    <w:rsid w:val="00F92151"/>
    <w:rsid w:val="00F922BD"/>
    <w:rsid w:val="00F92865"/>
    <w:rsid w:val="00F92C70"/>
    <w:rsid w:val="00F92D29"/>
    <w:rsid w:val="00F92D3A"/>
    <w:rsid w:val="00F92EEE"/>
    <w:rsid w:val="00F9375C"/>
    <w:rsid w:val="00F9406D"/>
    <w:rsid w:val="00F94448"/>
    <w:rsid w:val="00F945D8"/>
    <w:rsid w:val="00F94775"/>
    <w:rsid w:val="00F9520D"/>
    <w:rsid w:val="00F9587A"/>
    <w:rsid w:val="00F95A7A"/>
    <w:rsid w:val="00F95A98"/>
    <w:rsid w:val="00F95C9D"/>
    <w:rsid w:val="00F95D41"/>
    <w:rsid w:val="00F95F88"/>
    <w:rsid w:val="00F9608A"/>
    <w:rsid w:val="00F960D7"/>
    <w:rsid w:val="00F96311"/>
    <w:rsid w:val="00F963B1"/>
    <w:rsid w:val="00F96478"/>
    <w:rsid w:val="00F96508"/>
    <w:rsid w:val="00F965BC"/>
    <w:rsid w:val="00F96B14"/>
    <w:rsid w:val="00F96F29"/>
    <w:rsid w:val="00F97096"/>
    <w:rsid w:val="00F970F4"/>
    <w:rsid w:val="00F97347"/>
    <w:rsid w:val="00F9740E"/>
    <w:rsid w:val="00F976C1"/>
    <w:rsid w:val="00F979CF"/>
    <w:rsid w:val="00F979E8"/>
    <w:rsid w:val="00F97A27"/>
    <w:rsid w:val="00F97C33"/>
    <w:rsid w:val="00FA05CF"/>
    <w:rsid w:val="00FA061F"/>
    <w:rsid w:val="00FA0BCE"/>
    <w:rsid w:val="00FA0C2A"/>
    <w:rsid w:val="00FA0E12"/>
    <w:rsid w:val="00FA0EA8"/>
    <w:rsid w:val="00FA134C"/>
    <w:rsid w:val="00FA1AC9"/>
    <w:rsid w:val="00FA1B72"/>
    <w:rsid w:val="00FA1D0D"/>
    <w:rsid w:val="00FA1E22"/>
    <w:rsid w:val="00FA1EE5"/>
    <w:rsid w:val="00FA1FFE"/>
    <w:rsid w:val="00FA2176"/>
    <w:rsid w:val="00FA2508"/>
    <w:rsid w:val="00FA2525"/>
    <w:rsid w:val="00FA2900"/>
    <w:rsid w:val="00FA2EA5"/>
    <w:rsid w:val="00FA33B1"/>
    <w:rsid w:val="00FA378E"/>
    <w:rsid w:val="00FA38D1"/>
    <w:rsid w:val="00FA43A2"/>
    <w:rsid w:val="00FA4565"/>
    <w:rsid w:val="00FA46F3"/>
    <w:rsid w:val="00FA4875"/>
    <w:rsid w:val="00FA4A11"/>
    <w:rsid w:val="00FA4B79"/>
    <w:rsid w:val="00FA4CF7"/>
    <w:rsid w:val="00FA5049"/>
    <w:rsid w:val="00FA5378"/>
    <w:rsid w:val="00FA55C1"/>
    <w:rsid w:val="00FA5A23"/>
    <w:rsid w:val="00FA5AF6"/>
    <w:rsid w:val="00FA5B67"/>
    <w:rsid w:val="00FA5D5A"/>
    <w:rsid w:val="00FA5FEF"/>
    <w:rsid w:val="00FA63C3"/>
    <w:rsid w:val="00FA68A3"/>
    <w:rsid w:val="00FA6989"/>
    <w:rsid w:val="00FA723D"/>
    <w:rsid w:val="00FA72B7"/>
    <w:rsid w:val="00FA73D7"/>
    <w:rsid w:val="00FA7D68"/>
    <w:rsid w:val="00FA7DB7"/>
    <w:rsid w:val="00FB0321"/>
    <w:rsid w:val="00FB0A2B"/>
    <w:rsid w:val="00FB0FE0"/>
    <w:rsid w:val="00FB1237"/>
    <w:rsid w:val="00FB12A4"/>
    <w:rsid w:val="00FB12A8"/>
    <w:rsid w:val="00FB1A1D"/>
    <w:rsid w:val="00FB1CF6"/>
    <w:rsid w:val="00FB1E4C"/>
    <w:rsid w:val="00FB1F91"/>
    <w:rsid w:val="00FB201E"/>
    <w:rsid w:val="00FB24E7"/>
    <w:rsid w:val="00FB26CB"/>
    <w:rsid w:val="00FB2970"/>
    <w:rsid w:val="00FB2A82"/>
    <w:rsid w:val="00FB3D74"/>
    <w:rsid w:val="00FB3E07"/>
    <w:rsid w:val="00FB3E72"/>
    <w:rsid w:val="00FB3ECE"/>
    <w:rsid w:val="00FB407B"/>
    <w:rsid w:val="00FB40CD"/>
    <w:rsid w:val="00FB4537"/>
    <w:rsid w:val="00FB4567"/>
    <w:rsid w:val="00FB46C3"/>
    <w:rsid w:val="00FB47A0"/>
    <w:rsid w:val="00FB49F9"/>
    <w:rsid w:val="00FB4F73"/>
    <w:rsid w:val="00FB527A"/>
    <w:rsid w:val="00FB52BC"/>
    <w:rsid w:val="00FB53BB"/>
    <w:rsid w:val="00FB564A"/>
    <w:rsid w:val="00FB5765"/>
    <w:rsid w:val="00FB57C3"/>
    <w:rsid w:val="00FB6394"/>
    <w:rsid w:val="00FB63CC"/>
    <w:rsid w:val="00FB67D1"/>
    <w:rsid w:val="00FB68A8"/>
    <w:rsid w:val="00FB694D"/>
    <w:rsid w:val="00FB6C1F"/>
    <w:rsid w:val="00FB6D12"/>
    <w:rsid w:val="00FB6F11"/>
    <w:rsid w:val="00FB701E"/>
    <w:rsid w:val="00FB71A8"/>
    <w:rsid w:val="00FB73C5"/>
    <w:rsid w:val="00FB73F9"/>
    <w:rsid w:val="00FB7681"/>
    <w:rsid w:val="00FB7909"/>
    <w:rsid w:val="00FB7A6D"/>
    <w:rsid w:val="00FB7F54"/>
    <w:rsid w:val="00FC0007"/>
    <w:rsid w:val="00FC028B"/>
    <w:rsid w:val="00FC02F6"/>
    <w:rsid w:val="00FC0831"/>
    <w:rsid w:val="00FC0946"/>
    <w:rsid w:val="00FC099A"/>
    <w:rsid w:val="00FC0DC1"/>
    <w:rsid w:val="00FC0FC8"/>
    <w:rsid w:val="00FC1993"/>
    <w:rsid w:val="00FC19CF"/>
    <w:rsid w:val="00FC1D96"/>
    <w:rsid w:val="00FC1F46"/>
    <w:rsid w:val="00FC2290"/>
    <w:rsid w:val="00FC241F"/>
    <w:rsid w:val="00FC2741"/>
    <w:rsid w:val="00FC27C9"/>
    <w:rsid w:val="00FC2B7E"/>
    <w:rsid w:val="00FC3208"/>
    <w:rsid w:val="00FC32C2"/>
    <w:rsid w:val="00FC3409"/>
    <w:rsid w:val="00FC376F"/>
    <w:rsid w:val="00FC3C31"/>
    <w:rsid w:val="00FC3CC7"/>
    <w:rsid w:val="00FC43C4"/>
    <w:rsid w:val="00FC4752"/>
    <w:rsid w:val="00FC4ACF"/>
    <w:rsid w:val="00FC4EBB"/>
    <w:rsid w:val="00FC5112"/>
    <w:rsid w:val="00FC553B"/>
    <w:rsid w:val="00FC57DD"/>
    <w:rsid w:val="00FC597E"/>
    <w:rsid w:val="00FC5DCE"/>
    <w:rsid w:val="00FC5DDB"/>
    <w:rsid w:val="00FC5E57"/>
    <w:rsid w:val="00FC6B9B"/>
    <w:rsid w:val="00FC6F18"/>
    <w:rsid w:val="00FC72A9"/>
    <w:rsid w:val="00FC740A"/>
    <w:rsid w:val="00FC75BD"/>
    <w:rsid w:val="00FC77A9"/>
    <w:rsid w:val="00FC7ACA"/>
    <w:rsid w:val="00FC7CA8"/>
    <w:rsid w:val="00FC7CFE"/>
    <w:rsid w:val="00FC7E09"/>
    <w:rsid w:val="00FD0332"/>
    <w:rsid w:val="00FD0616"/>
    <w:rsid w:val="00FD0669"/>
    <w:rsid w:val="00FD06E5"/>
    <w:rsid w:val="00FD0927"/>
    <w:rsid w:val="00FD0A8E"/>
    <w:rsid w:val="00FD0DF4"/>
    <w:rsid w:val="00FD0F8B"/>
    <w:rsid w:val="00FD125C"/>
    <w:rsid w:val="00FD186D"/>
    <w:rsid w:val="00FD1B9A"/>
    <w:rsid w:val="00FD1C02"/>
    <w:rsid w:val="00FD1EDE"/>
    <w:rsid w:val="00FD26BA"/>
    <w:rsid w:val="00FD2B87"/>
    <w:rsid w:val="00FD2BF7"/>
    <w:rsid w:val="00FD2CD2"/>
    <w:rsid w:val="00FD2E15"/>
    <w:rsid w:val="00FD3844"/>
    <w:rsid w:val="00FD3A86"/>
    <w:rsid w:val="00FD3EDA"/>
    <w:rsid w:val="00FD43E0"/>
    <w:rsid w:val="00FD449D"/>
    <w:rsid w:val="00FD4A23"/>
    <w:rsid w:val="00FD4BA1"/>
    <w:rsid w:val="00FD5046"/>
    <w:rsid w:val="00FD5292"/>
    <w:rsid w:val="00FD5B87"/>
    <w:rsid w:val="00FD5DA4"/>
    <w:rsid w:val="00FD5F86"/>
    <w:rsid w:val="00FD6004"/>
    <w:rsid w:val="00FD6020"/>
    <w:rsid w:val="00FD62E3"/>
    <w:rsid w:val="00FD63C2"/>
    <w:rsid w:val="00FD64E6"/>
    <w:rsid w:val="00FD7955"/>
    <w:rsid w:val="00FD7BEF"/>
    <w:rsid w:val="00FD7D98"/>
    <w:rsid w:val="00FE0092"/>
    <w:rsid w:val="00FE0127"/>
    <w:rsid w:val="00FE02FC"/>
    <w:rsid w:val="00FE0408"/>
    <w:rsid w:val="00FE04B5"/>
    <w:rsid w:val="00FE068D"/>
    <w:rsid w:val="00FE0938"/>
    <w:rsid w:val="00FE0CB8"/>
    <w:rsid w:val="00FE1220"/>
    <w:rsid w:val="00FE12E7"/>
    <w:rsid w:val="00FE130E"/>
    <w:rsid w:val="00FE1364"/>
    <w:rsid w:val="00FE1570"/>
    <w:rsid w:val="00FE1B3C"/>
    <w:rsid w:val="00FE1EA3"/>
    <w:rsid w:val="00FE1FF9"/>
    <w:rsid w:val="00FE22E4"/>
    <w:rsid w:val="00FE2312"/>
    <w:rsid w:val="00FE23A1"/>
    <w:rsid w:val="00FE267E"/>
    <w:rsid w:val="00FE27F1"/>
    <w:rsid w:val="00FE303C"/>
    <w:rsid w:val="00FE3063"/>
    <w:rsid w:val="00FE318F"/>
    <w:rsid w:val="00FE435C"/>
    <w:rsid w:val="00FE4395"/>
    <w:rsid w:val="00FE4684"/>
    <w:rsid w:val="00FE4DF2"/>
    <w:rsid w:val="00FE544C"/>
    <w:rsid w:val="00FE56AA"/>
    <w:rsid w:val="00FE5D44"/>
    <w:rsid w:val="00FE6379"/>
    <w:rsid w:val="00FE675A"/>
    <w:rsid w:val="00FE68D9"/>
    <w:rsid w:val="00FE730B"/>
    <w:rsid w:val="00FE755D"/>
    <w:rsid w:val="00FE785D"/>
    <w:rsid w:val="00FE7B1B"/>
    <w:rsid w:val="00FE7BA1"/>
    <w:rsid w:val="00FE7DA6"/>
    <w:rsid w:val="00FE7DC5"/>
    <w:rsid w:val="00FF05DB"/>
    <w:rsid w:val="00FF0A3B"/>
    <w:rsid w:val="00FF0B86"/>
    <w:rsid w:val="00FF0C49"/>
    <w:rsid w:val="00FF0F30"/>
    <w:rsid w:val="00FF135C"/>
    <w:rsid w:val="00FF1410"/>
    <w:rsid w:val="00FF1652"/>
    <w:rsid w:val="00FF17DA"/>
    <w:rsid w:val="00FF18EB"/>
    <w:rsid w:val="00FF1AC8"/>
    <w:rsid w:val="00FF1B44"/>
    <w:rsid w:val="00FF1F3D"/>
    <w:rsid w:val="00FF21AB"/>
    <w:rsid w:val="00FF2254"/>
    <w:rsid w:val="00FF24DA"/>
    <w:rsid w:val="00FF24F5"/>
    <w:rsid w:val="00FF283D"/>
    <w:rsid w:val="00FF2932"/>
    <w:rsid w:val="00FF2BBA"/>
    <w:rsid w:val="00FF2C45"/>
    <w:rsid w:val="00FF3190"/>
    <w:rsid w:val="00FF31D6"/>
    <w:rsid w:val="00FF31FE"/>
    <w:rsid w:val="00FF341B"/>
    <w:rsid w:val="00FF36C1"/>
    <w:rsid w:val="00FF3D53"/>
    <w:rsid w:val="00FF3E24"/>
    <w:rsid w:val="00FF40D2"/>
    <w:rsid w:val="00FF4243"/>
    <w:rsid w:val="00FF4380"/>
    <w:rsid w:val="00FF477A"/>
    <w:rsid w:val="00FF49C8"/>
    <w:rsid w:val="00FF4EBD"/>
    <w:rsid w:val="00FF5089"/>
    <w:rsid w:val="00FF518B"/>
    <w:rsid w:val="00FF51EA"/>
    <w:rsid w:val="00FF557B"/>
    <w:rsid w:val="00FF5B7C"/>
    <w:rsid w:val="00FF5DEC"/>
    <w:rsid w:val="00FF627B"/>
    <w:rsid w:val="00FF642A"/>
    <w:rsid w:val="00FF69C0"/>
    <w:rsid w:val="00FF6BCA"/>
    <w:rsid w:val="00FF726E"/>
    <w:rsid w:val="00FF7609"/>
    <w:rsid w:val="00FF7961"/>
    <w:rsid w:val="00FF7D67"/>
    <w:rsid w:val="00FF7DB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position-horizontal-relative:margin;mso-position-vertical:center;mso-position-vertical-relative:margin" fill="f" fillcolor="#a6a6a6" stroke="f">
      <v:fill color="#a6a6a6" on="f"/>
      <v:stroke on="f"/>
      <v:shadow color="#868686"/>
      <o:colormru v:ext="edit" colors="#ffc"/>
    </o:shapedefaults>
    <o:shapelayout v:ext="edit">
      <o:idmap v:ext="edit" data="2"/>
    </o:shapelayout>
  </w:shapeDefaults>
  <w:decimalSymbol w:val="."/>
  <w:listSeparator w:val=","/>
  <w14:docId w14:val="396FCBE2"/>
  <w15:docId w15:val="{32B3553A-F77C-4A1E-8CEE-7A34F512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7FA1"/>
    <w:pPr>
      <w:jc w:val="both"/>
    </w:pPr>
    <w:rPr>
      <w:rFonts w:ascii="Arial" w:hAnsi="Arial"/>
      <w:sz w:val="22"/>
      <w:lang w:eastAsia="de-DE"/>
    </w:rPr>
  </w:style>
  <w:style w:type="paragraph" w:styleId="Heading1">
    <w:name w:val="heading 1"/>
    <w:basedOn w:val="Normal"/>
    <w:next w:val="Normal"/>
    <w:link w:val="Heading1Char"/>
    <w:qFormat/>
    <w:rsid w:val="00971E74"/>
    <w:pPr>
      <w:keepNext/>
      <w:keepLines/>
      <w:numPr>
        <w:numId w:val="12"/>
      </w:numPr>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unhideWhenUsed/>
    <w:qFormat/>
    <w:rsid w:val="00971E74"/>
    <w:pPr>
      <w:keepNext/>
      <w:keepLines/>
      <w:numPr>
        <w:ilvl w:val="1"/>
        <w:numId w:val="12"/>
      </w:numPr>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Heading3">
    <w:name w:val="heading 3"/>
    <w:basedOn w:val="Normal"/>
    <w:next w:val="Normal"/>
    <w:link w:val="Heading3Char"/>
    <w:unhideWhenUsed/>
    <w:qFormat/>
    <w:rsid w:val="00971E74"/>
    <w:pPr>
      <w:keepNext/>
      <w:keepLines/>
      <w:numPr>
        <w:ilvl w:val="2"/>
        <w:numId w:val="12"/>
      </w:numPr>
      <w:spacing w:before="200"/>
      <w:outlineLvl w:val="2"/>
    </w:pPr>
    <w:rPr>
      <w:rFonts w:asciiTheme="majorHAnsi" w:eastAsiaTheme="majorEastAsia" w:hAnsiTheme="majorHAnsi" w:cstheme="majorBidi"/>
      <w:b/>
      <w:bCs/>
      <w:color w:val="4F81BD" w:themeColor="accent1"/>
      <w:sz w:val="24"/>
      <w:szCs w:val="24"/>
      <w:lang w:val="en-US" w:eastAsia="en-US"/>
    </w:rPr>
  </w:style>
  <w:style w:type="paragraph" w:styleId="Heading4">
    <w:name w:val="heading 4"/>
    <w:basedOn w:val="Normal"/>
    <w:next w:val="Normal"/>
    <w:link w:val="Heading4Char"/>
    <w:unhideWhenUsed/>
    <w:qFormat/>
    <w:rsid w:val="00971E74"/>
    <w:pPr>
      <w:keepNext/>
      <w:keepLines/>
      <w:numPr>
        <w:ilvl w:val="3"/>
        <w:numId w:val="12"/>
      </w:numPr>
      <w:spacing w:before="200"/>
      <w:outlineLvl w:val="3"/>
    </w:pPr>
    <w:rPr>
      <w:rFonts w:asciiTheme="majorHAnsi" w:eastAsiaTheme="majorEastAsia" w:hAnsiTheme="majorHAnsi" w:cstheme="majorBidi"/>
      <w:b/>
      <w:bCs/>
      <w:i/>
      <w:iCs/>
      <w:color w:val="4F81BD" w:themeColor="accent1"/>
      <w:sz w:val="24"/>
      <w:szCs w:val="24"/>
      <w:lang w:val="en-US" w:eastAsia="en-US"/>
    </w:rPr>
  </w:style>
  <w:style w:type="paragraph" w:styleId="Heading5">
    <w:name w:val="heading 5"/>
    <w:basedOn w:val="Normal"/>
    <w:next w:val="Normal"/>
    <w:link w:val="Heading5Char"/>
    <w:unhideWhenUsed/>
    <w:qFormat/>
    <w:rsid w:val="00971E74"/>
    <w:pPr>
      <w:keepNext/>
      <w:keepLines/>
      <w:numPr>
        <w:ilvl w:val="4"/>
        <w:numId w:val="12"/>
      </w:numPr>
      <w:spacing w:before="200"/>
      <w:outlineLvl w:val="4"/>
    </w:pPr>
    <w:rPr>
      <w:rFonts w:asciiTheme="majorHAnsi" w:eastAsiaTheme="majorEastAsia" w:hAnsiTheme="majorHAnsi" w:cstheme="majorBidi"/>
      <w:color w:val="243F60" w:themeColor="accent1" w:themeShade="7F"/>
      <w:sz w:val="24"/>
      <w:szCs w:val="24"/>
      <w:lang w:val="en-US" w:eastAsia="en-US"/>
    </w:rPr>
  </w:style>
  <w:style w:type="paragraph" w:styleId="Heading6">
    <w:name w:val="heading 6"/>
    <w:basedOn w:val="Normal"/>
    <w:next w:val="Normal"/>
    <w:link w:val="Heading6Char"/>
    <w:unhideWhenUsed/>
    <w:qFormat/>
    <w:rsid w:val="00971E74"/>
    <w:pPr>
      <w:keepNext/>
      <w:keepLines/>
      <w:numPr>
        <w:ilvl w:val="5"/>
        <w:numId w:val="12"/>
      </w:numPr>
      <w:spacing w:before="200"/>
      <w:outlineLvl w:val="5"/>
    </w:pPr>
    <w:rPr>
      <w:rFonts w:asciiTheme="majorHAnsi" w:eastAsiaTheme="majorEastAsia" w:hAnsiTheme="majorHAnsi" w:cstheme="majorBidi"/>
      <w:i/>
      <w:iCs/>
      <w:color w:val="243F60" w:themeColor="accent1" w:themeShade="7F"/>
      <w:sz w:val="24"/>
      <w:szCs w:val="24"/>
      <w:lang w:val="en-US" w:eastAsia="en-US"/>
    </w:rPr>
  </w:style>
  <w:style w:type="paragraph" w:styleId="Heading7">
    <w:name w:val="heading 7"/>
    <w:basedOn w:val="Normal"/>
    <w:next w:val="Normal"/>
    <w:link w:val="Heading7Char"/>
    <w:unhideWhenUsed/>
    <w:qFormat/>
    <w:rsid w:val="00971E74"/>
    <w:pPr>
      <w:keepNext/>
      <w:keepLines/>
      <w:numPr>
        <w:ilvl w:val="6"/>
        <w:numId w:val="12"/>
      </w:numPr>
      <w:spacing w:before="200"/>
      <w:outlineLvl w:val="6"/>
    </w:pPr>
    <w:rPr>
      <w:rFonts w:asciiTheme="majorHAnsi" w:eastAsiaTheme="majorEastAsia" w:hAnsiTheme="majorHAnsi" w:cstheme="majorBidi"/>
      <w:i/>
      <w:iCs/>
      <w:color w:val="404040" w:themeColor="text1" w:themeTint="BF"/>
      <w:sz w:val="24"/>
      <w:szCs w:val="24"/>
      <w:lang w:val="en-US" w:eastAsia="en-US"/>
    </w:rPr>
  </w:style>
  <w:style w:type="paragraph" w:styleId="Heading8">
    <w:name w:val="heading 8"/>
    <w:basedOn w:val="Normal"/>
    <w:next w:val="Normal"/>
    <w:link w:val="Heading8Char"/>
    <w:unhideWhenUsed/>
    <w:qFormat/>
    <w:rsid w:val="00971E74"/>
    <w:pPr>
      <w:keepNext/>
      <w:keepLines/>
      <w:numPr>
        <w:ilvl w:val="7"/>
        <w:numId w:val="12"/>
      </w:numPr>
      <w:spacing w:before="200"/>
      <w:outlineLvl w:val="7"/>
    </w:pPr>
    <w:rPr>
      <w:rFonts w:asciiTheme="majorHAnsi" w:eastAsiaTheme="majorEastAsia" w:hAnsiTheme="majorHAnsi" w:cstheme="majorBidi"/>
      <w:color w:val="404040" w:themeColor="text1" w:themeTint="BF"/>
      <w:sz w:val="20"/>
      <w:lang w:val="en-US" w:eastAsia="en-US"/>
    </w:rPr>
  </w:style>
  <w:style w:type="paragraph" w:styleId="Heading9">
    <w:name w:val="heading 9"/>
    <w:basedOn w:val="Normal"/>
    <w:next w:val="Normal"/>
    <w:link w:val="Heading9Char"/>
    <w:unhideWhenUsed/>
    <w:qFormat/>
    <w:rsid w:val="00971E74"/>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3">
    <w:name w:val="toc 3"/>
    <w:basedOn w:val="TOC1"/>
    <w:link w:val="TOC3Char"/>
    <w:uiPriority w:val="39"/>
    <w:rsid w:val="00A41DB6"/>
    <w:pPr>
      <w:ind w:left="2268" w:hanging="992"/>
    </w:pPr>
    <w:rPr>
      <w:b w:val="0"/>
      <w:caps w:val="0"/>
    </w:rPr>
  </w:style>
  <w:style w:type="paragraph" w:styleId="TOC2">
    <w:name w:val="toc 2"/>
    <w:basedOn w:val="TOC1"/>
    <w:link w:val="TOC2Char"/>
    <w:uiPriority w:val="39"/>
    <w:rsid w:val="00B346F8"/>
    <w:pPr>
      <w:ind w:left="1276" w:hanging="709"/>
    </w:pPr>
    <w:rPr>
      <w:b w:val="0"/>
      <w:caps w:val="0"/>
    </w:rPr>
  </w:style>
  <w:style w:type="paragraph" w:styleId="TOC1">
    <w:name w:val="toc 1"/>
    <w:basedOn w:val="Normal"/>
    <w:link w:val="TOC1Char"/>
    <w:uiPriority w:val="39"/>
    <w:rsid w:val="00C11C8B"/>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basedOn w:val="Normal"/>
    <w:link w:val="FootnoteTextChar"/>
    <w:rsid w:val="0028633C"/>
    <w:pPr>
      <w:keepLines/>
      <w:numPr>
        <w:numId w:val="11"/>
      </w:numPr>
      <w:spacing w:before="120" w:after="60"/>
    </w:pPr>
    <w:rPr>
      <w:sz w:val="20"/>
    </w:rPr>
  </w:style>
  <w:style w:type="character" w:styleId="Hyperlink">
    <w:name w:val="Hyperlink"/>
    <w:uiPriority w:val="99"/>
    <w:rPr>
      <w:color w:val="0000FF"/>
      <w:u w:val="single"/>
    </w:rPr>
  </w:style>
  <w:style w:type="paragraph" w:styleId="EndnoteText">
    <w:name w:val="endnote text"/>
    <w:basedOn w:val="Normal"/>
    <w:rsid w:val="00CC25EE"/>
    <w:rPr>
      <w:rFonts w:eastAsia="MS Mincho"/>
      <w:lang w:eastAsia="en-US"/>
    </w:rPr>
  </w:style>
  <w:style w:type="paragraph" w:styleId="CommentText">
    <w:name w:val="annotation text"/>
    <w:basedOn w:val="Normal"/>
    <w:link w:val="CommentTextChar"/>
    <w:rsid w:val="00CC25EE"/>
    <w:rPr>
      <w:rFonts w:eastAsia="MS Mincho"/>
      <w:sz w:val="20"/>
      <w:lang w:eastAsia="en-US"/>
    </w:rPr>
  </w:style>
  <w:style w:type="paragraph" w:styleId="Caption">
    <w:name w:val="caption"/>
    <w:basedOn w:val="Normal"/>
    <w:qFormat/>
    <w:rsid w:val="003B4E4E"/>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OC9">
    <w:name w:val="toc 9"/>
    <w:basedOn w:val="Normal"/>
    <w:next w:val="Normal"/>
    <w:autoRedefine/>
    <w:uiPriority w:val="39"/>
    <w:rsid w:val="00FF135C"/>
    <w:pPr>
      <w:ind w:left="1760"/>
    </w:pPr>
  </w:style>
  <w:style w:type="paragraph" w:styleId="CommentSubject">
    <w:name w:val="annotation subject"/>
    <w:basedOn w:val="CommentText"/>
    <w:next w:val="CommentText"/>
    <w:rsid w:val="00A14BC6"/>
    <w:rPr>
      <w:rFonts w:eastAsia="Times New Roman"/>
      <w:b/>
      <w:bCs/>
      <w:lang w:eastAsia="de-DE"/>
    </w:rPr>
  </w:style>
  <w:style w:type="paragraph" w:styleId="IndexHeading">
    <w:name w:val="index heading"/>
    <w:basedOn w:val="Normal"/>
    <w:next w:val="Normal"/>
    <w:rsid w:val="00A14BC6"/>
    <w:rPr>
      <w:rFonts w:cs="Arial"/>
      <w:b/>
      <w:bCs/>
    </w:rPr>
  </w:style>
  <w:style w:type="paragraph" w:styleId="TableofAuthorities">
    <w:name w:val="table of authorities"/>
    <w:basedOn w:val="Normal"/>
    <w:next w:val="Normal"/>
    <w:rsid w:val="00A14BC6"/>
    <w:pPr>
      <w:ind w:left="220" w:hanging="220"/>
    </w:pPr>
  </w:style>
  <w:style w:type="paragraph" w:styleId="TableofFigures">
    <w:name w:val="table of figures"/>
    <w:basedOn w:val="Normal"/>
    <w:next w:val="Normal"/>
    <w:rsid w:val="00A14BC6"/>
  </w:style>
  <w:style w:type="paragraph" w:styleId="TOAHeading">
    <w:name w:val="toa heading"/>
    <w:basedOn w:val="Normal"/>
    <w:next w:val="Normal"/>
    <w:rsid w:val="00A14BC6"/>
    <w:pPr>
      <w:spacing w:before="120"/>
    </w:pPr>
    <w:rPr>
      <w:rFonts w:cs="Arial"/>
      <w:b/>
      <w:bCs/>
      <w:sz w:val="24"/>
      <w:szCs w:val="24"/>
    </w:rPr>
  </w:style>
  <w:style w:type="paragraph" w:styleId="TOC4">
    <w:name w:val="toc 4"/>
    <w:basedOn w:val="TOC1"/>
    <w:uiPriority w:val="39"/>
    <w:rsid w:val="00A41DB6"/>
    <w:pPr>
      <w:ind w:left="3544" w:hanging="1276"/>
    </w:pPr>
    <w:rPr>
      <w:b w:val="0"/>
      <w:caps w:val="0"/>
      <w:noProof/>
    </w:rPr>
  </w:style>
  <w:style w:type="paragraph" w:styleId="TOC5">
    <w:name w:val="toc 5"/>
    <w:basedOn w:val="TOC1"/>
    <w:uiPriority w:val="39"/>
    <w:rsid w:val="00A41DB6"/>
    <w:pPr>
      <w:ind w:left="5103" w:hanging="1559"/>
    </w:pPr>
    <w:rPr>
      <w:b w:val="0"/>
      <w:caps w:val="0"/>
      <w:noProof/>
    </w:rPr>
  </w:style>
  <w:style w:type="paragraph" w:styleId="TOC6">
    <w:name w:val="toc 6"/>
    <w:basedOn w:val="TOC1"/>
    <w:next w:val="Normal"/>
    <w:uiPriority w:val="39"/>
    <w:rsid w:val="00DE7548"/>
    <w:pPr>
      <w:ind w:left="1588" w:hanging="1588"/>
    </w:pPr>
    <w:rPr>
      <w:noProof/>
    </w:rPr>
  </w:style>
  <w:style w:type="paragraph" w:styleId="TOC7">
    <w:name w:val="toc 7"/>
    <w:basedOn w:val="Normal"/>
    <w:next w:val="Normal"/>
    <w:autoRedefine/>
    <w:uiPriority w:val="39"/>
    <w:rsid w:val="00A14BC6"/>
    <w:pPr>
      <w:ind w:left="1320"/>
    </w:pPr>
  </w:style>
  <w:style w:type="paragraph" w:styleId="TOC8">
    <w:name w:val="toc 8"/>
    <w:basedOn w:val="Normal"/>
    <w:next w:val="Normal"/>
    <w:autoRedefine/>
    <w:uiPriority w:val="39"/>
    <w:rsid w:val="00A14BC6"/>
    <w:pPr>
      <w:ind w:left="1540"/>
    </w:pPr>
  </w:style>
  <w:style w:type="paragraph" w:customStyle="1" w:styleId="SDMTiHead">
    <w:name w:val="SDMTiHead"/>
    <w:basedOn w:val="Header"/>
    <w:rsid w:val="00287B65"/>
    <w:pPr>
      <w:ind w:left="-330" w:firstLine="330"/>
    </w:pPr>
    <w:rPr>
      <w:rFonts w:cs="Arial"/>
      <w:caps/>
      <w:szCs w:val="19"/>
    </w:rPr>
  </w:style>
  <w:style w:type="paragraph" w:customStyle="1" w:styleId="SDMTitle2">
    <w:name w:val="SDMTitle2"/>
    <w:basedOn w:val="Normal"/>
    <w:rsid w:val="009E24B3"/>
    <w:pPr>
      <w:spacing w:after="600"/>
      <w:jc w:val="left"/>
    </w:pPr>
    <w:rPr>
      <w:rFonts w:cs="Arial"/>
      <w:sz w:val="48"/>
      <w:szCs w:val="48"/>
    </w:rPr>
  </w:style>
  <w:style w:type="paragraph" w:customStyle="1" w:styleId="SDMTitle1">
    <w:name w:val="SDMTitle1"/>
    <w:basedOn w:val="Normal"/>
    <w:rsid w:val="002B570D"/>
    <w:pPr>
      <w:pBdr>
        <w:bottom w:val="single" w:sz="12" w:space="7" w:color="auto"/>
      </w:pBdr>
      <w:spacing w:before="1800" w:after="200"/>
      <w:jc w:val="left"/>
    </w:pPr>
    <w:rPr>
      <w:rFonts w:cs="Arial"/>
      <w:sz w:val="48"/>
      <w:szCs w:val="48"/>
    </w:rPr>
  </w:style>
  <w:style w:type="paragraph" w:customStyle="1" w:styleId="SDMTiInfo">
    <w:name w:val="SDMTiInfo"/>
    <w:basedOn w:val="Normal"/>
    <w:rsid w:val="004B2991"/>
    <w:pPr>
      <w:spacing w:before="300"/>
    </w:pPr>
    <w:rPr>
      <w:rFonts w:cs="Arial"/>
      <w:szCs w:val="22"/>
    </w:rPr>
  </w:style>
  <w:style w:type="paragraph" w:customStyle="1" w:styleId="SDMHead1">
    <w:name w:val="SDMHead1"/>
    <w:basedOn w:val="Normal"/>
    <w:link w:val="SDMHead1Char"/>
    <w:rsid w:val="00670750"/>
    <w:pPr>
      <w:keepNext/>
      <w:keepLines/>
      <w:numPr>
        <w:numId w:val="9"/>
      </w:numPr>
      <w:suppressAutoHyphens/>
      <w:spacing w:before="240" w:after="60"/>
      <w:outlineLvl w:val="0"/>
    </w:pPr>
    <w:rPr>
      <w:rFonts w:cs="Arial"/>
      <w:b/>
      <w:sz w:val="32"/>
      <w:szCs w:val="32"/>
    </w:rPr>
  </w:style>
  <w:style w:type="paragraph" w:customStyle="1" w:styleId="SDMHead2">
    <w:name w:val="SDMHead2"/>
    <w:basedOn w:val="Normal"/>
    <w:rsid w:val="00670750"/>
    <w:pPr>
      <w:keepNext/>
      <w:keepLines/>
      <w:numPr>
        <w:ilvl w:val="1"/>
        <w:numId w:val="9"/>
      </w:numPr>
      <w:suppressAutoHyphens/>
      <w:spacing w:before="240" w:after="60"/>
      <w:outlineLvl w:val="1"/>
    </w:pPr>
    <w:rPr>
      <w:rFonts w:cs="Arial"/>
      <w:b/>
      <w:sz w:val="24"/>
      <w:szCs w:val="24"/>
    </w:rPr>
  </w:style>
  <w:style w:type="paragraph" w:customStyle="1" w:styleId="SDMHead3">
    <w:name w:val="SDMHead3"/>
    <w:basedOn w:val="Normal"/>
    <w:rsid w:val="00670750"/>
    <w:pPr>
      <w:keepNext/>
      <w:keepLines/>
      <w:numPr>
        <w:ilvl w:val="2"/>
        <w:numId w:val="9"/>
      </w:numPr>
      <w:suppressAutoHyphens/>
      <w:spacing w:before="240" w:after="60"/>
      <w:outlineLvl w:val="2"/>
    </w:pPr>
    <w:rPr>
      <w:rFonts w:cs="Arial"/>
      <w:b/>
      <w:szCs w:val="24"/>
    </w:rPr>
  </w:style>
  <w:style w:type="paragraph" w:customStyle="1" w:styleId="SDMHead4">
    <w:name w:val="SDMHead4"/>
    <w:basedOn w:val="Normal"/>
    <w:rsid w:val="00670750"/>
    <w:pPr>
      <w:keepNext/>
      <w:keepLines/>
      <w:numPr>
        <w:ilvl w:val="3"/>
        <w:numId w:val="9"/>
      </w:numPr>
      <w:suppressAutoHyphens/>
      <w:spacing w:before="240" w:after="60"/>
      <w:outlineLvl w:val="3"/>
    </w:pPr>
    <w:rPr>
      <w:rFonts w:cs="Arial"/>
      <w:b/>
      <w:szCs w:val="24"/>
    </w:rPr>
  </w:style>
  <w:style w:type="paragraph" w:customStyle="1" w:styleId="SDMHead5">
    <w:name w:val="SDMHead5"/>
    <w:basedOn w:val="Normal"/>
    <w:rsid w:val="00670750"/>
    <w:pPr>
      <w:keepNext/>
      <w:keepLines/>
      <w:numPr>
        <w:ilvl w:val="4"/>
        <w:numId w:val="9"/>
      </w:numPr>
      <w:suppressAutoHyphens/>
      <w:spacing w:before="240" w:after="60"/>
      <w:outlineLvl w:val="4"/>
    </w:pPr>
    <w:rPr>
      <w:rFonts w:cs="Arial"/>
      <w:b/>
      <w:szCs w:val="24"/>
    </w:rPr>
  </w:style>
  <w:style w:type="character" w:customStyle="1" w:styleId="SDMHead1Char">
    <w:name w:val="SDMHead1 Char"/>
    <w:link w:val="SDMHead1"/>
    <w:rsid w:val="00670750"/>
    <w:rPr>
      <w:rFonts w:ascii="Arial" w:hAnsi="Arial" w:cs="Arial"/>
      <w:b/>
      <w:sz w:val="32"/>
      <w:szCs w:val="32"/>
      <w:lang w:eastAsia="de-DE"/>
    </w:rPr>
  </w:style>
  <w:style w:type="paragraph" w:customStyle="1" w:styleId="SDMPara">
    <w:name w:val="SDMPara"/>
    <w:basedOn w:val="Normal"/>
    <w:link w:val="SDMParaChar"/>
    <w:rsid w:val="00AC2C95"/>
    <w:pPr>
      <w:numPr>
        <w:numId w:val="18"/>
      </w:numPr>
      <w:spacing w:before="180"/>
    </w:pPr>
    <w:rPr>
      <w:rFonts w:cs="Arial"/>
      <w:szCs w:val="22"/>
    </w:rPr>
  </w:style>
  <w:style w:type="paragraph" w:customStyle="1" w:styleId="SDMSubPara1">
    <w:name w:val="SDMSubPara1"/>
    <w:basedOn w:val="Normal"/>
    <w:rsid w:val="008F5CDF"/>
    <w:pPr>
      <w:numPr>
        <w:ilvl w:val="1"/>
        <w:numId w:val="18"/>
      </w:numPr>
      <w:spacing w:before="180"/>
    </w:pPr>
    <w:rPr>
      <w:rFonts w:cs="Arial"/>
      <w:szCs w:val="22"/>
    </w:rPr>
  </w:style>
  <w:style w:type="paragraph" w:customStyle="1" w:styleId="SDMSubPara2">
    <w:name w:val="SDMSubPara2"/>
    <w:basedOn w:val="Normal"/>
    <w:rsid w:val="008F5CDF"/>
    <w:pPr>
      <w:numPr>
        <w:ilvl w:val="2"/>
        <w:numId w:val="18"/>
      </w:numPr>
      <w:spacing w:before="180"/>
    </w:pPr>
    <w:rPr>
      <w:rFonts w:cs="Arial"/>
      <w:szCs w:val="22"/>
    </w:rPr>
  </w:style>
  <w:style w:type="character" w:customStyle="1" w:styleId="FootnoteTextChar">
    <w:name w:val="Footnote Text Char"/>
    <w:link w:val="FootnoteText"/>
    <w:rsid w:val="0028633C"/>
    <w:rPr>
      <w:rFonts w:ascii="Arial" w:hAnsi="Arial"/>
      <w:lang w:eastAsia="de-DE"/>
    </w:rPr>
  </w:style>
  <w:style w:type="table" w:customStyle="1" w:styleId="SDMTable">
    <w:name w:val="SDMTable"/>
    <w:basedOn w:val="TableNormal"/>
    <w:rsid w:val="007B4613"/>
    <w:rPr>
      <w:rFonts w:ascii="Arial" w:hAnsi="Arial"/>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555299"/>
    <w:pPr>
      <w:jc w:val="center"/>
    </w:pPr>
    <w:rPr>
      <w:rFonts w:cs="Arial"/>
      <w:sz w:val="20"/>
    </w:rPr>
  </w:style>
  <w:style w:type="table" w:customStyle="1" w:styleId="SDMTableDocInfo">
    <w:name w:val="SDMTableDocInfo"/>
    <w:basedOn w:val="TableNormal"/>
    <w:rsid w:val="0057436D"/>
    <w:pPr>
      <w:keepNext/>
      <w:spacing w:before="80" w:after="80"/>
    </w:pPr>
    <w:rPr>
      <w:rFonts w:ascii="Arial" w:hAnsi="Arial"/>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0940E6"/>
    <w:pPr>
      <w:keepLines/>
      <w:numPr>
        <w:numId w:val="13"/>
      </w:numPr>
      <w:spacing w:before="80" w:after="80"/>
    </w:pPr>
    <w:rPr>
      <w:rFonts w:cs="Arial"/>
      <w:sz w:val="20"/>
    </w:rPr>
  </w:style>
  <w:style w:type="character" w:customStyle="1" w:styleId="SDMDocInfoTextChar">
    <w:name w:val="SDMDocInfoText Char"/>
    <w:link w:val="SDMDocInfoText"/>
    <w:rsid w:val="000940E6"/>
    <w:rPr>
      <w:rFonts w:ascii="Arial" w:hAnsi="Arial" w:cs="Arial"/>
      <w:lang w:eastAsia="de-DE"/>
    </w:rPr>
  </w:style>
  <w:style w:type="paragraph" w:customStyle="1" w:styleId="SDMDocInfoTitle">
    <w:name w:val="SDMDocInfoTitle"/>
    <w:basedOn w:val="Normal"/>
    <w:rsid w:val="00B0050F"/>
    <w:pPr>
      <w:keepNext/>
      <w:keepLines/>
      <w:spacing w:before="480" w:after="240"/>
      <w:jc w:val="center"/>
    </w:pPr>
    <w:rPr>
      <w:rFonts w:cs="Arial"/>
      <w:b/>
      <w:szCs w:val="22"/>
    </w:rPr>
  </w:style>
  <w:style w:type="paragraph" w:customStyle="1" w:styleId="SDMSubPara3">
    <w:name w:val="SDMSubPara3"/>
    <w:basedOn w:val="Normal"/>
    <w:rsid w:val="008F5CDF"/>
    <w:pPr>
      <w:numPr>
        <w:ilvl w:val="3"/>
        <w:numId w:val="18"/>
      </w:numPr>
      <w:spacing w:before="180"/>
    </w:pPr>
  </w:style>
  <w:style w:type="paragraph" w:customStyle="1" w:styleId="SDMSubPara4">
    <w:name w:val="SDMSubPara4"/>
    <w:basedOn w:val="Normal"/>
    <w:rsid w:val="008F5CDF"/>
    <w:pPr>
      <w:numPr>
        <w:ilvl w:val="4"/>
        <w:numId w:val="18"/>
      </w:numPr>
      <w:spacing w:before="180"/>
    </w:pPr>
  </w:style>
  <w:style w:type="character" w:customStyle="1" w:styleId="TOC1Char">
    <w:name w:val="TOC 1 Char"/>
    <w:link w:val="TOC1"/>
    <w:uiPriority w:val="39"/>
    <w:rsid w:val="00C11C8B"/>
    <w:rPr>
      <w:rFonts w:ascii="Arial" w:hAnsi="Arial" w:cs="Arial"/>
      <w:b/>
      <w:caps/>
      <w:sz w:val="21"/>
      <w:szCs w:val="21"/>
      <w:lang w:eastAsia="de-DE"/>
    </w:rPr>
  </w:style>
  <w:style w:type="character" w:customStyle="1" w:styleId="TOC2Char">
    <w:name w:val="TOC 2 Char"/>
    <w:link w:val="TOC2"/>
    <w:uiPriority w:val="39"/>
    <w:rsid w:val="00B346F8"/>
    <w:rPr>
      <w:rFonts w:ascii="Arial" w:hAnsi="Arial" w:cs="Arial"/>
      <w:sz w:val="21"/>
      <w:szCs w:val="21"/>
      <w:lang w:eastAsia="de-DE"/>
    </w:rPr>
  </w:style>
  <w:style w:type="character" w:customStyle="1" w:styleId="TOC3Char">
    <w:name w:val="TOC 3 Char"/>
    <w:link w:val="TOC3"/>
    <w:uiPriority w:val="39"/>
    <w:rsid w:val="00A41DB6"/>
    <w:rPr>
      <w:rFonts w:ascii="Arial" w:hAnsi="Arial" w:cs="Arial"/>
      <w:sz w:val="21"/>
      <w:szCs w:val="21"/>
      <w:lang w:eastAsia="de-DE"/>
    </w:rPr>
  </w:style>
  <w:style w:type="paragraph" w:customStyle="1" w:styleId="SDMHeader">
    <w:name w:val="SDMHeader"/>
    <w:basedOn w:val="Header"/>
    <w:rsid w:val="00C478DA"/>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E30033"/>
    <w:pPr>
      <w:keepNext/>
      <w:keepLines/>
    </w:pPr>
    <w:rPr>
      <w:rFonts w:cs="Arial"/>
      <w:i/>
      <w:sz w:val="16"/>
      <w:szCs w:val="16"/>
    </w:rPr>
  </w:style>
  <w:style w:type="table" w:customStyle="1" w:styleId="SDMBox">
    <w:name w:val="SDMBox"/>
    <w:basedOn w:val="TableNormal"/>
    <w:rsid w:val="005E4CB4"/>
    <w:rPr>
      <w:rFonts w:ascii="Arial" w:hAnsi="Arial"/>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67415B"/>
    <w:pPr>
      <w:numPr>
        <w:numId w:val="1"/>
      </w:numPr>
    </w:pPr>
  </w:style>
  <w:style w:type="numbering" w:customStyle="1" w:styleId="SDMHeadList">
    <w:name w:val="SDMHeadList"/>
    <w:uiPriority w:val="99"/>
    <w:rsid w:val="00670750"/>
    <w:pPr>
      <w:numPr>
        <w:numId w:val="4"/>
      </w:numPr>
    </w:pPr>
  </w:style>
  <w:style w:type="numbering" w:customStyle="1" w:styleId="SDMTableBoxParaNumberedList">
    <w:name w:val="SDMTable&amp;BoxParaNumberedList"/>
    <w:rsid w:val="006C3E07"/>
    <w:pPr>
      <w:numPr>
        <w:numId w:val="2"/>
      </w:numPr>
    </w:pPr>
  </w:style>
  <w:style w:type="paragraph" w:customStyle="1" w:styleId="SDMAppTitle">
    <w:name w:val="SDMAppTitle"/>
    <w:basedOn w:val="SDMHead1"/>
    <w:next w:val="SDMApp1"/>
    <w:qFormat/>
    <w:rsid w:val="00AC6944"/>
    <w:pPr>
      <w:pageBreakBefore/>
      <w:numPr>
        <w:numId w:val="10"/>
      </w:numPr>
      <w:spacing w:before="120" w:after="600"/>
    </w:pPr>
  </w:style>
  <w:style w:type="paragraph" w:customStyle="1" w:styleId="SDMApp1">
    <w:name w:val="SDMApp1"/>
    <w:basedOn w:val="SDMHead2"/>
    <w:qFormat/>
    <w:rsid w:val="00800F84"/>
    <w:pPr>
      <w:numPr>
        <w:numId w:val="10"/>
      </w:numPr>
      <w:outlineLvl w:val="9"/>
    </w:pPr>
  </w:style>
  <w:style w:type="paragraph" w:customStyle="1" w:styleId="SDMApp2">
    <w:name w:val="SDMApp2"/>
    <w:basedOn w:val="SDMHead3"/>
    <w:qFormat/>
    <w:rsid w:val="00800F84"/>
    <w:pPr>
      <w:numPr>
        <w:numId w:val="10"/>
      </w:numPr>
      <w:outlineLvl w:val="9"/>
    </w:pPr>
  </w:style>
  <w:style w:type="paragraph" w:customStyle="1" w:styleId="SDMApp3">
    <w:name w:val="SDMApp3"/>
    <w:basedOn w:val="SDMHead4"/>
    <w:qFormat/>
    <w:rsid w:val="00800F84"/>
    <w:pPr>
      <w:numPr>
        <w:numId w:val="10"/>
      </w:numPr>
      <w:outlineLvl w:val="9"/>
    </w:pPr>
  </w:style>
  <w:style w:type="paragraph" w:customStyle="1" w:styleId="SDMApp4">
    <w:name w:val="SDMApp4"/>
    <w:basedOn w:val="SDMHead5"/>
    <w:qFormat/>
    <w:rsid w:val="00800F84"/>
    <w:pPr>
      <w:numPr>
        <w:numId w:val="10"/>
      </w:numPr>
      <w:outlineLvl w:val="9"/>
    </w:pPr>
  </w:style>
  <w:style w:type="numbering" w:customStyle="1" w:styleId="SDMAppHeadList">
    <w:name w:val="SDMAppHeadList"/>
    <w:uiPriority w:val="99"/>
    <w:rsid w:val="00800F84"/>
    <w:pPr>
      <w:numPr>
        <w:numId w:val="3"/>
      </w:numPr>
    </w:pPr>
  </w:style>
  <w:style w:type="paragraph" w:customStyle="1" w:styleId="SDMDocRef">
    <w:name w:val="SDMDocRef"/>
    <w:basedOn w:val="Normal"/>
    <w:qFormat/>
    <w:rsid w:val="001F4D32"/>
    <w:pPr>
      <w:spacing w:before="100"/>
    </w:pPr>
    <w:rPr>
      <w:b/>
      <w:caps/>
      <w:sz w:val="28"/>
    </w:rPr>
  </w:style>
  <w:style w:type="paragraph" w:customStyle="1" w:styleId="SDMApp5">
    <w:name w:val="SDMApp5"/>
    <w:basedOn w:val="SDMApp4"/>
    <w:qFormat/>
    <w:rsid w:val="00EC5BC1"/>
    <w:pPr>
      <w:numPr>
        <w:ilvl w:val="5"/>
      </w:numPr>
      <w:tabs>
        <w:tab w:val="left" w:pos="1418"/>
      </w:tabs>
      <w:ind w:left="1418" w:hanging="1418"/>
    </w:pPr>
  </w:style>
  <w:style w:type="paragraph" w:customStyle="1" w:styleId="SDMTableBoxFigureFootnote">
    <w:name w:val="SDMTableBoxFigureFootnote"/>
    <w:basedOn w:val="Normal"/>
    <w:qFormat/>
    <w:rsid w:val="008B7552"/>
    <w:pPr>
      <w:numPr>
        <w:numId w:val="15"/>
      </w:numPr>
      <w:spacing w:before="120"/>
    </w:pPr>
    <w:rPr>
      <w:sz w:val="20"/>
    </w:rPr>
  </w:style>
  <w:style w:type="paragraph" w:customStyle="1" w:styleId="SDMCovNoteTitle">
    <w:name w:val="SDMCovNoteTitle"/>
    <w:basedOn w:val="Normal"/>
    <w:qFormat/>
    <w:rsid w:val="00BE377E"/>
    <w:pPr>
      <w:keepNext/>
      <w:keepLines/>
      <w:suppressAutoHyphens/>
      <w:spacing w:before="240" w:after="840"/>
      <w:jc w:val="center"/>
    </w:pPr>
    <w:rPr>
      <w:b/>
      <w:caps/>
      <w:sz w:val="32"/>
    </w:rPr>
  </w:style>
  <w:style w:type="numbering" w:customStyle="1" w:styleId="SDMCovNoteHeadList">
    <w:name w:val="SDMCovNoteHeadList"/>
    <w:uiPriority w:val="99"/>
    <w:rsid w:val="00567E70"/>
    <w:pPr>
      <w:numPr>
        <w:numId w:val="5"/>
      </w:numPr>
    </w:pPr>
  </w:style>
  <w:style w:type="paragraph" w:customStyle="1" w:styleId="SDMCovNoteHead1">
    <w:name w:val="SDMCovNoteHead1"/>
    <w:basedOn w:val="Normal"/>
    <w:rsid w:val="00D25DF5"/>
    <w:pPr>
      <w:keepNext/>
      <w:keepLines/>
      <w:numPr>
        <w:numId w:val="7"/>
      </w:numPr>
      <w:suppressAutoHyphens/>
      <w:spacing w:before="240" w:after="60"/>
    </w:pPr>
    <w:rPr>
      <w:b/>
      <w:sz w:val="24"/>
    </w:rPr>
  </w:style>
  <w:style w:type="paragraph" w:customStyle="1" w:styleId="SDMCovNoteHead2">
    <w:name w:val="SDMCovNoteHead2"/>
    <w:basedOn w:val="Normal"/>
    <w:rsid w:val="00D25DF5"/>
    <w:pPr>
      <w:keepNext/>
      <w:keepLines/>
      <w:numPr>
        <w:ilvl w:val="1"/>
        <w:numId w:val="7"/>
      </w:numPr>
      <w:spacing w:before="240" w:after="60"/>
    </w:pPr>
    <w:rPr>
      <w:b/>
    </w:rPr>
  </w:style>
  <w:style w:type="paragraph" w:customStyle="1" w:styleId="SDMCovNoteHead3">
    <w:name w:val="SDMCovNoteHead3"/>
    <w:basedOn w:val="Normal"/>
    <w:rsid w:val="00D25DF5"/>
    <w:pPr>
      <w:keepNext/>
      <w:keepLines/>
      <w:numPr>
        <w:ilvl w:val="2"/>
        <w:numId w:val="7"/>
      </w:numPr>
      <w:spacing w:before="240" w:after="60"/>
    </w:pPr>
    <w:rPr>
      <w:b/>
    </w:rPr>
  </w:style>
  <w:style w:type="paragraph" w:styleId="NoSpacing">
    <w:name w:val="No Spacing"/>
    <w:link w:val="NoSpacingChar"/>
    <w:uiPriority w:val="1"/>
    <w:qFormat/>
    <w:rsid w:val="00A12E1C"/>
    <w:rPr>
      <w:rFonts w:ascii="Calibri" w:eastAsia="MS Mincho" w:hAnsi="Calibri" w:cs="Arial"/>
      <w:sz w:val="22"/>
      <w:szCs w:val="22"/>
      <w:lang w:val="en-US" w:eastAsia="ja-JP"/>
    </w:rPr>
  </w:style>
  <w:style w:type="character" w:customStyle="1" w:styleId="NoSpacingChar">
    <w:name w:val="No Spacing Char"/>
    <w:link w:val="NoSpacing"/>
    <w:uiPriority w:val="1"/>
    <w:rsid w:val="00A12E1C"/>
    <w:rPr>
      <w:rFonts w:ascii="Calibri" w:eastAsia="MS Mincho" w:hAnsi="Calibri" w:cs="Arial"/>
      <w:sz w:val="22"/>
      <w:szCs w:val="22"/>
      <w:lang w:val="en-US" w:eastAsia="ja-JP"/>
    </w:rPr>
  </w:style>
  <w:style w:type="paragraph" w:customStyle="1" w:styleId="SDMTOCHeading">
    <w:name w:val="SDMTOCHeading"/>
    <w:basedOn w:val="Normal"/>
    <w:qFormat/>
    <w:rsid w:val="00036902"/>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8B7552"/>
    <w:pPr>
      <w:numPr>
        <w:numId w:val="6"/>
      </w:numPr>
    </w:pPr>
  </w:style>
  <w:style w:type="paragraph" w:customStyle="1" w:styleId="SDMTableBoxFigureFootnoteSL1">
    <w:name w:val="SDMTableBoxFigureFootnoteSL1"/>
    <w:basedOn w:val="SDMTableBoxFigureFootnote"/>
    <w:qFormat/>
    <w:rsid w:val="00907133"/>
    <w:pPr>
      <w:numPr>
        <w:ilvl w:val="1"/>
      </w:numPr>
      <w:spacing w:before="40"/>
    </w:pPr>
  </w:style>
  <w:style w:type="paragraph" w:customStyle="1" w:styleId="SDMTableBoxFigureFootnoteSL2">
    <w:name w:val="SDMTableBoxFigureFootnoteSL2"/>
    <w:basedOn w:val="SDMTableBoxFigureFootnote"/>
    <w:qFormat/>
    <w:rsid w:val="00907133"/>
    <w:pPr>
      <w:numPr>
        <w:ilvl w:val="2"/>
      </w:numPr>
      <w:spacing w:before="40"/>
    </w:pPr>
  </w:style>
  <w:style w:type="paragraph" w:customStyle="1" w:styleId="SDMTableBoxFigureFootnoteSL3">
    <w:name w:val="SDMTableBoxFigureFootnoteSL3"/>
    <w:basedOn w:val="SDMTableBoxFigureFootnote"/>
    <w:qFormat/>
    <w:rsid w:val="00907133"/>
    <w:pPr>
      <w:numPr>
        <w:ilvl w:val="3"/>
      </w:numPr>
      <w:spacing w:before="40"/>
    </w:pPr>
  </w:style>
  <w:style w:type="paragraph" w:customStyle="1" w:styleId="SDMTableBoxFigureFootnoteSL4">
    <w:name w:val="SDMTableBoxFigureFootnoteSL4"/>
    <w:basedOn w:val="SDMTableBoxFigureFootnote"/>
    <w:qFormat/>
    <w:rsid w:val="00907133"/>
    <w:pPr>
      <w:numPr>
        <w:ilvl w:val="4"/>
      </w:numPr>
      <w:spacing w:before="40"/>
    </w:pPr>
  </w:style>
  <w:style w:type="paragraph" w:customStyle="1" w:styleId="SDMTableBoxFigureFootnoteSL5">
    <w:name w:val="SDMTableBoxFigureFootnoteSL5"/>
    <w:basedOn w:val="SDMTableBoxFigureFootnote"/>
    <w:qFormat/>
    <w:rsid w:val="00907133"/>
    <w:pPr>
      <w:numPr>
        <w:ilvl w:val="5"/>
      </w:numPr>
      <w:spacing w:before="40"/>
    </w:pPr>
  </w:style>
  <w:style w:type="character" w:styleId="PlaceholderText">
    <w:name w:val="Placeholder Text"/>
    <w:basedOn w:val="DefaultParagraphFont"/>
    <w:uiPriority w:val="99"/>
    <w:rsid w:val="00515747"/>
    <w:rPr>
      <w:color w:val="808080"/>
    </w:rPr>
  </w:style>
  <w:style w:type="paragraph" w:styleId="BalloonText">
    <w:name w:val="Balloon Text"/>
    <w:basedOn w:val="Normal"/>
    <w:link w:val="BalloonTextChar"/>
    <w:rsid w:val="00515747"/>
    <w:rPr>
      <w:rFonts w:ascii="Tahoma" w:hAnsi="Tahoma" w:cs="Tahoma"/>
      <w:sz w:val="16"/>
      <w:szCs w:val="16"/>
    </w:rPr>
  </w:style>
  <w:style w:type="character" w:customStyle="1" w:styleId="BalloonTextChar">
    <w:name w:val="Balloon Text Char"/>
    <w:basedOn w:val="DefaultParagraphFont"/>
    <w:link w:val="BalloonText"/>
    <w:rsid w:val="00515747"/>
    <w:rPr>
      <w:rFonts w:ascii="Tahoma" w:hAnsi="Tahoma" w:cs="Tahoma"/>
      <w:sz w:val="16"/>
      <w:szCs w:val="16"/>
      <w:lang w:eastAsia="de-DE"/>
    </w:rPr>
  </w:style>
  <w:style w:type="paragraph" w:styleId="Date">
    <w:name w:val="Date"/>
    <w:basedOn w:val="Normal"/>
    <w:next w:val="Normal"/>
    <w:link w:val="DateChar"/>
    <w:rsid w:val="00C764CD"/>
  </w:style>
  <w:style w:type="character" w:customStyle="1" w:styleId="DateChar">
    <w:name w:val="Date Char"/>
    <w:basedOn w:val="DefaultParagraphFont"/>
    <w:link w:val="Date"/>
    <w:rsid w:val="00C764CD"/>
    <w:rPr>
      <w:rFonts w:ascii="Arial" w:hAnsi="Arial"/>
      <w:sz w:val="22"/>
      <w:lang w:eastAsia="de-DE"/>
    </w:rPr>
  </w:style>
  <w:style w:type="paragraph" w:customStyle="1" w:styleId="SDMConfidentialMark">
    <w:name w:val="SDMConfidentialMark"/>
    <w:basedOn w:val="Normal"/>
    <w:qFormat/>
    <w:rsid w:val="00B40106"/>
    <w:pPr>
      <w:spacing w:before="1200"/>
      <w:jc w:val="right"/>
    </w:pPr>
    <w:rPr>
      <w:b/>
      <w:caps/>
      <w:spacing w:val="10"/>
      <w:sz w:val="32"/>
    </w:rPr>
  </w:style>
  <w:style w:type="character" w:customStyle="1" w:styleId="Heading1Char">
    <w:name w:val="Heading 1 Char"/>
    <w:basedOn w:val="DefaultParagraphFont"/>
    <w:link w:val="Heading1"/>
    <w:rsid w:val="00971E74"/>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rsid w:val="00971E74"/>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rsid w:val="00971E74"/>
    <w:rPr>
      <w:rFonts w:asciiTheme="majorHAnsi" w:eastAsiaTheme="majorEastAsia" w:hAnsiTheme="majorHAnsi" w:cstheme="majorBidi"/>
      <w:b/>
      <w:bCs/>
      <w:color w:val="4F81BD" w:themeColor="accent1"/>
      <w:sz w:val="24"/>
      <w:szCs w:val="24"/>
      <w:lang w:val="en-US" w:eastAsia="en-US"/>
    </w:rPr>
  </w:style>
  <w:style w:type="character" w:customStyle="1" w:styleId="Heading4Char">
    <w:name w:val="Heading 4 Char"/>
    <w:basedOn w:val="DefaultParagraphFont"/>
    <w:link w:val="Heading4"/>
    <w:rsid w:val="00971E74"/>
    <w:rPr>
      <w:rFonts w:asciiTheme="majorHAnsi" w:eastAsiaTheme="majorEastAsia" w:hAnsiTheme="majorHAnsi" w:cstheme="majorBidi"/>
      <w:b/>
      <w:bCs/>
      <w:i/>
      <w:iCs/>
      <w:color w:val="4F81BD" w:themeColor="accent1"/>
      <w:sz w:val="24"/>
      <w:szCs w:val="24"/>
      <w:lang w:val="en-US" w:eastAsia="en-US"/>
    </w:rPr>
  </w:style>
  <w:style w:type="character" w:customStyle="1" w:styleId="Heading5Char">
    <w:name w:val="Heading 5 Char"/>
    <w:basedOn w:val="DefaultParagraphFont"/>
    <w:link w:val="Heading5"/>
    <w:rsid w:val="00971E74"/>
    <w:rPr>
      <w:rFonts w:asciiTheme="majorHAnsi" w:eastAsiaTheme="majorEastAsia" w:hAnsiTheme="majorHAnsi" w:cstheme="majorBidi"/>
      <w:color w:val="243F60" w:themeColor="accent1" w:themeShade="7F"/>
      <w:sz w:val="24"/>
      <w:szCs w:val="24"/>
      <w:lang w:val="en-US" w:eastAsia="en-US"/>
    </w:rPr>
  </w:style>
  <w:style w:type="character" w:customStyle="1" w:styleId="Heading6Char">
    <w:name w:val="Heading 6 Char"/>
    <w:basedOn w:val="DefaultParagraphFont"/>
    <w:link w:val="Heading6"/>
    <w:rsid w:val="00971E74"/>
    <w:rPr>
      <w:rFonts w:asciiTheme="majorHAnsi" w:eastAsiaTheme="majorEastAsia" w:hAnsiTheme="majorHAnsi" w:cstheme="majorBidi"/>
      <w:i/>
      <w:iCs/>
      <w:color w:val="243F60" w:themeColor="accent1" w:themeShade="7F"/>
      <w:sz w:val="24"/>
      <w:szCs w:val="24"/>
      <w:lang w:val="en-US" w:eastAsia="en-US"/>
    </w:rPr>
  </w:style>
  <w:style w:type="character" w:customStyle="1" w:styleId="Heading7Char">
    <w:name w:val="Heading 7 Char"/>
    <w:basedOn w:val="DefaultParagraphFont"/>
    <w:link w:val="Heading7"/>
    <w:rsid w:val="00971E74"/>
    <w:rPr>
      <w:rFonts w:asciiTheme="majorHAnsi" w:eastAsiaTheme="majorEastAsia" w:hAnsiTheme="majorHAnsi" w:cstheme="majorBidi"/>
      <w:i/>
      <w:iCs/>
      <w:color w:val="404040" w:themeColor="text1" w:themeTint="BF"/>
      <w:sz w:val="24"/>
      <w:szCs w:val="24"/>
      <w:lang w:val="en-US" w:eastAsia="en-US"/>
    </w:rPr>
  </w:style>
  <w:style w:type="character" w:customStyle="1" w:styleId="Heading8Char">
    <w:name w:val="Heading 8 Char"/>
    <w:basedOn w:val="DefaultParagraphFont"/>
    <w:link w:val="Heading8"/>
    <w:rsid w:val="00971E74"/>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rsid w:val="00971E74"/>
    <w:rPr>
      <w:rFonts w:asciiTheme="majorHAnsi" w:eastAsiaTheme="majorEastAsia" w:hAnsiTheme="majorHAnsi" w:cstheme="majorBidi"/>
      <w:i/>
      <w:iCs/>
      <w:color w:val="404040" w:themeColor="text1" w:themeTint="BF"/>
      <w:lang w:val="en-US" w:eastAsia="en-US"/>
    </w:rPr>
  </w:style>
  <w:style w:type="table" w:customStyle="1" w:styleId="SDMMethTableEmmissions">
    <w:name w:val="SDMMethTableEmmissions"/>
    <w:basedOn w:val="TableNormal"/>
    <w:uiPriority w:val="99"/>
    <w:rsid w:val="004956B9"/>
    <w:rPr>
      <w:rFonts w:ascii="Arial" w:hAnsi="Arial"/>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C57ED8"/>
    <w:rPr>
      <w:rFonts w:ascii="Arial" w:hAnsi="Arial"/>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EE4278"/>
    <w:pPr>
      <w:ind w:left="1531"/>
    </w:pPr>
  </w:style>
  <w:style w:type="table" w:customStyle="1" w:styleId="SDMMethTable">
    <w:name w:val="SDMMethTable"/>
    <w:basedOn w:val="SDMTable"/>
    <w:uiPriority w:val="99"/>
    <w:rsid w:val="00183BC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7D575E"/>
    <w:rPr>
      <w:rFonts w:ascii="Arial" w:hAnsi="Arial"/>
      <w:sz w:val="22"/>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Caption"/>
    <w:qFormat/>
    <w:rsid w:val="00A3375B"/>
    <w:pPr>
      <w:spacing w:before="180" w:after="0"/>
    </w:pPr>
    <w:rPr>
      <w:b w:val="0"/>
      <w:sz w:val="22"/>
    </w:rPr>
  </w:style>
  <w:style w:type="paragraph" w:customStyle="1" w:styleId="SDMMethEquation">
    <w:name w:val="SDMMethEquation"/>
    <w:basedOn w:val="SDMPara"/>
    <w:qFormat/>
    <w:rsid w:val="003C73C2"/>
    <w:pPr>
      <w:keepLines/>
      <w:numPr>
        <w:numId w:val="0"/>
      </w:numPr>
      <w:spacing w:before="360" w:line="360" w:lineRule="auto"/>
    </w:pPr>
  </w:style>
  <w:style w:type="table" w:customStyle="1" w:styleId="SDMMethTableEquation">
    <w:name w:val="SDMMethTableEquation"/>
    <w:basedOn w:val="TableNormal"/>
    <w:uiPriority w:val="99"/>
    <w:rsid w:val="0049797A"/>
    <w:rPr>
      <w:rFonts w:ascii="Arial" w:hAnsi="Arial"/>
      <w:sz w:val="22"/>
    </w:rPr>
    <w:tblPr>
      <w:tblInd w:w="680" w:type="dxa"/>
    </w:tblPr>
    <w:trPr>
      <w:cantSplit/>
    </w:trPr>
  </w:style>
  <w:style w:type="paragraph" w:customStyle="1" w:styleId="SDMTableBoxParaNotNumbered">
    <w:name w:val="SDMTable&amp;BoxParaNotNumbered"/>
    <w:basedOn w:val="Normal"/>
    <w:qFormat/>
    <w:rsid w:val="00CC398D"/>
    <w:pPr>
      <w:jc w:val="left"/>
    </w:pPr>
    <w:rPr>
      <w:sz w:val="20"/>
    </w:rPr>
  </w:style>
  <w:style w:type="paragraph" w:customStyle="1" w:styleId="SDMTableBoxParaNumbered">
    <w:name w:val="SDMTable&amp;BoxParaNumbered"/>
    <w:basedOn w:val="Normal"/>
    <w:qFormat/>
    <w:rsid w:val="006C3E07"/>
    <w:pPr>
      <w:numPr>
        <w:numId w:val="2"/>
      </w:numPr>
      <w:jc w:val="left"/>
    </w:pPr>
    <w:rPr>
      <w:sz w:val="20"/>
    </w:rPr>
  </w:style>
  <w:style w:type="paragraph" w:customStyle="1" w:styleId="SDMMethEquationNr">
    <w:name w:val="SDMMethEquationNr"/>
    <w:basedOn w:val="SDMMethEquation"/>
    <w:qFormat/>
    <w:rsid w:val="006E5800"/>
    <w:pPr>
      <w:keepNext/>
      <w:numPr>
        <w:numId w:val="17"/>
      </w:numPr>
      <w:jc w:val="right"/>
    </w:pPr>
    <w:rPr>
      <w:sz w:val="20"/>
    </w:rPr>
  </w:style>
  <w:style w:type="numbering" w:customStyle="1" w:styleId="SDMMethEquationNrList">
    <w:name w:val="SDMMethEquationNrList"/>
    <w:uiPriority w:val="99"/>
    <w:rsid w:val="00725BB6"/>
    <w:pPr>
      <w:numPr>
        <w:numId w:val="8"/>
      </w:numPr>
    </w:pPr>
  </w:style>
  <w:style w:type="paragraph" w:styleId="ListParagraph">
    <w:name w:val="List Paragraph"/>
    <w:basedOn w:val="Normal"/>
    <w:uiPriority w:val="34"/>
    <w:qFormat/>
    <w:rsid w:val="002B6960"/>
    <w:pPr>
      <w:ind w:left="720"/>
      <w:contextualSpacing/>
    </w:pPr>
  </w:style>
  <w:style w:type="table" w:customStyle="1" w:styleId="SDMTableFullPage">
    <w:name w:val="SDMTableFullPage"/>
    <w:basedOn w:val="SDMTable"/>
    <w:uiPriority w:val="99"/>
    <w:rsid w:val="00A27F63"/>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A27F63"/>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C170E5"/>
    <w:pPr>
      <w:ind w:left="0" w:firstLine="0"/>
    </w:pPr>
  </w:style>
  <w:style w:type="character" w:styleId="FootnoteReference">
    <w:name w:val="footnote reference"/>
    <w:basedOn w:val="DefaultParagraphFont"/>
    <w:rsid w:val="00D90755"/>
    <w:rPr>
      <w:vertAlign w:val="superscript"/>
    </w:rPr>
  </w:style>
  <w:style w:type="numbering" w:customStyle="1" w:styleId="SDMFootnoteList">
    <w:name w:val="SDMFootnoteList"/>
    <w:uiPriority w:val="99"/>
    <w:rsid w:val="0028633C"/>
    <w:pPr>
      <w:numPr>
        <w:numId w:val="11"/>
      </w:numPr>
    </w:pPr>
  </w:style>
  <w:style w:type="numbering" w:customStyle="1" w:styleId="SDMDocInfoTextBullets">
    <w:name w:val="SDMDocInfoTextBullets"/>
    <w:uiPriority w:val="99"/>
    <w:rsid w:val="00AF21A4"/>
    <w:pPr>
      <w:numPr>
        <w:numId w:val="13"/>
      </w:numPr>
    </w:pPr>
  </w:style>
  <w:style w:type="table" w:customStyle="1" w:styleId="SDMBoxFullPage">
    <w:name w:val="SDMBoxFullPage"/>
    <w:basedOn w:val="SDMBox"/>
    <w:uiPriority w:val="99"/>
    <w:rsid w:val="00CB3238"/>
    <w:tblPr>
      <w:jc w:val="center"/>
      <w:tblInd w:w="0" w:type="dxa"/>
    </w:tblPr>
    <w:trPr>
      <w:jc w:val="center"/>
    </w:tr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D767B7"/>
    <w:pPr>
      <w:numPr>
        <w:numId w:val="16"/>
      </w:numPr>
    </w:pPr>
  </w:style>
  <w:style w:type="paragraph" w:customStyle="1" w:styleId="SDMTableBoxFigureFootnoteSL1FullPage">
    <w:name w:val="SDMTableBoxFigureFootnoteSL1FullPage"/>
    <w:basedOn w:val="SDMTableBoxFigureFootnoteSL1"/>
    <w:rsid w:val="00D767B7"/>
    <w:pPr>
      <w:numPr>
        <w:numId w:val="16"/>
      </w:numPr>
    </w:pPr>
  </w:style>
  <w:style w:type="paragraph" w:customStyle="1" w:styleId="SDMTableBoxFigureFootnoteSL2FullPage">
    <w:name w:val="SDMTableBoxFigureFootnoteSL2FullPage"/>
    <w:basedOn w:val="SDMTableBoxFigureFootnoteSL2"/>
    <w:rsid w:val="00D767B7"/>
    <w:pPr>
      <w:numPr>
        <w:numId w:val="16"/>
      </w:numPr>
    </w:pPr>
  </w:style>
  <w:style w:type="paragraph" w:customStyle="1" w:styleId="SDMTableBoxFigureFootnoteSL3FullPage">
    <w:name w:val="SDMTableBoxFigureFootnoteSL3FullPage"/>
    <w:basedOn w:val="SDMTableBoxFigureFootnoteSL3"/>
    <w:rsid w:val="00D767B7"/>
    <w:pPr>
      <w:numPr>
        <w:numId w:val="16"/>
      </w:numPr>
      <w:ind w:left="1248" w:hanging="397"/>
    </w:pPr>
  </w:style>
  <w:style w:type="paragraph" w:customStyle="1" w:styleId="SDMTableBoxFigureFootnoteSL4FullPage">
    <w:name w:val="SDMTableBoxFigureFootnoteSL4FullPage"/>
    <w:basedOn w:val="SDMTableBoxFigureFootnoteSL4"/>
    <w:rsid w:val="00D767B7"/>
    <w:pPr>
      <w:numPr>
        <w:numId w:val="16"/>
      </w:numPr>
      <w:ind w:left="1587" w:hanging="340"/>
    </w:pPr>
  </w:style>
  <w:style w:type="paragraph" w:customStyle="1" w:styleId="SDMTableBoxFigureFootnoteSL5FullPage">
    <w:name w:val="SDMTableBoxFigureFootnoteSL5FullPage"/>
    <w:basedOn w:val="SDMTableBoxFigureFootnoteSL5"/>
    <w:rsid w:val="00D767B7"/>
    <w:pPr>
      <w:numPr>
        <w:numId w:val="16"/>
      </w:numPr>
      <w:ind w:left="2042" w:hanging="454"/>
    </w:pPr>
  </w:style>
  <w:style w:type="numbering" w:customStyle="1" w:styleId="SDMTableBoxFigureFootnoteFullPageList">
    <w:name w:val="SDMTableBoxFigureFootnoteFullPageList"/>
    <w:uiPriority w:val="99"/>
    <w:rsid w:val="00DF48B4"/>
    <w:pPr>
      <w:numPr>
        <w:numId w:val="14"/>
      </w:numPr>
    </w:pPr>
  </w:style>
  <w:style w:type="character" w:styleId="UnresolvedMention">
    <w:name w:val="Unresolved Mention"/>
    <w:basedOn w:val="DefaultParagraphFont"/>
    <w:uiPriority w:val="99"/>
    <w:semiHidden/>
    <w:unhideWhenUsed/>
    <w:rsid w:val="00F94448"/>
    <w:rPr>
      <w:color w:val="605E5C"/>
      <w:shd w:val="clear" w:color="auto" w:fill="E1DFDD"/>
    </w:rPr>
  </w:style>
  <w:style w:type="character" w:customStyle="1" w:styleId="SDMParaChar">
    <w:name w:val="SDMPara Char"/>
    <w:basedOn w:val="DefaultParagraphFont"/>
    <w:link w:val="SDMPara"/>
    <w:locked/>
    <w:rsid w:val="0004584A"/>
    <w:rPr>
      <w:rFonts w:ascii="Arial" w:hAnsi="Arial" w:cs="Arial"/>
      <w:sz w:val="22"/>
      <w:szCs w:val="22"/>
      <w:lang w:eastAsia="de-DE"/>
    </w:rPr>
  </w:style>
  <w:style w:type="character" w:customStyle="1" w:styleId="CommentTextChar">
    <w:name w:val="Comment Text Char"/>
    <w:basedOn w:val="DefaultParagraphFont"/>
    <w:link w:val="CommentText"/>
    <w:rsid w:val="0004584A"/>
    <w:rPr>
      <w:rFonts w:ascii="Arial" w:eastAsia="MS Mincho" w:hAnsi="Arial"/>
      <w:lang w:eastAsia="en-US"/>
    </w:rPr>
  </w:style>
  <w:style w:type="character" w:styleId="CommentReference">
    <w:name w:val="annotation reference"/>
    <w:basedOn w:val="DefaultParagraphFont"/>
    <w:unhideWhenUsed/>
    <w:rsid w:val="0004584A"/>
    <w:rPr>
      <w:sz w:val="18"/>
      <w:szCs w:val="18"/>
    </w:rPr>
  </w:style>
  <w:style w:type="numbering" w:customStyle="1" w:styleId="SDMTablesFiguresNoteList">
    <w:name w:val="SDMTables&amp;FiguresNoteList"/>
    <w:uiPriority w:val="99"/>
    <w:rsid w:val="00F108A7"/>
    <w:pPr>
      <w:numPr>
        <w:numId w:val="19"/>
      </w:numPr>
    </w:pPr>
  </w:style>
  <w:style w:type="numbering" w:customStyle="1" w:styleId="SDMMethEquationNumberingList">
    <w:name w:val="SDMMethEquationNumberingList"/>
    <w:uiPriority w:val="99"/>
    <w:rsid w:val="00F108A7"/>
    <w:pPr>
      <w:numPr>
        <w:numId w:val="20"/>
      </w:numPr>
    </w:pPr>
  </w:style>
  <w:style w:type="paragraph" w:customStyle="1" w:styleId="ParaTickBox">
    <w:name w:val="ParaTickBox"/>
    <w:basedOn w:val="Normal"/>
    <w:link w:val="ParaTickBoxChar"/>
    <w:rsid w:val="00251DBA"/>
    <w:pPr>
      <w:tabs>
        <w:tab w:val="left" w:pos="510"/>
      </w:tabs>
      <w:spacing w:before="60" w:after="60"/>
      <w:ind w:left="511" w:hanging="454"/>
      <w:jc w:val="left"/>
    </w:pPr>
    <w:rPr>
      <w:rFonts w:eastAsia="MS Mincho" w:cs="Arial"/>
      <w:sz w:val="20"/>
      <w:szCs w:val="18"/>
      <w:lang w:eastAsia="en-US"/>
    </w:rPr>
  </w:style>
  <w:style w:type="character" w:customStyle="1" w:styleId="ParaTickBoxChar">
    <w:name w:val="ParaTickBox Char"/>
    <w:link w:val="ParaTickBox"/>
    <w:rsid w:val="00251DBA"/>
    <w:rPr>
      <w:rFonts w:ascii="Arial" w:eastAsia="MS Mincho" w:hAnsi="Arial" w:cs="Arial"/>
      <w:szCs w:val="18"/>
      <w:lang w:eastAsia="en-US"/>
    </w:rPr>
  </w:style>
  <w:style w:type="paragraph" w:styleId="Revision">
    <w:name w:val="Revision"/>
    <w:hidden/>
    <w:uiPriority w:val="99"/>
    <w:semiHidden/>
    <w:rsid w:val="0008489F"/>
    <w:rPr>
      <w:rFonts w:ascii="Arial" w:hAnsi="Arial"/>
      <w:sz w:val="22"/>
      <w:lang w:eastAsia="de-DE"/>
    </w:rPr>
  </w:style>
  <w:style w:type="numbering" w:customStyle="1" w:styleId="SDMTableBoxParaList">
    <w:name w:val="SDMTable&amp;BoxParaList"/>
    <w:rsid w:val="00B7767A"/>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0747">
      <w:bodyDiv w:val="1"/>
      <w:marLeft w:val="0"/>
      <w:marRight w:val="0"/>
      <w:marTop w:val="0"/>
      <w:marBottom w:val="0"/>
      <w:divBdr>
        <w:top w:val="none" w:sz="0" w:space="0" w:color="auto"/>
        <w:left w:val="none" w:sz="0" w:space="0" w:color="auto"/>
        <w:bottom w:val="none" w:sz="0" w:space="0" w:color="auto"/>
        <w:right w:val="none" w:sz="0" w:space="0" w:color="auto"/>
      </w:divBdr>
    </w:div>
    <w:div w:id="934942610">
      <w:bodyDiv w:val="1"/>
      <w:marLeft w:val="0"/>
      <w:marRight w:val="0"/>
      <w:marTop w:val="0"/>
      <w:marBottom w:val="0"/>
      <w:divBdr>
        <w:top w:val="none" w:sz="0" w:space="0" w:color="auto"/>
        <w:left w:val="none" w:sz="0" w:space="0" w:color="auto"/>
        <w:bottom w:val="none" w:sz="0" w:space="0" w:color="auto"/>
        <w:right w:val="none" w:sz="0" w:space="0" w:color="auto"/>
      </w:divBdr>
    </w:div>
    <w:div w:id="124545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0.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s://unfccc.int/process-and-meetings/the-paris-agreement/article-6/article-64-pacm/mechanism-process/methodologies/a64-amt-008" TargetMode="External"/><Relationship Id="rId13" Type="http://schemas.openxmlformats.org/officeDocument/2006/relationships/hyperlink" Target="https://doi.org/10.1038/s41598-019-52288-1" TargetMode="External"/><Relationship Id="rId3" Type="http://schemas.openxmlformats.org/officeDocument/2006/relationships/hyperlink" Target="https://cdm.unfccc.int/methodologies/DB/XB1TX7TAZ6SLWM9B7BC67THHVD16JV" TargetMode="External"/><Relationship Id="rId7" Type="http://schemas.openxmlformats.org/officeDocument/2006/relationships/hyperlink" Target="https://unfccc.int/process-and-meetings/the-paris-agreement/article-6/article-64-pacm/mechanism-process/methodologies/a64-amt-007-emissions-from-electricity-generation-and-consumption" TargetMode="External"/><Relationship Id="rId12" Type="http://schemas.openxmlformats.org/officeDocument/2006/relationships/hyperlink" Target="https://documents1.worldbank.org/curated/en/739881515751628436/pdf/Greenhouse-gases-from-reservoirs-caused-by-biogeochemical-processes.pdf" TargetMode="External"/><Relationship Id="rId2" Type="http://schemas.openxmlformats.org/officeDocument/2006/relationships/hyperlink" Target="https://unfccc.int/sites/default/files/resource/A6.4-Glossary.pdf" TargetMode="External"/><Relationship Id="rId1" Type="http://schemas.openxmlformats.org/officeDocument/2006/relationships/hyperlink" Target="https://unfccc.int/sites/default/files/resource/A6.4-PROC-METH-001.pdf." TargetMode="External"/><Relationship Id="rId6" Type="http://schemas.openxmlformats.org/officeDocument/2006/relationships/hyperlink" Target="https://unfccc.int/process-and-meetings/the-paris-agreement/article-6/article-64-pacm/mechanism-process/methodologies/a64-amt-002" TargetMode="External"/><Relationship Id="rId11" Type="http://schemas.openxmlformats.org/officeDocument/2006/relationships/hyperlink" Target="https://www.ipcc-nggip.iges.or.jp/public/2019rf/vol1.html" TargetMode="External"/><Relationship Id="rId5" Type="http://schemas.openxmlformats.org/officeDocument/2006/relationships/hyperlink" Target="https://unfccc.int/process-and-meetings/the-paris-agreement/article-6/article-64-pacm/mechanism-process/methodologies/a64-amt-001" TargetMode="External"/><Relationship Id="rId15" Type="http://schemas.openxmlformats.org/officeDocument/2006/relationships/hyperlink" Target="https://docs.nlr.gov/docs/fy17osti/68474.pdf" TargetMode="External"/><Relationship Id="rId10" Type="http://schemas.openxmlformats.org/officeDocument/2006/relationships/hyperlink" Target="https://www.ipcc-nggip.iges.or.jp/public/2006gl/vol2.html" TargetMode="External"/><Relationship Id="rId4" Type="http://schemas.openxmlformats.org/officeDocument/2006/relationships/hyperlink" Target="https://cdm.unfccc.int/methodologies/DB/W3TINZ7KKWCK7L8WTXFQQOFQQH4SBK" TargetMode="External"/><Relationship Id="rId9" Type="http://schemas.openxmlformats.org/officeDocument/2006/relationships/hyperlink" Target="https://archive.ipcc.ch/pdf/special-reports/srren/SRREN_Full_Report.pdf" TargetMode="External"/><Relationship Id="rId14" Type="http://schemas.openxmlformats.org/officeDocument/2006/relationships/hyperlink" Target="https://unfccc.int/sites/default/files/resource/A6.4-STAN-METH-00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programme.unfccc.int/drive/CDM/files/CDM07-Official%20Documents%20(CDM)/Templates/CDM_Methodology.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4784A0F0C24ADEAC5F33FCE44D9AD4"/>
        <w:category>
          <w:name w:val="General"/>
          <w:gallery w:val="placeholder"/>
        </w:category>
        <w:types>
          <w:type w:val="bbPlcHdr"/>
        </w:types>
        <w:behaviors>
          <w:behavior w:val="content"/>
        </w:behaviors>
        <w:guid w:val="{51F68D6F-3305-443B-8AFF-42FBAD9B8E8F}"/>
      </w:docPartPr>
      <w:docPartBody>
        <w:p w:rsidR="00766FC8" w:rsidRDefault="00954A40">
          <w:pPr>
            <w:pStyle w:val="024784A0F0C24ADEAC5F33FCE44D9AD4"/>
          </w:pPr>
          <w:r>
            <w:t>222</w:t>
          </w:r>
          <w:r w:rsidRPr="008721FC">
            <w:rPr>
              <w:rStyle w:val="PlaceholderText"/>
            </w:rPr>
            <w:t>Document reference number</w:t>
          </w:r>
        </w:p>
      </w:docPartBody>
    </w:docPart>
    <w:docPart>
      <w:docPartPr>
        <w:name w:val="745ED77B43CB4636BE3637258B08812F"/>
        <w:category>
          <w:name w:val="General"/>
          <w:gallery w:val="placeholder"/>
        </w:category>
        <w:types>
          <w:type w:val="bbPlcHdr"/>
        </w:types>
        <w:behaviors>
          <w:behavior w:val="content"/>
        </w:behaviors>
        <w:guid w:val="{FAECC430-450E-4410-B168-CBE7587F29E4}"/>
      </w:docPartPr>
      <w:docPartBody>
        <w:p w:rsidR="00766FC8" w:rsidRDefault="00954A40">
          <w:pPr>
            <w:pStyle w:val="745ED77B43CB4636BE3637258B08812F"/>
          </w:pPr>
          <w:r w:rsidRPr="00773362">
            <w:rPr>
              <w:rStyle w:val="PlaceholderText"/>
              <w:lang w:val="de-DE"/>
            </w:rPr>
            <w:t>Wählen Sie ein Element aus.</w:t>
          </w:r>
        </w:p>
      </w:docPartBody>
    </w:docPart>
    <w:docPart>
      <w:docPartPr>
        <w:name w:val="564CA3EA16E34408B6798A38AE4A3C59"/>
        <w:category>
          <w:name w:val="General"/>
          <w:gallery w:val="placeholder"/>
        </w:category>
        <w:types>
          <w:type w:val="bbPlcHdr"/>
        </w:types>
        <w:behaviors>
          <w:behavior w:val="content"/>
        </w:behaviors>
        <w:guid w:val="{995F4167-B385-4FA2-B02E-1A6726DD4425}"/>
      </w:docPartPr>
      <w:docPartBody>
        <w:p w:rsidR="00766FC8" w:rsidRDefault="00954A40">
          <w:pPr>
            <w:pStyle w:val="564CA3EA16E34408B6798A38AE4A3C59"/>
          </w:pPr>
          <w:r w:rsidRPr="0019515F">
            <w:rPr>
              <w:rStyle w:val="PlaceholderText"/>
            </w:rPr>
            <w:t>Klicken Sie hier, um Text einzugeben.</w:t>
          </w:r>
        </w:p>
      </w:docPartBody>
    </w:docPart>
    <w:docPart>
      <w:docPartPr>
        <w:name w:val="0A7B5906E33644C6BCECC2E99995C8DC"/>
        <w:category>
          <w:name w:val="General"/>
          <w:gallery w:val="placeholder"/>
        </w:category>
        <w:types>
          <w:type w:val="bbPlcHdr"/>
        </w:types>
        <w:behaviors>
          <w:behavior w:val="content"/>
        </w:behaviors>
        <w:guid w:val="{F0C922E1-6EE7-469C-BC14-F5DA417298FE}"/>
      </w:docPartPr>
      <w:docPartBody>
        <w:p w:rsidR="00766FC8" w:rsidRDefault="00954A40">
          <w:pPr>
            <w:pStyle w:val="0A7B5906E33644C6BCECC2E99995C8DC"/>
          </w:pPr>
          <w:r w:rsidRPr="001B3E66">
            <w:rPr>
              <w:rStyle w:val="PlaceholderText"/>
            </w:rPr>
            <w:t>Choose an item.</w:t>
          </w:r>
        </w:p>
      </w:docPartBody>
    </w:docPart>
    <w:docPart>
      <w:docPartPr>
        <w:name w:val="313594FDB5C247088AF9C2B37250BDF3"/>
        <w:category>
          <w:name w:val="General"/>
          <w:gallery w:val="placeholder"/>
        </w:category>
        <w:types>
          <w:type w:val="bbPlcHdr"/>
        </w:types>
        <w:behaviors>
          <w:behavior w:val="content"/>
        </w:behaviors>
        <w:guid w:val="{D32F646F-EB68-48AF-9E0D-6F86142E6B5F}"/>
      </w:docPartPr>
      <w:docPartBody>
        <w:p w:rsidR="00766FC8" w:rsidRDefault="00954A40">
          <w:pPr>
            <w:pStyle w:val="313594FDB5C247088AF9C2B37250BDF3"/>
          </w:pPr>
          <w:r w:rsidRPr="00CE2F3F">
            <w:rPr>
              <w:rStyle w:val="PlaceholderText"/>
            </w:rPr>
            <w:t>Klicken Sie hier, um Text einzugeben.</w:t>
          </w:r>
        </w:p>
      </w:docPartBody>
    </w:docPart>
    <w:docPart>
      <w:docPartPr>
        <w:name w:val="610848E8AD184D9986E54651A1BEF359"/>
        <w:category>
          <w:name w:val="General"/>
          <w:gallery w:val="placeholder"/>
        </w:category>
        <w:types>
          <w:type w:val="bbPlcHdr"/>
        </w:types>
        <w:behaviors>
          <w:behavior w:val="content"/>
        </w:behaviors>
        <w:guid w:val="{C3146BCC-8257-4F5A-A0A4-A154AD106157}"/>
      </w:docPartPr>
      <w:docPartBody>
        <w:p w:rsidR="00766FC8" w:rsidRDefault="00954A40">
          <w:pPr>
            <w:pStyle w:val="610848E8AD184D9986E54651A1BEF359"/>
          </w:pPr>
          <w:r w:rsidRPr="0019515F">
            <w:rPr>
              <w:rStyle w:val="PlaceholderText"/>
            </w:rPr>
            <w:t>Klicken Sie hier, um Text einzugeben.</w:t>
          </w:r>
        </w:p>
      </w:docPartBody>
    </w:docPart>
    <w:docPart>
      <w:docPartPr>
        <w:name w:val="1D8FE2BB60234C2C98D738BB30D920F8"/>
        <w:category>
          <w:name w:val="General"/>
          <w:gallery w:val="placeholder"/>
        </w:category>
        <w:types>
          <w:type w:val="bbPlcHdr"/>
        </w:types>
        <w:behaviors>
          <w:behavior w:val="content"/>
        </w:behaviors>
        <w:guid w:val="{EFC349D8-9AA2-441C-BB3C-76DEE9F508AF}"/>
      </w:docPartPr>
      <w:docPartBody>
        <w:p w:rsidR="00766FC8" w:rsidRDefault="002A0BC7" w:rsidP="00AE21DC">
          <w:pPr>
            <w:pStyle w:val="1D8FE2BB60234C2C98D738BB30D920F81"/>
          </w:pPr>
          <w:r>
            <w:t>01.0</w:t>
          </w:r>
        </w:p>
      </w:docPartBody>
    </w:docPart>
    <w:docPart>
      <w:docPartPr>
        <w:name w:val="492722170C1F4D319C753151C187C315"/>
        <w:category>
          <w:name w:val="General"/>
          <w:gallery w:val="placeholder"/>
        </w:category>
        <w:types>
          <w:type w:val="bbPlcHdr"/>
        </w:types>
        <w:behaviors>
          <w:behavior w:val="content"/>
        </w:behaviors>
        <w:guid w:val="{7F9C7893-464F-42EF-81B0-A0E62B5C40C3}"/>
      </w:docPartPr>
      <w:docPartBody>
        <w:p w:rsidR="00766FC8" w:rsidRDefault="00954A40">
          <w:pPr>
            <w:pStyle w:val="492722170C1F4D319C753151C187C315"/>
          </w:pPr>
          <w:r w:rsidRPr="0019515F">
            <w:rPr>
              <w:rStyle w:val="PlaceholderText"/>
            </w:rPr>
            <w:t>Klicken Sie hier, um Text einzugeben.</w:t>
          </w:r>
        </w:p>
      </w:docPartBody>
    </w:docPart>
    <w:docPart>
      <w:docPartPr>
        <w:name w:val="3E949C185EF340D6B1349F3A3FA84A60"/>
        <w:category>
          <w:name w:val="General"/>
          <w:gallery w:val="placeholder"/>
        </w:category>
        <w:types>
          <w:type w:val="bbPlcHdr"/>
        </w:types>
        <w:behaviors>
          <w:behavior w:val="content"/>
        </w:behaviors>
        <w:guid w:val="{5BD3320B-7753-406D-9169-5C30DAAC23C5}"/>
      </w:docPartPr>
      <w:docPartBody>
        <w:p w:rsidR="00766FC8" w:rsidRDefault="00954A40">
          <w:pPr>
            <w:pStyle w:val="3E949C185EF340D6B1349F3A3FA84A60"/>
          </w:pPr>
          <w:r>
            <w:t>##.#</w:t>
          </w:r>
        </w:p>
      </w:docPartBody>
    </w:docPart>
    <w:docPart>
      <w:docPartPr>
        <w:name w:val="D4994C2A136642EAA0671C42F5B37A8C"/>
        <w:category>
          <w:name w:val="General"/>
          <w:gallery w:val="placeholder"/>
        </w:category>
        <w:types>
          <w:type w:val="bbPlcHdr"/>
        </w:types>
        <w:behaviors>
          <w:behavior w:val="content"/>
        </w:behaviors>
        <w:guid w:val="{0D74F424-9C26-4CA4-AAC9-7E0D8B83D39F}"/>
      </w:docPartPr>
      <w:docPartBody>
        <w:p w:rsidR="007C3074" w:rsidRDefault="0031058B" w:rsidP="0031058B">
          <w:pPr>
            <w:pStyle w:val="D4994C2A136642EAA0671C42F5B37A8C"/>
          </w:pPr>
          <w:r>
            <w:t>222</w:t>
          </w:r>
          <w:r w:rsidRPr="008721FC">
            <w:rPr>
              <w:rStyle w:val="PlaceholderText"/>
            </w:rPr>
            <w:t>Document reference number</w:t>
          </w:r>
        </w:p>
      </w:docPartBody>
    </w:docPart>
    <w:docPart>
      <w:docPartPr>
        <w:name w:val="8D8094A70B754E6D802A517CED2A9380"/>
        <w:category>
          <w:name w:val="General"/>
          <w:gallery w:val="placeholder"/>
        </w:category>
        <w:types>
          <w:type w:val="bbPlcHdr"/>
        </w:types>
        <w:behaviors>
          <w:behavior w:val="content"/>
        </w:behaviors>
        <w:guid w:val="{48B247C4-365E-43A4-9CB4-28693549B35E}"/>
      </w:docPartPr>
      <w:docPartBody>
        <w:p w:rsidR="007C3074" w:rsidRDefault="0031058B" w:rsidP="0031058B">
          <w:pPr>
            <w:pStyle w:val="8D8094A70B754E6D802A517CED2A9380"/>
          </w:pPr>
          <w:r w:rsidRPr="00773362">
            <w:rPr>
              <w:rStyle w:val="PlaceholderText"/>
              <w:lang w:val="de-DE"/>
            </w:rPr>
            <w:t>Wählen Sie ein Element aus.</w:t>
          </w:r>
        </w:p>
      </w:docPartBody>
    </w:docPart>
    <w:docPart>
      <w:docPartPr>
        <w:name w:val="C40182D6226443B6AA761F1975BEAE1D"/>
        <w:category>
          <w:name w:val="General"/>
          <w:gallery w:val="placeholder"/>
        </w:category>
        <w:types>
          <w:type w:val="bbPlcHdr"/>
        </w:types>
        <w:behaviors>
          <w:behavior w:val="content"/>
        </w:behaviors>
        <w:guid w:val="{F6B0B7A7-AE09-4BEA-8CB0-215EF6073822}"/>
      </w:docPartPr>
      <w:docPartBody>
        <w:p w:rsidR="007C3074" w:rsidRDefault="0031058B" w:rsidP="0031058B">
          <w:pPr>
            <w:pStyle w:val="C40182D6226443B6AA761F1975BEAE1D"/>
          </w:pPr>
          <w:r w:rsidRPr="0019515F">
            <w:rPr>
              <w:rStyle w:val="PlaceholderText"/>
            </w:rPr>
            <w:t>Klicken Sie hier, um Text einzugeben.</w:t>
          </w:r>
        </w:p>
      </w:docPartBody>
    </w:docPart>
    <w:docPart>
      <w:docPartPr>
        <w:name w:val="FDA0D139F7584340B215186B5DC2107A"/>
        <w:category>
          <w:name w:val="General"/>
          <w:gallery w:val="placeholder"/>
        </w:category>
        <w:types>
          <w:type w:val="bbPlcHdr"/>
        </w:types>
        <w:behaviors>
          <w:behavior w:val="content"/>
        </w:behaviors>
        <w:guid w:val="{8F2071DE-94F4-441B-B190-F9BA9385819F}"/>
      </w:docPartPr>
      <w:docPartBody>
        <w:p w:rsidR="007C3074" w:rsidRDefault="0031058B" w:rsidP="0031058B">
          <w:pPr>
            <w:pStyle w:val="FDA0D139F7584340B215186B5DC2107A"/>
          </w:pPr>
          <w:r w:rsidRPr="001B3E66">
            <w:rPr>
              <w:rStyle w:val="PlaceholderText"/>
            </w:rPr>
            <w:t>Choose an item.</w:t>
          </w:r>
        </w:p>
      </w:docPartBody>
    </w:docPart>
    <w:docPart>
      <w:docPartPr>
        <w:name w:val="BD93C47F13CA4CC0AA63BD09D13F7A9F"/>
        <w:category>
          <w:name w:val="General"/>
          <w:gallery w:val="placeholder"/>
        </w:category>
        <w:types>
          <w:type w:val="bbPlcHdr"/>
        </w:types>
        <w:behaviors>
          <w:behavior w:val="content"/>
        </w:behaviors>
        <w:guid w:val="{274437D4-25B1-4682-86A6-57B29D768604}"/>
      </w:docPartPr>
      <w:docPartBody>
        <w:p w:rsidR="007C3074" w:rsidRDefault="0031058B" w:rsidP="0031058B">
          <w:pPr>
            <w:pStyle w:val="BD93C47F13CA4CC0AA63BD09D13F7A9F"/>
          </w:pPr>
          <w:r w:rsidRPr="00CE2F3F">
            <w:rPr>
              <w:rStyle w:val="PlaceholderText"/>
            </w:rPr>
            <w:t>Klicken Sie hier, um Text einzugeben.</w:t>
          </w:r>
        </w:p>
      </w:docPartBody>
    </w:docPart>
    <w:docPart>
      <w:docPartPr>
        <w:name w:val="23682C3E64DF47E9B78E0CDAB0739819"/>
        <w:category>
          <w:name w:val="General"/>
          <w:gallery w:val="placeholder"/>
        </w:category>
        <w:types>
          <w:type w:val="bbPlcHdr"/>
        </w:types>
        <w:behaviors>
          <w:behavior w:val="content"/>
        </w:behaviors>
        <w:guid w:val="{49E54BBB-8701-4C24-A8DF-36DD35D8D948}"/>
      </w:docPartPr>
      <w:docPartBody>
        <w:p w:rsidR="007C3074" w:rsidRDefault="0031058B" w:rsidP="0031058B">
          <w:pPr>
            <w:pStyle w:val="23682C3E64DF47E9B78E0CDAB0739819"/>
          </w:pPr>
          <w:r w:rsidRPr="0019515F">
            <w:rPr>
              <w:rStyle w:val="PlaceholderText"/>
            </w:rPr>
            <w:t>Klicken Sie hier, um Text einzugeben.</w:t>
          </w:r>
        </w:p>
      </w:docPartBody>
    </w:docPart>
    <w:docPart>
      <w:docPartPr>
        <w:name w:val="A6D7AC910CEE439AB6E9B26DBBDEC888"/>
        <w:category>
          <w:name w:val="General"/>
          <w:gallery w:val="placeholder"/>
        </w:category>
        <w:types>
          <w:type w:val="bbPlcHdr"/>
        </w:types>
        <w:behaviors>
          <w:behavior w:val="content"/>
        </w:behaviors>
        <w:guid w:val="{DFAD8D3D-7A3C-4815-8580-A698EAC9F23C}"/>
      </w:docPartPr>
      <w:docPartBody>
        <w:p w:rsidR="007C3074" w:rsidRDefault="0031058B" w:rsidP="0031058B">
          <w:pPr>
            <w:pStyle w:val="A6D7AC910CEE439AB6E9B26DBBDEC888"/>
          </w:pPr>
          <w:r>
            <w:t>01.0</w:t>
          </w:r>
        </w:p>
      </w:docPartBody>
    </w:docPart>
    <w:docPart>
      <w:docPartPr>
        <w:name w:val="F809BC2FFD68416C87D795E8038E0E70"/>
        <w:category>
          <w:name w:val="General"/>
          <w:gallery w:val="placeholder"/>
        </w:category>
        <w:types>
          <w:type w:val="bbPlcHdr"/>
        </w:types>
        <w:behaviors>
          <w:behavior w:val="content"/>
        </w:behaviors>
        <w:guid w:val="{7C2B690C-8772-496D-AC8C-F7FB783EC99F}"/>
      </w:docPartPr>
      <w:docPartBody>
        <w:p w:rsidR="007C3074" w:rsidRDefault="0031058B" w:rsidP="0031058B">
          <w:pPr>
            <w:pStyle w:val="F809BC2FFD68416C87D795E8038E0E70"/>
          </w:pPr>
          <w:r w:rsidRPr="0019515F">
            <w:rPr>
              <w:rStyle w:val="PlaceholderText"/>
            </w:rPr>
            <w:t>Klicken Sie hier, um Text einzugeben.</w:t>
          </w:r>
        </w:p>
      </w:docPartBody>
    </w:docPart>
    <w:docPart>
      <w:docPartPr>
        <w:name w:val="D0C5919B652B43E5A465FA1F9271D91C"/>
        <w:category>
          <w:name w:val="General"/>
          <w:gallery w:val="placeholder"/>
        </w:category>
        <w:types>
          <w:type w:val="bbPlcHdr"/>
        </w:types>
        <w:behaviors>
          <w:behavior w:val="content"/>
        </w:behaviors>
        <w:guid w:val="{F1C8E450-B415-4C71-B2EB-837FC434D19A}"/>
      </w:docPartPr>
      <w:docPartBody>
        <w:p w:rsidR="007C3074" w:rsidRDefault="0031058B" w:rsidP="0031058B">
          <w:pPr>
            <w:pStyle w:val="D0C5919B652B43E5A465FA1F9271D91C"/>
          </w:pPr>
          <w:r>
            <w:t>##.#</w:t>
          </w:r>
        </w:p>
      </w:docPartBody>
    </w:docPart>
    <w:docPart>
      <w:docPartPr>
        <w:name w:val="09122DAEB4F648A89CDC2C9716D90003"/>
        <w:category>
          <w:name w:val="General"/>
          <w:gallery w:val="placeholder"/>
        </w:category>
        <w:types>
          <w:type w:val="bbPlcHdr"/>
        </w:types>
        <w:behaviors>
          <w:behavior w:val="content"/>
        </w:behaviors>
        <w:guid w:val="{851DBAE3-3A0A-4AB1-9B08-6C7EE65E5E46}"/>
      </w:docPartPr>
      <w:docPartBody>
        <w:p w:rsidR="007C3074" w:rsidRDefault="0031058B" w:rsidP="0031058B">
          <w:pPr>
            <w:pStyle w:val="09122DAEB4F648A89CDC2C9716D90003"/>
          </w:pPr>
          <w:r>
            <w:t>222</w:t>
          </w:r>
          <w:r w:rsidRPr="008721FC">
            <w:rPr>
              <w:rStyle w:val="PlaceholderText"/>
            </w:rPr>
            <w:t>Document reference number</w:t>
          </w:r>
        </w:p>
      </w:docPartBody>
    </w:docPart>
    <w:docPart>
      <w:docPartPr>
        <w:name w:val="B2997243BF2F47BD8430DCB861039B82"/>
        <w:category>
          <w:name w:val="General"/>
          <w:gallery w:val="placeholder"/>
        </w:category>
        <w:types>
          <w:type w:val="bbPlcHdr"/>
        </w:types>
        <w:behaviors>
          <w:behavior w:val="content"/>
        </w:behaviors>
        <w:guid w:val="{164FC757-438E-4CB7-94A3-FAD8A3906836}"/>
      </w:docPartPr>
      <w:docPartBody>
        <w:p w:rsidR="007C3074" w:rsidRDefault="0031058B" w:rsidP="0031058B">
          <w:pPr>
            <w:pStyle w:val="B2997243BF2F47BD8430DCB861039B82"/>
          </w:pPr>
          <w:r w:rsidRPr="00773362">
            <w:rPr>
              <w:rStyle w:val="PlaceholderText"/>
              <w:lang w:val="de-DE"/>
            </w:rPr>
            <w:t>Wählen Sie ein Element aus.</w:t>
          </w:r>
        </w:p>
      </w:docPartBody>
    </w:docPart>
    <w:docPart>
      <w:docPartPr>
        <w:name w:val="E9571E95C955444A8408B37AA234D401"/>
        <w:category>
          <w:name w:val="General"/>
          <w:gallery w:val="placeholder"/>
        </w:category>
        <w:types>
          <w:type w:val="bbPlcHdr"/>
        </w:types>
        <w:behaviors>
          <w:behavior w:val="content"/>
        </w:behaviors>
        <w:guid w:val="{C97B977F-300E-422F-9AB2-6E7C5D8E7A6B}"/>
      </w:docPartPr>
      <w:docPartBody>
        <w:p w:rsidR="007C3074" w:rsidRDefault="0031058B" w:rsidP="0031058B">
          <w:pPr>
            <w:pStyle w:val="E9571E95C955444A8408B37AA234D401"/>
          </w:pPr>
          <w:r w:rsidRPr="0019515F">
            <w:rPr>
              <w:rStyle w:val="PlaceholderText"/>
            </w:rPr>
            <w:t>Klicken Sie hier, um Text einzugeben.</w:t>
          </w:r>
        </w:p>
      </w:docPartBody>
    </w:docPart>
    <w:docPart>
      <w:docPartPr>
        <w:name w:val="3304FCB2E3DE4C058C3B94AFA663C8A7"/>
        <w:category>
          <w:name w:val="General"/>
          <w:gallery w:val="placeholder"/>
        </w:category>
        <w:types>
          <w:type w:val="bbPlcHdr"/>
        </w:types>
        <w:behaviors>
          <w:behavior w:val="content"/>
        </w:behaviors>
        <w:guid w:val="{CE959C2D-2B61-45B3-8443-8992FF7B1808}"/>
      </w:docPartPr>
      <w:docPartBody>
        <w:p w:rsidR="007C3074" w:rsidRDefault="0031058B" w:rsidP="0031058B">
          <w:pPr>
            <w:pStyle w:val="3304FCB2E3DE4C058C3B94AFA663C8A7"/>
          </w:pPr>
          <w:r w:rsidRPr="001B3E66">
            <w:rPr>
              <w:rStyle w:val="PlaceholderText"/>
            </w:rPr>
            <w:t>Choose an item.</w:t>
          </w:r>
        </w:p>
      </w:docPartBody>
    </w:docPart>
    <w:docPart>
      <w:docPartPr>
        <w:name w:val="7585AF2E74DD452C86BF56D110D32E16"/>
        <w:category>
          <w:name w:val="General"/>
          <w:gallery w:val="placeholder"/>
        </w:category>
        <w:types>
          <w:type w:val="bbPlcHdr"/>
        </w:types>
        <w:behaviors>
          <w:behavior w:val="content"/>
        </w:behaviors>
        <w:guid w:val="{D381E4A9-2C78-4892-A047-BB4F6F6E0896}"/>
      </w:docPartPr>
      <w:docPartBody>
        <w:p w:rsidR="007C3074" w:rsidRDefault="0031058B" w:rsidP="0031058B">
          <w:pPr>
            <w:pStyle w:val="7585AF2E74DD452C86BF56D110D32E16"/>
          </w:pPr>
          <w:r w:rsidRPr="00CE2F3F">
            <w:rPr>
              <w:rStyle w:val="PlaceholderText"/>
            </w:rPr>
            <w:t>Klicken Sie hier, um Text einzugeben.</w:t>
          </w:r>
        </w:p>
      </w:docPartBody>
    </w:docPart>
    <w:docPart>
      <w:docPartPr>
        <w:name w:val="9A2CC36867FC4B0ABDA5ABB7DAA9C515"/>
        <w:category>
          <w:name w:val="General"/>
          <w:gallery w:val="placeholder"/>
        </w:category>
        <w:types>
          <w:type w:val="bbPlcHdr"/>
        </w:types>
        <w:behaviors>
          <w:behavior w:val="content"/>
        </w:behaviors>
        <w:guid w:val="{840F9951-539E-4AAC-AB15-DA93D5AD88A6}"/>
      </w:docPartPr>
      <w:docPartBody>
        <w:p w:rsidR="007C3074" w:rsidRDefault="0031058B" w:rsidP="0031058B">
          <w:pPr>
            <w:pStyle w:val="9A2CC36867FC4B0ABDA5ABB7DAA9C515"/>
          </w:pPr>
          <w:r w:rsidRPr="0019515F">
            <w:rPr>
              <w:rStyle w:val="PlaceholderText"/>
            </w:rPr>
            <w:t>Klicken Sie hier, um Text einzugeben.</w:t>
          </w:r>
        </w:p>
      </w:docPartBody>
    </w:docPart>
    <w:docPart>
      <w:docPartPr>
        <w:name w:val="ABCCA8767A2746C7BCDBDC2C469AFB50"/>
        <w:category>
          <w:name w:val="General"/>
          <w:gallery w:val="placeholder"/>
        </w:category>
        <w:types>
          <w:type w:val="bbPlcHdr"/>
        </w:types>
        <w:behaviors>
          <w:behavior w:val="content"/>
        </w:behaviors>
        <w:guid w:val="{DE85EE68-F19B-4B4E-A9AB-DFC814B94A1F}"/>
      </w:docPartPr>
      <w:docPartBody>
        <w:p w:rsidR="007C3074" w:rsidRDefault="0031058B" w:rsidP="0031058B">
          <w:pPr>
            <w:pStyle w:val="ABCCA8767A2746C7BCDBDC2C469AFB50"/>
          </w:pPr>
          <w:r>
            <w:t>01.0</w:t>
          </w:r>
        </w:p>
      </w:docPartBody>
    </w:docPart>
    <w:docPart>
      <w:docPartPr>
        <w:name w:val="03DBC314D5E04D74B86471512FF00BBA"/>
        <w:category>
          <w:name w:val="General"/>
          <w:gallery w:val="placeholder"/>
        </w:category>
        <w:types>
          <w:type w:val="bbPlcHdr"/>
        </w:types>
        <w:behaviors>
          <w:behavior w:val="content"/>
        </w:behaviors>
        <w:guid w:val="{6034ED6E-815A-4FAB-9EF7-215DE806F0D7}"/>
      </w:docPartPr>
      <w:docPartBody>
        <w:p w:rsidR="007C3074" w:rsidRDefault="0031058B" w:rsidP="0031058B">
          <w:pPr>
            <w:pStyle w:val="03DBC314D5E04D74B86471512FF00BBA"/>
          </w:pPr>
          <w:r w:rsidRPr="0019515F">
            <w:rPr>
              <w:rStyle w:val="PlaceholderText"/>
            </w:rPr>
            <w:t>Klicken Sie hier, um Text einzugeben.</w:t>
          </w:r>
        </w:p>
      </w:docPartBody>
    </w:docPart>
    <w:docPart>
      <w:docPartPr>
        <w:name w:val="0D82F4E8DECA42ECA944DA1A3E2AF17B"/>
        <w:category>
          <w:name w:val="General"/>
          <w:gallery w:val="placeholder"/>
        </w:category>
        <w:types>
          <w:type w:val="bbPlcHdr"/>
        </w:types>
        <w:behaviors>
          <w:behavior w:val="content"/>
        </w:behaviors>
        <w:guid w:val="{CFBEAAD0-9AEA-4E86-99DB-23B3F186C351}"/>
      </w:docPartPr>
      <w:docPartBody>
        <w:p w:rsidR="007C3074" w:rsidRDefault="0031058B" w:rsidP="0031058B">
          <w:pPr>
            <w:pStyle w:val="0D82F4E8DECA42ECA944DA1A3E2AF17B"/>
          </w:pPr>
          <w:r>
            <w:t>##.#</w:t>
          </w:r>
        </w:p>
      </w:docPartBody>
    </w:docPart>
    <w:docPart>
      <w:docPartPr>
        <w:name w:val="FE29E9343C3C44F48F601205E7E3AC5C"/>
        <w:category>
          <w:name w:val="General"/>
          <w:gallery w:val="placeholder"/>
        </w:category>
        <w:types>
          <w:type w:val="bbPlcHdr"/>
        </w:types>
        <w:behaviors>
          <w:behavior w:val="content"/>
        </w:behaviors>
        <w:guid w:val="{097979B7-C2E1-4BB0-9B93-98A0CD206B9E}"/>
      </w:docPartPr>
      <w:docPartBody>
        <w:p w:rsidR="007C3074" w:rsidRDefault="0031058B" w:rsidP="0031058B">
          <w:pPr>
            <w:pStyle w:val="FE29E9343C3C44F48F601205E7E3AC5C"/>
          </w:pPr>
          <w:r>
            <w:t>222</w:t>
          </w:r>
          <w:r w:rsidRPr="008721FC">
            <w:rPr>
              <w:rStyle w:val="PlaceholderText"/>
            </w:rPr>
            <w:t>Document reference number</w:t>
          </w:r>
        </w:p>
      </w:docPartBody>
    </w:docPart>
    <w:docPart>
      <w:docPartPr>
        <w:name w:val="3C66BCEB2CC048878B2F84AD973B35C9"/>
        <w:category>
          <w:name w:val="General"/>
          <w:gallery w:val="placeholder"/>
        </w:category>
        <w:types>
          <w:type w:val="bbPlcHdr"/>
        </w:types>
        <w:behaviors>
          <w:behavior w:val="content"/>
        </w:behaviors>
        <w:guid w:val="{0425825F-2604-4A97-96C9-1BA33CAAF03F}"/>
      </w:docPartPr>
      <w:docPartBody>
        <w:p w:rsidR="007C3074" w:rsidRDefault="0031058B" w:rsidP="0031058B">
          <w:pPr>
            <w:pStyle w:val="3C66BCEB2CC048878B2F84AD973B35C9"/>
          </w:pPr>
          <w:r w:rsidRPr="00773362">
            <w:rPr>
              <w:rStyle w:val="PlaceholderText"/>
              <w:lang w:val="de-DE"/>
            </w:rPr>
            <w:t>Wählen Sie ein Element aus.</w:t>
          </w:r>
        </w:p>
      </w:docPartBody>
    </w:docPart>
    <w:docPart>
      <w:docPartPr>
        <w:name w:val="C2CEB9903AB24328B7B8A6FEB2E24FFB"/>
        <w:category>
          <w:name w:val="General"/>
          <w:gallery w:val="placeholder"/>
        </w:category>
        <w:types>
          <w:type w:val="bbPlcHdr"/>
        </w:types>
        <w:behaviors>
          <w:behavior w:val="content"/>
        </w:behaviors>
        <w:guid w:val="{496484FA-60A4-4988-BBEB-004F314A08CE}"/>
      </w:docPartPr>
      <w:docPartBody>
        <w:p w:rsidR="007C3074" w:rsidRDefault="0031058B" w:rsidP="0031058B">
          <w:pPr>
            <w:pStyle w:val="C2CEB9903AB24328B7B8A6FEB2E24FFB"/>
          </w:pPr>
          <w:r w:rsidRPr="0019515F">
            <w:rPr>
              <w:rStyle w:val="PlaceholderText"/>
            </w:rPr>
            <w:t>Klicken Sie hier, um Text einzugeben.</w:t>
          </w:r>
        </w:p>
      </w:docPartBody>
    </w:docPart>
    <w:docPart>
      <w:docPartPr>
        <w:name w:val="59C7DF399B1B4E57BA4DBEB6D1AD2342"/>
        <w:category>
          <w:name w:val="General"/>
          <w:gallery w:val="placeholder"/>
        </w:category>
        <w:types>
          <w:type w:val="bbPlcHdr"/>
        </w:types>
        <w:behaviors>
          <w:behavior w:val="content"/>
        </w:behaviors>
        <w:guid w:val="{59A86944-EB86-43F2-9DC7-6CD0C5762325}"/>
      </w:docPartPr>
      <w:docPartBody>
        <w:p w:rsidR="007C3074" w:rsidRDefault="0031058B" w:rsidP="0031058B">
          <w:pPr>
            <w:pStyle w:val="59C7DF399B1B4E57BA4DBEB6D1AD2342"/>
          </w:pPr>
          <w:r w:rsidRPr="001B3E66">
            <w:rPr>
              <w:rStyle w:val="PlaceholderText"/>
            </w:rPr>
            <w:t>Choose an item.</w:t>
          </w:r>
        </w:p>
      </w:docPartBody>
    </w:docPart>
    <w:docPart>
      <w:docPartPr>
        <w:name w:val="D7E6C903C104406F80F83D070F246BBE"/>
        <w:category>
          <w:name w:val="General"/>
          <w:gallery w:val="placeholder"/>
        </w:category>
        <w:types>
          <w:type w:val="bbPlcHdr"/>
        </w:types>
        <w:behaviors>
          <w:behavior w:val="content"/>
        </w:behaviors>
        <w:guid w:val="{681A3CC1-5167-4555-8F0F-3E9FD1403A47}"/>
      </w:docPartPr>
      <w:docPartBody>
        <w:p w:rsidR="007C3074" w:rsidRDefault="0031058B" w:rsidP="0031058B">
          <w:pPr>
            <w:pStyle w:val="D7E6C903C104406F80F83D070F246BBE"/>
          </w:pPr>
          <w:r w:rsidRPr="00CE2F3F">
            <w:rPr>
              <w:rStyle w:val="PlaceholderText"/>
            </w:rPr>
            <w:t>Klicken Sie hier, um Text einzugeben.</w:t>
          </w:r>
        </w:p>
      </w:docPartBody>
    </w:docPart>
    <w:docPart>
      <w:docPartPr>
        <w:name w:val="B42A1A0875D94B4AB8944303122D7061"/>
        <w:category>
          <w:name w:val="General"/>
          <w:gallery w:val="placeholder"/>
        </w:category>
        <w:types>
          <w:type w:val="bbPlcHdr"/>
        </w:types>
        <w:behaviors>
          <w:behavior w:val="content"/>
        </w:behaviors>
        <w:guid w:val="{6D1A7DD0-3DC9-45D9-A1BC-A0480E4E54B0}"/>
      </w:docPartPr>
      <w:docPartBody>
        <w:p w:rsidR="007C3074" w:rsidRDefault="0031058B" w:rsidP="0031058B">
          <w:pPr>
            <w:pStyle w:val="B42A1A0875D94B4AB8944303122D7061"/>
          </w:pPr>
          <w:r w:rsidRPr="0019515F">
            <w:rPr>
              <w:rStyle w:val="PlaceholderText"/>
            </w:rPr>
            <w:t>Klicken Sie hier, um Text einzugeben.</w:t>
          </w:r>
        </w:p>
      </w:docPartBody>
    </w:docPart>
    <w:docPart>
      <w:docPartPr>
        <w:name w:val="21CCEF57AA374EDD9B1A88563F6971B4"/>
        <w:category>
          <w:name w:val="General"/>
          <w:gallery w:val="placeholder"/>
        </w:category>
        <w:types>
          <w:type w:val="bbPlcHdr"/>
        </w:types>
        <w:behaviors>
          <w:behavior w:val="content"/>
        </w:behaviors>
        <w:guid w:val="{4697A27A-A640-40CB-A39E-02B54021DAC7}"/>
      </w:docPartPr>
      <w:docPartBody>
        <w:p w:rsidR="007C3074" w:rsidRDefault="0031058B" w:rsidP="0031058B">
          <w:pPr>
            <w:pStyle w:val="21CCEF57AA374EDD9B1A88563F6971B4"/>
          </w:pPr>
          <w:r>
            <w:t>01.0</w:t>
          </w:r>
        </w:p>
      </w:docPartBody>
    </w:docPart>
    <w:docPart>
      <w:docPartPr>
        <w:name w:val="0E9BE12CC3FF40F3A9369A67C9D8CEBC"/>
        <w:category>
          <w:name w:val="General"/>
          <w:gallery w:val="placeholder"/>
        </w:category>
        <w:types>
          <w:type w:val="bbPlcHdr"/>
        </w:types>
        <w:behaviors>
          <w:behavior w:val="content"/>
        </w:behaviors>
        <w:guid w:val="{4844FAF3-A8AD-44AC-BB53-B18E3238A820}"/>
      </w:docPartPr>
      <w:docPartBody>
        <w:p w:rsidR="007C3074" w:rsidRDefault="0031058B" w:rsidP="0031058B">
          <w:pPr>
            <w:pStyle w:val="0E9BE12CC3FF40F3A9369A67C9D8CEBC"/>
          </w:pPr>
          <w:r w:rsidRPr="0019515F">
            <w:rPr>
              <w:rStyle w:val="PlaceholderText"/>
            </w:rPr>
            <w:t>Klicken Sie hier, um Text einzugeben.</w:t>
          </w:r>
        </w:p>
      </w:docPartBody>
    </w:docPart>
    <w:docPart>
      <w:docPartPr>
        <w:name w:val="F6C3AFF081274058B9B43FB811BCA534"/>
        <w:category>
          <w:name w:val="General"/>
          <w:gallery w:val="placeholder"/>
        </w:category>
        <w:types>
          <w:type w:val="bbPlcHdr"/>
        </w:types>
        <w:behaviors>
          <w:behavior w:val="content"/>
        </w:behaviors>
        <w:guid w:val="{EB4821EA-1F6D-4F41-AA6D-0C15F0D79424}"/>
      </w:docPartPr>
      <w:docPartBody>
        <w:p w:rsidR="007C3074" w:rsidRDefault="0031058B" w:rsidP="0031058B">
          <w:pPr>
            <w:pStyle w:val="F6C3AFF081274058B9B43FB811BCA534"/>
          </w:pPr>
          <w:r>
            <w:t>##.#</w:t>
          </w:r>
        </w:p>
      </w:docPartBody>
    </w:docPart>
    <w:docPart>
      <w:docPartPr>
        <w:name w:val="1431CF5130944CFA8A892CF1A1E4ADE0"/>
        <w:category>
          <w:name w:val="General"/>
          <w:gallery w:val="placeholder"/>
        </w:category>
        <w:types>
          <w:type w:val="bbPlcHdr"/>
        </w:types>
        <w:behaviors>
          <w:behavior w:val="content"/>
        </w:behaviors>
        <w:guid w:val="{60D2C7F8-71F3-4E9E-8080-D8F0F7EE08EC}"/>
      </w:docPartPr>
      <w:docPartBody>
        <w:p w:rsidR="007C3074" w:rsidRDefault="0031058B" w:rsidP="0031058B">
          <w:pPr>
            <w:pStyle w:val="1431CF5130944CFA8A892CF1A1E4ADE0"/>
          </w:pPr>
          <w:r>
            <w:t>222</w:t>
          </w:r>
          <w:r w:rsidRPr="008721FC">
            <w:rPr>
              <w:rStyle w:val="PlaceholderText"/>
            </w:rPr>
            <w:t>Document reference number</w:t>
          </w:r>
        </w:p>
      </w:docPartBody>
    </w:docPart>
    <w:docPart>
      <w:docPartPr>
        <w:name w:val="9D4E61F4DFAA46D0A183DD4AC8ECF0B2"/>
        <w:category>
          <w:name w:val="General"/>
          <w:gallery w:val="placeholder"/>
        </w:category>
        <w:types>
          <w:type w:val="bbPlcHdr"/>
        </w:types>
        <w:behaviors>
          <w:behavior w:val="content"/>
        </w:behaviors>
        <w:guid w:val="{A0FA34C2-07DE-4F2B-83BF-14F78EB24C82}"/>
      </w:docPartPr>
      <w:docPartBody>
        <w:p w:rsidR="007C3074" w:rsidRDefault="0031058B" w:rsidP="0031058B">
          <w:pPr>
            <w:pStyle w:val="9D4E61F4DFAA46D0A183DD4AC8ECF0B2"/>
          </w:pPr>
          <w:r w:rsidRPr="00773362">
            <w:rPr>
              <w:rStyle w:val="PlaceholderText"/>
              <w:lang w:val="de-DE"/>
            </w:rPr>
            <w:t>Wählen Sie ein Element aus.</w:t>
          </w:r>
        </w:p>
      </w:docPartBody>
    </w:docPart>
    <w:docPart>
      <w:docPartPr>
        <w:name w:val="A8A8291794FD45AC80240E811C7346A8"/>
        <w:category>
          <w:name w:val="General"/>
          <w:gallery w:val="placeholder"/>
        </w:category>
        <w:types>
          <w:type w:val="bbPlcHdr"/>
        </w:types>
        <w:behaviors>
          <w:behavior w:val="content"/>
        </w:behaviors>
        <w:guid w:val="{DA00EB69-BEA3-4566-AFF2-2787962E6DD4}"/>
      </w:docPartPr>
      <w:docPartBody>
        <w:p w:rsidR="007C3074" w:rsidRDefault="0031058B" w:rsidP="0031058B">
          <w:pPr>
            <w:pStyle w:val="A8A8291794FD45AC80240E811C7346A8"/>
          </w:pPr>
          <w:r w:rsidRPr="0019515F">
            <w:rPr>
              <w:rStyle w:val="PlaceholderText"/>
            </w:rPr>
            <w:t>Klicken Sie hier, um Text einzugeben.</w:t>
          </w:r>
        </w:p>
      </w:docPartBody>
    </w:docPart>
    <w:docPart>
      <w:docPartPr>
        <w:name w:val="8AC10162DBDA4E4BAFDDDE3576C87A57"/>
        <w:category>
          <w:name w:val="General"/>
          <w:gallery w:val="placeholder"/>
        </w:category>
        <w:types>
          <w:type w:val="bbPlcHdr"/>
        </w:types>
        <w:behaviors>
          <w:behavior w:val="content"/>
        </w:behaviors>
        <w:guid w:val="{0D5E8C83-0BCE-4B67-9BD3-498C7A235529}"/>
      </w:docPartPr>
      <w:docPartBody>
        <w:p w:rsidR="007C3074" w:rsidRDefault="0031058B" w:rsidP="0031058B">
          <w:pPr>
            <w:pStyle w:val="8AC10162DBDA4E4BAFDDDE3576C87A57"/>
          </w:pPr>
          <w:r w:rsidRPr="001B3E66">
            <w:rPr>
              <w:rStyle w:val="PlaceholderText"/>
            </w:rPr>
            <w:t>Choose an item.</w:t>
          </w:r>
        </w:p>
      </w:docPartBody>
    </w:docPart>
    <w:docPart>
      <w:docPartPr>
        <w:name w:val="0F3A4E9D33924406961C22CF71574B37"/>
        <w:category>
          <w:name w:val="General"/>
          <w:gallery w:val="placeholder"/>
        </w:category>
        <w:types>
          <w:type w:val="bbPlcHdr"/>
        </w:types>
        <w:behaviors>
          <w:behavior w:val="content"/>
        </w:behaviors>
        <w:guid w:val="{15020874-37CE-475A-94B1-D4EE5C4F1D21}"/>
      </w:docPartPr>
      <w:docPartBody>
        <w:p w:rsidR="007C3074" w:rsidRDefault="0031058B" w:rsidP="0031058B">
          <w:pPr>
            <w:pStyle w:val="0F3A4E9D33924406961C22CF71574B37"/>
          </w:pPr>
          <w:r w:rsidRPr="00CE2F3F">
            <w:rPr>
              <w:rStyle w:val="PlaceholderText"/>
            </w:rPr>
            <w:t>Klicken Sie hier, um Text einzugeben.</w:t>
          </w:r>
        </w:p>
      </w:docPartBody>
    </w:docPart>
    <w:docPart>
      <w:docPartPr>
        <w:name w:val="A697EA6E58324696BD8EAC4F44C88B8A"/>
        <w:category>
          <w:name w:val="General"/>
          <w:gallery w:val="placeholder"/>
        </w:category>
        <w:types>
          <w:type w:val="bbPlcHdr"/>
        </w:types>
        <w:behaviors>
          <w:behavior w:val="content"/>
        </w:behaviors>
        <w:guid w:val="{87970C01-A1FE-4951-9719-1E96A7A235FA}"/>
      </w:docPartPr>
      <w:docPartBody>
        <w:p w:rsidR="007C3074" w:rsidRDefault="0031058B" w:rsidP="0031058B">
          <w:pPr>
            <w:pStyle w:val="A697EA6E58324696BD8EAC4F44C88B8A"/>
          </w:pPr>
          <w:r w:rsidRPr="0019515F">
            <w:rPr>
              <w:rStyle w:val="PlaceholderText"/>
            </w:rPr>
            <w:t>Klicken Sie hier, um Text einzugeben.</w:t>
          </w:r>
        </w:p>
      </w:docPartBody>
    </w:docPart>
    <w:docPart>
      <w:docPartPr>
        <w:name w:val="B32550216A7949FE8FD26601C3DCB904"/>
        <w:category>
          <w:name w:val="General"/>
          <w:gallery w:val="placeholder"/>
        </w:category>
        <w:types>
          <w:type w:val="bbPlcHdr"/>
        </w:types>
        <w:behaviors>
          <w:behavior w:val="content"/>
        </w:behaviors>
        <w:guid w:val="{42BCC719-D028-4319-ADE6-661199767BDB}"/>
      </w:docPartPr>
      <w:docPartBody>
        <w:p w:rsidR="007C3074" w:rsidRDefault="0031058B" w:rsidP="0031058B">
          <w:pPr>
            <w:pStyle w:val="B32550216A7949FE8FD26601C3DCB904"/>
          </w:pPr>
          <w:r>
            <w:t>01.0</w:t>
          </w:r>
        </w:p>
      </w:docPartBody>
    </w:docPart>
    <w:docPart>
      <w:docPartPr>
        <w:name w:val="3110C0EF53364918BB28C5A143E2953E"/>
        <w:category>
          <w:name w:val="General"/>
          <w:gallery w:val="placeholder"/>
        </w:category>
        <w:types>
          <w:type w:val="bbPlcHdr"/>
        </w:types>
        <w:behaviors>
          <w:behavior w:val="content"/>
        </w:behaviors>
        <w:guid w:val="{6744883D-2C5D-44D5-8788-3ECA9991B137}"/>
      </w:docPartPr>
      <w:docPartBody>
        <w:p w:rsidR="007C3074" w:rsidRDefault="0031058B" w:rsidP="0031058B">
          <w:pPr>
            <w:pStyle w:val="3110C0EF53364918BB28C5A143E2953E"/>
          </w:pPr>
          <w:r w:rsidRPr="0019515F">
            <w:rPr>
              <w:rStyle w:val="PlaceholderText"/>
            </w:rPr>
            <w:t>Klicken Sie hier, um Text einzugeben.</w:t>
          </w:r>
        </w:p>
      </w:docPartBody>
    </w:docPart>
    <w:docPart>
      <w:docPartPr>
        <w:name w:val="3AFC070B4FD94F4E81355095A222F750"/>
        <w:category>
          <w:name w:val="General"/>
          <w:gallery w:val="placeholder"/>
        </w:category>
        <w:types>
          <w:type w:val="bbPlcHdr"/>
        </w:types>
        <w:behaviors>
          <w:behavior w:val="content"/>
        </w:behaviors>
        <w:guid w:val="{B6FBFE57-2BD9-4F1C-B394-B8EFC8C8D48D}"/>
      </w:docPartPr>
      <w:docPartBody>
        <w:p w:rsidR="007C3074" w:rsidRDefault="0031058B" w:rsidP="0031058B">
          <w:pPr>
            <w:pStyle w:val="3AFC070B4FD94F4E81355095A222F750"/>
          </w:pP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F3"/>
    <w:rsid w:val="00013083"/>
    <w:rsid w:val="00030861"/>
    <w:rsid w:val="00037FC8"/>
    <w:rsid w:val="0005263B"/>
    <w:rsid w:val="00053BC9"/>
    <w:rsid w:val="000579D7"/>
    <w:rsid w:val="00071AC7"/>
    <w:rsid w:val="000B01FC"/>
    <w:rsid w:val="000C76CC"/>
    <w:rsid w:val="000F4259"/>
    <w:rsid w:val="000F4BD2"/>
    <w:rsid w:val="0010195D"/>
    <w:rsid w:val="00106533"/>
    <w:rsid w:val="00111087"/>
    <w:rsid w:val="00111D33"/>
    <w:rsid w:val="00124A51"/>
    <w:rsid w:val="00130BE3"/>
    <w:rsid w:val="00135A07"/>
    <w:rsid w:val="00153CF9"/>
    <w:rsid w:val="001672C0"/>
    <w:rsid w:val="00174ADD"/>
    <w:rsid w:val="00184BD6"/>
    <w:rsid w:val="00196515"/>
    <w:rsid w:val="001B0FD8"/>
    <w:rsid w:val="001C5986"/>
    <w:rsid w:val="001F4DC8"/>
    <w:rsid w:val="002125B7"/>
    <w:rsid w:val="002302ED"/>
    <w:rsid w:val="002477BD"/>
    <w:rsid w:val="00253B2E"/>
    <w:rsid w:val="00256569"/>
    <w:rsid w:val="0025756A"/>
    <w:rsid w:val="0027240B"/>
    <w:rsid w:val="00292542"/>
    <w:rsid w:val="002A0BC7"/>
    <w:rsid w:val="002C20C0"/>
    <w:rsid w:val="002F167E"/>
    <w:rsid w:val="002F30B3"/>
    <w:rsid w:val="0031058B"/>
    <w:rsid w:val="00326522"/>
    <w:rsid w:val="003268A1"/>
    <w:rsid w:val="0034311C"/>
    <w:rsid w:val="003457C1"/>
    <w:rsid w:val="00353410"/>
    <w:rsid w:val="00370EF9"/>
    <w:rsid w:val="00385127"/>
    <w:rsid w:val="003B6FDE"/>
    <w:rsid w:val="003C4564"/>
    <w:rsid w:val="003C7D34"/>
    <w:rsid w:val="003D2F5E"/>
    <w:rsid w:val="003D7A84"/>
    <w:rsid w:val="003E74C3"/>
    <w:rsid w:val="003F602E"/>
    <w:rsid w:val="00487C5A"/>
    <w:rsid w:val="004A2058"/>
    <w:rsid w:val="004D03B0"/>
    <w:rsid w:val="0050176D"/>
    <w:rsid w:val="005145E2"/>
    <w:rsid w:val="005157CC"/>
    <w:rsid w:val="00527E7C"/>
    <w:rsid w:val="00547E80"/>
    <w:rsid w:val="0056155B"/>
    <w:rsid w:val="00570BE5"/>
    <w:rsid w:val="00576B53"/>
    <w:rsid w:val="005A0148"/>
    <w:rsid w:val="005A51A4"/>
    <w:rsid w:val="005D7245"/>
    <w:rsid w:val="005D7A90"/>
    <w:rsid w:val="005F3C27"/>
    <w:rsid w:val="005F7283"/>
    <w:rsid w:val="0062702B"/>
    <w:rsid w:val="00632431"/>
    <w:rsid w:val="00635281"/>
    <w:rsid w:val="006C3636"/>
    <w:rsid w:val="006C5B49"/>
    <w:rsid w:val="006E6815"/>
    <w:rsid w:val="00702D15"/>
    <w:rsid w:val="00704523"/>
    <w:rsid w:val="00716879"/>
    <w:rsid w:val="00720838"/>
    <w:rsid w:val="00766FC8"/>
    <w:rsid w:val="007C3074"/>
    <w:rsid w:val="007C4B71"/>
    <w:rsid w:val="007E75C4"/>
    <w:rsid w:val="008053FB"/>
    <w:rsid w:val="0084080F"/>
    <w:rsid w:val="00855ECC"/>
    <w:rsid w:val="008643B2"/>
    <w:rsid w:val="008810DA"/>
    <w:rsid w:val="00885557"/>
    <w:rsid w:val="008A37F3"/>
    <w:rsid w:val="008C196D"/>
    <w:rsid w:val="0092265B"/>
    <w:rsid w:val="00954A40"/>
    <w:rsid w:val="009701AA"/>
    <w:rsid w:val="00971878"/>
    <w:rsid w:val="00995456"/>
    <w:rsid w:val="009B06EE"/>
    <w:rsid w:val="009D2A7B"/>
    <w:rsid w:val="009E3F98"/>
    <w:rsid w:val="00A06924"/>
    <w:rsid w:val="00A20820"/>
    <w:rsid w:val="00A45C25"/>
    <w:rsid w:val="00A83733"/>
    <w:rsid w:val="00A95E2E"/>
    <w:rsid w:val="00AA0ACA"/>
    <w:rsid w:val="00AA5343"/>
    <w:rsid w:val="00AB3EC3"/>
    <w:rsid w:val="00AE0152"/>
    <w:rsid w:val="00AE1FAD"/>
    <w:rsid w:val="00AE21DC"/>
    <w:rsid w:val="00AF07AD"/>
    <w:rsid w:val="00B2444E"/>
    <w:rsid w:val="00B250CA"/>
    <w:rsid w:val="00B271C9"/>
    <w:rsid w:val="00B27E72"/>
    <w:rsid w:val="00B37C6B"/>
    <w:rsid w:val="00B4227E"/>
    <w:rsid w:val="00BA7F62"/>
    <w:rsid w:val="00BB3234"/>
    <w:rsid w:val="00BC1418"/>
    <w:rsid w:val="00BF7CB8"/>
    <w:rsid w:val="00C04012"/>
    <w:rsid w:val="00C11239"/>
    <w:rsid w:val="00C62E17"/>
    <w:rsid w:val="00C67848"/>
    <w:rsid w:val="00C729F2"/>
    <w:rsid w:val="00C77C78"/>
    <w:rsid w:val="00C837CF"/>
    <w:rsid w:val="00CB1227"/>
    <w:rsid w:val="00CB3E4D"/>
    <w:rsid w:val="00CD786A"/>
    <w:rsid w:val="00D14F8E"/>
    <w:rsid w:val="00D878B5"/>
    <w:rsid w:val="00D92396"/>
    <w:rsid w:val="00DA3194"/>
    <w:rsid w:val="00DB33DD"/>
    <w:rsid w:val="00E125AA"/>
    <w:rsid w:val="00E14625"/>
    <w:rsid w:val="00E7550E"/>
    <w:rsid w:val="00E906D1"/>
    <w:rsid w:val="00E94B7A"/>
    <w:rsid w:val="00E95CD6"/>
    <w:rsid w:val="00E96C1E"/>
    <w:rsid w:val="00EA32F7"/>
    <w:rsid w:val="00EA64CF"/>
    <w:rsid w:val="00EB77EC"/>
    <w:rsid w:val="00ED5B3C"/>
    <w:rsid w:val="00EE24C5"/>
    <w:rsid w:val="00F014BC"/>
    <w:rsid w:val="00F06E27"/>
    <w:rsid w:val="00F14D8E"/>
    <w:rsid w:val="00F25412"/>
    <w:rsid w:val="00F33844"/>
    <w:rsid w:val="00F73CD4"/>
    <w:rsid w:val="00F87E25"/>
    <w:rsid w:val="00F914AA"/>
    <w:rsid w:val="00F95D98"/>
    <w:rsid w:val="00FA2EA5"/>
    <w:rsid w:val="00FA5A23"/>
    <w:rsid w:val="00FB6B90"/>
    <w:rsid w:val="00FC69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1058B"/>
    <w:rPr>
      <w:color w:val="808080"/>
    </w:rPr>
  </w:style>
  <w:style w:type="paragraph" w:customStyle="1" w:styleId="024784A0F0C24ADEAC5F33FCE44D9AD4">
    <w:name w:val="024784A0F0C24ADEAC5F33FCE44D9AD4"/>
  </w:style>
  <w:style w:type="paragraph" w:customStyle="1" w:styleId="745ED77B43CB4636BE3637258B08812F">
    <w:name w:val="745ED77B43CB4636BE3637258B08812F"/>
  </w:style>
  <w:style w:type="paragraph" w:customStyle="1" w:styleId="564CA3EA16E34408B6798A38AE4A3C59">
    <w:name w:val="564CA3EA16E34408B6798A38AE4A3C59"/>
  </w:style>
  <w:style w:type="paragraph" w:customStyle="1" w:styleId="0A7B5906E33644C6BCECC2E99995C8DC">
    <w:name w:val="0A7B5906E33644C6BCECC2E99995C8DC"/>
  </w:style>
  <w:style w:type="paragraph" w:customStyle="1" w:styleId="313594FDB5C247088AF9C2B37250BDF3">
    <w:name w:val="313594FDB5C247088AF9C2B37250BDF3"/>
  </w:style>
  <w:style w:type="paragraph" w:customStyle="1" w:styleId="610848E8AD184D9986E54651A1BEF359">
    <w:name w:val="610848E8AD184D9986E54651A1BEF359"/>
  </w:style>
  <w:style w:type="paragraph" w:customStyle="1" w:styleId="492722170C1F4D319C753151C187C315">
    <w:name w:val="492722170C1F4D319C753151C187C315"/>
  </w:style>
  <w:style w:type="paragraph" w:customStyle="1" w:styleId="3E949C185EF340D6B1349F3A3FA84A60">
    <w:name w:val="3E949C185EF340D6B1349F3A3FA84A60"/>
  </w:style>
  <w:style w:type="paragraph" w:customStyle="1" w:styleId="D4994C2A136642EAA0671C42F5B37A8C">
    <w:name w:val="D4994C2A136642EAA0671C42F5B37A8C"/>
    <w:rsid w:val="0031058B"/>
  </w:style>
  <w:style w:type="paragraph" w:customStyle="1" w:styleId="8D8094A70B754E6D802A517CED2A9380">
    <w:name w:val="8D8094A70B754E6D802A517CED2A9380"/>
    <w:rsid w:val="0031058B"/>
  </w:style>
  <w:style w:type="paragraph" w:customStyle="1" w:styleId="C40182D6226443B6AA761F1975BEAE1D">
    <w:name w:val="C40182D6226443B6AA761F1975BEAE1D"/>
    <w:rsid w:val="0031058B"/>
  </w:style>
  <w:style w:type="paragraph" w:customStyle="1" w:styleId="FDA0D139F7584340B215186B5DC2107A">
    <w:name w:val="FDA0D139F7584340B215186B5DC2107A"/>
    <w:rsid w:val="0031058B"/>
  </w:style>
  <w:style w:type="paragraph" w:customStyle="1" w:styleId="BD93C47F13CA4CC0AA63BD09D13F7A9F">
    <w:name w:val="BD93C47F13CA4CC0AA63BD09D13F7A9F"/>
    <w:rsid w:val="0031058B"/>
  </w:style>
  <w:style w:type="paragraph" w:customStyle="1" w:styleId="23682C3E64DF47E9B78E0CDAB0739819">
    <w:name w:val="23682C3E64DF47E9B78E0CDAB0739819"/>
    <w:rsid w:val="0031058B"/>
  </w:style>
  <w:style w:type="paragraph" w:customStyle="1" w:styleId="A6D7AC910CEE439AB6E9B26DBBDEC888">
    <w:name w:val="A6D7AC910CEE439AB6E9B26DBBDEC888"/>
    <w:rsid w:val="0031058B"/>
  </w:style>
  <w:style w:type="paragraph" w:customStyle="1" w:styleId="F809BC2FFD68416C87D795E8038E0E70">
    <w:name w:val="F809BC2FFD68416C87D795E8038E0E70"/>
    <w:rsid w:val="0031058B"/>
  </w:style>
  <w:style w:type="paragraph" w:customStyle="1" w:styleId="D0C5919B652B43E5A465FA1F9271D91C">
    <w:name w:val="D0C5919B652B43E5A465FA1F9271D91C"/>
    <w:rsid w:val="0031058B"/>
  </w:style>
  <w:style w:type="paragraph" w:customStyle="1" w:styleId="09122DAEB4F648A89CDC2C9716D90003">
    <w:name w:val="09122DAEB4F648A89CDC2C9716D90003"/>
    <w:rsid w:val="0031058B"/>
  </w:style>
  <w:style w:type="paragraph" w:customStyle="1" w:styleId="B2997243BF2F47BD8430DCB861039B82">
    <w:name w:val="B2997243BF2F47BD8430DCB861039B82"/>
    <w:rsid w:val="0031058B"/>
  </w:style>
  <w:style w:type="paragraph" w:customStyle="1" w:styleId="E9571E95C955444A8408B37AA234D401">
    <w:name w:val="E9571E95C955444A8408B37AA234D401"/>
    <w:rsid w:val="0031058B"/>
  </w:style>
  <w:style w:type="paragraph" w:customStyle="1" w:styleId="3304FCB2E3DE4C058C3B94AFA663C8A7">
    <w:name w:val="3304FCB2E3DE4C058C3B94AFA663C8A7"/>
    <w:rsid w:val="0031058B"/>
  </w:style>
  <w:style w:type="paragraph" w:customStyle="1" w:styleId="7585AF2E74DD452C86BF56D110D32E16">
    <w:name w:val="7585AF2E74DD452C86BF56D110D32E16"/>
    <w:rsid w:val="0031058B"/>
  </w:style>
  <w:style w:type="paragraph" w:customStyle="1" w:styleId="9A2CC36867FC4B0ABDA5ABB7DAA9C515">
    <w:name w:val="9A2CC36867FC4B0ABDA5ABB7DAA9C515"/>
    <w:rsid w:val="0031058B"/>
  </w:style>
  <w:style w:type="paragraph" w:customStyle="1" w:styleId="ABCCA8767A2746C7BCDBDC2C469AFB50">
    <w:name w:val="ABCCA8767A2746C7BCDBDC2C469AFB50"/>
    <w:rsid w:val="0031058B"/>
  </w:style>
  <w:style w:type="paragraph" w:customStyle="1" w:styleId="03DBC314D5E04D74B86471512FF00BBA">
    <w:name w:val="03DBC314D5E04D74B86471512FF00BBA"/>
    <w:rsid w:val="0031058B"/>
  </w:style>
  <w:style w:type="paragraph" w:customStyle="1" w:styleId="0D82F4E8DECA42ECA944DA1A3E2AF17B">
    <w:name w:val="0D82F4E8DECA42ECA944DA1A3E2AF17B"/>
    <w:rsid w:val="0031058B"/>
  </w:style>
  <w:style w:type="paragraph" w:customStyle="1" w:styleId="FE29E9343C3C44F48F601205E7E3AC5C">
    <w:name w:val="FE29E9343C3C44F48F601205E7E3AC5C"/>
    <w:rsid w:val="0031058B"/>
  </w:style>
  <w:style w:type="paragraph" w:customStyle="1" w:styleId="3C66BCEB2CC048878B2F84AD973B35C9">
    <w:name w:val="3C66BCEB2CC048878B2F84AD973B35C9"/>
    <w:rsid w:val="0031058B"/>
  </w:style>
  <w:style w:type="paragraph" w:customStyle="1" w:styleId="C2CEB9903AB24328B7B8A6FEB2E24FFB">
    <w:name w:val="C2CEB9903AB24328B7B8A6FEB2E24FFB"/>
    <w:rsid w:val="0031058B"/>
  </w:style>
  <w:style w:type="paragraph" w:customStyle="1" w:styleId="59C7DF399B1B4E57BA4DBEB6D1AD2342">
    <w:name w:val="59C7DF399B1B4E57BA4DBEB6D1AD2342"/>
    <w:rsid w:val="0031058B"/>
  </w:style>
  <w:style w:type="paragraph" w:customStyle="1" w:styleId="D7E6C903C104406F80F83D070F246BBE">
    <w:name w:val="D7E6C903C104406F80F83D070F246BBE"/>
    <w:rsid w:val="0031058B"/>
  </w:style>
  <w:style w:type="paragraph" w:customStyle="1" w:styleId="B42A1A0875D94B4AB8944303122D7061">
    <w:name w:val="B42A1A0875D94B4AB8944303122D7061"/>
    <w:rsid w:val="0031058B"/>
  </w:style>
  <w:style w:type="paragraph" w:customStyle="1" w:styleId="21CCEF57AA374EDD9B1A88563F6971B4">
    <w:name w:val="21CCEF57AA374EDD9B1A88563F6971B4"/>
    <w:rsid w:val="0031058B"/>
  </w:style>
  <w:style w:type="paragraph" w:customStyle="1" w:styleId="0E9BE12CC3FF40F3A9369A67C9D8CEBC">
    <w:name w:val="0E9BE12CC3FF40F3A9369A67C9D8CEBC"/>
    <w:rsid w:val="0031058B"/>
  </w:style>
  <w:style w:type="paragraph" w:customStyle="1" w:styleId="F6C3AFF081274058B9B43FB811BCA534">
    <w:name w:val="F6C3AFF081274058B9B43FB811BCA534"/>
    <w:rsid w:val="0031058B"/>
  </w:style>
  <w:style w:type="paragraph" w:customStyle="1" w:styleId="1431CF5130944CFA8A892CF1A1E4ADE0">
    <w:name w:val="1431CF5130944CFA8A892CF1A1E4ADE0"/>
    <w:rsid w:val="0031058B"/>
  </w:style>
  <w:style w:type="paragraph" w:customStyle="1" w:styleId="9D4E61F4DFAA46D0A183DD4AC8ECF0B2">
    <w:name w:val="9D4E61F4DFAA46D0A183DD4AC8ECF0B2"/>
    <w:rsid w:val="0031058B"/>
  </w:style>
  <w:style w:type="paragraph" w:customStyle="1" w:styleId="A8A8291794FD45AC80240E811C7346A8">
    <w:name w:val="A8A8291794FD45AC80240E811C7346A8"/>
    <w:rsid w:val="0031058B"/>
  </w:style>
  <w:style w:type="paragraph" w:customStyle="1" w:styleId="8AC10162DBDA4E4BAFDDDE3576C87A57">
    <w:name w:val="8AC10162DBDA4E4BAFDDDE3576C87A57"/>
    <w:rsid w:val="0031058B"/>
  </w:style>
  <w:style w:type="paragraph" w:customStyle="1" w:styleId="0F3A4E9D33924406961C22CF71574B37">
    <w:name w:val="0F3A4E9D33924406961C22CF71574B37"/>
    <w:rsid w:val="0031058B"/>
  </w:style>
  <w:style w:type="paragraph" w:customStyle="1" w:styleId="A697EA6E58324696BD8EAC4F44C88B8A">
    <w:name w:val="A697EA6E58324696BD8EAC4F44C88B8A"/>
    <w:rsid w:val="0031058B"/>
  </w:style>
  <w:style w:type="paragraph" w:customStyle="1" w:styleId="B32550216A7949FE8FD26601C3DCB904">
    <w:name w:val="B32550216A7949FE8FD26601C3DCB904"/>
    <w:rsid w:val="0031058B"/>
  </w:style>
  <w:style w:type="paragraph" w:customStyle="1" w:styleId="3110C0EF53364918BB28C5A143E2953E">
    <w:name w:val="3110C0EF53364918BB28C5A143E2953E"/>
    <w:rsid w:val="0031058B"/>
  </w:style>
  <w:style w:type="paragraph" w:customStyle="1" w:styleId="3AFC070B4FD94F4E81355095A222F750">
    <w:name w:val="3AFC070B4FD94F4E81355095A222F750"/>
    <w:rsid w:val="0031058B"/>
  </w:style>
  <w:style w:type="paragraph" w:customStyle="1" w:styleId="1D8FE2BB60234C2C98D738BB30D920F81">
    <w:name w:val="1D8FE2BB60234C2C98D738BB30D920F81"/>
    <w:rsid w:val="00AE21DC"/>
    <w:pPr>
      <w:spacing w:before="300" w:after="0" w:line="240" w:lineRule="auto"/>
      <w:jc w:val="both"/>
    </w:pPr>
    <w:rPr>
      <w:rFonts w:ascii="Arial" w:eastAsia="Times New Roman" w:hAnsi="Arial" w:cs="Arial"/>
      <w:kern w:val="0"/>
      <w:sz w:val="22"/>
      <w:szCs w:val="22"/>
      <w:lang w:val="en-GB" w:eastAsia="de-DE"/>
      <w14:ligatures w14:val="none"/>
    </w:rPr>
  </w:style>
  <w:style w:type="paragraph" w:customStyle="1" w:styleId="2B285A33AD6C40388FE9D923866D3229">
    <w:name w:val="2B285A33AD6C40388FE9D923866D3229"/>
    <w:rsid w:val="00292542"/>
  </w:style>
  <w:style w:type="paragraph" w:customStyle="1" w:styleId="334F7F9900974EF2B20C0F1050DC5A91">
    <w:name w:val="334F7F9900974EF2B20C0F1050DC5A91"/>
    <w:rsid w:val="00292542"/>
  </w:style>
  <w:style w:type="paragraph" w:customStyle="1" w:styleId="6E43E9BA66714826AED133D84D0DA0E3">
    <w:name w:val="6E43E9BA66714826AED133D84D0DA0E3"/>
    <w:rsid w:val="00292542"/>
  </w:style>
  <w:style w:type="paragraph" w:customStyle="1" w:styleId="6D0D9E3CD8B24D99BEBFA9D913D1DBA7">
    <w:name w:val="6D0D9E3CD8B24D99BEBFA9D913D1DBA7"/>
    <w:rsid w:val="00292542"/>
  </w:style>
  <w:style w:type="paragraph" w:customStyle="1" w:styleId="B81B2F16B99D470AA116B07E975496BB">
    <w:name w:val="B81B2F16B99D470AA116B07E975496BB"/>
    <w:rsid w:val="00292542"/>
  </w:style>
  <w:style w:type="paragraph" w:customStyle="1" w:styleId="20E670F86594487595D22C9AE92D6196">
    <w:name w:val="20E670F86594487595D22C9AE92D6196"/>
    <w:rsid w:val="00292542"/>
  </w:style>
  <w:style w:type="paragraph" w:customStyle="1" w:styleId="69D1598D31084ED2A6294C073EB91C7F">
    <w:name w:val="69D1598D31084ED2A6294C073EB91C7F"/>
    <w:rsid w:val="00292542"/>
  </w:style>
  <w:style w:type="paragraph" w:customStyle="1" w:styleId="97B75AB4DFE249CD9AC82AFA50FCB1FE">
    <w:name w:val="97B75AB4DFE249CD9AC82AFA50FCB1FE"/>
    <w:rsid w:val="00292542"/>
  </w:style>
  <w:style w:type="paragraph" w:customStyle="1" w:styleId="5AA875A4B2BA4BFCBB120ED325C2277F">
    <w:name w:val="5AA875A4B2BA4BFCBB120ED325C2277F"/>
    <w:rsid w:val="00292542"/>
  </w:style>
  <w:style w:type="paragraph" w:customStyle="1" w:styleId="5B9772D182EC47C4BD13C88B0CCE2A7C">
    <w:name w:val="5B9772D182EC47C4BD13C88B0CCE2A7C"/>
    <w:rsid w:val="00292542"/>
  </w:style>
  <w:style w:type="paragraph" w:customStyle="1" w:styleId="07070041EB104964836DFC112C0F8048">
    <w:name w:val="07070041EB104964836DFC112C0F8048"/>
    <w:rsid w:val="00292542"/>
  </w:style>
  <w:style w:type="paragraph" w:customStyle="1" w:styleId="A684B64BD14945759381D2DF83ABCC63">
    <w:name w:val="A684B64BD14945759381D2DF83ABCC63"/>
    <w:rsid w:val="00292542"/>
  </w:style>
  <w:style w:type="paragraph" w:customStyle="1" w:styleId="CCEF394248474884A83AE8FEB25645BC">
    <w:name w:val="CCEF394248474884A83AE8FEB25645BC"/>
    <w:rsid w:val="00292542"/>
  </w:style>
  <w:style w:type="paragraph" w:customStyle="1" w:styleId="E8A73C78256341A98DA20AD86C559F48">
    <w:name w:val="E8A73C78256341A98DA20AD86C559F48"/>
    <w:rsid w:val="00292542"/>
  </w:style>
  <w:style w:type="paragraph" w:customStyle="1" w:styleId="8693B43AFCB14AEE9642DBCCA902C139">
    <w:name w:val="8693B43AFCB14AEE9642DBCCA902C139"/>
    <w:rsid w:val="00292542"/>
  </w:style>
  <w:style w:type="paragraph" w:customStyle="1" w:styleId="37FAA1E39A854732BC60FFFBA968034E">
    <w:name w:val="37FAA1E39A854732BC60FFFBA968034E"/>
    <w:rsid w:val="00292542"/>
  </w:style>
  <w:style w:type="paragraph" w:customStyle="1" w:styleId="A06D87DFA5F54373A6DBCEF2CA89356C">
    <w:name w:val="A06D87DFA5F54373A6DBCEF2CA89356C"/>
    <w:rsid w:val="00292542"/>
  </w:style>
  <w:style w:type="paragraph" w:customStyle="1" w:styleId="C8F0C67CE98B4D69A4DAFC15E23CB100">
    <w:name w:val="C8F0C67CE98B4D69A4DAFC15E23CB100"/>
    <w:rsid w:val="00292542"/>
  </w:style>
  <w:style w:type="paragraph" w:customStyle="1" w:styleId="EE21EC7822EC4ACFA5F10F2C30302DD0">
    <w:name w:val="EE21EC7822EC4ACFA5F10F2C30302DD0"/>
    <w:rsid w:val="00292542"/>
  </w:style>
  <w:style w:type="paragraph" w:customStyle="1" w:styleId="E31491DA95D0411ABD96EB72E88A1B16">
    <w:name w:val="E31491DA95D0411ABD96EB72E88A1B16"/>
    <w:rsid w:val="00292542"/>
  </w:style>
  <w:style w:type="paragraph" w:customStyle="1" w:styleId="E768D879A6214D8AAF9C329C1CA94662">
    <w:name w:val="E768D879A6214D8AAF9C329C1CA94662"/>
    <w:rsid w:val="00292542"/>
  </w:style>
  <w:style w:type="paragraph" w:customStyle="1" w:styleId="4E16E81ED06B48D3A91563A1FB86F9A7">
    <w:name w:val="4E16E81ED06B48D3A91563A1FB86F9A7"/>
    <w:rsid w:val="00292542"/>
  </w:style>
  <w:style w:type="paragraph" w:customStyle="1" w:styleId="6828F537AB5C47DB9B72933379CCC3B1">
    <w:name w:val="6828F537AB5C47DB9B72933379CCC3B1"/>
    <w:rsid w:val="00292542"/>
  </w:style>
  <w:style w:type="paragraph" w:customStyle="1" w:styleId="0606BDCBA86643648AD74E7CB2101155">
    <w:name w:val="0606BDCBA86643648AD74E7CB2101155"/>
    <w:rsid w:val="00292542"/>
  </w:style>
  <w:style w:type="paragraph" w:customStyle="1" w:styleId="3EBABADAFAD94788AC1EAFA425164B91">
    <w:name w:val="3EBABADAFAD94788AC1EAFA425164B91"/>
    <w:rsid w:val="00292542"/>
  </w:style>
  <w:style w:type="paragraph" w:customStyle="1" w:styleId="AFF8054029D4442ABCF7AACF4B385E15">
    <w:name w:val="AFF8054029D4442ABCF7AACF4B385E15"/>
    <w:rsid w:val="00292542"/>
  </w:style>
  <w:style w:type="paragraph" w:customStyle="1" w:styleId="53772E5EBA8740E491CCF8690E4AF908">
    <w:name w:val="53772E5EBA8740E491CCF8690E4AF908"/>
    <w:rsid w:val="00292542"/>
  </w:style>
  <w:style w:type="paragraph" w:customStyle="1" w:styleId="323C22FC47E64CD5801B7E6944975254">
    <w:name w:val="323C22FC47E64CD5801B7E6944975254"/>
    <w:rsid w:val="00292542"/>
  </w:style>
  <w:style w:type="paragraph" w:customStyle="1" w:styleId="7AAF0F0433CE42ABA96CC51E4F105C53">
    <w:name w:val="7AAF0F0433CE42ABA96CC51E4F105C53"/>
    <w:rsid w:val="00292542"/>
  </w:style>
  <w:style w:type="paragraph" w:customStyle="1" w:styleId="328AAA77F3A64DEA8A9B92080E2D194D">
    <w:name w:val="328AAA77F3A64DEA8A9B92080E2D194D"/>
    <w:rsid w:val="00292542"/>
  </w:style>
  <w:style w:type="paragraph" w:customStyle="1" w:styleId="041FD2F4D12E49638767450396F21000">
    <w:name w:val="041FD2F4D12E49638767450396F21000"/>
    <w:rsid w:val="00292542"/>
  </w:style>
  <w:style w:type="paragraph" w:customStyle="1" w:styleId="F2651667D9EA4CAFBFCB32D1E9CBA5BD">
    <w:name w:val="F2651667D9EA4CAFBFCB32D1E9CBA5BD"/>
    <w:rsid w:val="00292542"/>
  </w:style>
  <w:style w:type="paragraph" w:customStyle="1" w:styleId="E10029A250F04BA0A4017E659A34B9E6">
    <w:name w:val="E10029A250F04BA0A4017E659A34B9E6"/>
    <w:rsid w:val="00292542"/>
  </w:style>
  <w:style w:type="paragraph" w:customStyle="1" w:styleId="997E1086EB14498A97B17AD8EED043F2">
    <w:name w:val="997E1086EB14498A97B17AD8EED043F2"/>
    <w:rsid w:val="00292542"/>
  </w:style>
  <w:style w:type="paragraph" w:customStyle="1" w:styleId="E0709CE615184816BDE979E6B50BE02E">
    <w:name w:val="E0709CE615184816BDE979E6B50BE02E"/>
    <w:rsid w:val="00292542"/>
  </w:style>
  <w:style w:type="paragraph" w:customStyle="1" w:styleId="665D67B3BFCA444DB54F1A15FD0C5F13">
    <w:name w:val="665D67B3BFCA444DB54F1A15FD0C5F13"/>
    <w:rsid w:val="00292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B6730B0802B54A9F00C78B857E1443" ma:contentTypeVersion="30" ma:contentTypeDescription="Create a new document." ma:contentTypeScope="" ma:versionID="c1177e9cb2a011f9b5f85d5c6c9a33b0">
  <xsd:schema xmlns:xsd="http://www.w3.org/2001/XMLSchema" xmlns:xs="http://www.w3.org/2001/XMLSchema" xmlns:p="http://schemas.microsoft.com/office/2006/metadata/properties" xmlns:ns2="819ae873-75e1-413b-9d00-7af9258cf281" xmlns:ns3="eb4559c4-8463-4985-927f-f0d558bff8f0" xmlns:ns4="13d80b15-5f07-43ab-b435-85767a7dac08" targetNamespace="http://schemas.microsoft.com/office/2006/metadata/properties" ma:root="true" ma:fieldsID="babc2604ed609730281bb67d17ce2659" ns2:_="" ns3:_="" ns4:_="">
    <xsd:import namespace="819ae873-75e1-413b-9d00-7af9258cf281"/>
    <xsd:import namespace="eb4559c4-8463-4985-927f-f0d558bff8f0"/>
    <xsd:import namespace="13d80b15-5f07-43ab-b435-85767a7da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_x002e_SymbolNumbe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Ready" minOccurs="0"/>
                <xsd:element ref="ns2:_Flow_SignoffStatus" minOccurs="0"/>
                <xsd:element ref="ns2:Teamleademail" minOccurs="0"/>
                <xsd:element ref="ns2:Drafter_x0028_s_x0029_" minOccurs="0"/>
                <xsd:element ref="ns2:Formatter_x0028_s_x0029_" minOccurs="0"/>
                <xsd:element ref="ns2:Status" minOccurs="0"/>
                <xsd:element ref="ns2:Approvinghostpart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ae873-75e1-413b-9d00-7af9258cf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_x002e_SymbolNumber" ma:index="12" nillable="true" ma:displayName="Doc. Symbol Number" ma:format="Dropdown" ma:internalName="Doc_x002e_SymbolNumber">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d8c265a-5436-43a7-80c1-713d2827ffd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ady" ma:index="26" nillable="true" ma:displayName="Ready" ma:default="1" ma:format="Dropdown" ma:internalName="Ready">
      <xsd:simpleType>
        <xsd:restriction base="dms:Boolean"/>
      </xsd:simpleType>
    </xsd:element>
    <xsd:element name="_Flow_SignoffStatus" ma:index="27" nillable="true" ma:displayName="Sign-off status" ma:format="Dropdown" ma:internalName="_x0024_Resources_x003a_core_x002c_Signoff_Status">
      <xsd:simpleType>
        <xsd:restriction base="dms:Choice">
          <xsd:enumeration value="WIP"/>
          <xsd:enumeration value="Ready for clearance"/>
          <xsd:enumeration value="Cleared"/>
          <xsd:enumeration value="Returned"/>
        </xsd:restriction>
      </xsd:simpleType>
    </xsd:element>
    <xsd:element name="Teamleademail" ma:index="28" nillable="true" ma:displayName="Team lead(s)" ma:format="Dropdown" ma:list="UserInfo" ma:SharePointGroup="0" ma:internalName="Teamlea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after_x0028_s_x0029_" ma:index="29" nillable="true" ma:displayName="Drafter(s)" ma:format="Dropdown" ma:list="UserInfo" ma:SharePointGroup="0" ma:internalName="Drafter_x0028_s_x0029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rmatter_x0028_s_x0029_" ma:index="30" nillable="true" ma:displayName="Formatter(s)" ma:format="Dropdown" ma:list="UserInfo" ma:SharePointGroup="0" ma:internalName="Formatter_x0028_s_x0029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31" nillable="true" ma:displayName="Status" ma:default="1" ma:format="Dropdown" ma:internalName="Status">
      <xsd:simpleType>
        <xsd:restriction base="dms:Boolean"/>
      </xsd:simpleType>
    </xsd:element>
    <xsd:element name="Approvinghostparty" ma:index="32" nillable="true" ma:displayName="Approving host party" ma:format="Dropdown" ma:internalName="Approvinghostparty">
      <xsd:simpleType>
        <xsd:restriction base="dms:Text">
          <xsd:maxLength value="255"/>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559c4-8463-4985-927f-f0d558bff8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990851-a39d-4e76-9339-d9f3f2815fa8}" ma:internalName="TaxCatchAll" ma:showField="CatchAllData" ma:web="13d80b15-5f07-43ab-b435-85767a7da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80b15-5f07-43ab-b435-85767a7dac0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rovinghostparty xmlns="819ae873-75e1-413b-9d00-7af9258cf281" xsi:nil="true"/>
    <lcf76f155ced4ddcb4097134ff3c332f xmlns="819ae873-75e1-413b-9d00-7af9258cf281">
      <Terms xmlns="http://schemas.microsoft.com/office/infopath/2007/PartnerControls"/>
    </lcf76f155ced4ddcb4097134ff3c332f>
    <TaxCatchAll xmlns="eb4559c4-8463-4985-927f-f0d558bff8f0" xsi:nil="true"/>
    <Formatter_x0028_s_x0029_ xmlns="819ae873-75e1-413b-9d00-7af9258cf281">
      <UserInfo>
        <DisplayName/>
        <AccountId xsi:nil="true"/>
        <AccountType/>
      </UserInfo>
    </Formatter_x0028_s_x0029_>
    <Ready xmlns="819ae873-75e1-413b-9d00-7af9258cf281">true</Ready>
    <Doc_x002e_SymbolNumber xmlns="819ae873-75e1-413b-9d00-7af9258cf281">A6.4-AMM-003_v01.0_public</Doc_x002e_SymbolNumber>
    <_Flow_SignoffStatus xmlns="819ae873-75e1-413b-9d00-7af9258cf281" xsi:nil="true"/>
    <Status xmlns="819ae873-75e1-413b-9d00-7af9258cf281">true</Status>
    <Teamleademail xmlns="819ae873-75e1-413b-9d00-7af9258cf281">
      <UserInfo>
        <DisplayName/>
        <AccountId xsi:nil="true"/>
        <AccountType/>
      </UserInfo>
    </Teamleademail>
    <Drafter_x0028_s_x0029_ xmlns="819ae873-75e1-413b-9d00-7af9258cf281">
      <UserInfo>
        <DisplayName/>
        <AccountId xsi:nil="true"/>
        <AccountType/>
      </UserInfo>
    </Drafter_x0028_s_x0029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9d8c265a-5436-43a7-80c1-713d2827ffde" ContentTypeId="0x0101" PreviousValue="false"/>
</file>

<file path=customXml/itemProps1.xml><?xml version="1.0" encoding="utf-8"?>
<ds:datastoreItem xmlns:ds="http://schemas.openxmlformats.org/officeDocument/2006/customXml" ds:itemID="{DAF0A28C-8A64-4CD9-8703-650098EAB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ae873-75e1-413b-9d00-7af9258cf281"/>
    <ds:schemaRef ds:uri="eb4559c4-8463-4985-927f-f0d558bff8f0"/>
    <ds:schemaRef ds:uri="13d80b15-5f07-43ab-b435-85767a7d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A9E2B-40F0-44C4-AF62-A0407BE03665}">
  <ds:schemaRefs>
    <ds:schemaRef ds:uri="http://schemas.microsoft.com/office/2006/metadata/properties"/>
    <ds:schemaRef ds:uri="http://schemas.microsoft.com/office/infopath/2007/PartnerControls"/>
    <ds:schemaRef ds:uri="819ae873-75e1-413b-9d00-7af9258cf281"/>
    <ds:schemaRef ds:uri="eb4559c4-8463-4985-927f-f0d558bff8f0"/>
  </ds:schemaRefs>
</ds:datastoreItem>
</file>

<file path=customXml/itemProps3.xml><?xml version="1.0" encoding="utf-8"?>
<ds:datastoreItem xmlns:ds="http://schemas.openxmlformats.org/officeDocument/2006/customXml" ds:itemID="{2083100E-D8CB-42F1-82F9-473423759E89}">
  <ds:schemaRefs>
    <ds:schemaRef ds:uri="http://schemas.microsoft.com/sharepoint/v3/contenttype/forms"/>
  </ds:schemaRefs>
</ds:datastoreItem>
</file>

<file path=customXml/itemProps4.xml><?xml version="1.0" encoding="utf-8"?>
<ds:datastoreItem xmlns:ds="http://schemas.openxmlformats.org/officeDocument/2006/customXml" ds:itemID="{8D92B5A2-FBD2-4CF4-820E-31B2EA3849EE}">
  <ds:schemaRefs>
    <ds:schemaRef ds:uri="http://schemas.openxmlformats.org/officeDocument/2006/bibliography"/>
  </ds:schemaRefs>
</ds:datastoreItem>
</file>

<file path=customXml/itemProps5.xml><?xml version="1.0" encoding="utf-8"?>
<ds:datastoreItem xmlns:ds="http://schemas.openxmlformats.org/officeDocument/2006/customXml" ds:itemID="{08580897-5246-494F-B89C-4EDB5C34DC5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CDM_Methodology.dotm</Template>
  <TotalTime>0</TotalTime>
  <Pages>51</Pages>
  <Words>15631</Words>
  <Characters>87540</Characters>
  <Application>Microsoft Office Word</Application>
  <DocSecurity>2</DocSecurity>
  <Lines>2652</Lines>
  <Paragraphs>1810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101361</CharactersWithSpaces>
  <SharedDoc>false</SharedDoc>
  <HLinks>
    <vt:vector size="312" baseType="variant">
      <vt:variant>
        <vt:i4>1507385</vt:i4>
      </vt:variant>
      <vt:variant>
        <vt:i4>218</vt:i4>
      </vt:variant>
      <vt:variant>
        <vt:i4>0</vt:i4>
      </vt:variant>
      <vt:variant>
        <vt:i4>5</vt:i4>
      </vt:variant>
      <vt:variant>
        <vt:lpwstr/>
      </vt:variant>
      <vt:variant>
        <vt:lpwstr>_Toc233902882</vt:lpwstr>
      </vt:variant>
      <vt:variant>
        <vt:i4>1507385</vt:i4>
      </vt:variant>
      <vt:variant>
        <vt:i4>212</vt:i4>
      </vt:variant>
      <vt:variant>
        <vt:i4>0</vt:i4>
      </vt:variant>
      <vt:variant>
        <vt:i4>5</vt:i4>
      </vt:variant>
      <vt:variant>
        <vt:lpwstr/>
      </vt:variant>
      <vt:variant>
        <vt:lpwstr>_Toc233902881</vt:lpwstr>
      </vt:variant>
      <vt:variant>
        <vt:i4>1507385</vt:i4>
      </vt:variant>
      <vt:variant>
        <vt:i4>206</vt:i4>
      </vt:variant>
      <vt:variant>
        <vt:i4>0</vt:i4>
      </vt:variant>
      <vt:variant>
        <vt:i4>5</vt:i4>
      </vt:variant>
      <vt:variant>
        <vt:lpwstr/>
      </vt:variant>
      <vt:variant>
        <vt:lpwstr>_Toc233902880</vt:lpwstr>
      </vt:variant>
      <vt:variant>
        <vt:i4>1572921</vt:i4>
      </vt:variant>
      <vt:variant>
        <vt:i4>200</vt:i4>
      </vt:variant>
      <vt:variant>
        <vt:i4>0</vt:i4>
      </vt:variant>
      <vt:variant>
        <vt:i4>5</vt:i4>
      </vt:variant>
      <vt:variant>
        <vt:lpwstr/>
      </vt:variant>
      <vt:variant>
        <vt:lpwstr>_Toc233902879</vt:lpwstr>
      </vt:variant>
      <vt:variant>
        <vt:i4>1572921</vt:i4>
      </vt:variant>
      <vt:variant>
        <vt:i4>194</vt:i4>
      </vt:variant>
      <vt:variant>
        <vt:i4>0</vt:i4>
      </vt:variant>
      <vt:variant>
        <vt:i4>5</vt:i4>
      </vt:variant>
      <vt:variant>
        <vt:lpwstr/>
      </vt:variant>
      <vt:variant>
        <vt:lpwstr>_Toc233902878</vt:lpwstr>
      </vt:variant>
      <vt:variant>
        <vt:i4>1572921</vt:i4>
      </vt:variant>
      <vt:variant>
        <vt:i4>188</vt:i4>
      </vt:variant>
      <vt:variant>
        <vt:i4>0</vt:i4>
      </vt:variant>
      <vt:variant>
        <vt:i4>5</vt:i4>
      </vt:variant>
      <vt:variant>
        <vt:lpwstr/>
      </vt:variant>
      <vt:variant>
        <vt:lpwstr>_Toc233902877</vt:lpwstr>
      </vt:variant>
      <vt:variant>
        <vt:i4>1572921</vt:i4>
      </vt:variant>
      <vt:variant>
        <vt:i4>182</vt:i4>
      </vt:variant>
      <vt:variant>
        <vt:i4>0</vt:i4>
      </vt:variant>
      <vt:variant>
        <vt:i4>5</vt:i4>
      </vt:variant>
      <vt:variant>
        <vt:lpwstr/>
      </vt:variant>
      <vt:variant>
        <vt:lpwstr>_Toc233902876</vt:lpwstr>
      </vt:variant>
      <vt:variant>
        <vt:i4>1572921</vt:i4>
      </vt:variant>
      <vt:variant>
        <vt:i4>176</vt:i4>
      </vt:variant>
      <vt:variant>
        <vt:i4>0</vt:i4>
      </vt:variant>
      <vt:variant>
        <vt:i4>5</vt:i4>
      </vt:variant>
      <vt:variant>
        <vt:lpwstr/>
      </vt:variant>
      <vt:variant>
        <vt:lpwstr>_Toc233902875</vt:lpwstr>
      </vt:variant>
      <vt:variant>
        <vt:i4>1572921</vt:i4>
      </vt:variant>
      <vt:variant>
        <vt:i4>170</vt:i4>
      </vt:variant>
      <vt:variant>
        <vt:i4>0</vt:i4>
      </vt:variant>
      <vt:variant>
        <vt:i4>5</vt:i4>
      </vt:variant>
      <vt:variant>
        <vt:lpwstr/>
      </vt:variant>
      <vt:variant>
        <vt:lpwstr>_Toc233902874</vt:lpwstr>
      </vt:variant>
      <vt:variant>
        <vt:i4>1572921</vt:i4>
      </vt:variant>
      <vt:variant>
        <vt:i4>164</vt:i4>
      </vt:variant>
      <vt:variant>
        <vt:i4>0</vt:i4>
      </vt:variant>
      <vt:variant>
        <vt:i4>5</vt:i4>
      </vt:variant>
      <vt:variant>
        <vt:lpwstr/>
      </vt:variant>
      <vt:variant>
        <vt:lpwstr>_Toc233902873</vt:lpwstr>
      </vt:variant>
      <vt:variant>
        <vt:i4>1572921</vt:i4>
      </vt:variant>
      <vt:variant>
        <vt:i4>158</vt:i4>
      </vt:variant>
      <vt:variant>
        <vt:i4>0</vt:i4>
      </vt:variant>
      <vt:variant>
        <vt:i4>5</vt:i4>
      </vt:variant>
      <vt:variant>
        <vt:lpwstr/>
      </vt:variant>
      <vt:variant>
        <vt:lpwstr>_Toc233902872</vt:lpwstr>
      </vt:variant>
      <vt:variant>
        <vt:i4>1572921</vt:i4>
      </vt:variant>
      <vt:variant>
        <vt:i4>152</vt:i4>
      </vt:variant>
      <vt:variant>
        <vt:i4>0</vt:i4>
      </vt:variant>
      <vt:variant>
        <vt:i4>5</vt:i4>
      </vt:variant>
      <vt:variant>
        <vt:lpwstr/>
      </vt:variant>
      <vt:variant>
        <vt:lpwstr>_Toc233902871</vt:lpwstr>
      </vt:variant>
      <vt:variant>
        <vt:i4>1572921</vt:i4>
      </vt:variant>
      <vt:variant>
        <vt:i4>146</vt:i4>
      </vt:variant>
      <vt:variant>
        <vt:i4>0</vt:i4>
      </vt:variant>
      <vt:variant>
        <vt:i4>5</vt:i4>
      </vt:variant>
      <vt:variant>
        <vt:lpwstr/>
      </vt:variant>
      <vt:variant>
        <vt:lpwstr>_Toc233902870</vt:lpwstr>
      </vt:variant>
      <vt:variant>
        <vt:i4>1638457</vt:i4>
      </vt:variant>
      <vt:variant>
        <vt:i4>140</vt:i4>
      </vt:variant>
      <vt:variant>
        <vt:i4>0</vt:i4>
      </vt:variant>
      <vt:variant>
        <vt:i4>5</vt:i4>
      </vt:variant>
      <vt:variant>
        <vt:lpwstr/>
      </vt:variant>
      <vt:variant>
        <vt:lpwstr>_Toc233902869</vt:lpwstr>
      </vt:variant>
      <vt:variant>
        <vt:i4>1638457</vt:i4>
      </vt:variant>
      <vt:variant>
        <vt:i4>134</vt:i4>
      </vt:variant>
      <vt:variant>
        <vt:i4>0</vt:i4>
      </vt:variant>
      <vt:variant>
        <vt:i4>5</vt:i4>
      </vt:variant>
      <vt:variant>
        <vt:lpwstr/>
      </vt:variant>
      <vt:variant>
        <vt:lpwstr>_Toc233902868</vt:lpwstr>
      </vt:variant>
      <vt:variant>
        <vt:i4>1638457</vt:i4>
      </vt:variant>
      <vt:variant>
        <vt:i4>128</vt:i4>
      </vt:variant>
      <vt:variant>
        <vt:i4>0</vt:i4>
      </vt:variant>
      <vt:variant>
        <vt:i4>5</vt:i4>
      </vt:variant>
      <vt:variant>
        <vt:lpwstr/>
      </vt:variant>
      <vt:variant>
        <vt:lpwstr>_Toc233902867</vt:lpwstr>
      </vt:variant>
      <vt:variant>
        <vt:i4>1638457</vt:i4>
      </vt:variant>
      <vt:variant>
        <vt:i4>122</vt:i4>
      </vt:variant>
      <vt:variant>
        <vt:i4>0</vt:i4>
      </vt:variant>
      <vt:variant>
        <vt:i4>5</vt:i4>
      </vt:variant>
      <vt:variant>
        <vt:lpwstr/>
      </vt:variant>
      <vt:variant>
        <vt:lpwstr>_Toc233902866</vt:lpwstr>
      </vt:variant>
      <vt:variant>
        <vt:i4>1638457</vt:i4>
      </vt:variant>
      <vt:variant>
        <vt:i4>116</vt:i4>
      </vt:variant>
      <vt:variant>
        <vt:i4>0</vt:i4>
      </vt:variant>
      <vt:variant>
        <vt:i4>5</vt:i4>
      </vt:variant>
      <vt:variant>
        <vt:lpwstr/>
      </vt:variant>
      <vt:variant>
        <vt:lpwstr>_Toc233902865</vt:lpwstr>
      </vt:variant>
      <vt:variant>
        <vt:i4>1638457</vt:i4>
      </vt:variant>
      <vt:variant>
        <vt:i4>110</vt:i4>
      </vt:variant>
      <vt:variant>
        <vt:i4>0</vt:i4>
      </vt:variant>
      <vt:variant>
        <vt:i4>5</vt:i4>
      </vt:variant>
      <vt:variant>
        <vt:lpwstr/>
      </vt:variant>
      <vt:variant>
        <vt:lpwstr>_Toc233902864</vt:lpwstr>
      </vt:variant>
      <vt:variant>
        <vt:i4>1638457</vt:i4>
      </vt:variant>
      <vt:variant>
        <vt:i4>104</vt:i4>
      </vt:variant>
      <vt:variant>
        <vt:i4>0</vt:i4>
      </vt:variant>
      <vt:variant>
        <vt:i4>5</vt:i4>
      </vt:variant>
      <vt:variant>
        <vt:lpwstr/>
      </vt:variant>
      <vt:variant>
        <vt:lpwstr>_Toc233902863</vt:lpwstr>
      </vt:variant>
      <vt:variant>
        <vt:i4>1638457</vt:i4>
      </vt:variant>
      <vt:variant>
        <vt:i4>98</vt:i4>
      </vt:variant>
      <vt:variant>
        <vt:i4>0</vt:i4>
      </vt:variant>
      <vt:variant>
        <vt:i4>5</vt:i4>
      </vt:variant>
      <vt:variant>
        <vt:lpwstr/>
      </vt:variant>
      <vt:variant>
        <vt:lpwstr>_Toc233902862</vt:lpwstr>
      </vt:variant>
      <vt:variant>
        <vt:i4>1638457</vt:i4>
      </vt:variant>
      <vt:variant>
        <vt:i4>92</vt:i4>
      </vt:variant>
      <vt:variant>
        <vt:i4>0</vt:i4>
      </vt:variant>
      <vt:variant>
        <vt:i4>5</vt:i4>
      </vt:variant>
      <vt:variant>
        <vt:lpwstr/>
      </vt:variant>
      <vt:variant>
        <vt:lpwstr>_Toc233902861</vt:lpwstr>
      </vt:variant>
      <vt:variant>
        <vt:i4>1638457</vt:i4>
      </vt:variant>
      <vt:variant>
        <vt:i4>86</vt:i4>
      </vt:variant>
      <vt:variant>
        <vt:i4>0</vt:i4>
      </vt:variant>
      <vt:variant>
        <vt:i4>5</vt:i4>
      </vt:variant>
      <vt:variant>
        <vt:lpwstr/>
      </vt:variant>
      <vt:variant>
        <vt:lpwstr>_Toc233902860</vt:lpwstr>
      </vt:variant>
      <vt:variant>
        <vt:i4>1703993</vt:i4>
      </vt:variant>
      <vt:variant>
        <vt:i4>80</vt:i4>
      </vt:variant>
      <vt:variant>
        <vt:i4>0</vt:i4>
      </vt:variant>
      <vt:variant>
        <vt:i4>5</vt:i4>
      </vt:variant>
      <vt:variant>
        <vt:lpwstr/>
      </vt:variant>
      <vt:variant>
        <vt:lpwstr>_Toc233902859</vt:lpwstr>
      </vt:variant>
      <vt:variant>
        <vt:i4>1703993</vt:i4>
      </vt:variant>
      <vt:variant>
        <vt:i4>74</vt:i4>
      </vt:variant>
      <vt:variant>
        <vt:i4>0</vt:i4>
      </vt:variant>
      <vt:variant>
        <vt:i4>5</vt:i4>
      </vt:variant>
      <vt:variant>
        <vt:lpwstr/>
      </vt:variant>
      <vt:variant>
        <vt:lpwstr>_Toc233902858</vt:lpwstr>
      </vt:variant>
      <vt:variant>
        <vt:i4>1703993</vt:i4>
      </vt:variant>
      <vt:variant>
        <vt:i4>68</vt:i4>
      </vt:variant>
      <vt:variant>
        <vt:i4>0</vt:i4>
      </vt:variant>
      <vt:variant>
        <vt:i4>5</vt:i4>
      </vt:variant>
      <vt:variant>
        <vt:lpwstr/>
      </vt:variant>
      <vt:variant>
        <vt:lpwstr>_Toc233902857</vt:lpwstr>
      </vt:variant>
      <vt:variant>
        <vt:i4>1703993</vt:i4>
      </vt:variant>
      <vt:variant>
        <vt:i4>62</vt:i4>
      </vt:variant>
      <vt:variant>
        <vt:i4>0</vt:i4>
      </vt:variant>
      <vt:variant>
        <vt:i4>5</vt:i4>
      </vt:variant>
      <vt:variant>
        <vt:lpwstr/>
      </vt:variant>
      <vt:variant>
        <vt:lpwstr>_Toc233902856</vt:lpwstr>
      </vt:variant>
      <vt:variant>
        <vt:i4>1703993</vt:i4>
      </vt:variant>
      <vt:variant>
        <vt:i4>56</vt:i4>
      </vt:variant>
      <vt:variant>
        <vt:i4>0</vt:i4>
      </vt:variant>
      <vt:variant>
        <vt:i4>5</vt:i4>
      </vt:variant>
      <vt:variant>
        <vt:lpwstr/>
      </vt:variant>
      <vt:variant>
        <vt:lpwstr>_Toc233902855</vt:lpwstr>
      </vt:variant>
      <vt:variant>
        <vt:i4>1703993</vt:i4>
      </vt:variant>
      <vt:variant>
        <vt:i4>50</vt:i4>
      </vt:variant>
      <vt:variant>
        <vt:i4>0</vt:i4>
      </vt:variant>
      <vt:variant>
        <vt:i4>5</vt:i4>
      </vt:variant>
      <vt:variant>
        <vt:lpwstr/>
      </vt:variant>
      <vt:variant>
        <vt:lpwstr>_Toc233902854</vt:lpwstr>
      </vt:variant>
      <vt:variant>
        <vt:i4>1703993</vt:i4>
      </vt:variant>
      <vt:variant>
        <vt:i4>44</vt:i4>
      </vt:variant>
      <vt:variant>
        <vt:i4>0</vt:i4>
      </vt:variant>
      <vt:variant>
        <vt:i4>5</vt:i4>
      </vt:variant>
      <vt:variant>
        <vt:lpwstr/>
      </vt:variant>
      <vt:variant>
        <vt:lpwstr>_Toc233902853</vt:lpwstr>
      </vt:variant>
      <vt:variant>
        <vt:i4>1703993</vt:i4>
      </vt:variant>
      <vt:variant>
        <vt:i4>38</vt:i4>
      </vt:variant>
      <vt:variant>
        <vt:i4>0</vt:i4>
      </vt:variant>
      <vt:variant>
        <vt:i4>5</vt:i4>
      </vt:variant>
      <vt:variant>
        <vt:lpwstr/>
      </vt:variant>
      <vt:variant>
        <vt:lpwstr>_Toc233902852</vt:lpwstr>
      </vt:variant>
      <vt:variant>
        <vt:i4>1703993</vt:i4>
      </vt:variant>
      <vt:variant>
        <vt:i4>32</vt:i4>
      </vt:variant>
      <vt:variant>
        <vt:i4>0</vt:i4>
      </vt:variant>
      <vt:variant>
        <vt:i4>5</vt:i4>
      </vt:variant>
      <vt:variant>
        <vt:lpwstr/>
      </vt:variant>
      <vt:variant>
        <vt:lpwstr>_Toc233902851</vt:lpwstr>
      </vt:variant>
      <vt:variant>
        <vt:i4>1703993</vt:i4>
      </vt:variant>
      <vt:variant>
        <vt:i4>26</vt:i4>
      </vt:variant>
      <vt:variant>
        <vt:i4>0</vt:i4>
      </vt:variant>
      <vt:variant>
        <vt:i4>5</vt:i4>
      </vt:variant>
      <vt:variant>
        <vt:lpwstr/>
      </vt:variant>
      <vt:variant>
        <vt:lpwstr>_Toc233902850</vt:lpwstr>
      </vt:variant>
      <vt:variant>
        <vt:i4>1769529</vt:i4>
      </vt:variant>
      <vt:variant>
        <vt:i4>20</vt:i4>
      </vt:variant>
      <vt:variant>
        <vt:i4>0</vt:i4>
      </vt:variant>
      <vt:variant>
        <vt:i4>5</vt:i4>
      </vt:variant>
      <vt:variant>
        <vt:lpwstr/>
      </vt:variant>
      <vt:variant>
        <vt:lpwstr>_Toc233902849</vt:lpwstr>
      </vt:variant>
      <vt:variant>
        <vt:i4>1769529</vt:i4>
      </vt:variant>
      <vt:variant>
        <vt:i4>14</vt:i4>
      </vt:variant>
      <vt:variant>
        <vt:i4>0</vt:i4>
      </vt:variant>
      <vt:variant>
        <vt:i4>5</vt:i4>
      </vt:variant>
      <vt:variant>
        <vt:lpwstr/>
      </vt:variant>
      <vt:variant>
        <vt:lpwstr>_Toc233902848</vt:lpwstr>
      </vt:variant>
      <vt:variant>
        <vt:i4>1769529</vt:i4>
      </vt:variant>
      <vt:variant>
        <vt:i4>8</vt:i4>
      </vt:variant>
      <vt:variant>
        <vt:i4>0</vt:i4>
      </vt:variant>
      <vt:variant>
        <vt:i4>5</vt:i4>
      </vt:variant>
      <vt:variant>
        <vt:lpwstr/>
      </vt:variant>
      <vt:variant>
        <vt:lpwstr>_Toc233902847</vt:lpwstr>
      </vt:variant>
      <vt:variant>
        <vt:i4>1769529</vt:i4>
      </vt:variant>
      <vt:variant>
        <vt:i4>2</vt:i4>
      </vt:variant>
      <vt:variant>
        <vt:i4>0</vt:i4>
      </vt:variant>
      <vt:variant>
        <vt:i4>5</vt:i4>
      </vt:variant>
      <vt:variant>
        <vt:lpwstr/>
      </vt:variant>
      <vt:variant>
        <vt:lpwstr>_Toc233902846</vt:lpwstr>
      </vt:variant>
      <vt:variant>
        <vt:i4>6029393</vt:i4>
      </vt:variant>
      <vt:variant>
        <vt:i4>42</vt:i4>
      </vt:variant>
      <vt:variant>
        <vt:i4>0</vt:i4>
      </vt:variant>
      <vt:variant>
        <vt:i4>5</vt:i4>
      </vt:variant>
      <vt:variant>
        <vt:lpwstr>https://docs.nlr.gov/docs/fy17osti/68474.pdf</vt:lpwstr>
      </vt:variant>
      <vt:variant>
        <vt:lpwstr/>
      </vt:variant>
      <vt:variant>
        <vt:i4>7733299</vt:i4>
      </vt:variant>
      <vt:variant>
        <vt:i4>39</vt:i4>
      </vt:variant>
      <vt:variant>
        <vt:i4>0</vt:i4>
      </vt:variant>
      <vt:variant>
        <vt:i4>5</vt:i4>
      </vt:variant>
      <vt:variant>
        <vt:lpwstr>https://unfccc.int/sites/default/files/resource/A6.4-STAN-METH-004.pdf</vt:lpwstr>
      </vt:variant>
      <vt:variant>
        <vt:lpwstr/>
      </vt:variant>
      <vt:variant>
        <vt:i4>3014719</vt:i4>
      </vt:variant>
      <vt:variant>
        <vt:i4>36</vt:i4>
      </vt:variant>
      <vt:variant>
        <vt:i4>0</vt:i4>
      </vt:variant>
      <vt:variant>
        <vt:i4>5</vt:i4>
      </vt:variant>
      <vt:variant>
        <vt:lpwstr>https://doi.org/10.1038/s41598-019-52288-1</vt:lpwstr>
      </vt:variant>
      <vt:variant>
        <vt:lpwstr/>
      </vt:variant>
      <vt:variant>
        <vt:i4>4063342</vt:i4>
      </vt:variant>
      <vt:variant>
        <vt:i4>33</vt:i4>
      </vt:variant>
      <vt:variant>
        <vt:i4>0</vt:i4>
      </vt:variant>
      <vt:variant>
        <vt:i4>5</vt:i4>
      </vt:variant>
      <vt:variant>
        <vt:lpwstr>https://documents1.worldbank.org/curated/en/739881515751628436/pdf/Greenhouse-gases-from-reservoirs-caused-by-biogeochemical-processes.pdf</vt:lpwstr>
      </vt:variant>
      <vt:variant>
        <vt:lpwstr/>
      </vt:variant>
      <vt:variant>
        <vt:i4>4718617</vt:i4>
      </vt:variant>
      <vt:variant>
        <vt:i4>30</vt:i4>
      </vt:variant>
      <vt:variant>
        <vt:i4>0</vt:i4>
      </vt:variant>
      <vt:variant>
        <vt:i4>5</vt:i4>
      </vt:variant>
      <vt:variant>
        <vt:lpwstr>https://www.ipcc-nggip.iges.or.jp/public/2019rf/vol1.html</vt:lpwstr>
      </vt:variant>
      <vt:variant>
        <vt:lpwstr/>
      </vt:variant>
      <vt:variant>
        <vt:i4>6225948</vt:i4>
      </vt:variant>
      <vt:variant>
        <vt:i4>27</vt:i4>
      </vt:variant>
      <vt:variant>
        <vt:i4>0</vt:i4>
      </vt:variant>
      <vt:variant>
        <vt:i4>5</vt:i4>
      </vt:variant>
      <vt:variant>
        <vt:lpwstr>https://www.ipcc-nggip.iges.or.jp/public/2006gl/vol2.html</vt:lpwstr>
      </vt:variant>
      <vt:variant>
        <vt:lpwstr/>
      </vt:variant>
      <vt:variant>
        <vt:i4>1704031</vt:i4>
      </vt:variant>
      <vt:variant>
        <vt:i4>24</vt:i4>
      </vt:variant>
      <vt:variant>
        <vt:i4>0</vt:i4>
      </vt:variant>
      <vt:variant>
        <vt:i4>5</vt:i4>
      </vt:variant>
      <vt:variant>
        <vt:lpwstr>https://archive.ipcc.ch/pdf/special-reports/srren/SRREN_Full_Report.pdf</vt:lpwstr>
      </vt:variant>
      <vt:variant>
        <vt:lpwstr/>
      </vt:variant>
      <vt:variant>
        <vt:i4>1900551</vt:i4>
      </vt:variant>
      <vt:variant>
        <vt:i4>21</vt:i4>
      </vt:variant>
      <vt:variant>
        <vt:i4>0</vt:i4>
      </vt:variant>
      <vt:variant>
        <vt:i4>5</vt:i4>
      </vt:variant>
      <vt:variant>
        <vt:lpwstr>https://unfccc.int/process-and-meetings/the-paris-agreement/article-6/article-64-pacm/mechanism-process/methodologies/a64-amt-008</vt:lpwstr>
      </vt:variant>
      <vt:variant>
        <vt:lpwstr/>
      </vt:variant>
      <vt:variant>
        <vt:i4>7471154</vt:i4>
      </vt:variant>
      <vt:variant>
        <vt:i4>18</vt:i4>
      </vt:variant>
      <vt:variant>
        <vt:i4>0</vt:i4>
      </vt:variant>
      <vt:variant>
        <vt:i4>5</vt:i4>
      </vt:variant>
      <vt:variant>
        <vt:lpwstr>https://unfccc.int/process-and-meetings/the-paris-agreement/article-6/article-64-pacm/mechanism-process/methodologies/a64-amt-007-emissions-from-electricity-generation-and-consumption</vt:lpwstr>
      </vt:variant>
      <vt:variant>
        <vt:lpwstr/>
      </vt:variant>
      <vt:variant>
        <vt:i4>1900551</vt:i4>
      </vt:variant>
      <vt:variant>
        <vt:i4>15</vt:i4>
      </vt:variant>
      <vt:variant>
        <vt:i4>0</vt:i4>
      </vt:variant>
      <vt:variant>
        <vt:i4>5</vt:i4>
      </vt:variant>
      <vt:variant>
        <vt:lpwstr>https://unfccc.int/process-and-meetings/the-paris-agreement/article-6/article-64-pacm/mechanism-process/methodologies/a64-amt-002</vt:lpwstr>
      </vt:variant>
      <vt:variant>
        <vt:lpwstr/>
      </vt:variant>
      <vt:variant>
        <vt:i4>1900551</vt:i4>
      </vt:variant>
      <vt:variant>
        <vt:i4>12</vt:i4>
      </vt:variant>
      <vt:variant>
        <vt:i4>0</vt:i4>
      </vt:variant>
      <vt:variant>
        <vt:i4>5</vt:i4>
      </vt:variant>
      <vt:variant>
        <vt:lpwstr>https://unfccc.int/process-and-meetings/the-paris-agreement/article-6/article-64-pacm/mechanism-process/methodologies/a64-amt-001</vt:lpwstr>
      </vt:variant>
      <vt:variant>
        <vt:lpwstr/>
      </vt:variant>
      <vt:variant>
        <vt:i4>2359396</vt:i4>
      </vt:variant>
      <vt:variant>
        <vt:i4>9</vt:i4>
      </vt:variant>
      <vt:variant>
        <vt:i4>0</vt:i4>
      </vt:variant>
      <vt:variant>
        <vt:i4>5</vt:i4>
      </vt:variant>
      <vt:variant>
        <vt:lpwstr>https://cdm.unfccc.int/methodologies/DB/W3TINZ7KKWCK7L8WTXFQQOFQQH4SBK</vt:lpwstr>
      </vt:variant>
      <vt:variant>
        <vt:lpwstr/>
      </vt:variant>
      <vt:variant>
        <vt:i4>7733311</vt:i4>
      </vt:variant>
      <vt:variant>
        <vt:i4>6</vt:i4>
      </vt:variant>
      <vt:variant>
        <vt:i4>0</vt:i4>
      </vt:variant>
      <vt:variant>
        <vt:i4>5</vt:i4>
      </vt:variant>
      <vt:variant>
        <vt:lpwstr>https://cdm.unfccc.int/methodologies/DB/XB1TX7TAZ6SLWM9B7BC67THHVD16JV</vt:lpwstr>
      </vt:variant>
      <vt:variant>
        <vt:lpwstr/>
      </vt:variant>
      <vt:variant>
        <vt:i4>1376272</vt:i4>
      </vt:variant>
      <vt:variant>
        <vt:i4>3</vt:i4>
      </vt:variant>
      <vt:variant>
        <vt:i4>0</vt:i4>
      </vt:variant>
      <vt:variant>
        <vt:i4>5</vt:i4>
      </vt:variant>
      <vt:variant>
        <vt:lpwstr>https://unfccc.int/sites/default/files/resource/A6.4-Glossary.pdf</vt:lpwstr>
      </vt:variant>
      <vt:variant>
        <vt:lpwstr/>
      </vt:variant>
      <vt:variant>
        <vt:i4>8257592</vt:i4>
      </vt:variant>
      <vt:variant>
        <vt:i4>0</vt:i4>
      </vt:variant>
      <vt:variant>
        <vt:i4>0</vt:i4>
      </vt:variant>
      <vt:variant>
        <vt:i4>5</vt:i4>
      </vt:variant>
      <vt:variant>
        <vt:lpwstr>https://unfccc.int/sites/default/files/resource/A6.4-PROC-METH-001.pdf.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A6.4-AMM-003_v01.0_public</dc:title>
  <dc:subject/>
  <dc:creator>UNFCCC</dc:creator>
  <cp:keywords/>
  <dc:description/>
  <cp:lastModifiedBy>Addah Wissen</cp:lastModifiedBy>
  <cp:revision>3</cp:revision>
  <cp:lastPrinted>2026-07-31T11:28:00Z</cp:lastPrinted>
  <dcterms:created xsi:type="dcterms:W3CDTF">2026-07-31T11:35:00Z</dcterms:created>
  <dcterms:modified xsi:type="dcterms:W3CDTF">2026-07-31T11:37:00Z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0x0101008FB6730B0802B54A9F00C78B857E1443</vt:lpwstr>
  </property>
  <property fmtid="{D5CDD505-2E9C-101B-9397-08002B2CF9AE}" pid="3" name="MediaServiceImageTags">
    <vt:lpwstr/>
  </property>
</Properties>
</file>